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359D7">
      <w:pPr>
        <w:ind w:right="-4" w:rightChars="-2"/>
        <w:rPr>
          <w:color w:val="auto"/>
          <w:sz w:val="36"/>
          <w:szCs w:val="36"/>
          <w:highlight w:val="none"/>
        </w:rPr>
      </w:pPr>
    </w:p>
    <w:p w14:paraId="57E93E3B">
      <w:pPr>
        <w:rPr>
          <w:color w:val="auto"/>
          <w:sz w:val="36"/>
          <w:szCs w:val="36"/>
          <w:highlight w:val="none"/>
        </w:rPr>
      </w:pPr>
    </w:p>
    <w:p w14:paraId="2A258146">
      <w:pPr>
        <w:rPr>
          <w:color w:val="auto"/>
          <w:sz w:val="36"/>
          <w:szCs w:val="36"/>
          <w:highlight w:val="none"/>
        </w:rPr>
      </w:pPr>
    </w:p>
    <w:p w14:paraId="3FE7E196">
      <w:pPr>
        <w:rPr>
          <w:color w:val="auto"/>
          <w:sz w:val="36"/>
          <w:szCs w:val="36"/>
          <w:highlight w:val="none"/>
        </w:rPr>
      </w:pPr>
    </w:p>
    <w:p w14:paraId="4021E259">
      <w:pPr>
        <w:rPr>
          <w:color w:val="auto"/>
          <w:sz w:val="36"/>
          <w:szCs w:val="36"/>
          <w:highlight w:val="none"/>
        </w:rPr>
      </w:pPr>
    </w:p>
    <w:p w14:paraId="2EFC789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b/>
          <w:bCs/>
          <w:color w:val="auto"/>
          <w:sz w:val="72"/>
          <w:szCs w:val="72"/>
          <w:highlight w:val="none"/>
        </w:rPr>
      </w:pPr>
      <w:bookmarkStart w:id="0" w:name="_Toc70265307"/>
      <w:bookmarkStart w:id="1" w:name="_Toc70265212"/>
      <w:bookmarkStart w:id="2" w:name="_Toc69460933"/>
      <w:r>
        <w:rPr>
          <w:b w:val="0"/>
          <w:bCs w:val="0"/>
          <w:color w:val="auto"/>
          <w:sz w:val="72"/>
          <w:szCs w:val="72"/>
          <w:highlight w:val="none"/>
        </w:rPr>
        <w:t>建设项目环境影响报告表</w:t>
      </w:r>
      <w:bookmarkEnd w:id="0"/>
      <w:bookmarkEnd w:id="1"/>
      <w:bookmarkEnd w:id="2"/>
    </w:p>
    <w:p w14:paraId="2F10449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15FBEE7C">
      <w:pPr>
        <w:adjustRightInd w:val="0"/>
        <w:snapToGrid w:val="0"/>
        <w:spacing w:line="288" w:lineRule="auto"/>
        <w:jc w:val="center"/>
        <w:rPr>
          <w:rFonts w:hint="eastAsia" w:eastAsia="宋体"/>
          <w:color w:val="auto"/>
          <w:kern w:val="44"/>
          <w:sz w:val="32"/>
          <w:szCs w:val="32"/>
          <w:highlight w:val="none"/>
          <w:lang w:val="en-US" w:eastAsia="zh-CN"/>
        </w:rPr>
      </w:pPr>
      <w:r>
        <w:rPr>
          <w:rFonts w:hint="eastAsia"/>
          <w:color w:val="auto"/>
          <w:kern w:val="44"/>
          <w:sz w:val="32"/>
          <w:szCs w:val="32"/>
          <w:highlight w:val="none"/>
          <w:lang w:val="en-US" w:eastAsia="zh-CN"/>
        </w:rPr>
        <w:t>（送审本）</w:t>
      </w:r>
    </w:p>
    <w:p w14:paraId="538FBDE0">
      <w:pPr>
        <w:ind w:firstLine="1040"/>
        <w:rPr>
          <w:rFonts w:hint="eastAsia" w:eastAsia="宋体"/>
          <w:b/>
          <w:color w:val="auto"/>
          <w:sz w:val="36"/>
          <w:szCs w:val="36"/>
          <w:highlight w:val="none"/>
          <w:lang w:eastAsia="zh-CN"/>
        </w:rPr>
      </w:pPr>
    </w:p>
    <w:p w14:paraId="1942B18C">
      <w:pPr>
        <w:spacing w:after="120"/>
        <w:ind w:left="420" w:leftChars="200" w:firstLine="420" w:firstLineChars="200"/>
        <w:rPr>
          <w:color w:val="auto"/>
          <w:highlight w:val="none"/>
        </w:rPr>
      </w:pPr>
    </w:p>
    <w:p w14:paraId="52783DDB">
      <w:pPr>
        <w:ind w:firstLine="1040"/>
        <w:rPr>
          <w:color w:val="auto"/>
          <w:sz w:val="44"/>
          <w:szCs w:val="44"/>
          <w:highlight w:val="none"/>
        </w:rPr>
      </w:pPr>
    </w:p>
    <w:p w14:paraId="5EA4BB3D">
      <w:pPr>
        <w:ind w:firstLine="1040"/>
        <w:rPr>
          <w:color w:val="auto"/>
          <w:sz w:val="44"/>
          <w:szCs w:val="44"/>
          <w:highlight w:val="none"/>
        </w:rPr>
      </w:pPr>
    </w:p>
    <w:p w14:paraId="771C6290">
      <w:pPr>
        <w:spacing w:line="360" w:lineRule="auto"/>
        <w:ind w:firstLine="1038"/>
        <w:rPr>
          <w:color w:val="auto"/>
          <w:sz w:val="44"/>
          <w:szCs w:val="44"/>
          <w:highlight w:val="none"/>
        </w:rPr>
      </w:pP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45"/>
        <w:gridCol w:w="4729"/>
      </w:tblGrid>
      <w:tr w14:paraId="09A1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80" w:hRule="atLeast"/>
          <w:jc w:val="center"/>
        </w:trPr>
        <w:tc>
          <w:tcPr>
            <w:tcW w:w="2945" w:type="dxa"/>
            <w:vAlign w:val="bottom"/>
          </w:tcPr>
          <w:p w14:paraId="1D75CF94">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b w:val="0"/>
                <w:bCs w:val="0"/>
                <w:color w:val="auto"/>
                <w:sz w:val="36"/>
                <w:szCs w:val="36"/>
                <w:highlight w:val="none"/>
                <w:vertAlign w:val="baseline"/>
              </w:rPr>
            </w:pPr>
            <w:r>
              <w:rPr>
                <w:b w:val="0"/>
                <w:bCs w:val="0"/>
                <w:color w:val="auto"/>
                <w:sz w:val="36"/>
                <w:szCs w:val="36"/>
                <w:highlight w:val="none"/>
              </w:rPr>
              <w:t>项目名称：</w:t>
            </w:r>
          </w:p>
        </w:tc>
        <w:tc>
          <w:tcPr>
            <w:tcW w:w="4729" w:type="dxa"/>
            <w:tcBorders>
              <w:bottom w:val="single" w:color="auto" w:sz="4" w:space="0"/>
            </w:tcBorders>
            <w:vAlign w:val="bottom"/>
          </w:tcPr>
          <w:p w14:paraId="240212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sz w:val="36"/>
                <w:szCs w:val="36"/>
                <w:highlight w:val="none"/>
                <w:u w:val="none"/>
                <w:vertAlign w:val="baseline"/>
              </w:rPr>
            </w:pPr>
            <w:r>
              <w:rPr>
                <w:rFonts w:hint="eastAsia"/>
                <w:b w:val="0"/>
                <w:bCs w:val="0"/>
                <w:color w:val="auto"/>
                <w:spacing w:val="-8"/>
                <w:sz w:val="36"/>
                <w:szCs w:val="36"/>
                <w:highlight w:val="none"/>
                <w:u w:val="none"/>
                <w:lang w:eastAsia="zh-CN"/>
              </w:rPr>
              <w:t>3000t/a醇胺技改项目</w:t>
            </w:r>
          </w:p>
        </w:tc>
      </w:tr>
      <w:tr w14:paraId="4A47F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945" w:type="dxa"/>
            <w:vAlign w:val="bottom"/>
          </w:tcPr>
          <w:p w14:paraId="11063B73">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b w:val="0"/>
                <w:bCs w:val="0"/>
                <w:color w:val="auto"/>
                <w:sz w:val="36"/>
                <w:szCs w:val="36"/>
                <w:highlight w:val="none"/>
                <w:vertAlign w:val="baseline"/>
              </w:rPr>
            </w:pPr>
            <w:r>
              <w:rPr>
                <w:b w:val="0"/>
                <w:bCs w:val="0"/>
                <w:color w:val="auto"/>
                <w:sz w:val="36"/>
                <w:szCs w:val="36"/>
                <w:highlight w:val="none"/>
              </w:rPr>
              <w:t>建设单位（盖章）：</w:t>
            </w:r>
          </w:p>
        </w:tc>
        <w:tc>
          <w:tcPr>
            <w:tcW w:w="4729" w:type="dxa"/>
            <w:tcBorders>
              <w:top w:val="single" w:color="auto" w:sz="4" w:space="0"/>
              <w:bottom w:val="single" w:color="auto" w:sz="4" w:space="0"/>
            </w:tcBorders>
            <w:vAlign w:val="bottom"/>
          </w:tcPr>
          <w:p w14:paraId="0B8E09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sz w:val="36"/>
                <w:szCs w:val="36"/>
                <w:highlight w:val="none"/>
                <w:u w:val="none"/>
                <w:vertAlign w:val="baseline"/>
              </w:rPr>
            </w:pPr>
            <w:r>
              <w:rPr>
                <w:rFonts w:hint="eastAsia"/>
                <w:b w:val="0"/>
                <w:bCs w:val="0"/>
                <w:color w:val="auto"/>
                <w:spacing w:val="-8"/>
                <w:sz w:val="36"/>
                <w:szCs w:val="36"/>
                <w:highlight w:val="none"/>
                <w:u w:val="none"/>
                <w:lang w:eastAsia="zh-CN"/>
              </w:rPr>
              <w:t>四川屹光新材料制造有限公司</w:t>
            </w:r>
          </w:p>
        </w:tc>
      </w:tr>
      <w:tr w14:paraId="0EEC9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945" w:type="dxa"/>
            <w:vAlign w:val="bottom"/>
          </w:tcPr>
          <w:p w14:paraId="7683C8E1">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b w:val="0"/>
                <w:bCs w:val="0"/>
                <w:color w:val="auto"/>
                <w:sz w:val="36"/>
                <w:szCs w:val="36"/>
                <w:highlight w:val="none"/>
                <w:vertAlign w:val="baseline"/>
              </w:rPr>
            </w:pPr>
            <w:r>
              <w:rPr>
                <w:b w:val="0"/>
                <w:bCs w:val="0"/>
                <w:color w:val="auto"/>
                <w:sz w:val="36"/>
                <w:szCs w:val="36"/>
                <w:highlight w:val="none"/>
              </w:rPr>
              <w:t>编制日期：</w:t>
            </w:r>
          </w:p>
        </w:tc>
        <w:tc>
          <w:tcPr>
            <w:tcW w:w="4729" w:type="dxa"/>
            <w:tcBorders>
              <w:top w:val="single" w:color="auto" w:sz="4" w:space="0"/>
              <w:bottom w:val="single" w:color="auto" w:sz="4" w:space="0"/>
            </w:tcBorders>
            <w:vAlign w:val="bottom"/>
          </w:tcPr>
          <w:p w14:paraId="092B08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sz w:val="36"/>
                <w:szCs w:val="36"/>
                <w:highlight w:val="none"/>
                <w:u w:val="none"/>
                <w:vertAlign w:val="baseline"/>
              </w:rPr>
            </w:pPr>
            <w:r>
              <w:rPr>
                <w:rFonts w:hint="eastAsia"/>
                <w:b w:val="0"/>
                <w:bCs w:val="0"/>
                <w:color w:val="auto"/>
                <w:sz w:val="36"/>
                <w:szCs w:val="36"/>
                <w:highlight w:val="none"/>
                <w:u w:val="none"/>
                <w:lang w:val="en-US" w:eastAsia="zh-CN"/>
              </w:rPr>
              <w:t>2</w:t>
            </w:r>
            <w:r>
              <w:rPr>
                <w:b w:val="0"/>
                <w:bCs w:val="0"/>
                <w:color w:val="auto"/>
                <w:sz w:val="36"/>
                <w:szCs w:val="36"/>
                <w:highlight w:val="none"/>
                <w:u w:val="none"/>
              </w:rPr>
              <w:t>02</w:t>
            </w:r>
            <w:r>
              <w:rPr>
                <w:rFonts w:hint="eastAsia"/>
                <w:b w:val="0"/>
                <w:bCs w:val="0"/>
                <w:color w:val="auto"/>
                <w:sz w:val="36"/>
                <w:szCs w:val="36"/>
                <w:highlight w:val="none"/>
                <w:u w:val="none"/>
                <w:lang w:val="en-US" w:eastAsia="zh-CN"/>
              </w:rPr>
              <w:t>4</w:t>
            </w:r>
            <w:r>
              <w:rPr>
                <w:b w:val="0"/>
                <w:bCs w:val="0"/>
                <w:color w:val="auto"/>
                <w:sz w:val="36"/>
                <w:szCs w:val="36"/>
                <w:highlight w:val="none"/>
                <w:u w:val="none"/>
              </w:rPr>
              <w:t>年</w:t>
            </w:r>
            <w:r>
              <w:rPr>
                <w:rFonts w:hint="eastAsia"/>
                <w:b w:val="0"/>
                <w:bCs w:val="0"/>
                <w:color w:val="auto"/>
                <w:sz w:val="36"/>
                <w:szCs w:val="36"/>
                <w:highlight w:val="none"/>
                <w:u w:val="none"/>
                <w:lang w:val="en-US" w:eastAsia="zh-CN"/>
              </w:rPr>
              <w:t>12</w:t>
            </w:r>
            <w:r>
              <w:rPr>
                <w:b w:val="0"/>
                <w:bCs w:val="0"/>
                <w:color w:val="auto"/>
                <w:sz w:val="36"/>
                <w:szCs w:val="36"/>
                <w:highlight w:val="none"/>
                <w:u w:val="none"/>
              </w:rPr>
              <w:t>月</w:t>
            </w:r>
          </w:p>
        </w:tc>
      </w:tr>
    </w:tbl>
    <w:p w14:paraId="339F4650">
      <w:pPr>
        <w:adjustRightInd w:val="0"/>
        <w:snapToGrid w:val="0"/>
        <w:spacing w:line="288" w:lineRule="auto"/>
        <w:ind w:firstLine="1040"/>
        <w:rPr>
          <w:b/>
          <w:bCs/>
          <w:color w:val="auto"/>
          <w:sz w:val="36"/>
          <w:szCs w:val="36"/>
          <w:highlight w:val="none"/>
          <w:u w:val="single"/>
        </w:rPr>
      </w:pPr>
      <w:bookmarkStart w:id="3" w:name="_Hlk57884087"/>
    </w:p>
    <w:p w14:paraId="7E30EB56">
      <w:pPr>
        <w:adjustRightInd w:val="0"/>
        <w:snapToGrid w:val="0"/>
        <w:spacing w:line="288" w:lineRule="auto"/>
        <w:ind w:firstLine="1040"/>
        <w:rPr>
          <w:color w:val="auto"/>
          <w:sz w:val="36"/>
          <w:szCs w:val="36"/>
          <w:highlight w:val="none"/>
        </w:rPr>
      </w:pPr>
    </w:p>
    <w:p w14:paraId="4643A1A3">
      <w:pPr>
        <w:adjustRightInd w:val="0"/>
        <w:snapToGrid w:val="0"/>
        <w:spacing w:line="288" w:lineRule="auto"/>
        <w:ind w:firstLine="1040"/>
        <w:rPr>
          <w:color w:val="auto"/>
          <w:sz w:val="36"/>
          <w:szCs w:val="36"/>
          <w:highlight w:val="none"/>
        </w:rPr>
      </w:pPr>
    </w:p>
    <w:p w14:paraId="4223AD19">
      <w:pPr>
        <w:adjustRightInd w:val="0"/>
        <w:snapToGrid w:val="0"/>
        <w:spacing w:line="288" w:lineRule="auto"/>
        <w:ind w:firstLine="1040"/>
        <w:rPr>
          <w:color w:val="auto"/>
          <w:sz w:val="36"/>
          <w:szCs w:val="36"/>
          <w:highlight w:val="none"/>
        </w:rPr>
      </w:pPr>
    </w:p>
    <w:p w14:paraId="0ED51A9D">
      <w:pPr>
        <w:adjustRightInd w:val="0"/>
        <w:snapToGrid w:val="0"/>
        <w:spacing w:line="288" w:lineRule="auto"/>
        <w:ind w:firstLine="1040"/>
        <w:rPr>
          <w:color w:val="auto"/>
          <w:sz w:val="36"/>
          <w:szCs w:val="36"/>
          <w:highlight w:val="none"/>
        </w:rPr>
      </w:pPr>
    </w:p>
    <w:bookmarkEnd w:id="3"/>
    <w:p w14:paraId="384C9A89">
      <w:pPr>
        <w:adjustRightInd w:val="0"/>
        <w:snapToGrid w:val="0"/>
        <w:spacing w:line="288" w:lineRule="auto"/>
        <w:jc w:val="center"/>
        <w:rPr>
          <w:color w:val="auto"/>
          <w:sz w:val="36"/>
          <w:szCs w:val="36"/>
          <w:highlight w:val="none"/>
        </w:rPr>
      </w:pPr>
      <w:r>
        <w:rPr>
          <w:color w:val="auto"/>
          <w:sz w:val="36"/>
          <w:szCs w:val="36"/>
          <w:highlight w:val="none"/>
        </w:rPr>
        <w:t>中华人民共和国生态环境部制</w:t>
      </w:r>
    </w:p>
    <w:p w14:paraId="118C7BAF">
      <w:pPr>
        <w:adjustRightInd w:val="0"/>
        <w:snapToGrid w:val="0"/>
        <w:spacing w:line="288" w:lineRule="auto"/>
        <w:ind w:firstLine="1040"/>
        <w:rPr>
          <w:color w:val="auto"/>
          <w:sz w:val="36"/>
          <w:szCs w:val="36"/>
          <w:highlight w:val="none"/>
        </w:rPr>
        <w:sectPr>
          <w:headerReference r:id="rId4" w:type="first"/>
          <w:headerReference r:id="rId3" w:type="default"/>
          <w:footerReference r:id="rId5" w:type="default"/>
          <w:footerReference r:id="rId6" w:type="even"/>
          <w:pgSz w:w="11906" w:h="16838"/>
          <w:pgMar w:top="1418" w:right="1134" w:bottom="1418" w:left="1418" w:header="851" w:footer="1077" w:gutter="0"/>
          <w:pgNumType w:start="3"/>
          <w:cols w:space="720" w:num="1"/>
          <w:titlePg/>
          <w:docGrid w:linePitch="312" w:charSpace="0"/>
        </w:sectPr>
      </w:pPr>
    </w:p>
    <w:p w14:paraId="68B8B770">
      <w:pPr>
        <w:pStyle w:val="22"/>
        <w:rPr>
          <w:b w:val="0"/>
          <w:color w:val="auto"/>
          <w:highlight w:val="none"/>
        </w:rPr>
      </w:pPr>
      <w:bookmarkStart w:id="4" w:name="_Toc70265308"/>
      <w:r>
        <w:rPr>
          <w:color w:val="auto"/>
          <w:highlight w:val="none"/>
        </w:rPr>
        <w:t>目录</w:t>
      </w:r>
      <w:r>
        <w:rPr>
          <w:b w:val="0"/>
          <w:color w:val="auto"/>
          <w:highlight w:val="none"/>
        </w:rPr>
        <w:fldChar w:fldCharType="begin"/>
      </w:r>
      <w:r>
        <w:rPr>
          <w:b w:val="0"/>
          <w:color w:val="auto"/>
          <w:highlight w:val="none"/>
        </w:rPr>
        <w:instrText xml:space="preserve"> TOC \o "1-1" \h \z \u </w:instrText>
      </w:r>
      <w:r>
        <w:rPr>
          <w:b w:val="0"/>
          <w:color w:val="auto"/>
          <w:highlight w:val="none"/>
        </w:rPr>
        <w:fldChar w:fldCharType="separate"/>
      </w:r>
    </w:p>
    <w:p w14:paraId="369F0A73">
      <w:pPr>
        <w:pStyle w:val="22"/>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"_Toc70265308" </w:instrText>
      </w:r>
      <w:r>
        <w:rPr>
          <w:color w:val="auto"/>
          <w:highlight w:val="none"/>
        </w:rPr>
        <w:fldChar w:fldCharType="separate"/>
      </w:r>
      <w:r>
        <w:rPr>
          <w:rStyle w:val="33"/>
          <w:snapToGrid w:val="0"/>
          <w:color w:val="auto"/>
          <w:sz w:val="24"/>
          <w:szCs w:val="24"/>
          <w:highlight w:val="none"/>
        </w:rPr>
        <w:t>一、建设项目基本情况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_Toc70265308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14:paraId="4CEE5198">
      <w:pPr>
        <w:pStyle w:val="22"/>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"_Toc70265309" </w:instrText>
      </w:r>
      <w:r>
        <w:rPr>
          <w:color w:val="auto"/>
          <w:highlight w:val="none"/>
        </w:rPr>
        <w:fldChar w:fldCharType="separate"/>
      </w:r>
      <w:r>
        <w:rPr>
          <w:rStyle w:val="33"/>
          <w:bCs/>
          <w:snapToGrid w:val="0"/>
          <w:color w:val="auto"/>
          <w:sz w:val="24"/>
          <w:szCs w:val="24"/>
          <w:highlight w:val="none"/>
        </w:rPr>
        <w:t>二、建设项目工程分析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_Toc70265309 \h </w:instrText>
      </w:r>
      <w:r>
        <w:rPr>
          <w:color w:val="auto"/>
          <w:sz w:val="24"/>
          <w:szCs w:val="24"/>
          <w:highlight w:val="none"/>
        </w:rPr>
        <w:fldChar w:fldCharType="separate"/>
      </w:r>
      <w:r>
        <w:rPr>
          <w:color w:val="auto"/>
          <w:sz w:val="24"/>
          <w:szCs w:val="24"/>
          <w:highlight w:val="none"/>
        </w:rPr>
        <w:t>30</w:t>
      </w:r>
      <w:r>
        <w:rPr>
          <w:color w:val="auto"/>
          <w:sz w:val="24"/>
          <w:szCs w:val="24"/>
          <w:highlight w:val="none"/>
        </w:rPr>
        <w:fldChar w:fldCharType="end"/>
      </w:r>
      <w:r>
        <w:rPr>
          <w:color w:val="auto"/>
          <w:sz w:val="24"/>
          <w:szCs w:val="24"/>
          <w:highlight w:val="none"/>
        </w:rPr>
        <w:fldChar w:fldCharType="end"/>
      </w:r>
    </w:p>
    <w:p w14:paraId="20FC5512">
      <w:pPr>
        <w:pStyle w:val="22"/>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"_Toc70265310" </w:instrText>
      </w:r>
      <w:r>
        <w:rPr>
          <w:color w:val="auto"/>
          <w:highlight w:val="none"/>
        </w:rPr>
        <w:fldChar w:fldCharType="separate"/>
      </w:r>
      <w:r>
        <w:rPr>
          <w:rStyle w:val="33"/>
          <w:snapToGrid w:val="0"/>
          <w:color w:val="auto"/>
          <w:sz w:val="24"/>
          <w:szCs w:val="24"/>
          <w:highlight w:val="none"/>
        </w:rPr>
        <w:t>三、区域环境质量现状、环境保护目标及评价标准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_Toc70265310 \h </w:instrText>
      </w:r>
      <w:r>
        <w:rPr>
          <w:color w:val="auto"/>
          <w:sz w:val="24"/>
          <w:szCs w:val="24"/>
          <w:highlight w:val="none"/>
        </w:rPr>
        <w:fldChar w:fldCharType="separate"/>
      </w:r>
      <w:r>
        <w:rPr>
          <w:color w:val="auto"/>
          <w:sz w:val="24"/>
          <w:szCs w:val="24"/>
          <w:highlight w:val="none"/>
        </w:rPr>
        <w:t>71</w:t>
      </w:r>
      <w:r>
        <w:rPr>
          <w:color w:val="auto"/>
          <w:sz w:val="24"/>
          <w:szCs w:val="24"/>
          <w:highlight w:val="none"/>
        </w:rPr>
        <w:fldChar w:fldCharType="end"/>
      </w:r>
      <w:r>
        <w:rPr>
          <w:color w:val="auto"/>
          <w:sz w:val="24"/>
          <w:szCs w:val="24"/>
          <w:highlight w:val="none"/>
        </w:rPr>
        <w:fldChar w:fldCharType="end"/>
      </w:r>
    </w:p>
    <w:p w14:paraId="35C94BA4">
      <w:pPr>
        <w:pStyle w:val="22"/>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"_Toc70265311" </w:instrText>
      </w:r>
      <w:r>
        <w:rPr>
          <w:color w:val="auto"/>
          <w:highlight w:val="none"/>
        </w:rPr>
        <w:fldChar w:fldCharType="separate"/>
      </w:r>
      <w:r>
        <w:rPr>
          <w:rStyle w:val="33"/>
          <w:bCs/>
          <w:snapToGrid w:val="0"/>
          <w:color w:val="auto"/>
          <w:sz w:val="24"/>
          <w:szCs w:val="24"/>
          <w:highlight w:val="none"/>
        </w:rPr>
        <w:t>四、主要环境影响和保护措施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_Toc70265311 \h </w:instrText>
      </w:r>
      <w:r>
        <w:rPr>
          <w:color w:val="auto"/>
          <w:sz w:val="24"/>
          <w:szCs w:val="24"/>
          <w:highlight w:val="none"/>
        </w:rPr>
        <w:fldChar w:fldCharType="separate"/>
      </w:r>
      <w:r>
        <w:rPr>
          <w:color w:val="auto"/>
          <w:sz w:val="24"/>
          <w:szCs w:val="24"/>
          <w:highlight w:val="none"/>
        </w:rPr>
        <w:t>78</w:t>
      </w:r>
      <w:r>
        <w:rPr>
          <w:color w:val="auto"/>
          <w:sz w:val="24"/>
          <w:szCs w:val="24"/>
          <w:highlight w:val="none"/>
        </w:rPr>
        <w:fldChar w:fldCharType="end"/>
      </w:r>
      <w:r>
        <w:rPr>
          <w:color w:val="auto"/>
          <w:sz w:val="24"/>
          <w:szCs w:val="24"/>
          <w:highlight w:val="none"/>
        </w:rPr>
        <w:fldChar w:fldCharType="end"/>
      </w:r>
    </w:p>
    <w:p w14:paraId="09BF6736">
      <w:pPr>
        <w:pStyle w:val="22"/>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"_Toc70265312" </w:instrText>
      </w:r>
      <w:r>
        <w:rPr>
          <w:color w:val="auto"/>
          <w:highlight w:val="none"/>
        </w:rPr>
        <w:fldChar w:fldCharType="separate"/>
      </w:r>
      <w:r>
        <w:rPr>
          <w:rStyle w:val="33"/>
          <w:snapToGrid w:val="0"/>
          <w:color w:val="auto"/>
          <w:sz w:val="24"/>
          <w:szCs w:val="24"/>
          <w:highlight w:val="none"/>
        </w:rPr>
        <w:t>五、环境保护措施监督检查清单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_Toc70265312 \h </w:instrText>
      </w:r>
      <w:r>
        <w:rPr>
          <w:color w:val="auto"/>
          <w:sz w:val="24"/>
          <w:szCs w:val="24"/>
          <w:highlight w:val="none"/>
        </w:rPr>
        <w:fldChar w:fldCharType="separate"/>
      </w:r>
      <w:r>
        <w:rPr>
          <w:color w:val="auto"/>
          <w:sz w:val="24"/>
          <w:szCs w:val="24"/>
          <w:highlight w:val="none"/>
        </w:rPr>
        <w:t>122</w:t>
      </w:r>
      <w:r>
        <w:rPr>
          <w:color w:val="auto"/>
          <w:sz w:val="24"/>
          <w:szCs w:val="24"/>
          <w:highlight w:val="none"/>
        </w:rPr>
        <w:fldChar w:fldCharType="end"/>
      </w:r>
      <w:r>
        <w:rPr>
          <w:color w:val="auto"/>
          <w:sz w:val="24"/>
          <w:szCs w:val="24"/>
          <w:highlight w:val="none"/>
        </w:rPr>
        <w:fldChar w:fldCharType="end"/>
      </w:r>
    </w:p>
    <w:p w14:paraId="04B6B336">
      <w:pPr>
        <w:pStyle w:val="22"/>
        <w:spacing w:line="360" w:lineRule="auto"/>
        <w:rPr>
          <w:rFonts w:hint="eastAsia" w:eastAsia="宋体"/>
          <w:color w:val="auto"/>
          <w:sz w:val="24"/>
          <w:szCs w:val="24"/>
          <w:highlight w:val="none"/>
          <w:lang w:eastAsia="zh-CN"/>
        </w:rPr>
      </w:pPr>
      <w:r>
        <w:rPr>
          <w:color w:val="auto"/>
          <w:highlight w:val="none"/>
        </w:rPr>
        <w:fldChar w:fldCharType="begin"/>
      </w:r>
      <w:r>
        <w:rPr>
          <w:color w:val="auto"/>
          <w:highlight w:val="none"/>
        </w:rPr>
        <w:instrText xml:space="preserve"> HYPERLINK \l "_Toc70265313" </w:instrText>
      </w:r>
      <w:r>
        <w:rPr>
          <w:color w:val="auto"/>
          <w:highlight w:val="none"/>
        </w:rPr>
        <w:fldChar w:fldCharType="separate"/>
      </w:r>
      <w:r>
        <w:rPr>
          <w:rStyle w:val="33"/>
          <w:bCs/>
          <w:snapToGrid w:val="0"/>
          <w:color w:val="auto"/>
          <w:sz w:val="24"/>
          <w:szCs w:val="24"/>
          <w:highlight w:val="none"/>
        </w:rPr>
        <w:t>六、结论</w:t>
      </w:r>
      <w:r>
        <w:rPr>
          <w:color w:val="auto"/>
          <w:sz w:val="24"/>
          <w:szCs w:val="24"/>
          <w:highlight w:val="none"/>
        </w:rPr>
        <w:tab/>
      </w:r>
      <w:r>
        <w:rPr>
          <w:rFonts w:hint="eastAsia"/>
          <w:color w:val="auto"/>
          <w:sz w:val="24"/>
          <w:szCs w:val="24"/>
          <w:highlight w:val="none"/>
        </w:rPr>
        <w:t>1</w:t>
      </w:r>
      <w:r>
        <w:rPr>
          <w:rFonts w:hint="eastAsia"/>
          <w:color w:val="auto"/>
          <w:sz w:val="24"/>
          <w:szCs w:val="24"/>
          <w:highlight w:val="none"/>
        </w:rPr>
        <w:fldChar w:fldCharType="end"/>
      </w:r>
      <w:r>
        <w:rPr>
          <w:rFonts w:hint="eastAsia"/>
          <w:color w:val="auto"/>
          <w:sz w:val="24"/>
          <w:szCs w:val="24"/>
          <w:highlight w:val="none"/>
        </w:rPr>
        <w:t>3</w:t>
      </w:r>
      <w:r>
        <w:rPr>
          <w:rFonts w:hint="eastAsia"/>
          <w:color w:val="auto"/>
          <w:sz w:val="24"/>
          <w:szCs w:val="24"/>
          <w:highlight w:val="none"/>
          <w:lang w:val="en-US" w:eastAsia="zh-CN"/>
        </w:rPr>
        <w:t>6</w:t>
      </w:r>
    </w:p>
    <w:p w14:paraId="26F51C71">
      <w:pPr>
        <w:pStyle w:val="22"/>
        <w:spacing w:line="360" w:lineRule="auto"/>
        <w:rPr>
          <w:rFonts w:hint="eastAsia" w:eastAsia="宋体"/>
          <w:color w:val="auto"/>
          <w:sz w:val="24"/>
          <w:szCs w:val="24"/>
          <w:highlight w:val="none"/>
          <w:lang w:eastAsia="zh-CN"/>
        </w:rPr>
      </w:pPr>
      <w:r>
        <w:rPr>
          <w:color w:val="auto"/>
          <w:highlight w:val="none"/>
        </w:rPr>
        <w:fldChar w:fldCharType="begin"/>
      </w:r>
      <w:r>
        <w:rPr>
          <w:color w:val="auto"/>
          <w:highlight w:val="none"/>
        </w:rPr>
        <w:instrText xml:space="preserve"> HYPERLINK \l "_Toc70265314" </w:instrText>
      </w:r>
      <w:r>
        <w:rPr>
          <w:color w:val="auto"/>
          <w:highlight w:val="none"/>
        </w:rPr>
        <w:fldChar w:fldCharType="separate"/>
      </w:r>
      <w:r>
        <w:rPr>
          <w:rStyle w:val="33"/>
          <w:snapToGrid w:val="0"/>
          <w:color w:val="auto"/>
          <w:sz w:val="24"/>
          <w:szCs w:val="24"/>
          <w:highlight w:val="none"/>
        </w:rPr>
        <w:t>附表</w:t>
      </w:r>
      <w:r>
        <w:rPr>
          <w:color w:val="auto"/>
          <w:sz w:val="24"/>
          <w:szCs w:val="24"/>
          <w:highlight w:val="none"/>
        </w:rPr>
        <w:tab/>
      </w:r>
      <w:r>
        <w:rPr>
          <w:rFonts w:hint="eastAsia"/>
          <w:color w:val="auto"/>
          <w:sz w:val="24"/>
          <w:szCs w:val="24"/>
          <w:highlight w:val="none"/>
        </w:rPr>
        <w:t>1</w:t>
      </w:r>
      <w:r>
        <w:rPr>
          <w:rFonts w:hint="eastAsia"/>
          <w:color w:val="auto"/>
          <w:sz w:val="24"/>
          <w:szCs w:val="24"/>
          <w:highlight w:val="none"/>
        </w:rPr>
        <w:fldChar w:fldCharType="end"/>
      </w:r>
      <w:r>
        <w:rPr>
          <w:rFonts w:hint="eastAsia"/>
          <w:color w:val="auto"/>
          <w:sz w:val="24"/>
          <w:szCs w:val="24"/>
          <w:highlight w:val="none"/>
        </w:rPr>
        <w:t>3</w:t>
      </w:r>
      <w:r>
        <w:rPr>
          <w:rFonts w:hint="eastAsia"/>
          <w:color w:val="auto"/>
          <w:sz w:val="24"/>
          <w:szCs w:val="24"/>
          <w:highlight w:val="none"/>
          <w:lang w:val="en-US" w:eastAsia="zh-CN"/>
        </w:rPr>
        <w:t>7</w:t>
      </w:r>
    </w:p>
    <w:p w14:paraId="08671F63">
      <w:pPr>
        <w:keepNext w:val="0"/>
        <w:keepLines w:val="0"/>
        <w:kinsoku/>
        <w:wordWrap/>
        <w:overflowPunct/>
        <w:topLinePunct w:val="0"/>
        <w:autoSpaceDE/>
        <w:autoSpaceDN/>
        <w:bidi w:val="0"/>
        <w:adjustRightInd w:val="0"/>
        <w:snapToGrid w:val="0"/>
        <w:spacing w:line="324" w:lineRule="auto"/>
        <w:textAlignment w:val="auto"/>
        <w:rPr>
          <w:b/>
          <w:bCs/>
          <w:color w:val="auto"/>
          <w:sz w:val="24"/>
          <w:highlight w:val="none"/>
        </w:rPr>
      </w:pPr>
      <w:r>
        <w:rPr>
          <w:color w:val="auto"/>
          <w:sz w:val="24"/>
          <w:highlight w:val="none"/>
        </w:rPr>
        <w:fldChar w:fldCharType="end"/>
      </w:r>
      <w:r>
        <w:rPr>
          <w:b/>
          <w:bCs/>
          <w:color w:val="auto"/>
          <w:sz w:val="24"/>
          <w:highlight w:val="none"/>
        </w:rPr>
        <w:t>附图：</w:t>
      </w:r>
    </w:p>
    <w:p w14:paraId="3D49E9AE">
      <w:pPr>
        <w:keepNext w:val="0"/>
        <w:keepLines w:val="0"/>
        <w:kinsoku/>
        <w:wordWrap/>
        <w:overflowPunct/>
        <w:topLinePunct w:val="0"/>
        <w:autoSpaceDE/>
        <w:autoSpaceDN/>
        <w:bidi w:val="0"/>
        <w:spacing w:line="324" w:lineRule="auto"/>
        <w:ind w:firstLine="470" w:firstLineChars="196"/>
        <w:textAlignment w:val="auto"/>
        <w:rPr>
          <w:color w:val="auto"/>
          <w:sz w:val="24"/>
          <w:highlight w:val="none"/>
        </w:rPr>
      </w:pPr>
      <w:r>
        <w:rPr>
          <w:color w:val="auto"/>
          <w:sz w:val="24"/>
          <w:highlight w:val="none"/>
        </w:rPr>
        <w:t>附图1项目地理位置图</w:t>
      </w:r>
    </w:p>
    <w:p w14:paraId="27500EDE">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附图2</w:t>
      </w:r>
      <w:r>
        <w:rPr>
          <w:rFonts w:hint="eastAsia"/>
          <w:color w:val="auto"/>
          <w:sz w:val="24"/>
          <w:highlight w:val="none"/>
          <w:lang w:val="en-US" w:eastAsia="zh-CN"/>
        </w:rPr>
        <w:t>-1 四川大英经济开发区用地布局规划图</w:t>
      </w:r>
    </w:p>
    <w:p w14:paraId="06373699">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附图2</w:t>
      </w:r>
      <w:r>
        <w:rPr>
          <w:rFonts w:hint="eastAsia"/>
          <w:color w:val="auto"/>
          <w:sz w:val="24"/>
          <w:highlight w:val="none"/>
          <w:lang w:val="en-US" w:eastAsia="zh-CN"/>
        </w:rPr>
        <w:t>-2经开区化工</w:t>
      </w:r>
      <w:r>
        <w:rPr>
          <w:rFonts w:hint="eastAsia"/>
          <w:color w:val="auto"/>
          <w:sz w:val="24"/>
          <w:highlight w:val="none"/>
        </w:rPr>
        <w:t>园区土地利用规划图</w:t>
      </w:r>
    </w:p>
    <w:p w14:paraId="6088CE2C">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lang w:val="en-US" w:eastAsia="zh-CN"/>
        </w:rPr>
      </w:pPr>
      <w:r>
        <w:rPr>
          <w:color w:val="auto"/>
          <w:sz w:val="24"/>
          <w:highlight w:val="none"/>
        </w:rPr>
        <w:t>附图3</w:t>
      </w:r>
      <w:r>
        <w:rPr>
          <w:rFonts w:hint="eastAsia"/>
          <w:color w:val="auto"/>
          <w:sz w:val="24"/>
          <w:highlight w:val="none"/>
          <w:lang w:val="en-US" w:eastAsia="zh-CN"/>
        </w:rPr>
        <w:t>-1项目远距离外环境关系及风险评价范围图</w:t>
      </w:r>
    </w:p>
    <w:p w14:paraId="679A2FF0">
      <w:pPr>
        <w:keepNext w:val="0"/>
        <w:keepLines w:val="0"/>
        <w:kinsoku/>
        <w:wordWrap/>
        <w:overflowPunct/>
        <w:topLinePunct w:val="0"/>
        <w:autoSpaceDE/>
        <w:autoSpaceDN/>
        <w:bidi w:val="0"/>
        <w:spacing w:line="324"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附图3-2项目近距离外环境关系及卫生防护距离图</w:t>
      </w:r>
    </w:p>
    <w:p w14:paraId="40AE0D36">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color w:val="auto"/>
          <w:sz w:val="24"/>
          <w:highlight w:val="none"/>
        </w:rPr>
        <w:t>附图</w:t>
      </w:r>
      <w:r>
        <w:rPr>
          <w:rFonts w:hint="eastAsia"/>
          <w:color w:val="auto"/>
          <w:sz w:val="24"/>
          <w:highlight w:val="none"/>
          <w:lang w:val="en-US" w:eastAsia="zh-CN"/>
        </w:rPr>
        <w:t>4-1技改前厂区总平面布置</w:t>
      </w:r>
      <w:r>
        <w:rPr>
          <w:rFonts w:hint="eastAsia"/>
          <w:color w:val="auto"/>
          <w:sz w:val="24"/>
          <w:highlight w:val="none"/>
        </w:rPr>
        <w:t>图</w:t>
      </w:r>
    </w:p>
    <w:p w14:paraId="60C3AAA5">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lang w:val="en-US" w:eastAsia="zh-CN"/>
        </w:rPr>
        <w:t>附图4-2技改后厂区总平面布置</w:t>
      </w:r>
      <w:r>
        <w:rPr>
          <w:rFonts w:hint="eastAsia"/>
          <w:color w:val="auto"/>
          <w:sz w:val="24"/>
          <w:highlight w:val="none"/>
        </w:rPr>
        <w:t>图</w:t>
      </w:r>
    </w:p>
    <w:p w14:paraId="72A4671C">
      <w:pPr>
        <w:keepNext w:val="0"/>
        <w:keepLines w:val="0"/>
        <w:kinsoku/>
        <w:wordWrap/>
        <w:overflowPunct/>
        <w:topLinePunct w:val="0"/>
        <w:autoSpaceDE/>
        <w:autoSpaceDN/>
        <w:bidi w:val="0"/>
        <w:spacing w:line="324" w:lineRule="auto"/>
        <w:ind w:firstLine="480" w:firstLineChars="200"/>
        <w:textAlignment w:val="auto"/>
        <w:rPr>
          <w:rFonts w:hint="default" w:eastAsia="宋体"/>
          <w:color w:val="auto"/>
          <w:sz w:val="24"/>
          <w:highlight w:val="none"/>
          <w:lang w:val="en-US" w:eastAsia="zh-CN"/>
        </w:rPr>
      </w:pPr>
      <w:r>
        <w:rPr>
          <w:rFonts w:hint="eastAsia"/>
          <w:color w:val="auto"/>
          <w:sz w:val="24"/>
          <w:highlight w:val="none"/>
          <w:lang w:val="en-US" w:eastAsia="zh-CN"/>
        </w:rPr>
        <w:t>附图5全厂</w:t>
      </w:r>
      <w:r>
        <w:rPr>
          <w:rFonts w:hint="eastAsia"/>
          <w:color w:val="auto"/>
          <w:sz w:val="24"/>
          <w:highlight w:val="none"/>
        </w:rPr>
        <w:t>分区防渗图</w:t>
      </w:r>
    </w:p>
    <w:p w14:paraId="594B95AE">
      <w:pPr>
        <w:keepNext w:val="0"/>
        <w:keepLines w:val="0"/>
        <w:kinsoku/>
        <w:wordWrap/>
        <w:overflowPunct/>
        <w:topLinePunct w:val="0"/>
        <w:autoSpaceDE/>
        <w:autoSpaceDN/>
        <w:bidi w:val="0"/>
        <w:spacing w:line="324" w:lineRule="auto"/>
        <w:textAlignment w:val="auto"/>
        <w:rPr>
          <w:b/>
          <w:bCs/>
          <w:color w:val="auto"/>
          <w:sz w:val="24"/>
          <w:highlight w:val="none"/>
        </w:rPr>
      </w:pPr>
      <w:r>
        <w:rPr>
          <w:b/>
          <w:bCs/>
          <w:color w:val="auto"/>
          <w:sz w:val="24"/>
          <w:highlight w:val="none"/>
        </w:rPr>
        <w:t>附件：</w:t>
      </w:r>
    </w:p>
    <w:p w14:paraId="16797FC6">
      <w:pPr>
        <w:keepNext w:val="0"/>
        <w:keepLines w:val="0"/>
        <w:tabs>
          <w:tab w:val="left" w:pos="280"/>
        </w:tabs>
        <w:kinsoku/>
        <w:wordWrap/>
        <w:overflowPunct/>
        <w:topLinePunct w:val="0"/>
        <w:autoSpaceDE/>
        <w:autoSpaceDN/>
        <w:bidi w:val="0"/>
        <w:spacing w:line="324" w:lineRule="auto"/>
        <w:ind w:firstLine="468" w:firstLineChars="195"/>
        <w:textAlignment w:val="auto"/>
        <w:rPr>
          <w:color w:val="auto"/>
          <w:sz w:val="24"/>
          <w:highlight w:val="none"/>
        </w:rPr>
      </w:pPr>
      <w:r>
        <w:rPr>
          <w:color w:val="auto"/>
          <w:sz w:val="24"/>
          <w:highlight w:val="none"/>
        </w:rPr>
        <w:t>附件1委托书</w:t>
      </w:r>
    </w:p>
    <w:p w14:paraId="6F703218">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附件</w:t>
      </w:r>
      <w:r>
        <w:rPr>
          <w:rFonts w:hint="eastAsia"/>
          <w:color w:val="auto"/>
          <w:sz w:val="24"/>
          <w:highlight w:val="none"/>
          <w:lang w:val="en-US" w:eastAsia="zh-CN"/>
        </w:rPr>
        <w:t>2备案证明表</w:t>
      </w:r>
    </w:p>
    <w:p w14:paraId="33B62160">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color w:val="auto"/>
          <w:sz w:val="24"/>
          <w:highlight w:val="none"/>
        </w:rPr>
        <w:t>附件</w:t>
      </w:r>
      <w:r>
        <w:rPr>
          <w:rFonts w:hint="eastAsia"/>
          <w:color w:val="auto"/>
          <w:sz w:val="24"/>
          <w:highlight w:val="none"/>
          <w:lang w:val="en-US" w:eastAsia="zh-CN"/>
        </w:rPr>
        <w:t>3土地</w:t>
      </w:r>
      <w:r>
        <w:rPr>
          <w:rFonts w:hint="eastAsia"/>
          <w:color w:val="auto"/>
          <w:sz w:val="24"/>
          <w:highlight w:val="none"/>
        </w:rPr>
        <w:t>证</w:t>
      </w:r>
    </w:p>
    <w:p w14:paraId="19E6B1BA">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附件4园区规划环评批复文件</w:t>
      </w:r>
    </w:p>
    <w:p w14:paraId="77512F9E">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附件5现有工程环评批复附件</w:t>
      </w:r>
    </w:p>
    <w:p w14:paraId="7C081AE4">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附件6现有工程验收意见附件</w:t>
      </w:r>
    </w:p>
    <w:p w14:paraId="449D8C28">
      <w:pPr>
        <w:keepNext w:val="0"/>
        <w:keepLines w:val="0"/>
        <w:kinsoku/>
        <w:wordWrap/>
        <w:overflowPunct/>
        <w:topLinePunct w:val="0"/>
        <w:autoSpaceDE/>
        <w:autoSpaceDN/>
        <w:bidi w:val="0"/>
        <w:spacing w:line="324" w:lineRule="auto"/>
        <w:ind w:firstLine="480" w:firstLineChars="200"/>
        <w:textAlignment w:val="auto"/>
        <w:rPr>
          <w:rFonts w:hint="default" w:eastAsia="宋体"/>
          <w:color w:val="auto"/>
          <w:sz w:val="24"/>
          <w:highlight w:val="none"/>
          <w:lang w:val="en-US" w:eastAsia="zh-CN"/>
        </w:rPr>
      </w:pPr>
      <w:r>
        <w:rPr>
          <w:rFonts w:hint="eastAsia"/>
          <w:color w:val="auto"/>
          <w:sz w:val="24"/>
          <w:highlight w:val="none"/>
          <w:lang w:val="en-US" w:eastAsia="zh-CN"/>
        </w:rPr>
        <w:t>附件7排污许可证</w:t>
      </w:r>
    </w:p>
    <w:p w14:paraId="0B3530C9">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附件8应急预案备案表</w:t>
      </w:r>
    </w:p>
    <w:p w14:paraId="15DB4F9B">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附件9危废处置合同及资质</w:t>
      </w:r>
    </w:p>
    <w:p w14:paraId="47834A9F">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附件1</w:t>
      </w:r>
      <w:r>
        <w:rPr>
          <w:rFonts w:hint="eastAsia"/>
          <w:color w:val="auto"/>
          <w:sz w:val="24"/>
          <w:highlight w:val="none"/>
          <w:lang w:val="en-US" w:eastAsia="zh-CN"/>
        </w:rPr>
        <w:t>0</w:t>
      </w: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引用监测报告（大气）</w:t>
      </w:r>
    </w:p>
    <w:p w14:paraId="057325C2">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rPr>
      </w:pPr>
      <w:r>
        <w:rPr>
          <w:rFonts w:hint="eastAsia"/>
          <w:color w:val="auto"/>
          <w:sz w:val="24"/>
          <w:highlight w:val="none"/>
        </w:rPr>
        <w:t>附件1</w:t>
      </w:r>
      <w:r>
        <w:rPr>
          <w:rFonts w:hint="eastAsia"/>
          <w:color w:val="auto"/>
          <w:sz w:val="24"/>
          <w:highlight w:val="none"/>
          <w:lang w:val="en-US" w:eastAsia="zh-CN"/>
        </w:rPr>
        <w:t>0</w:t>
      </w:r>
      <w:r>
        <w:rPr>
          <w:rFonts w:hint="eastAsia"/>
          <w:color w:val="auto"/>
          <w:sz w:val="24"/>
          <w:highlight w:val="none"/>
        </w:rPr>
        <w:t>-2厂区2024年</w:t>
      </w:r>
      <w:r>
        <w:rPr>
          <w:rFonts w:hint="eastAsia"/>
          <w:color w:val="auto"/>
          <w:sz w:val="24"/>
          <w:highlight w:val="none"/>
          <w:lang w:val="en-US" w:eastAsia="zh-CN"/>
        </w:rPr>
        <w:t>1、</w:t>
      </w:r>
      <w:r>
        <w:rPr>
          <w:rFonts w:hint="eastAsia"/>
          <w:color w:val="auto"/>
          <w:sz w:val="24"/>
          <w:highlight w:val="none"/>
        </w:rPr>
        <w:t>6月例行监测报告（废水、废气、噪声）</w:t>
      </w:r>
    </w:p>
    <w:p w14:paraId="1F699420">
      <w:pPr>
        <w:keepNext w:val="0"/>
        <w:keepLines w:val="0"/>
        <w:kinsoku/>
        <w:wordWrap/>
        <w:overflowPunct/>
        <w:topLinePunct w:val="0"/>
        <w:autoSpaceDE/>
        <w:autoSpaceDN/>
        <w:bidi w:val="0"/>
        <w:spacing w:line="324"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附件10-3竣工验收监测报告（废气）</w:t>
      </w:r>
    </w:p>
    <w:p w14:paraId="330CF941">
      <w:pPr>
        <w:keepNext w:val="0"/>
        <w:keepLines w:val="0"/>
        <w:kinsoku/>
        <w:wordWrap/>
        <w:overflowPunct/>
        <w:topLinePunct w:val="0"/>
        <w:autoSpaceDE/>
        <w:autoSpaceDN/>
        <w:bidi w:val="0"/>
        <w:spacing w:line="324"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附件11 建设单位营业执照及法人身份证</w:t>
      </w:r>
    </w:p>
    <w:p w14:paraId="23393962">
      <w:pPr>
        <w:pageBreakBefore/>
        <w:widowControl/>
        <w:spacing w:before="100" w:beforeAutospacing="1" w:after="100" w:afterAutospacing="1"/>
        <w:jc w:val="center"/>
        <w:outlineLvl w:val="0"/>
        <w:rPr>
          <w:b/>
          <w:snapToGrid w:val="0"/>
          <w:color w:val="auto"/>
          <w:kern w:val="0"/>
          <w:sz w:val="30"/>
          <w:szCs w:val="30"/>
          <w:highlight w:val="none"/>
        </w:rPr>
      </w:pPr>
      <w:r>
        <w:rPr>
          <w:b/>
          <w:snapToGrid w:val="0"/>
          <w:color w:val="auto"/>
          <w:kern w:val="0"/>
          <w:sz w:val="30"/>
          <w:szCs w:val="30"/>
          <w:highlight w:val="none"/>
        </w:rPr>
        <w:t>一、建设项目基本情况</w:t>
      </w:r>
      <w:bookmarkEnd w:id="4"/>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96"/>
        <w:gridCol w:w="1470"/>
        <w:gridCol w:w="1574"/>
        <w:gridCol w:w="4730"/>
      </w:tblGrid>
      <w:tr w14:paraId="55B86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3DC0E2B1">
            <w:pPr>
              <w:adjustRightInd w:val="0"/>
              <w:snapToGrid w:val="0"/>
              <w:jc w:val="center"/>
              <w:rPr>
                <w:color w:val="auto"/>
                <w:sz w:val="24"/>
                <w:szCs w:val="24"/>
                <w:highlight w:val="none"/>
              </w:rPr>
            </w:pPr>
            <w:r>
              <w:rPr>
                <w:color w:val="auto"/>
                <w:sz w:val="24"/>
                <w:szCs w:val="24"/>
                <w:highlight w:val="none"/>
              </w:rPr>
              <w:t>建设项目名称</w:t>
            </w:r>
          </w:p>
        </w:tc>
        <w:tc>
          <w:tcPr>
            <w:tcW w:w="7774" w:type="dxa"/>
            <w:gridSpan w:val="3"/>
            <w:vAlign w:val="center"/>
          </w:tcPr>
          <w:p w14:paraId="5BF7C15F">
            <w:pPr>
              <w:adjustRightInd w:val="0"/>
              <w:snapToGrid w:val="0"/>
              <w:jc w:val="center"/>
              <w:rPr>
                <w:rFonts w:hint="eastAsia" w:eastAsia="宋体"/>
                <w:color w:val="auto"/>
                <w:sz w:val="24"/>
                <w:szCs w:val="32"/>
                <w:highlight w:val="none"/>
                <w:lang w:eastAsia="zh-CN"/>
              </w:rPr>
            </w:pPr>
            <w:r>
              <w:rPr>
                <w:rFonts w:hint="eastAsia"/>
                <w:color w:val="auto"/>
                <w:sz w:val="24"/>
                <w:szCs w:val="32"/>
                <w:highlight w:val="none"/>
                <w:lang w:eastAsia="zh-CN"/>
              </w:rPr>
              <w:t>3000t/a醇胺技改项目</w:t>
            </w:r>
          </w:p>
        </w:tc>
      </w:tr>
      <w:tr w14:paraId="42A54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096" w:type="dxa"/>
            <w:tcMar>
              <w:top w:w="16" w:type="dxa"/>
              <w:left w:w="16" w:type="dxa"/>
              <w:right w:w="16" w:type="dxa"/>
            </w:tcMar>
            <w:vAlign w:val="center"/>
          </w:tcPr>
          <w:p w14:paraId="32D082FB">
            <w:pPr>
              <w:adjustRightInd w:val="0"/>
              <w:snapToGrid w:val="0"/>
              <w:jc w:val="center"/>
              <w:rPr>
                <w:color w:val="auto"/>
                <w:sz w:val="24"/>
                <w:szCs w:val="24"/>
                <w:highlight w:val="none"/>
              </w:rPr>
            </w:pPr>
            <w:r>
              <w:rPr>
                <w:color w:val="auto"/>
                <w:sz w:val="24"/>
                <w:szCs w:val="24"/>
                <w:highlight w:val="none"/>
              </w:rPr>
              <w:t>项目代码</w:t>
            </w:r>
          </w:p>
        </w:tc>
        <w:tc>
          <w:tcPr>
            <w:tcW w:w="7774" w:type="dxa"/>
            <w:gridSpan w:val="3"/>
            <w:vAlign w:val="center"/>
          </w:tcPr>
          <w:p w14:paraId="5BEFE8B2">
            <w:pPr>
              <w:adjustRightInd w:val="0"/>
              <w:snapToGrid w:val="0"/>
              <w:jc w:val="center"/>
              <w:rPr>
                <w:rFonts w:hint="eastAsia"/>
                <w:color w:val="auto"/>
                <w:sz w:val="24"/>
                <w:szCs w:val="24"/>
                <w:highlight w:val="none"/>
                <w:lang w:val="en-US" w:eastAsia="zh-CN"/>
              </w:rPr>
            </w:pPr>
            <w:r>
              <w:rPr>
                <w:rFonts w:hint="eastAsia"/>
                <w:color w:val="auto"/>
                <w:sz w:val="24"/>
                <w:szCs w:val="32"/>
                <w:highlight w:val="none"/>
                <w:lang w:eastAsia="zh-CN"/>
              </w:rPr>
              <w:t>2412-510923-07-02-377760</w:t>
            </w:r>
          </w:p>
        </w:tc>
      </w:tr>
      <w:tr w14:paraId="21938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563980AB">
            <w:pPr>
              <w:adjustRightInd w:val="0"/>
              <w:snapToGrid w:val="0"/>
              <w:jc w:val="center"/>
              <w:rPr>
                <w:color w:val="auto"/>
                <w:sz w:val="24"/>
                <w:szCs w:val="24"/>
                <w:highlight w:val="none"/>
              </w:rPr>
            </w:pPr>
            <w:r>
              <w:rPr>
                <w:color w:val="auto"/>
                <w:sz w:val="24"/>
                <w:szCs w:val="24"/>
                <w:highlight w:val="none"/>
              </w:rPr>
              <w:t>建设单位联系人</w:t>
            </w:r>
          </w:p>
        </w:tc>
        <w:tc>
          <w:tcPr>
            <w:tcW w:w="1470" w:type="dxa"/>
            <w:vAlign w:val="center"/>
          </w:tcPr>
          <w:p w14:paraId="327183B6">
            <w:pPr>
              <w:adjustRightInd w:val="0"/>
              <w:snapToGrid w:val="0"/>
              <w:jc w:val="center"/>
              <w:rPr>
                <w:rFonts w:hint="default"/>
                <w:color w:val="auto"/>
                <w:sz w:val="24"/>
                <w:szCs w:val="24"/>
                <w:highlight w:val="none"/>
                <w:lang w:val="en-US" w:eastAsia="zh-CN"/>
              </w:rPr>
            </w:pPr>
            <w:r>
              <w:rPr>
                <w:rFonts w:hint="eastAsia"/>
                <w:color w:val="auto"/>
                <w:sz w:val="24"/>
                <w:szCs w:val="24"/>
                <w:highlight w:val="none"/>
                <w:lang w:val="en-US" w:eastAsia="zh-CN"/>
              </w:rPr>
              <w:t>xx</w:t>
            </w:r>
          </w:p>
        </w:tc>
        <w:tc>
          <w:tcPr>
            <w:tcW w:w="1574" w:type="dxa"/>
            <w:vAlign w:val="center"/>
          </w:tcPr>
          <w:p w14:paraId="0B14D31C">
            <w:pPr>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联系方式</w:t>
            </w:r>
          </w:p>
        </w:tc>
        <w:tc>
          <w:tcPr>
            <w:tcW w:w="4730" w:type="dxa"/>
            <w:vAlign w:val="center"/>
          </w:tcPr>
          <w:p w14:paraId="00AF89CB">
            <w:pPr>
              <w:adjustRightInd w:val="0"/>
              <w:snapToGrid w:val="0"/>
              <w:jc w:val="center"/>
              <w:rPr>
                <w:rFonts w:hint="default"/>
                <w:color w:val="auto"/>
                <w:sz w:val="24"/>
                <w:szCs w:val="24"/>
                <w:highlight w:val="none"/>
                <w:lang w:val="en-US" w:eastAsia="zh-CN"/>
              </w:rPr>
            </w:pPr>
            <w:r>
              <w:rPr>
                <w:rFonts w:hint="eastAsia"/>
                <w:color w:val="auto"/>
                <w:sz w:val="24"/>
                <w:szCs w:val="24"/>
                <w:highlight w:val="none"/>
                <w:lang w:val="en-US" w:eastAsia="zh-CN"/>
              </w:rPr>
              <w:t>xxxxxxxxxxx</w:t>
            </w:r>
          </w:p>
        </w:tc>
      </w:tr>
      <w:tr w14:paraId="0AC63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096B689A">
            <w:pPr>
              <w:adjustRightInd w:val="0"/>
              <w:snapToGrid w:val="0"/>
              <w:jc w:val="center"/>
              <w:rPr>
                <w:color w:val="auto"/>
                <w:sz w:val="24"/>
                <w:szCs w:val="24"/>
                <w:highlight w:val="none"/>
              </w:rPr>
            </w:pPr>
            <w:r>
              <w:rPr>
                <w:color w:val="auto"/>
                <w:sz w:val="24"/>
                <w:szCs w:val="24"/>
                <w:highlight w:val="none"/>
              </w:rPr>
              <w:t>建设地点</w:t>
            </w:r>
          </w:p>
        </w:tc>
        <w:tc>
          <w:tcPr>
            <w:tcW w:w="7774" w:type="dxa"/>
            <w:gridSpan w:val="3"/>
            <w:vAlign w:val="center"/>
          </w:tcPr>
          <w:p w14:paraId="1FC31153">
            <w:pPr>
              <w:adjustRightInd w:val="0"/>
              <w:snapToGrid w:val="0"/>
              <w:jc w:val="center"/>
              <w:rPr>
                <w:rFonts w:hint="eastAsia" w:eastAsia="宋体"/>
                <w:color w:val="auto"/>
                <w:sz w:val="24"/>
                <w:szCs w:val="24"/>
                <w:highlight w:val="none"/>
                <w:lang w:eastAsia="zh-CN"/>
              </w:rPr>
            </w:pPr>
            <w:r>
              <w:rPr>
                <w:rFonts w:hint="eastAsia"/>
                <w:color w:val="auto"/>
                <w:sz w:val="24"/>
                <w:szCs w:val="32"/>
                <w:highlight w:val="none"/>
                <w:lang w:eastAsia="zh-CN"/>
              </w:rPr>
              <w:t>遂宁市大英县工业集中发展区梁家坝</w:t>
            </w:r>
          </w:p>
        </w:tc>
      </w:tr>
      <w:tr w14:paraId="3EAE7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63D458B0">
            <w:pPr>
              <w:adjustRightInd w:val="0"/>
              <w:snapToGrid w:val="0"/>
              <w:jc w:val="center"/>
              <w:rPr>
                <w:color w:val="auto"/>
                <w:sz w:val="24"/>
                <w:szCs w:val="24"/>
                <w:highlight w:val="none"/>
              </w:rPr>
            </w:pPr>
            <w:r>
              <w:rPr>
                <w:color w:val="auto"/>
                <w:sz w:val="24"/>
                <w:szCs w:val="24"/>
                <w:highlight w:val="none"/>
              </w:rPr>
              <w:t>地理坐标</w:t>
            </w:r>
          </w:p>
        </w:tc>
        <w:tc>
          <w:tcPr>
            <w:tcW w:w="7774" w:type="dxa"/>
            <w:gridSpan w:val="3"/>
            <w:vAlign w:val="center"/>
          </w:tcPr>
          <w:p w14:paraId="6D941FE6">
            <w:pPr>
              <w:jc w:val="center"/>
              <w:rPr>
                <w:color w:val="auto"/>
                <w:sz w:val="24"/>
                <w:szCs w:val="24"/>
                <w:highlight w:val="none"/>
              </w:rPr>
            </w:pPr>
            <w:r>
              <w:rPr>
                <w:color w:val="auto"/>
                <w:sz w:val="24"/>
                <w:szCs w:val="24"/>
                <w:highlight w:val="none"/>
              </w:rPr>
              <w:t>（</w:t>
            </w:r>
            <w:r>
              <w:rPr>
                <w:color w:val="auto"/>
                <w:sz w:val="24"/>
                <w:szCs w:val="24"/>
                <w:highlight w:val="none"/>
                <w:u w:val="single"/>
              </w:rPr>
              <w:t>10</w:t>
            </w:r>
            <w:r>
              <w:rPr>
                <w:rFonts w:hint="eastAsia"/>
                <w:color w:val="auto"/>
                <w:sz w:val="24"/>
                <w:szCs w:val="24"/>
                <w:highlight w:val="none"/>
                <w:u w:val="single"/>
                <w:lang w:val="en-US" w:eastAsia="zh-CN"/>
              </w:rPr>
              <w:t>5</w:t>
            </w:r>
            <w:r>
              <w:rPr>
                <w:color w:val="auto"/>
                <w:sz w:val="24"/>
                <w:szCs w:val="24"/>
                <w:highlight w:val="none"/>
              </w:rPr>
              <w:t>度</w:t>
            </w:r>
            <w:r>
              <w:rPr>
                <w:rFonts w:hint="eastAsia"/>
                <w:color w:val="auto"/>
                <w:sz w:val="24"/>
                <w:szCs w:val="24"/>
                <w:highlight w:val="none"/>
                <w:u w:val="single"/>
                <w:lang w:val="en-US" w:eastAsia="zh-CN"/>
              </w:rPr>
              <w:t>18</w:t>
            </w:r>
            <w:r>
              <w:rPr>
                <w:color w:val="auto"/>
                <w:sz w:val="24"/>
                <w:szCs w:val="24"/>
                <w:highlight w:val="none"/>
              </w:rPr>
              <w:t>分</w:t>
            </w:r>
            <w:r>
              <w:rPr>
                <w:rFonts w:hint="eastAsia"/>
                <w:color w:val="auto"/>
                <w:sz w:val="24"/>
                <w:szCs w:val="24"/>
                <w:highlight w:val="none"/>
                <w:u w:val="single"/>
                <w:lang w:val="en-US" w:eastAsia="zh-CN"/>
              </w:rPr>
              <w:t>21.024</w:t>
            </w:r>
            <w:r>
              <w:rPr>
                <w:color w:val="auto"/>
                <w:sz w:val="24"/>
                <w:szCs w:val="24"/>
                <w:highlight w:val="none"/>
              </w:rPr>
              <w:t>秒，</w:t>
            </w:r>
            <w:r>
              <w:rPr>
                <w:color w:val="auto"/>
                <w:sz w:val="24"/>
                <w:szCs w:val="24"/>
                <w:highlight w:val="none"/>
                <w:u w:val="single"/>
              </w:rPr>
              <w:t>30</w:t>
            </w:r>
            <w:r>
              <w:rPr>
                <w:color w:val="auto"/>
                <w:sz w:val="24"/>
                <w:szCs w:val="24"/>
                <w:highlight w:val="none"/>
              </w:rPr>
              <w:t>度</w:t>
            </w:r>
            <w:r>
              <w:rPr>
                <w:rFonts w:hint="eastAsia"/>
                <w:color w:val="auto"/>
                <w:sz w:val="24"/>
                <w:szCs w:val="24"/>
                <w:highlight w:val="none"/>
                <w:u w:val="single"/>
                <w:lang w:val="en-US" w:eastAsia="zh-CN"/>
              </w:rPr>
              <w:t>35</w:t>
            </w:r>
            <w:r>
              <w:rPr>
                <w:color w:val="auto"/>
                <w:sz w:val="24"/>
                <w:szCs w:val="24"/>
                <w:highlight w:val="none"/>
              </w:rPr>
              <w:t>分</w:t>
            </w:r>
            <w:r>
              <w:rPr>
                <w:rFonts w:hint="eastAsia"/>
                <w:color w:val="auto"/>
                <w:sz w:val="24"/>
                <w:szCs w:val="24"/>
                <w:highlight w:val="none"/>
                <w:u w:val="single"/>
                <w:lang w:val="en-US" w:eastAsia="zh-CN"/>
              </w:rPr>
              <w:t>54.096</w:t>
            </w:r>
            <w:r>
              <w:rPr>
                <w:color w:val="auto"/>
                <w:sz w:val="24"/>
                <w:szCs w:val="24"/>
                <w:highlight w:val="none"/>
              </w:rPr>
              <w:t>秒）</w:t>
            </w:r>
          </w:p>
        </w:tc>
      </w:tr>
      <w:tr w14:paraId="6C6AC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004B554B">
            <w:pPr>
              <w:adjustRightInd w:val="0"/>
              <w:snapToGrid w:val="0"/>
              <w:jc w:val="center"/>
              <w:rPr>
                <w:color w:val="auto"/>
                <w:sz w:val="24"/>
                <w:szCs w:val="24"/>
                <w:highlight w:val="none"/>
              </w:rPr>
            </w:pPr>
            <w:r>
              <w:rPr>
                <w:color w:val="auto"/>
                <w:sz w:val="24"/>
                <w:szCs w:val="24"/>
                <w:highlight w:val="none"/>
              </w:rPr>
              <w:t>国民经济</w:t>
            </w:r>
          </w:p>
          <w:p w14:paraId="1B05E5F8">
            <w:pPr>
              <w:adjustRightInd w:val="0"/>
              <w:snapToGrid w:val="0"/>
              <w:jc w:val="center"/>
              <w:rPr>
                <w:color w:val="auto"/>
                <w:sz w:val="24"/>
                <w:szCs w:val="24"/>
                <w:highlight w:val="none"/>
              </w:rPr>
            </w:pPr>
            <w:r>
              <w:rPr>
                <w:color w:val="auto"/>
                <w:sz w:val="24"/>
                <w:szCs w:val="24"/>
                <w:highlight w:val="none"/>
              </w:rPr>
              <w:t>行业类别</w:t>
            </w:r>
          </w:p>
        </w:tc>
        <w:tc>
          <w:tcPr>
            <w:tcW w:w="1470" w:type="dxa"/>
            <w:vAlign w:val="center"/>
          </w:tcPr>
          <w:p w14:paraId="508E805E">
            <w:pPr>
              <w:adjustRightInd w:val="0"/>
              <w:snapToGrid w:val="0"/>
              <w:jc w:val="center"/>
              <w:rPr>
                <w:color w:val="auto"/>
                <w:sz w:val="24"/>
                <w:szCs w:val="24"/>
                <w:highlight w:val="none"/>
              </w:rPr>
            </w:pPr>
            <w:r>
              <w:rPr>
                <w:color w:val="auto"/>
                <w:sz w:val="24"/>
                <w:szCs w:val="24"/>
                <w:highlight w:val="none"/>
              </w:rPr>
              <w:t>C2</w:t>
            </w:r>
            <w:r>
              <w:rPr>
                <w:rFonts w:hint="eastAsia"/>
                <w:color w:val="auto"/>
                <w:sz w:val="24"/>
                <w:szCs w:val="24"/>
                <w:highlight w:val="none"/>
                <w:lang w:val="en-US" w:eastAsia="zh-CN"/>
              </w:rPr>
              <w:t>614有机化学原料制造</w:t>
            </w:r>
          </w:p>
        </w:tc>
        <w:tc>
          <w:tcPr>
            <w:tcW w:w="1574" w:type="dxa"/>
            <w:vAlign w:val="center"/>
          </w:tcPr>
          <w:p w14:paraId="709E96FE">
            <w:pPr>
              <w:adjustRightInd w:val="0"/>
              <w:snapToGrid w:val="0"/>
              <w:jc w:val="center"/>
              <w:rPr>
                <w:color w:val="auto"/>
                <w:sz w:val="24"/>
                <w:szCs w:val="24"/>
                <w:highlight w:val="none"/>
              </w:rPr>
            </w:pPr>
            <w:bookmarkStart w:id="5" w:name="_Hlk49843745"/>
            <w:r>
              <w:rPr>
                <w:color w:val="auto"/>
                <w:sz w:val="24"/>
                <w:szCs w:val="24"/>
                <w:highlight w:val="none"/>
              </w:rPr>
              <w:t>建设项目</w:t>
            </w:r>
          </w:p>
          <w:p w14:paraId="202F4B9D">
            <w:pPr>
              <w:adjustRightInd w:val="0"/>
              <w:snapToGrid w:val="0"/>
              <w:jc w:val="center"/>
              <w:rPr>
                <w:color w:val="auto"/>
                <w:sz w:val="24"/>
                <w:szCs w:val="24"/>
                <w:highlight w:val="none"/>
              </w:rPr>
            </w:pPr>
            <w:r>
              <w:rPr>
                <w:color w:val="auto"/>
                <w:sz w:val="24"/>
                <w:szCs w:val="24"/>
                <w:highlight w:val="none"/>
              </w:rPr>
              <w:t>行业类别</w:t>
            </w:r>
            <w:bookmarkEnd w:id="5"/>
          </w:p>
        </w:tc>
        <w:tc>
          <w:tcPr>
            <w:tcW w:w="4730" w:type="dxa"/>
            <w:vAlign w:val="center"/>
          </w:tcPr>
          <w:p w14:paraId="69D80C77">
            <w:pPr>
              <w:adjustRightInd w:val="0"/>
              <w:snapToGrid w:val="0"/>
              <w:jc w:val="center"/>
              <w:rPr>
                <w:rFonts w:hint="default"/>
                <w:color w:val="auto"/>
                <w:sz w:val="24"/>
                <w:szCs w:val="24"/>
                <w:highlight w:val="none"/>
                <w:lang w:val="en-US"/>
              </w:rPr>
            </w:pPr>
            <w:r>
              <w:rPr>
                <w:rFonts w:hint="eastAsia"/>
                <w:color w:val="auto"/>
                <w:sz w:val="24"/>
                <w:szCs w:val="24"/>
                <w:highlight w:val="none"/>
              </w:rPr>
              <w:t>二十</w:t>
            </w:r>
            <w:r>
              <w:rPr>
                <w:rFonts w:hint="eastAsia"/>
                <w:color w:val="auto"/>
                <w:sz w:val="24"/>
                <w:szCs w:val="24"/>
                <w:highlight w:val="none"/>
                <w:lang w:val="en-US" w:eastAsia="zh-CN"/>
              </w:rPr>
              <w:t>三</w:t>
            </w:r>
            <w:r>
              <w:rPr>
                <w:rFonts w:hint="eastAsia"/>
                <w:color w:val="auto"/>
                <w:sz w:val="24"/>
                <w:szCs w:val="24"/>
                <w:highlight w:val="none"/>
              </w:rPr>
              <w:t>、</w:t>
            </w:r>
            <w:r>
              <w:rPr>
                <w:rFonts w:hint="eastAsia"/>
                <w:color w:val="auto"/>
                <w:sz w:val="24"/>
                <w:szCs w:val="24"/>
                <w:highlight w:val="none"/>
                <w:lang w:val="en-US" w:eastAsia="zh-CN"/>
              </w:rPr>
              <w:t>化学原料和化学制品制造业</w:t>
            </w:r>
            <w:r>
              <w:rPr>
                <w:rFonts w:hint="eastAsia"/>
                <w:color w:val="auto"/>
                <w:sz w:val="24"/>
                <w:szCs w:val="24"/>
                <w:highlight w:val="none"/>
              </w:rPr>
              <w:t>-</w:t>
            </w:r>
            <w:r>
              <w:rPr>
                <w:rFonts w:hint="eastAsia"/>
                <w:b/>
                <w:bCs/>
                <w:color w:val="auto"/>
                <w:sz w:val="24"/>
                <w:szCs w:val="24"/>
                <w:highlight w:val="none"/>
              </w:rPr>
              <w:t>4</w:t>
            </w:r>
            <w:r>
              <w:rPr>
                <w:rFonts w:hint="eastAsia"/>
                <w:b/>
                <w:bCs/>
                <w:color w:val="auto"/>
                <w:sz w:val="24"/>
                <w:szCs w:val="24"/>
                <w:highlight w:val="none"/>
                <w:lang w:val="en-US" w:eastAsia="zh-CN"/>
              </w:rPr>
              <w:t>4基础化学原料制造261</w:t>
            </w:r>
            <w:r>
              <w:rPr>
                <w:rFonts w:hint="eastAsia"/>
                <w:color w:val="auto"/>
                <w:sz w:val="24"/>
                <w:szCs w:val="24"/>
                <w:highlight w:val="none"/>
                <w:lang w:val="en-US" w:eastAsia="zh-CN"/>
              </w:rPr>
              <w:t>；农药制造263；涂料、油墨、颜料及类似产品制造264；合成材料制造265；</w:t>
            </w:r>
            <w:r>
              <w:rPr>
                <w:rFonts w:hint="eastAsia"/>
                <w:b w:val="0"/>
                <w:bCs w:val="0"/>
                <w:color w:val="auto"/>
                <w:sz w:val="24"/>
                <w:szCs w:val="24"/>
                <w:highlight w:val="none"/>
                <w:lang w:val="en-US" w:eastAsia="zh-CN"/>
              </w:rPr>
              <w:t>专用化学产品制造266</w:t>
            </w:r>
            <w:r>
              <w:rPr>
                <w:rFonts w:hint="eastAsia"/>
                <w:color w:val="auto"/>
                <w:sz w:val="24"/>
                <w:szCs w:val="24"/>
                <w:highlight w:val="none"/>
                <w:lang w:val="en-US" w:eastAsia="zh-CN"/>
              </w:rPr>
              <w:t>；炸药、火工及焰火产品制造267</w:t>
            </w:r>
          </w:p>
        </w:tc>
      </w:tr>
      <w:tr w14:paraId="1E5A0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1770FFAF">
            <w:pPr>
              <w:adjustRightInd w:val="0"/>
              <w:snapToGrid w:val="0"/>
              <w:jc w:val="center"/>
              <w:rPr>
                <w:color w:val="auto"/>
                <w:sz w:val="24"/>
                <w:szCs w:val="24"/>
                <w:highlight w:val="none"/>
              </w:rPr>
            </w:pPr>
            <w:r>
              <w:rPr>
                <w:color w:val="auto"/>
                <w:sz w:val="24"/>
                <w:szCs w:val="24"/>
                <w:highlight w:val="none"/>
              </w:rPr>
              <w:t>建设性质</w:t>
            </w:r>
          </w:p>
        </w:tc>
        <w:tc>
          <w:tcPr>
            <w:tcW w:w="1470" w:type="dxa"/>
            <w:vAlign w:val="center"/>
          </w:tcPr>
          <w:p w14:paraId="22E976C7">
            <w:pPr>
              <w:jc w:val="left"/>
              <w:rPr>
                <w:color w:val="auto"/>
                <w:sz w:val="24"/>
                <w:szCs w:val="24"/>
                <w:highlight w:val="none"/>
              </w:rPr>
            </w:pPr>
            <w:r>
              <w:rPr>
                <w:rFonts w:hint="eastAsia"/>
                <w:color w:val="auto"/>
                <w:sz w:val="24"/>
                <w:szCs w:val="24"/>
                <w:highlight w:val="none"/>
                <w:lang w:eastAsia="zh-CN"/>
              </w:rPr>
              <w:t>□</w:t>
            </w:r>
            <w:r>
              <w:rPr>
                <w:color w:val="auto"/>
                <w:sz w:val="24"/>
                <w:szCs w:val="24"/>
                <w:highlight w:val="none"/>
              </w:rPr>
              <w:t>新建（迁建）</w:t>
            </w:r>
          </w:p>
          <w:p w14:paraId="3FC10AB5">
            <w:pPr>
              <w:jc w:val="left"/>
              <w:rPr>
                <w:color w:val="auto"/>
                <w:sz w:val="24"/>
                <w:szCs w:val="24"/>
                <w:highlight w:val="none"/>
              </w:rPr>
            </w:pPr>
            <w:r>
              <w:rPr>
                <w:rFonts w:hint="eastAsia"/>
                <w:color w:val="auto"/>
                <w:sz w:val="24"/>
                <w:szCs w:val="24"/>
                <w:highlight w:val="none"/>
                <w:lang w:eastAsia="zh-CN"/>
              </w:rPr>
              <w:t>□</w:t>
            </w:r>
            <w:r>
              <w:rPr>
                <w:color w:val="auto"/>
                <w:sz w:val="24"/>
                <w:szCs w:val="24"/>
                <w:highlight w:val="none"/>
              </w:rPr>
              <w:t>改</w:t>
            </w:r>
            <w:r>
              <w:rPr>
                <w:rFonts w:hint="eastAsia"/>
                <w:color w:val="auto"/>
                <w:sz w:val="24"/>
                <w:szCs w:val="24"/>
                <w:highlight w:val="none"/>
              </w:rPr>
              <w:t>扩</w:t>
            </w:r>
            <w:r>
              <w:rPr>
                <w:color w:val="auto"/>
                <w:sz w:val="24"/>
                <w:szCs w:val="24"/>
                <w:highlight w:val="none"/>
              </w:rPr>
              <w:t>建</w:t>
            </w:r>
          </w:p>
          <w:p w14:paraId="1F5DC5CC">
            <w:pPr>
              <w:jc w:val="left"/>
              <w:rPr>
                <w:color w:val="auto"/>
                <w:sz w:val="24"/>
                <w:szCs w:val="24"/>
                <w:highlight w:val="none"/>
              </w:rPr>
            </w:pPr>
            <w:r>
              <w:rPr>
                <w:rFonts w:hint="eastAsia"/>
                <w:color w:val="auto"/>
                <w:sz w:val="24"/>
                <w:szCs w:val="24"/>
                <w:highlight w:val="none"/>
                <w:lang w:eastAsia="zh-CN"/>
              </w:rPr>
              <w:t>☑</w:t>
            </w:r>
            <w:r>
              <w:rPr>
                <w:color w:val="auto"/>
                <w:sz w:val="24"/>
                <w:szCs w:val="24"/>
                <w:highlight w:val="none"/>
              </w:rPr>
              <w:t>技术改造</w:t>
            </w:r>
          </w:p>
        </w:tc>
        <w:tc>
          <w:tcPr>
            <w:tcW w:w="1574" w:type="dxa"/>
            <w:vAlign w:val="center"/>
          </w:tcPr>
          <w:p w14:paraId="379EFE4A">
            <w:pPr>
              <w:adjustRightInd w:val="0"/>
              <w:snapToGrid w:val="0"/>
              <w:jc w:val="center"/>
              <w:rPr>
                <w:color w:val="auto"/>
                <w:sz w:val="24"/>
                <w:szCs w:val="24"/>
                <w:highlight w:val="none"/>
              </w:rPr>
            </w:pPr>
            <w:r>
              <w:rPr>
                <w:color w:val="auto"/>
                <w:sz w:val="24"/>
                <w:szCs w:val="24"/>
                <w:highlight w:val="none"/>
              </w:rPr>
              <w:t>建设项目</w:t>
            </w:r>
          </w:p>
          <w:p w14:paraId="27D474F9">
            <w:pPr>
              <w:adjustRightInd w:val="0"/>
              <w:snapToGrid w:val="0"/>
              <w:jc w:val="center"/>
              <w:rPr>
                <w:color w:val="auto"/>
                <w:sz w:val="24"/>
                <w:szCs w:val="24"/>
                <w:highlight w:val="none"/>
              </w:rPr>
            </w:pPr>
            <w:r>
              <w:rPr>
                <w:color w:val="auto"/>
                <w:sz w:val="24"/>
                <w:szCs w:val="24"/>
                <w:highlight w:val="none"/>
              </w:rPr>
              <w:t>申报情形</w:t>
            </w:r>
          </w:p>
        </w:tc>
        <w:tc>
          <w:tcPr>
            <w:tcW w:w="4730" w:type="dxa"/>
            <w:vAlign w:val="center"/>
          </w:tcPr>
          <w:p w14:paraId="0619E85B">
            <w:pPr>
              <w:jc w:val="left"/>
              <w:rPr>
                <w:rFonts w:hint="eastAsia" w:eastAsia="宋体"/>
                <w:color w:val="auto"/>
                <w:sz w:val="24"/>
                <w:szCs w:val="24"/>
                <w:highlight w:val="none"/>
                <w:lang w:eastAsia="zh-CN"/>
              </w:rPr>
            </w:pPr>
            <w:r>
              <w:rPr>
                <w:rFonts w:hint="eastAsia"/>
                <w:color w:val="auto"/>
                <w:sz w:val="24"/>
                <w:szCs w:val="24"/>
                <w:highlight w:val="none"/>
                <w:lang w:eastAsia="zh-CN"/>
              </w:rPr>
              <w:t>☑</w:t>
            </w:r>
            <w:r>
              <w:rPr>
                <w:color w:val="auto"/>
                <w:sz w:val="24"/>
                <w:szCs w:val="24"/>
                <w:highlight w:val="none"/>
              </w:rPr>
              <w:t>首次申报项目</w:t>
            </w:r>
          </w:p>
          <w:p w14:paraId="4D785645">
            <w:pPr>
              <w:jc w:val="left"/>
              <w:rPr>
                <w:color w:val="auto"/>
                <w:sz w:val="24"/>
                <w:szCs w:val="24"/>
                <w:highlight w:val="none"/>
              </w:rPr>
            </w:pPr>
            <w:r>
              <w:rPr>
                <w:rFonts w:hint="eastAsia"/>
                <w:color w:val="auto"/>
                <w:sz w:val="24"/>
                <w:szCs w:val="24"/>
                <w:highlight w:val="none"/>
                <w:lang w:eastAsia="zh-CN"/>
              </w:rPr>
              <w:t>□</w:t>
            </w:r>
            <w:r>
              <w:rPr>
                <w:color w:val="auto"/>
                <w:sz w:val="24"/>
                <w:szCs w:val="24"/>
                <w:highlight w:val="none"/>
              </w:rPr>
              <w:t>不予批准后再次申报项目</w:t>
            </w:r>
          </w:p>
          <w:p w14:paraId="4879EC99">
            <w:pPr>
              <w:jc w:val="left"/>
              <w:rPr>
                <w:rFonts w:hint="eastAsia" w:eastAsia="宋体"/>
                <w:color w:val="auto"/>
                <w:sz w:val="24"/>
                <w:szCs w:val="24"/>
                <w:highlight w:val="none"/>
                <w:lang w:eastAsia="zh-CN"/>
              </w:rPr>
            </w:pPr>
            <w:r>
              <w:rPr>
                <w:rFonts w:hint="eastAsia"/>
                <w:color w:val="auto"/>
                <w:sz w:val="24"/>
                <w:szCs w:val="24"/>
                <w:highlight w:val="none"/>
                <w:lang w:eastAsia="zh-CN"/>
              </w:rPr>
              <w:t>□</w:t>
            </w:r>
            <w:r>
              <w:rPr>
                <w:color w:val="auto"/>
                <w:sz w:val="24"/>
                <w:szCs w:val="24"/>
                <w:highlight w:val="none"/>
              </w:rPr>
              <w:t>超五年重新审核项目</w:t>
            </w:r>
          </w:p>
          <w:p w14:paraId="6EA966BE">
            <w:pPr>
              <w:jc w:val="left"/>
              <w:rPr>
                <w:color w:val="auto"/>
                <w:sz w:val="24"/>
                <w:szCs w:val="24"/>
                <w:highlight w:val="none"/>
              </w:rPr>
            </w:pPr>
            <w:r>
              <w:rPr>
                <w:rFonts w:hint="eastAsia"/>
                <w:color w:val="auto"/>
                <w:sz w:val="24"/>
                <w:szCs w:val="24"/>
                <w:highlight w:val="none"/>
                <w:lang w:eastAsia="zh-CN"/>
              </w:rPr>
              <w:t>□</w:t>
            </w:r>
            <w:r>
              <w:rPr>
                <w:color w:val="auto"/>
                <w:sz w:val="24"/>
                <w:szCs w:val="24"/>
                <w:highlight w:val="none"/>
              </w:rPr>
              <w:t>重大变动重新报批项目</w:t>
            </w:r>
          </w:p>
        </w:tc>
      </w:tr>
      <w:tr w14:paraId="2B9CF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1DFA6CD5">
            <w:pPr>
              <w:adjustRightInd w:val="0"/>
              <w:snapToGrid w:val="0"/>
              <w:jc w:val="center"/>
              <w:rPr>
                <w:color w:val="auto"/>
                <w:sz w:val="24"/>
                <w:szCs w:val="24"/>
                <w:highlight w:val="none"/>
              </w:rPr>
            </w:pPr>
            <w:r>
              <w:rPr>
                <w:color w:val="auto"/>
                <w:sz w:val="24"/>
                <w:szCs w:val="24"/>
                <w:highlight w:val="none"/>
              </w:rPr>
              <w:t>项目审批（核准/备案）部门（选填）</w:t>
            </w:r>
          </w:p>
        </w:tc>
        <w:tc>
          <w:tcPr>
            <w:tcW w:w="1470" w:type="dxa"/>
            <w:vAlign w:val="center"/>
          </w:tcPr>
          <w:p w14:paraId="75BAACD3">
            <w:pPr>
              <w:adjustRightInd w:val="0"/>
              <w:snapToGrid w:val="0"/>
              <w:jc w:val="center"/>
              <w:rPr>
                <w:color w:val="auto"/>
                <w:sz w:val="24"/>
                <w:szCs w:val="24"/>
                <w:highlight w:val="none"/>
              </w:rPr>
            </w:pPr>
            <w:r>
              <w:rPr>
                <w:rFonts w:hint="eastAsia"/>
                <w:color w:val="auto"/>
                <w:sz w:val="24"/>
                <w:szCs w:val="32"/>
                <w:highlight w:val="none"/>
                <w:lang w:val="en-US" w:eastAsia="zh-CN"/>
              </w:rPr>
              <w:t>大英县经济信息化和科学技术局</w:t>
            </w:r>
          </w:p>
        </w:tc>
        <w:tc>
          <w:tcPr>
            <w:tcW w:w="1574" w:type="dxa"/>
            <w:vAlign w:val="center"/>
          </w:tcPr>
          <w:p w14:paraId="4D1CF8D4">
            <w:pPr>
              <w:adjustRightInd w:val="0"/>
              <w:snapToGrid w:val="0"/>
              <w:jc w:val="center"/>
              <w:rPr>
                <w:color w:val="auto"/>
                <w:sz w:val="24"/>
                <w:szCs w:val="24"/>
                <w:highlight w:val="none"/>
              </w:rPr>
            </w:pPr>
            <w:r>
              <w:rPr>
                <w:color w:val="auto"/>
                <w:sz w:val="24"/>
                <w:szCs w:val="24"/>
                <w:highlight w:val="none"/>
              </w:rPr>
              <w:t>项目审批（核准/</w:t>
            </w:r>
          </w:p>
          <w:p w14:paraId="32336BBA">
            <w:pPr>
              <w:adjustRightInd w:val="0"/>
              <w:snapToGrid w:val="0"/>
              <w:jc w:val="center"/>
              <w:rPr>
                <w:color w:val="auto"/>
                <w:sz w:val="24"/>
                <w:szCs w:val="24"/>
                <w:highlight w:val="none"/>
              </w:rPr>
            </w:pPr>
            <w:r>
              <w:rPr>
                <w:color w:val="auto"/>
                <w:sz w:val="24"/>
                <w:szCs w:val="24"/>
                <w:highlight w:val="none"/>
              </w:rPr>
              <w:t>备案）文号（选填）</w:t>
            </w:r>
          </w:p>
        </w:tc>
        <w:tc>
          <w:tcPr>
            <w:tcW w:w="4730" w:type="dxa"/>
            <w:vAlign w:val="center"/>
          </w:tcPr>
          <w:p w14:paraId="56833BC5">
            <w:pPr>
              <w:adjustRightInd w:val="0"/>
              <w:snapToGrid w:val="0"/>
              <w:jc w:val="center"/>
              <w:rPr>
                <w:color w:val="auto"/>
                <w:sz w:val="24"/>
                <w:szCs w:val="24"/>
                <w:highlight w:val="none"/>
              </w:rPr>
            </w:pPr>
            <w:r>
              <w:rPr>
                <w:rFonts w:hint="eastAsia"/>
                <w:color w:val="auto"/>
                <w:sz w:val="24"/>
                <w:szCs w:val="32"/>
                <w:highlight w:val="none"/>
                <w:lang w:eastAsia="zh-CN"/>
              </w:rPr>
              <w:t>川投资备【2412-510923-07-02-377760】JXQB-0465</w:t>
            </w:r>
            <w:r>
              <w:rPr>
                <w:rFonts w:hint="eastAsia"/>
                <w:color w:val="auto"/>
                <w:sz w:val="24"/>
                <w:szCs w:val="32"/>
                <w:highlight w:val="none"/>
              </w:rPr>
              <w:t>号</w:t>
            </w:r>
          </w:p>
        </w:tc>
      </w:tr>
      <w:tr w14:paraId="6B4C83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63C819DD">
            <w:pPr>
              <w:adjustRightInd w:val="0"/>
              <w:snapToGrid w:val="0"/>
              <w:jc w:val="center"/>
              <w:rPr>
                <w:color w:val="auto"/>
                <w:sz w:val="24"/>
                <w:szCs w:val="24"/>
                <w:highlight w:val="none"/>
              </w:rPr>
            </w:pPr>
            <w:r>
              <w:rPr>
                <w:color w:val="auto"/>
                <w:sz w:val="24"/>
                <w:szCs w:val="24"/>
                <w:highlight w:val="none"/>
              </w:rPr>
              <w:t>总投资（万元）</w:t>
            </w:r>
          </w:p>
        </w:tc>
        <w:tc>
          <w:tcPr>
            <w:tcW w:w="1470" w:type="dxa"/>
            <w:vAlign w:val="center"/>
          </w:tcPr>
          <w:p w14:paraId="4889FBF5">
            <w:pPr>
              <w:jc w:val="center"/>
              <w:rPr>
                <w:rFonts w:hint="eastAsia" w:eastAsia="宋体"/>
                <w:color w:val="auto"/>
                <w:sz w:val="24"/>
                <w:szCs w:val="24"/>
                <w:highlight w:val="none"/>
                <w:lang w:eastAsia="zh-CN"/>
              </w:rPr>
            </w:pPr>
            <w:r>
              <w:rPr>
                <w:rFonts w:hint="eastAsia"/>
                <w:color w:val="auto"/>
                <w:sz w:val="24"/>
                <w:szCs w:val="24"/>
                <w:highlight w:val="none"/>
                <w:lang w:val="en-US" w:eastAsia="zh-CN"/>
              </w:rPr>
              <w:t>2</w:t>
            </w:r>
            <w:r>
              <w:rPr>
                <w:rFonts w:hint="eastAsia"/>
                <w:color w:val="auto"/>
                <w:sz w:val="24"/>
                <w:szCs w:val="24"/>
                <w:highlight w:val="none"/>
                <w:lang w:eastAsia="zh-CN"/>
              </w:rPr>
              <w:t>000</w:t>
            </w:r>
          </w:p>
        </w:tc>
        <w:tc>
          <w:tcPr>
            <w:tcW w:w="1574" w:type="dxa"/>
            <w:tcMar>
              <w:top w:w="16" w:type="dxa"/>
              <w:left w:w="16" w:type="dxa"/>
              <w:right w:w="16" w:type="dxa"/>
            </w:tcMar>
            <w:vAlign w:val="center"/>
          </w:tcPr>
          <w:p w14:paraId="7A25BAD5">
            <w:pPr>
              <w:jc w:val="center"/>
              <w:rPr>
                <w:color w:val="auto"/>
                <w:sz w:val="24"/>
                <w:szCs w:val="24"/>
                <w:highlight w:val="none"/>
              </w:rPr>
            </w:pPr>
            <w:r>
              <w:rPr>
                <w:color w:val="auto"/>
                <w:sz w:val="24"/>
                <w:szCs w:val="24"/>
                <w:highlight w:val="none"/>
              </w:rPr>
              <w:t>环保投资（万元）</w:t>
            </w:r>
          </w:p>
        </w:tc>
        <w:tc>
          <w:tcPr>
            <w:tcW w:w="4730" w:type="dxa"/>
            <w:vAlign w:val="center"/>
          </w:tcPr>
          <w:p w14:paraId="04CEFC52">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76</w:t>
            </w:r>
          </w:p>
        </w:tc>
      </w:tr>
      <w:tr w14:paraId="60A42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40A23621">
            <w:pPr>
              <w:adjustRightInd w:val="0"/>
              <w:snapToGrid w:val="0"/>
              <w:jc w:val="center"/>
              <w:rPr>
                <w:color w:val="auto"/>
                <w:sz w:val="24"/>
                <w:szCs w:val="24"/>
                <w:highlight w:val="none"/>
              </w:rPr>
            </w:pPr>
            <w:r>
              <w:rPr>
                <w:color w:val="auto"/>
                <w:sz w:val="24"/>
                <w:szCs w:val="24"/>
                <w:highlight w:val="none"/>
              </w:rPr>
              <w:t>环保投资占比（%）</w:t>
            </w:r>
          </w:p>
        </w:tc>
        <w:tc>
          <w:tcPr>
            <w:tcW w:w="1470" w:type="dxa"/>
            <w:vAlign w:val="center"/>
          </w:tcPr>
          <w:p w14:paraId="2839E914">
            <w:pPr>
              <w:adjustRightInd w:val="0"/>
              <w:snapToGrid w:val="0"/>
              <w:jc w:val="center"/>
              <w:rPr>
                <w:color w:val="auto"/>
                <w:sz w:val="24"/>
                <w:szCs w:val="24"/>
                <w:highlight w:val="none"/>
              </w:rPr>
            </w:pPr>
            <w:r>
              <w:rPr>
                <w:rFonts w:hint="eastAsia"/>
                <w:color w:val="auto"/>
                <w:sz w:val="24"/>
                <w:szCs w:val="24"/>
                <w:highlight w:val="none"/>
                <w:lang w:val="en-US" w:eastAsia="zh-CN"/>
              </w:rPr>
              <w:t>3.8%</w:t>
            </w:r>
          </w:p>
        </w:tc>
        <w:tc>
          <w:tcPr>
            <w:tcW w:w="1574" w:type="dxa"/>
            <w:tcMar>
              <w:top w:w="16" w:type="dxa"/>
              <w:left w:w="16" w:type="dxa"/>
              <w:right w:w="16" w:type="dxa"/>
            </w:tcMar>
            <w:vAlign w:val="center"/>
          </w:tcPr>
          <w:p w14:paraId="5C88991E">
            <w:pPr>
              <w:adjustRightInd w:val="0"/>
              <w:snapToGrid w:val="0"/>
              <w:jc w:val="center"/>
              <w:rPr>
                <w:color w:val="auto"/>
                <w:sz w:val="24"/>
                <w:szCs w:val="24"/>
                <w:highlight w:val="none"/>
              </w:rPr>
            </w:pPr>
            <w:r>
              <w:rPr>
                <w:color w:val="auto"/>
                <w:sz w:val="24"/>
                <w:szCs w:val="24"/>
                <w:highlight w:val="none"/>
              </w:rPr>
              <w:t>施工工期</w:t>
            </w:r>
          </w:p>
        </w:tc>
        <w:tc>
          <w:tcPr>
            <w:tcW w:w="4730" w:type="dxa"/>
            <w:vAlign w:val="center"/>
          </w:tcPr>
          <w:p w14:paraId="47A2A602">
            <w:pPr>
              <w:adjustRightInd w:val="0"/>
              <w:snapToGrid w:val="0"/>
              <w:jc w:val="center"/>
              <w:rPr>
                <w:color w:val="auto"/>
                <w:sz w:val="24"/>
                <w:szCs w:val="24"/>
                <w:highlight w:val="none"/>
              </w:rPr>
            </w:pPr>
            <w:r>
              <w:rPr>
                <w:rFonts w:hint="eastAsia"/>
                <w:color w:val="auto"/>
                <w:sz w:val="24"/>
                <w:szCs w:val="24"/>
                <w:highlight w:val="none"/>
                <w:lang w:val="en-US" w:eastAsia="zh-CN"/>
              </w:rPr>
              <w:t>24</w:t>
            </w:r>
            <w:r>
              <w:rPr>
                <w:rFonts w:hint="eastAsia"/>
                <w:color w:val="auto"/>
                <w:sz w:val="24"/>
                <w:szCs w:val="24"/>
                <w:highlight w:val="none"/>
              </w:rPr>
              <w:t>个月</w:t>
            </w:r>
          </w:p>
        </w:tc>
      </w:tr>
      <w:tr w14:paraId="36120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96" w:type="dxa"/>
            <w:tcMar>
              <w:top w:w="16" w:type="dxa"/>
              <w:left w:w="16" w:type="dxa"/>
              <w:right w:w="16" w:type="dxa"/>
            </w:tcMar>
            <w:vAlign w:val="center"/>
          </w:tcPr>
          <w:p w14:paraId="5417C1DF">
            <w:pPr>
              <w:adjustRightInd w:val="0"/>
              <w:snapToGrid w:val="0"/>
              <w:jc w:val="center"/>
              <w:rPr>
                <w:color w:val="auto"/>
                <w:sz w:val="24"/>
                <w:szCs w:val="24"/>
                <w:highlight w:val="none"/>
              </w:rPr>
            </w:pPr>
            <w:r>
              <w:rPr>
                <w:color w:val="auto"/>
                <w:sz w:val="24"/>
                <w:szCs w:val="24"/>
                <w:highlight w:val="none"/>
              </w:rPr>
              <w:t>是否开工建设</w:t>
            </w:r>
          </w:p>
        </w:tc>
        <w:tc>
          <w:tcPr>
            <w:tcW w:w="1470" w:type="dxa"/>
            <w:vAlign w:val="center"/>
          </w:tcPr>
          <w:p w14:paraId="531B78D0">
            <w:pPr>
              <w:adjustRightInd w:val="0"/>
              <w:snapToGrid w:val="0"/>
              <w:rPr>
                <w:color w:val="auto"/>
                <w:sz w:val="24"/>
                <w:szCs w:val="24"/>
                <w:highlight w:val="none"/>
              </w:rPr>
            </w:pPr>
            <w:r>
              <w:rPr>
                <w:rFonts w:hint="eastAsia"/>
                <w:color w:val="auto"/>
                <w:sz w:val="24"/>
                <w:szCs w:val="24"/>
                <w:highlight w:val="none"/>
                <w:lang w:eastAsia="zh-CN"/>
              </w:rPr>
              <w:t>☑</w:t>
            </w:r>
            <w:r>
              <w:rPr>
                <w:color w:val="auto"/>
                <w:sz w:val="24"/>
                <w:szCs w:val="24"/>
                <w:highlight w:val="none"/>
              </w:rPr>
              <w:t>否</w:t>
            </w:r>
          </w:p>
          <w:p w14:paraId="2D1A1F89">
            <w:pPr>
              <w:adjustRightInd w:val="0"/>
              <w:snapToGrid w:val="0"/>
              <w:rPr>
                <w:rFonts w:hint="eastAsia" w:eastAsia="宋体"/>
                <w:color w:val="auto"/>
                <w:sz w:val="24"/>
                <w:szCs w:val="24"/>
                <w:highlight w:val="none"/>
                <w:lang w:eastAsia="zh-CN"/>
              </w:rPr>
            </w:pPr>
            <w:r>
              <w:rPr>
                <w:rFonts w:hint="eastAsia"/>
                <w:color w:val="auto"/>
                <w:sz w:val="24"/>
                <w:szCs w:val="24"/>
                <w:highlight w:val="none"/>
                <w:lang w:eastAsia="zh-CN"/>
              </w:rPr>
              <w:t>□</w:t>
            </w:r>
            <w:r>
              <w:rPr>
                <w:color w:val="auto"/>
                <w:sz w:val="24"/>
                <w:szCs w:val="24"/>
                <w:highlight w:val="none"/>
              </w:rPr>
              <w:t>是：</w:t>
            </w:r>
          </w:p>
        </w:tc>
        <w:tc>
          <w:tcPr>
            <w:tcW w:w="1574" w:type="dxa"/>
            <w:tcMar>
              <w:top w:w="16" w:type="dxa"/>
              <w:left w:w="16" w:type="dxa"/>
              <w:right w:w="16" w:type="dxa"/>
            </w:tcMar>
            <w:vAlign w:val="center"/>
          </w:tcPr>
          <w:p w14:paraId="0D74794A">
            <w:pPr>
              <w:adjustRightInd w:val="0"/>
              <w:snapToGrid w:val="0"/>
              <w:jc w:val="center"/>
              <w:rPr>
                <w:color w:val="auto"/>
                <w:spacing w:val="-6"/>
                <w:sz w:val="24"/>
                <w:szCs w:val="24"/>
                <w:highlight w:val="none"/>
              </w:rPr>
            </w:pPr>
            <w:r>
              <w:rPr>
                <w:color w:val="auto"/>
                <w:spacing w:val="-6"/>
                <w:sz w:val="24"/>
                <w:szCs w:val="24"/>
                <w:highlight w:val="none"/>
              </w:rPr>
              <w:t>用地（用海）</w:t>
            </w:r>
          </w:p>
          <w:p w14:paraId="3C70C0C5">
            <w:pPr>
              <w:adjustRightInd w:val="0"/>
              <w:snapToGrid w:val="0"/>
              <w:jc w:val="center"/>
              <w:rPr>
                <w:color w:val="auto"/>
                <w:sz w:val="24"/>
                <w:szCs w:val="24"/>
                <w:highlight w:val="none"/>
              </w:rPr>
            </w:pPr>
            <w:r>
              <w:rPr>
                <w:color w:val="auto"/>
                <w:spacing w:val="-6"/>
                <w:sz w:val="24"/>
                <w:szCs w:val="24"/>
                <w:highlight w:val="none"/>
              </w:rPr>
              <w:t>面积（m</w:t>
            </w:r>
            <w:r>
              <w:rPr>
                <w:color w:val="auto"/>
                <w:spacing w:val="-6"/>
                <w:sz w:val="24"/>
                <w:szCs w:val="24"/>
                <w:highlight w:val="none"/>
                <w:vertAlign w:val="superscript"/>
              </w:rPr>
              <w:t>2</w:t>
            </w:r>
            <w:r>
              <w:rPr>
                <w:color w:val="auto"/>
                <w:spacing w:val="-6"/>
                <w:sz w:val="24"/>
                <w:szCs w:val="24"/>
                <w:highlight w:val="none"/>
              </w:rPr>
              <w:t>）</w:t>
            </w:r>
          </w:p>
        </w:tc>
        <w:tc>
          <w:tcPr>
            <w:tcW w:w="4730" w:type="dxa"/>
            <w:vAlign w:val="center"/>
          </w:tcPr>
          <w:p w14:paraId="669124AF">
            <w:pPr>
              <w:adjustRightInd w:val="0"/>
              <w:snapToGrid w:val="0"/>
              <w:jc w:val="center"/>
              <w:rPr>
                <w:color w:val="auto"/>
                <w:sz w:val="24"/>
                <w:szCs w:val="24"/>
                <w:highlight w:val="none"/>
              </w:rPr>
            </w:pPr>
            <w:r>
              <w:rPr>
                <w:rFonts w:hint="eastAsia"/>
                <w:color w:val="auto"/>
                <w:sz w:val="24"/>
                <w:szCs w:val="24"/>
                <w:highlight w:val="none"/>
                <w:lang w:val="en-US" w:eastAsia="zh-CN"/>
              </w:rPr>
              <w:t>4361.1</w:t>
            </w:r>
            <w:r>
              <w:rPr>
                <w:color w:val="auto"/>
                <w:spacing w:val="-6"/>
                <w:sz w:val="24"/>
                <w:szCs w:val="24"/>
                <w:highlight w:val="none"/>
              </w:rPr>
              <w:t>m</w:t>
            </w:r>
            <w:r>
              <w:rPr>
                <w:color w:val="auto"/>
                <w:spacing w:val="-6"/>
                <w:sz w:val="24"/>
                <w:szCs w:val="24"/>
                <w:highlight w:val="none"/>
                <w:vertAlign w:val="superscript"/>
              </w:rPr>
              <w:t>2</w:t>
            </w:r>
            <w:r>
              <w:rPr>
                <w:rFonts w:hint="eastAsia"/>
                <w:color w:val="auto"/>
                <w:spacing w:val="-6"/>
                <w:sz w:val="24"/>
                <w:szCs w:val="24"/>
                <w:highlight w:val="none"/>
              </w:rPr>
              <w:t>（</w:t>
            </w:r>
            <w:r>
              <w:rPr>
                <w:rFonts w:hint="eastAsia"/>
                <w:color w:val="auto"/>
                <w:spacing w:val="-6"/>
                <w:sz w:val="24"/>
                <w:szCs w:val="24"/>
                <w:highlight w:val="none"/>
                <w:lang w:val="en-US" w:eastAsia="zh-CN"/>
              </w:rPr>
              <w:t>利用厂区预留用地，</w:t>
            </w:r>
            <w:r>
              <w:rPr>
                <w:rFonts w:hint="eastAsia"/>
                <w:color w:val="auto"/>
                <w:spacing w:val="-6"/>
                <w:sz w:val="24"/>
                <w:szCs w:val="24"/>
                <w:highlight w:val="none"/>
              </w:rPr>
              <w:t>不新增占地）</w:t>
            </w:r>
          </w:p>
        </w:tc>
      </w:tr>
      <w:tr w14:paraId="0C7BD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6" w:type="dxa"/>
            <w:vAlign w:val="center"/>
          </w:tcPr>
          <w:p w14:paraId="542FEE09">
            <w:pPr>
              <w:autoSpaceDE w:val="0"/>
              <w:autoSpaceDN w:val="0"/>
              <w:adjustRightInd w:val="0"/>
              <w:snapToGrid w:val="0"/>
              <w:jc w:val="center"/>
              <w:rPr>
                <w:color w:val="auto"/>
                <w:kern w:val="0"/>
                <w:sz w:val="24"/>
                <w:szCs w:val="24"/>
                <w:highlight w:val="none"/>
              </w:rPr>
            </w:pPr>
            <w:r>
              <w:rPr>
                <w:color w:val="auto"/>
                <w:kern w:val="0"/>
                <w:sz w:val="24"/>
                <w:szCs w:val="24"/>
                <w:highlight w:val="none"/>
              </w:rPr>
              <w:t>专项评价设置情况</w:t>
            </w:r>
          </w:p>
        </w:tc>
        <w:tc>
          <w:tcPr>
            <w:tcW w:w="7774" w:type="dxa"/>
            <w:gridSpan w:val="3"/>
            <w:vAlign w:val="center"/>
          </w:tcPr>
          <w:p w14:paraId="36B83E54">
            <w:pPr>
              <w:keepNext w:val="0"/>
              <w:keepLines w:val="0"/>
              <w:pageBreakBefore w:val="0"/>
              <w:widowControl w:val="0"/>
              <w:kinsoku/>
              <w:wordWrap/>
              <w:overflowPunct/>
              <w:topLinePunct w:val="0"/>
              <w:autoSpaceDE w:val="0"/>
              <w:autoSpaceDN w:val="0"/>
              <w:bidi w:val="0"/>
              <w:adjustRightInd w:val="0"/>
              <w:snapToGrid w:val="0"/>
              <w:spacing w:line="360" w:lineRule="auto"/>
              <w:ind w:firstLine="420"/>
              <w:textAlignment w:val="auto"/>
              <w:rPr>
                <w:color w:val="auto"/>
                <w:kern w:val="0"/>
                <w:sz w:val="24"/>
                <w:szCs w:val="24"/>
                <w:highlight w:val="none"/>
              </w:rPr>
            </w:pPr>
            <w:r>
              <w:rPr>
                <w:color w:val="auto"/>
                <w:kern w:val="0"/>
                <w:sz w:val="24"/>
                <w:szCs w:val="24"/>
                <w:highlight w:val="none"/>
              </w:rPr>
              <w:t>根据《建设项目环境影响报告表编制技术指南（污染影响类）》（试行）表1判定，判定结果如下：</w:t>
            </w:r>
          </w:p>
          <w:p w14:paraId="3C01015B">
            <w:pPr>
              <w:pStyle w:val="43"/>
              <w:rPr>
                <w:bCs/>
                <w:color w:val="auto"/>
                <w:kern w:val="0"/>
                <w:sz w:val="21"/>
                <w:szCs w:val="21"/>
                <w:highlight w:val="none"/>
              </w:rPr>
            </w:pPr>
            <w:r>
              <w:rPr>
                <w:bCs/>
                <w:color w:val="auto"/>
                <w:kern w:val="0"/>
                <w:sz w:val="21"/>
                <w:szCs w:val="21"/>
                <w:highlight w:val="none"/>
              </w:rPr>
              <w:t>专项评价设置情况判定</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2322"/>
              <w:gridCol w:w="2874"/>
              <w:gridCol w:w="1233"/>
            </w:tblGrid>
            <w:tr w14:paraId="5B0F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pct"/>
                  <w:vAlign w:val="center"/>
                </w:tcPr>
                <w:p w14:paraId="63D83B86">
                  <w:pPr>
                    <w:autoSpaceDE w:val="0"/>
                    <w:autoSpaceDN w:val="0"/>
                    <w:adjustRightInd w:val="0"/>
                    <w:snapToGrid w:val="0"/>
                    <w:jc w:val="center"/>
                    <w:rPr>
                      <w:b/>
                      <w:bCs/>
                      <w:color w:val="auto"/>
                      <w:kern w:val="0"/>
                      <w:sz w:val="21"/>
                      <w:szCs w:val="21"/>
                      <w:highlight w:val="none"/>
                    </w:rPr>
                  </w:pPr>
                  <w:r>
                    <w:rPr>
                      <w:b/>
                      <w:bCs/>
                      <w:color w:val="auto"/>
                      <w:kern w:val="0"/>
                      <w:sz w:val="21"/>
                      <w:szCs w:val="21"/>
                      <w:highlight w:val="none"/>
                    </w:rPr>
                    <w:t>专项评价的类别</w:t>
                  </w:r>
                </w:p>
              </w:tc>
              <w:tc>
                <w:tcPr>
                  <w:tcW w:w="1538" w:type="pct"/>
                  <w:vAlign w:val="center"/>
                </w:tcPr>
                <w:p w14:paraId="6BF74406">
                  <w:pPr>
                    <w:autoSpaceDE w:val="0"/>
                    <w:autoSpaceDN w:val="0"/>
                    <w:adjustRightInd w:val="0"/>
                    <w:snapToGrid w:val="0"/>
                    <w:jc w:val="center"/>
                    <w:rPr>
                      <w:b/>
                      <w:bCs/>
                      <w:color w:val="auto"/>
                      <w:kern w:val="0"/>
                      <w:sz w:val="21"/>
                      <w:szCs w:val="21"/>
                      <w:highlight w:val="none"/>
                    </w:rPr>
                  </w:pPr>
                  <w:r>
                    <w:rPr>
                      <w:b/>
                      <w:bCs/>
                      <w:color w:val="auto"/>
                      <w:kern w:val="0"/>
                      <w:sz w:val="21"/>
                      <w:szCs w:val="21"/>
                      <w:highlight w:val="none"/>
                    </w:rPr>
                    <w:t>设置原则</w:t>
                  </w:r>
                </w:p>
              </w:tc>
              <w:tc>
                <w:tcPr>
                  <w:tcW w:w="1904" w:type="pct"/>
                  <w:vAlign w:val="center"/>
                </w:tcPr>
                <w:p w14:paraId="48356F53">
                  <w:pPr>
                    <w:autoSpaceDE w:val="0"/>
                    <w:autoSpaceDN w:val="0"/>
                    <w:adjustRightInd w:val="0"/>
                    <w:snapToGrid w:val="0"/>
                    <w:jc w:val="center"/>
                    <w:rPr>
                      <w:b/>
                      <w:bCs/>
                      <w:color w:val="auto"/>
                      <w:kern w:val="0"/>
                      <w:sz w:val="21"/>
                      <w:szCs w:val="21"/>
                      <w:highlight w:val="none"/>
                    </w:rPr>
                  </w:pPr>
                  <w:r>
                    <w:rPr>
                      <w:b/>
                      <w:bCs/>
                      <w:color w:val="auto"/>
                      <w:kern w:val="0"/>
                      <w:sz w:val="21"/>
                      <w:szCs w:val="21"/>
                      <w:highlight w:val="none"/>
                    </w:rPr>
                    <w:t>本项目</w:t>
                  </w:r>
                </w:p>
              </w:tc>
              <w:tc>
                <w:tcPr>
                  <w:tcW w:w="816" w:type="pct"/>
                  <w:vAlign w:val="center"/>
                </w:tcPr>
                <w:p w14:paraId="710DE053">
                  <w:pPr>
                    <w:autoSpaceDE w:val="0"/>
                    <w:autoSpaceDN w:val="0"/>
                    <w:adjustRightInd w:val="0"/>
                    <w:snapToGrid w:val="0"/>
                    <w:jc w:val="center"/>
                    <w:rPr>
                      <w:b/>
                      <w:bCs/>
                      <w:color w:val="auto"/>
                      <w:kern w:val="0"/>
                      <w:sz w:val="21"/>
                      <w:szCs w:val="21"/>
                      <w:highlight w:val="none"/>
                    </w:rPr>
                  </w:pPr>
                  <w:r>
                    <w:rPr>
                      <w:b/>
                      <w:bCs/>
                      <w:color w:val="auto"/>
                      <w:kern w:val="0"/>
                      <w:sz w:val="21"/>
                      <w:szCs w:val="21"/>
                      <w:highlight w:val="none"/>
                    </w:rPr>
                    <w:t>判定结果</w:t>
                  </w:r>
                </w:p>
              </w:tc>
            </w:tr>
            <w:tr w14:paraId="2AA3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Align w:val="center"/>
                </w:tcPr>
                <w:p w14:paraId="782E320F">
                  <w:pPr>
                    <w:autoSpaceDE w:val="0"/>
                    <w:autoSpaceDN w:val="0"/>
                    <w:adjustRightInd w:val="0"/>
                    <w:snapToGrid w:val="0"/>
                    <w:jc w:val="center"/>
                    <w:rPr>
                      <w:color w:val="auto"/>
                      <w:kern w:val="0"/>
                      <w:sz w:val="21"/>
                      <w:szCs w:val="21"/>
                      <w:highlight w:val="none"/>
                    </w:rPr>
                  </w:pPr>
                  <w:r>
                    <w:rPr>
                      <w:color w:val="auto"/>
                      <w:kern w:val="0"/>
                      <w:sz w:val="21"/>
                      <w:szCs w:val="21"/>
                      <w:highlight w:val="none"/>
                    </w:rPr>
                    <w:t>大气</w:t>
                  </w:r>
                </w:p>
              </w:tc>
              <w:tc>
                <w:tcPr>
                  <w:tcW w:w="1538" w:type="pct"/>
                  <w:vAlign w:val="center"/>
                </w:tcPr>
                <w:p w14:paraId="04A13865">
                  <w:pPr>
                    <w:autoSpaceDE w:val="0"/>
                    <w:autoSpaceDN w:val="0"/>
                    <w:adjustRightInd w:val="0"/>
                    <w:snapToGrid w:val="0"/>
                    <w:jc w:val="center"/>
                    <w:rPr>
                      <w:color w:val="auto"/>
                      <w:kern w:val="0"/>
                      <w:sz w:val="21"/>
                      <w:szCs w:val="21"/>
                      <w:highlight w:val="none"/>
                    </w:rPr>
                  </w:pPr>
                  <w:r>
                    <w:rPr>
                      <w:color w:val="auto"/>
                      <w:kern w:val="0"/>
                      <w:sz w:val="21"/>
                      <w:szCs w:val="21"/>
                      <w:highlight w:val="none"/>
                    </w:rPr>
                    <w:t>排放废气含有毒有害污染物</w:t>
                  </w:r>
                  <w:r>
                    <w:rPr>
                      <w:color w:val="auto"/>
                      <w:kern w:val="0"/>
                      <w:sz w:val="21"/>
                      <w:szCs w:val="21"/>
                      <w:highlight w:val="none"/>
                      <w:vertAlign w:val="superscript"/>
                    </w:rPr>
                    <w:t>1</w:t>
                  </w:r>
                  <w:r>
                    <w:rPr>
                      <w:color w:val="auto"/>
                      <w:kern w:val="0"/>
                      <w:sz w:val="21"/>
                      <w:szCs w:val="21"/>
                      <w:highlight w:val="none"/>
                    </w:rPr>
                    <w:t>、二噁英、苯并</w:t>
                  </w:r>
                  <w:r>
                    <w:rPr>
                      <w:rFonts w:hint="eastAsia"/>
                      <w:color w:val="auto"/>
                      <w:kern w:val="0"/>
                      <w:sz w:val="21"/>
                      <w:szCs w:val="21"/>
                      <w:highlight w:val="none"/>
                      <w:lang w:eastAsia="zh-CN"/>
                    </w:rPr>
                    <w:t>〔</w:t>
                  </w:r>
                  <w:r>
                    <w:rPr>
                      <w:color w:val="auto"/>
                      <w:kern w:val="0"/>
                      <w:sz w:val="21"/>
                      <w:szCs w:val="21"/>
                      <w:highlight w:val="none"/>
                    </w:rPr>
                    <w:t>a</w:t>
                  </w:r>
                  <w:r>
                    <w:rPr>
                      <w:rFonts w:hint="eastAsia"/>
                      <w:color w:val="auto"/>
                      <w:kern w:val="0"/>
                      <w:sz w:val="21"/>
                      <w:szCs w:val="21"/>
                      <w:highlight w:val="none"/>
                      <w:lang w:eastAsia="zh-CN"/>
                    </w:rPr>
                    <w:t>〕</w:t>
                  </w:r>
                  <w:r>
                    <w:rPr>
                      <w:color w:val="auto"/>
                      <w:kern w:val="0"/>
                      <w:sz w:val="21"/>
                      <w:szCs w:val="21"/>
                      <w:highlight w:val="none"/>
                    </w:rPr>
                    <w:t>芘、氰化物、氯气且厂界外500米范围内有环境空气保护目标</w:t>
                  </w:r>
                  <w:r>
                    <w:rPr>
                      <w:color w:val="auto"/>
                      <w:kern w:val="0"/>
                      <w:sz w:val="21"/>
                      <w:szCs w:val="21"/>
                      <w:highlight w:val="none"/>
                      <w:vertAlign w:val="superscript"/>
                    </w:rPr>
                    <w:t>2</w:t>
                  </w:r>
                  <w:r>
                    <w:rPr>
                      <w:color w:val="auto"/>
                      <w:kern w:val="0"/>
                      <w:sz w:val="21"/>
                      <w:szCs w:val="21"/>
                      <w:highlight w:val="none"/>
                    </w:rPr>
                    <w:t>的建设项目</w:t>
                  </w:r>
                </w:p>
              </w:tc>
              <w:tc>
                <w:tcPr>
                  <w:tcW w:w="1904" w:type="pct"/>
                  <w:vAlign w:val="center"/>
                </w:tcPr>
                <w:p w14:paraId="53D80562">
                  <w:pPr>
                    <w:autoSpaceDE w:val="0"/>
                    <w:autoSpaceDN w:val="0"/>
                    <w:adjustRightInd w:val="0"/>
                    <w:snapToGrid w:val="0"/>
                    <w:jc w:val="center"/>
                    <w:rPr>
                      <w:rFonts w:hint="eastAsia" w:eastAsia="宋体"/>
                      <w:color w:val="auto"/>
                      <w:kern w:val="0"/>
                      <w:sz w:val="21"/>
                      <w:szCs w:val="21"/>
                      <w:highlight w:val="none"/>
                      <w:lang w:val="en-US" w:eastAsia="zh-CN"/>
                    </w:rPr>
                  </w:pPr>
                  <w:r>
                    <w:rPr>
                      <w:color w:val="auto"/>
                      <w:kern w:val="0"/>
                      <w:sz w:val="21"/>
                      <w:szCs w:val="21"/>
                      <w:highlight w:val="none"/>
                    </w:rPr>
                    <w:t>本项目</w:t>
                  </w:r>
                  <w:r>
                    <w:rPr>
                      <w:rFonts w:hint="eastAsia"/>
                      <w:color w:val="auto"/>
                      <w:kern w:val="0"/>
                      <w:sz w:val="21"/>
                      <w:szCs w:val="21"/>
                      <w:highlight w:val="none"/>
                      <w:lang w:val="en-US" w:eastAsia="zh-CN"/>
                    </w:rPr>
                    <w:t>排放废气为蒸馏装置真空尾气及吹扫尾气，污染物主要为</w:t>
                  </w:r>
                  <w:r>
                    <w:rPr>
                      <w:rFonts w:hint="eastAsia" w:cs="Times New Roman"/>
                      <w:color w:val="auto"/>
                      <w:sz w:val="21"/>
                      <w:szCs w:val="21"/>
                      <w:highlight w:val="none"/>
                      <w:lang w:val="en-US" w:eastAsia="zh-CN"/>
                    </w:rPr>
                    <w:t>VOCs</w:t>
                  </w:r>
                  <w:r>
                    <w:rPr>
                      <w:rFonts w:hint="eastAsia"/>
                      <w:color w:val="auto"/>
                      <w:kern w:val="0"/>
                      <w:sz w:val="21"/>
                      <w:szCs w:val="21"/>
                      <w:highlight w:val="none"/>
                      <w:lang w:val="en-US" w:eastAsia="zh-CN"/>
                    </w:rPr>
                    <w:t>，</w:t>
                  </w:r>
                  <w:r>
                    <w:rPr>
                      <w:rFonts w:ascii="Times New Roman" w:hAnsi="Times New Roman" w:eastAsia="宋体" w:cs="Times New Roman"/>
                      <w:color w:val="auto"/>
                      <w:kern w:val="0"/>
                      <w:sz w:val="21"/>
                      <w:szCs w:val="21"/>
                      <w:highlight w:val="none"/>
                    </w:rPr>
                    <w:t>不含有毒有害污染物</w:t>
                  </w:r>
                  <w:r>
                    <w:rPr>
                      <w:rFonts w:ascii="Times New Roman" w:hAnsi="Times New Roman" w:eastAsia="宋体" w:cs="Times New Roman"/>
                      <w:color w:val="auto"/>
                      <w:kern w:val="0"/>
                      <w:sz w:val="21"/>
                      <w:szCs w:val="21"/>
                      <w:highlight w:val="none"/>
                      <w:vertAlign w:val="superscript"/>
                    </w:rPr>
                    <w:t>1</w:t>
                  </w:r>
                  <w:r>
                    <w:rPr>
                      <w:rFonts w:ascii="Times New Roman" w:hAnsi="Times New Roman" w:eastAsia="宋体" w:cs="Times New Roman"/>
                      <w:color w:val="auto"/>
                      <w:kern w:val="0"/>
                      <w:sz w:val="21"/>
                      <w:szCs w:val="21"/>
                      <w:highlight w:val="none"/>
                    </w:rPr>
                    <w:t>、二噁英、苯并</w:t>
                  </w:r>
                  <w:r>
                    <w:rPr>
                      <w:rFonts w:hint="eastAsia" w:ascii="Times New Roman" w:hAnsi="Times New Roman" w:eastAsia="宋体" w:cs="Times New Roman"/>
                      <w:color w:val="auto"/>
                      <w:kern w:val="0"/>
                      <w:sz w:val="21"/>
                      <w:szCs w:val="21"/>
                      <w:highlight w:val="none"/>
                      <w:lang w:eastAsia="zh-CN"/>
                    </w:rPr>
                    <w:t>〔</w:t>
                  </w:r>
                  <w:r>
                    <w:rPr>
                      <w:rFonts w:ascii="Times New Roman" w:hAnsi="Times New Roman" w:eastAsia="宋体" w:cs="Times New Roman"/>
                      <w:color w:val="auto"/>
                      <w:kern w:val="0"/>
                      <w:sz w:val="21"/>
                      <w:szCs w:val="21"/>
                      <w:highlight w:val="none"/>
                    </w:rPr>
                    <w:t>a</w:t>
                  </w:r>
                  <w:r>
                    <w:rPr>
                      <w:rFonts w:hint="eastAsia" w:ascii="Times New Roman" w:hAnsi="Times New Roman" w:eastAsia="宋体" w:cs="Times New Roman"/>
                      <w:color w:val="auto"/>
                      <w:kern w:val="0"/>
                      <w:sz w:val="21"/>
                      <w:szCs w:val="21"/>
                      <w:highlight w:val="none"/>
                      <w:lang w:eastAsia="zh-CN"/>
                    </w:rPr>
                    <w:t>〕</w:t>
                  </w:r>
                  <w:r>
                    <w:rPr>
                      <w:rFonts w:ascii="Times New Roman" w:hAnsi="Times New Roman" w:eastAsia="宋体" w:cs="Times New Roman"/>
                      <w:color w:val="auto"/>
                      <w:kern w:val="0"/>
                      <w:sz w:val="21"/>
                      <w:szCs w:val="21"/>
                      <w:highlight w:val="none"/>
                    </w:rPr>
                    <w:t>芘、氰化物、氯气</w:t>
                  </w:r>
                  <w:r>
                    <w:rPr>
                      <w:rFonts w:hint="eastAsia" w:cs="Times New Roman"/>
                      <w:color w:val="auto"/>
                      <w:kern w:val="0"/>
                      <w:sz w:val="21"/>
                      <w:szCs w:val="21"/>
                      <w:highlight w:val="none"/>
                      <w:lang w:eastAsia="zh-CN"/>
                    </w:rPr>
                    <w:t>。</w:t>
                  </w:r>
                </w:p>
              </w:tc>
              <w:tc>
                <w:tcPr>
                  <w:tcW w:w="816" w:type="pct"/>
                  <w:vAlign w:val="center"/>
                </w:tcPr>
                <w:p w14:paraId="684DA329">
                  <w:pPr>
                    <w:autoSpaceDE w:val="0"/>
                    <w:autoSpaceDN w:val="0"/>
                    <w:adjustRightInd w:val="0"/>
                    <w:snapToGrid w:val="0"/>
                    <w:jc w:val="center"/>
                    <w:rPr>
                      <w:color w:val="auto"/>
                      <w:kern w:val="0"/>
                      <w:sz w:val="21"/>
                      <w:szCs w:val="21"/>
                      <w:highlight w:val="none"/>
                    </w:rPr>
                  </w:pPr>
                  <w:r>
                    <w:rPr>
                      <w:rFonts w:hint="eastAsia"/>
                      <w:b w:val="0"/>
                      <w:bCs w:val="0"/>
                      <w:color w:val="auto"/>
                      <w:kern w:val="0"/>
                      <w:sz w:val="21"/>
                      <w:szCs w:val="21"/>
                      <w:highlight w:val="none"/>
                      <w:lang w:val="en-US" w:eastAsia="zh-CN"/>
                    </w:rPr>
                    <w:t>无</w:t>
                  </w:r>
                  <w:r>
                    <w:rPr>
                      <w:b w:val="0"/>
                      <w:bCs w:val="0"/>
                      <w:color w:val="auto"/>
                      <w:kern w:val="0"/>
                      <w:sz w:val="21"/>
                      <w:szCs w:val="21"/>
                      <w:highlight w:val="none"/>
                    </w:rPr>
                    <w:t>需设置大气专项</w:t>
                  </w:r>
                </w:p>
              </w:tc>
            </w:tr>
            <w:tr w14:paraId="3B16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Align w:val="center"/>
                </w:tcPr>
                <w:p w14:paraId="293505FB">
                  <w:pPr>
                    <w:autoSpaceDE w:val="0"/>
                    <w:autoSpaceDN w:val="0"/>
                    <w:adjustRightInd w:val="0"/>
                    <w:snapToGrid w:val="0"/>
                    <w:jc w:val="center"/>
                    <w:rPr>
                      <w:color w:val="auto"/>
                      <w:kern w:val="0"/>
                      <w:sz w:val="21"/>
                      <w:szCs w:val="21"/>
                      <w:highlight w:val="none"/>
                    </w:rPr>
                  </w:pPr>
                  <w:r>
                    <w:rPr>
                      <w:color w:val="auto"/>
                      <w:kern w:val="0"/>
                      <w:sz w:val="21"/>
                      <w:szCs w:val="21"/>
                      <w:highlight w:val="none"/>
                    </w:rPr>
                    <w:t>地表水</w:t>
                  </w:r>
                </w:p>
              </w:tc>
              <w:tc>
                <w:tcPr>
                  <w:tcW w:w="1538" w:type="pct"/>
                  <w:vAlign w:val="center"/>
                </w:tcPr>
                <w:p w14:paraId="6A943A0E">
                  <w:pPr>
                    <w:autoSpaceDE w:val="0"/>
                    <w:autoSpaceDN w:val="0"/>
                    <w:adjustRightInd w:val="0"/>
                    <w:snapToGrid w:val="0"/>
                    <w:jc w:val="center"/>
                    <w:rPr>
                      <w:color w:val="auto"/>
                      <w:kern w:val="0"/>
                      <w:sz w:val="21"/>
                      <w:szCs w:val="21"/>
                      <w:highlight w:val="none"/>
                    </w:rPr>
                  </w:pPr>
                  <w:r>
                    <w:rPr>
                      <w:color w:val="auto"/>
                      <w:sz w:val="21"/>
                      <w:szCs w:val="21"/>
                      <w:highlight w:val="none"/>
                    </w:rPr>
                    <w:t>新增工业</w:t>
                  </w:r>
                  <w:r>
                    <w:rPr>
                      <w:rFonts w:hint="eastAsia"/>
                      <w:color w:val="auto"/>
                      <w:sz w:val="21"/>
                      <w:szCs w:val="21"/>
                      <w:highlight w:val="none"/>
                    </w:rPr>
                    <w:t>废水</w:t>
                  </w:r>
                  <w:r>
                    <w:rPr>
                      <w:color w:val="auto"/>
                      <w:sz w:val="21"/>
                      <w:szCs w:val="21"/>
                      <w:highlight w:val="none"/>
                    </w:rPr>
                    <w:t>直排建设项目（槽罐车外送污水处理厂的除外）；新增废水直排的污水集中处理厂</w:t>
                  </w:r>
                </w:p>
              </w:tc>
              <w:tc>
                <w:tcPr>
                  <w:tcW w:w="1904" w:type="pct"/>
                  <w:vAlign w:val="center"/>
                </w:tcPr>
                <w:p w14:paraId="51950D42">
                  <w:pPr>
                    <w:autoSpaceDE w:val="0"/>
                    <w:autoSpaceDN w:val="0"/>
                    <w:adjustRightInd w:val="0"/>
                    <w:snapToGrid w:val="0"/>
                    <w:jc w:val="center"/>
                    <w:rPr>
                      <w:color w:val="auto"/>
                      <w:kern w:val="0"/>
                      <w:sz w:val="21"/>
                      <w:szCs w:val="21"/>
                      <w:highlight w:val="none"/>
                    </w:rPr>
                  </w:pPr>
                  <w:r>
                    <w:rPr>
                      <w:color w:val="auto"/>
                      <w:kern w:val="0"/>
                      <w:sz w:val="21"/>
                      <w:szCs w:val="21"/>
                      <w:highlight w:val="none"/>
                    </w:rPr>
                    <w:t>本项目废水经</w:t>
                  </w:r>
                  <w:r>
                    <w:rPr>
                      <w:rFonts w:hint="eastAsia"/>
                      <w:color w:val="auto"/>
                      <w:kern w:val="0"/>
                      <w:sz w:val="21"/>
                      <w:szCs w:val="21"/>
                      <w:highlight w:val="none"/>
                    </w:rPr>
                    <w:t>厂区污水处理站处理后</w:t>
                  </w:r>
                  <w:r>
                    <w:rPr>
                      <w:rStyle w:val="34"/>
                      <w:rFonts w:ascii="Times New Roman" w:hAnsi="Times New Roman" w:cs="Times New Roman"/>
                      <w:snapToGrid w:val="0"/>
                      <w:color w:val="auto"/>
                      <w:kern w:val="0"/>
                      <w:highlight w:val="none"/>
                    </w:rPr>
                    <w:t>排入园区管网，排入</w:t>
                  </w:r>
                  <w:r>
                    <w:rPr>
                      <w:rStyle w:val="34"/>
                      <w:rFonts w:hint="eastAsia" w:cs="Times New Roman"/>
                      <w:snapToGrid w:val="0"/>
                      <w:color w:val="auto"/>
                      <w:kern w:val="0"/>
                      <w:highlight w:val="none"/>
                      <w:lang w:eastAsia="zh-CN"/>
                    </w:rPr>
                    <w:t>大英经济开发区污水处理厂</w:t>
                  </w:r>
                  <w:r>
                    <w:rPr>
                      <w:rStyle w:val="34"/>
                      <w:rFonts w:ascii="Times New Roman" w:hAnsi="Times New Roman" w:cs="Times New Roman"/>
                      <w:snapToGrid w:val="0"/>
                      <w:color w:val="auto"/>
                      <w:kern w:val="0"/>
                      <w:highlight w:val="none"/>
                    </w:rPr>
                    <w:t>处理达到《地表水环境质量标准》（GB3838-2002）中Ⅲ类水体标准后排入郪江。</w:t>
                  </w:r>
                </w:p>
              </w:tc>
              <w:tc>
                <w:tcPr>
                  <w:tcW w:w="816" w:type="pct"/>
                  <w:vAlign w:val="center"/>
                </w:tcPr>
                <w:p w14:paraId="43425A61">
                  <w:pPr>
                    <w:autoSpaceDE w:val="0"/>
                    <w:autoSpaceDN w:val="0"/>
                    <w:adjustRightInd w:val="0"/>
                    <w:snapToGrid w:val="0"/>
                    <w:jc w:val="center"/>
                    <w:rPr>
                      <w:color w:val="auto"/>
                      <w:kern w:val="0"/>
                      <w:sz w:val="21"/>
                      <w:szCs w:val="21"/>
                      <w:highlight w:val="none"/>
                    </w:rPr>
                  </w:pPr>
                  <w:r>
                    <w:rPr>
                      <w:color w:val="auto"/>
                      <w:kern w:val="0"/>
                      <w:sz w:val="21"/>
                      <w:szCs w:val="21"/>
                      <w:highlight w:val="none"/>
                    </w:rPr>
                    <w:t>无需设置地表水专项</w:t>
                  </w:r>
                </w:p>
              </w:tc>
            </w:tr>
            <w:tr w14:paraId="6C64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Align w:val="center"/>
                </w:tcPr>
                <w:p w14:paraId="50A705C2">
                  <w:pPr>
                    <w:autoSpaceDE w:val="0"/>
                    <w:autoSpaceDN w:val="0"/>
                    <w:adjustRightInd w:val="0"/>
                    <w:snapToGrid w:val="0"/>
                    <w:jc w:val="center"/>
                    <w:rPr>
                      <w:color w:val="auto"/>
                      <w:kern w:val="0"/>
                      <w:sz w:val="21"/>
                      <w:szCs w:val="21"/>
                      <w:highlight w:val="none"/>
                    </w:rPr>
                  </w:pPr>
                  <w:r>
                    <w:rPr>
                      <w:color w:val="auto"/>
                      <w:kern w:val="0"/>
                      <w:sz w:val="21"/>
                      <w:szCs w:val="21"/>
                      <w:highlight w:val="none"/>
                    </w:rPr>
                    <w:t>环境风险</w:t>
                  </w:r>
                </w:p>
              </w:tc>
              <w:tc>
                <w:tcPr>
                  <w:tcW w:w="1538" w:type="pct"/>
                  <w:vAlign w:val="center"/>
                </w:tcPr>
                <w:p w14:paraId="6CEF20E2">
                  <w:pPr>
                    <w:autoSpaceDE w:val="0"/>
                    <w:autoSpaceDN w:val="0"/>
                    <w:adjustRightInd w:val="0"/>
                    <w:snapToGrid w:val="0"/>
                    <w:jc w:val="center"/>
                    <w:rPr>
                      <w:color w:val="auto"/>
                      <w:kern w:val="0"/>
                      <w:sz w:val="21"/>
                      <w:szCs w:val="21"/>
                      <w:highlight w:val="none"/>
                    </w:rPr>
                  </w:pPr>
                  <w:r>
                    <w:rPr>
                      <w:color w:val="auto"/>
                      <w:sz w:val="21"/>
                      <w:szCs w:val="21"/>
                      <w:highlight w:val="none"/>
                    </w:rPr>
                    <w:t>有毒有害和易燃易爆危险物质存储量超过临界量</w:t>
                  </w:r>
                  <w:r>
                    <w:rPr>
                      <w:color w:val="auto"/>
                      <w:sz w:val="21"/>
                      <w:szCs w:val="21"/>
                      <w:highlight w:val="none"/>
                      <w:vertAlign w:val="superscript"/>
                    </w:rPr>
                    <w:t>3</w:t>
                  </w:r>
                  <w:r>
                    <w:rPr>
                      <w:color w:val="auto"/>
                      <w:sz w:val="21"/>
                      <w:szCs w:val="21"/>
                      <w:highlight w:val="none"/>
                    </w:rPr>
                    <w:t>的建设项目</w:t>
                  </w:r>
                </w:p>
              </w:tc>
              <w:tc>
                <w:tcPr>
                  <w:tcW w:w="1904" w:type="pct"/>
                  <w:vAlign w:val="center"/>
                </w:tcPr>
                <w:p w14:paraId="7832D4C0">
                  <w:pPr>
                    <w:autoSpaceDE w:val="0"/>
                    <w:autoSpaceDN w:val="0"/>
                    <w:adjustRightInd w:val="0"/>
                    <w:snapToGrid w:val="0"/>
                    <w:jc w:val="center"/>
                    <w:rPr>
                      <w:rFonts w:hint="eastAsia" w:eastAsia="宋体"/>
                      <w:color w:val="auto"/>
                      <w:kern w:val="0"/>
                      <w:sz w:val="21"/>
                      <w:szCs w:val="21"/>
                      <w:highlight w:val="none"/>
                      <w:lang w:eastAsia="zh-CN"/>
                    </w:rPr>
                  </w:pPr>
                  <w:r>
                    <w:rPr>
                      <w:rFonts w:hint="eastAsia"/>
                      <w:color w:val="auto"/>
                      <w:kern w:val="0"/>
                      <w:sz w:val="21"/>
                      <w:szCs w:val="21"/>
                      <w:highlight w:val="none"/>
                    </w:rPr>
                    <w:t>本项目</w:t>
                  </w:r>
                  <w:r>
                    <w:rPr>
                      <w:rFonts w:hint="eastAsia"/>
                      <w:color w:val="auto"/>
                      <w:kern w:val="0"/>
                      <w:sz w:val="21"/>
                      <w:szCs w:val="21"/>
                      <w:highlight w:val="none"/>
                      <w:lang w:val="en-US" w:eastAsia="zh-CN"/>
                    </w:rPr>
                    <w:t>为技改项目，技改完成后全厂危险物质包括环氧乙烷、液氨、一甲胺和二乙醇胺（2,2-二羟基二乙胺），其最大储存量均</w:t>
                  </w:r>
                  <w:r>
                    <w:rPr>
                      <w:rFonts w:hint="eastAsia"/>
                      <w:color w:val="auto"/>
                      <w:sz w:val="21"/>
                      <w:szCs w:val="21"/>
                      <w:highlight w:val="none"/>
                    </w:rPr>
                    <w:t>超过</w:t>
                  </w:r>
                  <w:r>
                    <w:rPr>
                      <w:rFonts w:hint="eastAsia"/>
                      <w:color w:val="auto"/>
                      <w:sz w:val="21"/>
                      <w:szCs w:val="21"/>
                      <w:highlight w:val="none"/>
                      <w:lang w:val="en-US" w:eastAsia="zh-CN"/>
                    </w:rPr>
                    <w:t>对应</w:t>
                  </w:r>
                  <w:r>
                    <w:rPr>
                      <w:rFonts w:hint="eastAsia"/>
                      <w:color w:val="auto"/>
                      <w:sz w:val="21"/>
                      <w:szCs w:val="21"/>
                      <w:highlight w:val="none"/>
                    </w:rPr>
                    <w:t>临界量</w:t>
                  </w:r>
                  <w:r>
                    <w:rPr>
                      <w:rFonts w:hint="eastAsia"/>
                      <w:color w:val="auto"/>
                      <w:sz w:val="21"/>
                      <w:szCs w:val="21"/>
                      <w:highlight w:val="none"/>
                      <w:lang w:eastAsia="zh-CN"/>
                    </w:rPr>
                    <w:t>。</w:t>
                  </w:r>
                </w:p>
              </w:tc>
              <w:tc>
                <w:tcPr>
                  <w:tcW w:w="816" w:type="pct"/>
                  <w:vAlign w:val="center"/>
                </w:tcPr>
                <w:p w14:paraId="742C6A7D">
                  <w:pPr>
                    <w:autoSpaceDE w:val="0"/>
                    <w:autoSpaceDN w:val="0"/>
                    <w:adjustRightInd w:val="0"/>
                    <w:snapToGrid w:val="0"/>
                    <w:jc w:val="center"/>
                    <w:rPr>
                      <w:color w:val="auto"/>
                      <w:kern w:val="0"/>
                      <w:sz w:val="21"/>
                      <w:szCs w:val="21"/>
                      <w:highlight w:val="none"/>
                    </w:rPr>
                  </w:pPr>
                  <w:r>
                    <w:rPr>
                      <w:color w:val="auto"/>
                      <w:kern w:val="0"/>
                      <w:sz w:val="21"/>
                      <w:szCs w:val="21"/>
                      <w:highlight w:val="none"/>
                    </w:rPr>
                    <w:t>需设置环境风险专项</w:t>
                  </w:r>
                </w:p>
              </w:tc>
            </w:tr>
            <w:tr w14:paraId="5E19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Align w:val="center"/>
                </w:tcPr>
                <w:p w14:paraId="7A8B8D48">
                  <w:pPr>
                    <w:autoSpaceDE w:val="0"/>
                    <w:autoSpaceDN w:val="0"/>
                    <w:adjustRightInd w:val="0"/>
                    <w:snapToGrid w:val="0"/>
                    <w:jc w:val="center"/>
                    <w:rPr>
                      <w:color w:val="auto"/>
                      <w:kern w:val="0"/>
                      <w:sz w:val="21"/>
                      <w:szCs w:val="21"/>
                      <w:highlight w:val="none"/>
                    </w:rPr>
                  </w:pPr>
                  <w:r>
                    <w:rPr>
                      <w:color w:val="auto"/>
                      <w:kern w:val="0"/>
                      <w:sz w:val="21"/>
                      <w:szCs w:val="21"/>
                      <w:highlight w:val="none"/>
                    </w:rPr>
                    <w:t>生态</w:t>
                  </w:r>
                </w:p>
              </w:tc>
              <w:tc>
                <w:tcPr>
                  <w:tcW w:w="1538" w:type="pct"/>
                  <w:vAlign w:val="center"/>
                </w:tcPr>
                <w:p w14:paraId="38EA84A8">
                  <w:pPr>
                    <w:autoSpaceDE w:val="0"/>
                    <w:autoSpaceDN w:val="0"/>
                    <w:adjustRightInd w:val="0"/>
                    <w:snapToGrid w:val="0"/>
                    <w:jc w:val="center"/>
                    <w:rPr>
                      <w:color w:val="auto"/>
                      <w:kern w:val="0"/>
                      <w:sz w:val="21"/>
                      <w:szCs w:val="21"/>
                      <w:highlight w:val="none"/>
                    </w:rPr>
                  </w:pPr>
                  <w:r>
                    <w:rPr>
                      <w:color w:val="auto"/>
                      <w:sz w:val="21"/>
                      <w:szCs w:val="21"/>
                      <w:highlight w:val="none"/>
                    </w:rPr>
                    <w:t>取水口下游500米范围内有重要水生生物的自然产卵场、索饵场、越冬场和洄游通道的新增河道取水的污染类建设项目</w:t>
                  </w:r>
                </w:p>
              </w:tc>
              <w:tc>
                <w:tcPr>
                  <w:tcW w:w="1904" w:type="pct"/>
                  <w:vAlign w:val="center"/>
                </w:tcPr>
                <w:p w14:paraId="241AD98E">
                  <w:pPr>
                    <w:autoSpaceDE w:val="0"/>
                    <w:autoSpaceDN w:val="0"/>
                    <w:adjustRightInd w:val="0"/>
                    <w:snapToGrid w:val="0"/>
                    <w:jc w:val="center"/>
                    <w:rPr>
                      <w:rFonts w:hint="eastAsia" w:eastAsia="宋体"/>
                      <w:color w:val="auto"/>
                      <w:kern w:val="0"/>
                      <w:sz w:val="21"/>
                      <w:szCs w:val="21"/>
                      <w:highlight w:val="none"/>
                      <w:lang w:eastAsia="zh-CN"/>
                    </w:rPr>
                  </w:pPr>
                  <w:r>
                    <w:rPr>
                      <w:color w:val="auto"/>
                      <w:kern w:val="0"/>
                      <w:sz w:val="21"/>
                      <w:szCs w:val="21"/>
                      <w:highlight w:val="none"/>
                    </w:rPr>
                    <w:t>本项目用水为市政自来水，不从河道取水</w:t>
                  </w:r>
                  <w:r>
                    <w:rPr>
                      <w:rFonts w:hint="eastAsia"/>
                      <w:color w:val="auto"/>
                      <w:kern w:val="0"/>
                      <w:sz w:val="21"/>
                      <w:szCs w:val="21"/>
                      <w:highlight w:val="none"/>
                      <w:lang w:eastAsia="zh-CN"/>
                    </w:rPr>
                    <w:t>。</w:t>
                  </w:r>
                </w:p>
              </w:tc>
              <w:tc>
                <w:tcPr>
                  <w:tcW w:w="816" w:type="pct"/>
                  <w:vAlign w:val="center"/>
                </w:tcPr>
                <w:p w14:paraId="29091FBA">
                  <w:pPr>
                    <w:autoSpaceDE w:val="0"/>
                    <w:autoSpaceDN w:val="0"/>
                    <w:adjustRightInd w:val="0"/>
                    <w:snapToGrid w:val="0"/>
                    <w:jc w:val="center"/>
                    <w:rPr>
                      <w:color w:val="auto"/>
                      <w:kern w:val="0"/>
                      <w:sz w:val="21"/>
                      <w:szCs w:val="21"/>
                      <w:highlight w:val="none"/>
                    </w:rPr>
                  </w:pPr>
                  <w:r>
                    <w:rPr>
                      <w:color w:val="auto"/>
                      <w:kern w:val="0"/>
                      <w:sz w:val="21"/>
                      <w:szCs w:val="21"/>
                      <w:highlight w:val="none"/>
                    </w:rPr>
                    <w:t>无需设置生态专项</w:t>
                  </w:r>
                </w:p>
              </w:tc>
            </w:tr>
            <w:tr w14:paraId="1140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Align w:val="center"/>
                </w:tcPr>
                <w:p w14:paraId="14689AE0">
                  <w:pPr>
                    <w:autoSpaceDE w:val="0"/>
                    <w:autoSpaceDN w:val="0"/>
                    <w:adjustRightInd w:val="0"/>
                    <w:snapToGrid w:val="0"/>
                    <w:jc w:val="center"/>
                    <w:rPr>
                      <w:color w:val="auto"/>
                      <w:kern w:val="0"/>
                      <w:sz w:val="21"/>
                      <w:szCs w:val="21"/>
                      <w:highlight w:val="none"/>
                    </w:rPr>
                  </w:pPr>
                  <w:r>
                    <w:rPr>
                      <w:color w:val="auto"/>
                      <w:kern w:val="0"/>
                      <w:sz w:val="21"/>
                      <w:szCs w:val="21"/>
                      <w:highlight w:val="none"/>
                    </w:rPr>
                    <w:t>海洋</w:t>
                  </w:r>
                </w:p>
              </w:tc>
              <w:tc>
                <w:tcPr>
                  <w:tcW w:w="1538" w:type="pct"/>
                  <w:vAlign w:val="center"/>
                </w:tcPr>
                <w:p w14:paraId="46C75959">
                  <w:pPr>
                    <w:autoSpaceDE w:val="0"/>
                    <w:autoSpaceDN w:val="0"/>
                    <w:adjustRightInd w:val="0"/>
                    <w:snapToGrid w:val="0"/>
                    <w:jc w:val="center"/>
                    <w:rPr>
                      <w:color w:val="auto"/>
                      <w:kern w:val="0"/>
                      <w:sz w:val="21"/>
                      <w:szCs w:val="21"/>
                      <w:highlight w:val="none"/>
                    </w:rPr>
                  </w:pPr>
                  <w:r>
                    <w:rPr>
                      <w:color w:val="auto"/>
                      <w:sz w:val="21"/>
                      <w:szCs w:val="21"/>
                      <w:highlight w:val="none"/>
                    </w:rPr>
                    <w:t>直接向海排放污染物的海洋工程建设项目</w:t>
                  </w:r>
                </w:p>
              </w:tc>
              <w:tc>
                <w:tcPr>
                  <w:tcW w:w="1904" w:type="pct"/>
                  <w:vAlign w:val="center"/>
                </w:tcPr>
                <w:p w14:paraId="7A801988">
                  <w:pPr>
                    <w:autoSpaceDE w:val="0"/>
                    <w:autoSpaceDN w:val="0"/>
                    <w:adjustRightInd w:val="0"/>
                    <w:snapToGrid w:val="0"/>
                    <w:jc w:val="center"/>
                    <w:rPr>
                      <w:color w:val="auto"/>
                      <w:kern w:val="0"/>
                      <w:sz w:val="21"/>
                      <w:szCs w:val="21"/>
                      <w:highlight w:val="none"/>
                    </w:rPr>
                  </w:pPr>
                  <w:r>
                    <w:rPr>
                      <w:color w:val="auto"/>
                      <w:kern w:val="0"/>
                      <w:sz w:val="21"/>
                      <w:szCs w:val="21"/>
                      <w:highlight w:val="none"/>
                    </w:rPr>
                    <w:t>本项目位于</w:t>
                  </w:r>
                  <w:r>
                    <w:rPr>
                      <w:rFonts w:hint="eastAsia"/>
                      <w:color w:val="auto"/>
                      <w:kern w:val="0"/>
                      <w:sz w:val="21"/>
                      <w:szCs w:val="21"/>
                      <w:highlight w:val="none"/>
                      <w:lang w:eastAsia="zh-CN"/>
                    </w:rPr>
                    <w:t>遂宁市大英县</w:t>
                  </w:r>
                  <w:r>
                    <w:rPr>
                      <w:color w:val="auto"/>
                      <w:kern w:val="0"/>
                      <w:sz w:val="21"/>
                      <w:szCs w:val="21"/>
                      <w:highlight w:val="none"/>
                    </w:rPr>
                    <w:t>，位于内陆区域，不涉及海洋</w:t>
                  </w:r>
                </w:p>
              </w:tc>
              <w:tc>
                <w:tcPr>
                  <w:tcW w:w="816" w:type="pct"/>
                  <w:vAlign w:val="center"/>
                </w:tcPr>
                <w:p w14:paraId="56B60394">
                  <w:pPr>
                    <w:autoSpaceDE w:val="0"/>
                    <w:autoSpaceDN w:val="0"/>
                    <w:adjustRightInd w:val="0"/>
                    <w:snapToGrid w:val="0"/>
                    <w:jc w:val="center"/>
                    <w:rPr>
                      <w:color w:val="auto"/>
                      <w:kern w:val="0"/>
                      <w:sz w:val="21"/>
                      <w:szCs w:val="21"/>
                      <w:highlight w:val="none"/>
                    </w:rPr>
                  </w:pPr>
                  <w:r>
                    <w:rPr>
                      <w:color w:val="auto"/>
                      <w:kern w:val="0"/>
                      <w:sz w:val="21"/>
                      <w:szCs w:val="21"/>
                      <w:highlight w:val="none"/>
                    </w:rPr>
                    <w:t>无需设置海洋专项</w:t>
                  </w:r>
                </w:p>
              </w:tc>
            </w:tr>
            <w:tr w14:paraId="078F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707911BA">
                  <w:pPr>
                    <w:autoSpaceDE w:val="0"/>
                    <w:autoSpaceDN w:val="0"/>
                    <w:adjustRightInd w:val="0"/>
                    <w:snapToGrid w:val="0"/>
                    <w:jc w:val="left"/>
                    <w:rPr>
                      <w:color w:val="auto"/>
                      <w:kern w:val="0"/>
                      <w:sz w:val="21"/>
                      <w:szCs w:val="21"/>
                      <w:highlight w:val="none"/>
                    </w:rPr>
                  </w:pPr>
                  <w:r>
                    <w:rPr>
                      <w:color w:val="auto"/>
                      <w:kern w:val="0"/>
                      <w:sz w:val="21"/>
                      <w:szCs w:val="21"/>
                      <w:highlight w:val="none"/>
                    </w:rPr>
                    <w:t>注</w:t>
                  </w:r>
                  <w:r>
                    <w:rPr>
                      <w:rFonts w:hint="eastAsia"/>
                      <w:color w:val="auto"/>
                      <w:kern w:val="0"/>
                      <w:sz w:val="21"/>
                      <w:szCs w:val="21"/>
                      <w:highlight w:val="none"/>
                      <w:lang w:eastAsia="zh-CN"/>
                    </w:rPr>
                    <w:t>：</w:t>
                  </w:r>
                  <w:r>
                    <w:rPr>
                      <w:color w:val="auto"/>
                      <w:kern w:val="0"/>
                      <w:sz w:val="21"/>
                      <w:szCs w:val="21"/>
                      <w:highlight w:val="none"/>
                    </w:rPr>
                    <w:t>1.废气中有毒有害污染物指纳入《有毒有害大气污染物名录》的污染物（不包括无排放标准的污染物）。</w:t>
                  </w:r>
                </w:p>
                <w:p w14:paraId="123F646C">
                  <w:pPr>
                    <w:autoSpaceDE w:val="0"/>
                    <w:autoSpaceDN w:val="0"/>
                    <w:adjustRightInd w:val="0"/>
                    <w:snapToGrid w:val="0"/>
                    <w:jc w:val="left"/>
                    <w:rPr>
                      <w:color w:val="auto"/>
                      <w:kern w:val="0"/>
                      <w:sz w:val="21"/>
                      <w:szCs w:val="21"/>
                      <w:highlight w:val="none"/>
                    </w:rPr>
                  </w:pPr>
                  <w:r>
                    <w:rPr>
                      <w:color w:val="auto"/>
                      <w:kern w:val="0"/>
                      <w:sz w:val="21"/>
                      <w:szCs w:val="21"/>
                      <w:highlight w:val="none"/>
                    </w:rPr>
                    <w:t>2.环境空气保护目标指自然保护区、风景名胜区、居住区、文化区和农村地区中人群较集中的区域。</w:t>
                  </w:r>
                </w:p>
                <w:p w14:paraId="07FC93A5">
                  <w:pPr>
                    <w:autoSpaceDE w:val="0"/>
                    <w:autoSpaceDN w:val="0"/>
                    <w:adjustRightInd w:val="0"/>
                    <w:snapToGrid w:val="0"/>
                    <w:jc w:val="left"/>
                    <w:rPr>
                      <w:color w:val="auto"/>
                      <w:kern w:val="0"/>
                      <w:sz w:val="21"/>
                      <w:szCs w:val="21"/>
                      <w:highlight w:val="none"/>
                    </w:rPr>
                  </w:pPr>
                  <w:r>
                    <w:rPr>
                      <w:color w:val="auto"/>
                      <w:kern w:val="0"/>
                      <w:sz w:val="21"/>
                      <w:szCs w:val="21"/>
                      <w:highlight w:val="none"/>
                    </w:rPr>
                    <w:t>3.临界量及其计算方法可参考《建设项目环境风险评价技术导则》</w:t>
                  </w:r>
                  <w:r>
                    <w:rPr>
                      <w:rFonts w:hint="eastAsia"/>
                      <w:color w:val="auto"/>
                      <w:kern w:val="0"/>
                      <w:sz w:val="21"/>
                      <w:szCs w:val="21"/>
                      <w:highlight w:val="none"/>
                      <w:lang w:eastAsia="zh-CN"/>
                    </w:rPr>
                    <w:t>（</w:t>
                  </w:r>
                  <w:r>
                    <w:rPr>
                      <w:color w:val="auto"/>
                      <w:kern w:val="0"/>
                      <w:sz w:val="21"/>
                      <w:szCs w:val="21"/>
                      <w:highlight w:val="none"/>
                    </w:rPr>
                    <w:t>HJ169</w:t>
                  </w:r>
                  <w:r>
                    <w:rPr>
                      <w:rFonts w:hint="eastAsia"/>
                      <w:color w:val="auto"/>
                      <w:kern w:val="0"/>
                      <w:sz w:val="21"/>
                      <w:szCs w:val="21"/>
                      <w:highlight w:val="none"/>
                      <w:lang w:eastAsia="zh-CN"/>
                    </w:rPr>
                    <w:t>）</w:t>
                  </w:r>
                  <w:r>
                    <w:rPr>
                      <w:color w:val="auto"/>
                      <w:kern w:val="0"/>
                      <w:sz w:val="21"/>
                      <w:szCs w:val="21"/>
                      <w:highlight w:val="none"/>
                    </w:rPr>
                    <w:t>附录B、附录C。</w:t>
                  </w:r>
                </w:p>
              </w:tc>
            </w:tr>
          </w:tbl>
          <w:p w14:paraId="0433AEA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eastAsia="宋体"/>
                <w:color w:val="auto"/>
                <w:kern w:val="0"/>
                <w:sz w:val="24"/>
                <w:szCs w:val="24"/>
                <w:highlight w:val="none"/>
                <w:lang w:val="en-US" w:eastAsia="zh-CN"/>
              </w:rPr>
            </w:pPr>
            <w:r>
              <w:rPr>
                <w:rFonts w:hint="eastAsia"/>
                <w:b w:val="0"/>
                <w:bCs w:val="0"/>
                <w:color w:val="auto"/>
                <w:kern w:val="0"/>
                <w:sz w:val="24"/>
                <w:szCs w:val="24"/>
                <w:highlight w:val="none"/>
                <w:lang w:val="en-US" w:eastAsia="zh-CN"/>
              </w:rPr>
              <w:t>综上，本项目</w:t>
            </w:r>
            <w:r>
              <w:rPr>
                <w:b w:val="0"/>
                <w:bCs w:val="0"/>
                <w:color w:val="auto"/>
                <w:kern w:val="0"/>
                <w:sz w:val="24"/>
                <w:szCs w:val="24"/>
                <w:highlight w:val="none"/>
              </w:rPr>
              <w:t>需设置</w:t>
            </w:r>
            <w:r>
              <w:rPr>
                <w:rFonts w:hint="eastAsia"/>
                <w:b w:val="0"/>
                <w:bCs w:val="0"/>
                <w:color w:val="auto"/>
                <w:kern w:val="0"/>
                <w:sz w:val="24"/>
                <w:szCs w:val="24"/>
                <w:highlight w:val="none"/>
                <w:lang w:val="en-US" w:eastAsia="zh-CN"/>
              </w:rPr>
              <w:t>环境风险</w:t>
            </w:r>
            <w:r>
              <w:rPr>
                <w:b w:val="0"/>
                <w:bCs w:val="0"/>
                <w:color w:val="auto"/>
                <w:kern w:val="0"/>
                <w:sz w:val="24"/>
                <w:szCs w:val="24"/>
                <w:highlight w:val="none"/>
              </w:rPr>
              <w:t>专项</w:t>
            </w:r>
            <w:r>
              <w:rPr>
                <w:rFonts w:hint="eastAsia"/>
                <w:b w:val="0"/>
                <w:bCs w:val="0"/>
                <w:color w:val="auto"/>
                <w:kern w:val="0"/>
                <w:sz w:val="24"/>
                <w:szCs w:val="24"/>
                <w:highlight w:val="none"/>
                <w:lang w:eastAsia="zh-CN"/>
              </w:rPr>
              <w:t>。</w:t>
            </w:r>
          </w:p>
        </w:tc>
      </w:tr>
      <w:tr w14:paraId="4268B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6" w:type="dxa"/>
            <w:vAlign w:val="center"/>
          </w:tcPr>
          <w:p w14:paraId="164F9646">
            <w:pPr>
              <w:autoSpaceDE w:val="0"/>
              <w:autoSpaceDN w:val="0"/>
              <w:adjustRightInd w:val="0"/>
              <w:snapToGrid w:val="0"/>
              <w:jc w:val="center"/>
              <w:rPr>
                <w:color w:val="auto"/>
                <w:kern w:val="0"/>
                <w:sz w:val="24"/>
                <w:szCs w:val="24"/>
                <w:highlight w:val="none"/>
              </w:rPr>
            </w:pPr>
            <w:r>
              <w:rPr>
                <w:color w:val="auto"/>
                <w:sz w:val="24"/>
                <w:szCs w:val="24"/>
                <w:highlight w:val="none"/>
              </w:rPr>
              <w:t>规划情况</w:t>
            </w:r>
          </w:p>
        </w:tc>
        <w:tc>
          <w:tcPr>
            <w:tcW w:w="7774" w:type="dxa"/>
            <w:gridSpan w:val="3"/>
            <w:vAlign w:val="center"/>
          </w:tcPr>
          <w:p w14:paraId="7EB6D814">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bCs/>
                <w:color w:val="auto"/>
                <w:kern w:val="0"/>
                <w:sz w:val="24"/>
                <w:szCs w:val="24"/>
                <w:highlight w:val="none"/>
              </w:rPr>
            </w:pPr>
            <w:r>
              <w:rPr>
                <w:bCs/>
                <w:color w:val="auto"/>
                <w:kern w:val="0"/>
                <w:sz w:val="24"/>
                <w:szCs w:val="24"/>
                <w:highlight w:val="none"/>
              </w:rPr>
              <w:t>规划名称：《</w:t>
            </w:r>
            <w:r>
              <w:rPr>
                <w:rStyle w:val="34"/>
                <w:rFonts w:ascii="Times New Roman" w:hAnsi="Times New Roman" w:cs="Times New Roman"/>
                <w:color w:val="auto"/>
                <w:kern w:val="0"/>
                <w:sz w:val="24"/>
                <w:szCs w:val="22"/>
                <w:highlight w:val="none"/>
                <w:u w:val="none"/>
              </w:rPr>
              <w:t>四川大英经济开发区控制性详细规划</w:t>
            </w:r>
            <w:r>
              <w:rPr>
                <w:bCs/>
                <w:color w:val="auto"/>
                <w:kern w:val="0"/>
                <w:sz w:val="24"/>
                <w:szCs w:val="24"/>
                <w:highlight w:val="none"/>
              </w:rPr>
              <w:t>》</w:t>
            </w:r>
          </w:p>
          <w:p w14:paraId="23EDD561">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bCs/>
                <w:color w:val="auto"/>
                <w:kern w:val="0"/>
                <w:sz w:val="24"/>
                <w:szCs w:val="24"/>
                <w:highlight w:val="none"/>
              </w:rPr>
            </w:pPr>
            <w:r>
              <w:rPr>
                <w:bCs/>
                <w:color w:val="auto"/>
                <w:kern w:val="0"/>
                <w:sz w:val="24"/>
                <w:szCs w:val="24"/>
                <w:highlight w:val="none"/>
              </w:rPr>
              <w:t>审批机关：</w:t>
            </w:r>
            <w:r>
              <w:rPr>
                <w:rFonts w:hint="eastAsia"/>
                <w:bCs/>
                <w:color w:val="auto"/>
                <w:kern w:val="0"/>
                <w:sz w:val="24"/>
                <w:szCs w:val="24"/>
                <w:highlight w:val="none"/>
                <w:lang w:val="en-US" w:eastAsia="zh-CN"/>
              </w:rPr>
              <w:t>四川省人民政府</w:t>
            </w:r>
          </w:p>
          <w:p w14:paraId="441A0969">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bCs/>
                <w:color w:val="auto"/>
                <w:kern w:val="0"/>
                <w:sz w:val="24"/>
                <w:szCs w:val="24"/>
                <w:highlight w:val="none"/>
              </w:rPr>
            </w:pPr>
            <w:r>
              <w:rPr>
                <w:bCs/>
                <w:color w:val="auto"/>
                <w:kern w:val="0"/>
                <w:sz w:val="24"/>
                <w:szCs w:val="24"/>
                <w:highlight w:val="none"/>
              </w:rPr>
              <w:t>审批文号：</w:t>
            </w:r>
            <w:r>
              <w:rPr>
                <w:rStyle w:val="34"/>
                <w:rFonts w:ascii="Times New Roman" w:hAnsi="Times New Roman" w:cs="Times New Roman"/>
                <w:color w:val="auto"/>
                <w:kern w:val="0"/>
                <w:sz w:val="24"/>
                <w:szCs w:val="22"/>
                <w:highlight w:val="none"/>
                <w:u w:val="none"/>
              </w:rPr>
              <w:t>川府函〔2019〕20号</w:t>
            </w:r>
          </w:p>
        </w:tc>
      </w:tr>
      <w:tr w14:paraId="0962C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6" w:type="dxa"/>
            <w:vAlign w:val="center"/>
          </w:tcPr>
          <w:p w14:paraId="7D327A2E">
            <w:pPr>
              <w:adjustRightInd w:val="0"/>
              <w:snapToGrid w:val="0"/>
              <w:jc w:val="center"/>
              <w:rPr>
                <w:color w:val="auto"/>
                <w:sz w:val="24"/>
                <w:szCs w:val="24"/>
                <w:highlight w:val="none"/>
              </w:rPr>
            </w:pPr>
            <w:r>
              <w:rPr>
                <w:color w:val="auto"/>
                <w:sz w:val="24"/>
                <w:szCs w:val="24"/>
                <w:highlight w:val="none"/>
              </w:rPr>
              <w:t>规划环境影响</w:t>
            </w:r>
          </w:p>
          <w:p w14:paraId="68B076E0">
            <w:pPr>
              <w:adjustRightInd w:val="0"/>
              <w:snapToGrid w:val="0"/>
              <w:jc w:val="center"/>
              <w:rPr>
                <w:color w:val="auto"/>
                <w:kern w:val="0"/>
                <w:sz w:val="24"/>
                <w:szCs w:val="24"/>
                <w:highlight w:val="none"/>
              </w:rPr>
            </w:pPr>
            <w:r>
              <w:rPr>
                <w:color w:val="auto"/>
                <w:sz w:val="24"/>
                <w:szCs w:val="24"/>
                <w:highlight w:val="none"/>
              </w:rPr>
              <w:t>评价情况</w:t>
            </w:r>
          </w:p>
        </w:tc>
        <w:tc>
          <w:tcPr>
            <w:tcW w:w="7774" w:type="dxa"/>
            <w:gridSpan w:val="3"/>
            <w:vAlign w:val="center"/>
          </w:tcPr>
          <w:p w14:paraId="33E89711">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rFonts w:hint="eastAsia" w:eastAsia="宋体"/>
                <w:color w:val="auto"/>
                <w:kern w:val="0"/>
                <w:sz w:val="24"/>
                <w:szCs w:val="24"/>
                <w:highlight w:val="none"/>
                <w:lang w:eastAsia="zh-CN"/>
              </w:rPr>
            </w:pPr>
            <w:r>
              <w:rPr>
                <w:bCs/>
                <w:color w:val="auto"/>
                <w:kern w:val="0"/>
                <w:sz w:val="24"/>
                <w:szCs w:val="24"/>
                <w:highlight w:val="none"/>
              </w:rPr>
              <w:t>规划环境影响评价文件名称：</w:t>
            </w:r>
            <w:r>
              <w:rPr>
                <w:color w:val="auto"/>
                <w:kern w:val="0"/>
                <w:sz w:val="24"/>
                <w:szCs w:val="24"/>
                <w:highlight w:val="none"/>
              </w:rPr>
              <w:t>《</w:t>
            </w:r>
            <w:r>
              <w:rPr>
                <w:rFonts w:ascii="Times New Roman" w:hAnsi="Times New Roman" w:cs="Times New Roman"/>
                <w:color w:val="auto"/>
                <w:kern w:val="0"/>
                <w:sz w:val="24"/>
                <w:highlight w:val="none"/>
              </w:rPr>
              <w:t>四川大英经济开发区规划环境影响报告书</w:t>
            </w:r>
            <w:r>
              <w:rPr>
                <w:color w:val="auto"/>
                <w:kern w:val="0"/>
                <w:sz w:val="24"/>
                <w:szCs w:val="24"/>
                <w:highlight w:val="none"/>
              </w:rPr>
              <w:t>》</w:t>
            </w:r>
            <w:r>
              <w:rPr>
                <w:rFonts w:hint="eastAsia"/>
                <w:color w:val="auto"/>
                <w:kern w:val="0"/>
                <w:sz w:val="24"/>
                <w:szCs w:val="24"/>
                <w:highlight w:val="none"/>
                <w:lang w:eastAsia="zh-CN"/>
              </w:rPr>
              <w:t>；</w:t>
            </w:r>
          </w:p>
          <w:p w14:paraId="46BE20EF">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bCs/>
                <w:color w:val="auto"/>
                <w:kern w:val="0"/>
                <w:sz w:val="24"/>
                <w:szCs w:val="24"/>
                <w:highlight w:val="none"/>
              </w:rPr>
            </w:pPr>
            <w:r>
              <w:rPr>
                <w:bCs/>
                <w:color w:val="auto"/>
                <w:kern w:val="0"/>
                <w:sz w:val="24"/>
                <w:szCs w:val="24"/>
                <w:highlight w:val="none"/>
              </w:rPr>
              <w:t>审批机关：</w:t>
            </w:r>
            <w:r>
              <w:rPr>
                <w:rFonts w:ascii="Times New Roman" w:hAnsi="Times New Roman" w:cs="Times New Roman"/>
                <w:color w:val="auto"/>
                <w:kern w:val="0"/>
                <w:sz w:val="24"/>
                <w:highlight w:val="none"/>
              </w:rPr>
              <w:t>四川省</w:t>
            </w:r>
            <w:r>
              <w:rPr>
                <w:rFonts w:hint="eastAsia"/>
                <w:bCs/>
                <w:color w:val="auto"/>
                <w:kern w:val="0"/>
                <w:sz w:val="24"/>
                <w:szCs w:val="24"/>
                <w:highlight w:val="none"/>
              </w:rPr>
              <w:t>生态环境</w:t>
            </w:r>
            <w:r>
              <w:rPr>
                <w:rFonts w:hint="eastAsia"/>
                <w:bCs/>
                <w:color w:val="auto"/>
                <w:kern w:val="0"/>
                <w:sz w:val="24"/>
                <w:szCs w:val="24"/>
                <w:highlight w:val="none"/>
                <w:lang w:val="en-US" w:eastAsia="zh-CN"/>
              </w:rPr>
              <w:t>厅</w:t>
            </w:r>
          </w:p>
          <w:p w14:paraId="15B5963E">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bCs/>
                <w:color w:val="auto"/>
                <w:kern w:val="0"/>
                <w:sz w:val="24"/>
                <w:szCs w:val="24"/>
                <w:highlight w:val="none"/>
              </w:rPr>
            </w:pPr>
            <w:r>
              <w:rPr>
                <w:bCs/>
                <w:color w:val="auto"/>
                <w:sz w:val="24"/>
                <w:szCs w:val="24"/>
                <w:highlight w:val="none"/>
              </w:rPr>
              <w:t>审批文件名称及文号：</w:t>
            </w:r>
            <w:r>
              <w:rPr>
                <w:rFonts w:hint="eastAsia"/>
                <w:color w:val="auto"/>
                <w:sz w:val="24"/>
                <w:highlight w:val="none"/>
              </w:rPr>
              <w:t>《四川省生态环境厅关于&lt;四川大英经济开发区规划环境影响报告书&gt;的审查意见》（川环建函</w:t>
            </w:r>
            <w:r>
              <w:rPr>
                <w:rFonts w:hint="eastAsia"/>
                <w:color w:val="auto"/>
                <w:sz w:val="24"/>
                <w:highlight w:val="none"/>
                <w:lang w:eastAsia="zh-CN"/>
              </w:rPr>
              <w:t>〔</w:t>
            </w:r>
            <w:r>
              <w:rPr>
                <w:rFonts w:hint="eastAsia"/>
                <w:color w:val="auto"/>
                <w:sz w:val="24"/>
                <w:highlight w:val="none"/>
              </w:rPr>
              <w:t>2019</w:t>
            </w:r>
            <w:r>
              <w:rPr>
                <w:rFonts w:hint="eastAsia"/>
                <w:color w:val="auto"/>
                <w:sz w:val="24"/>
                <w:highlight w:val="none"/>
                <w:lang w:eastAsia="zh-CN"/>
              </w:rPr>
              <w:t>〕</w:t>
            </w:r>
            <w:r>
              <w:rPr>
                <w:rFonts w:hint="eastAsia"/>
                <w:color w:val="auto"/>
                <w:sz w:val="24"/>
                <w:highlight w:val="none"/>
              </w:rPr>
              <w:t>48号）</w:t>
            </w:r>
            <w:r>
              <w:rPr>
                <w:rFonts w:hint="eastAsia"/>
                <w:color w:val="auto"/>
                <w:sz w:val="24"/>
                <w:highlight w:val="none"/>
                <w:lang w:eastAsia="zh-CN"/>
              </w:rPr>
              <w:t>，</w:t>
            </w:r>
            <w:r>
              <w:rPr>
                <w:rFonts w:hint="eastAsia"/>
                <w:color w:val="auto"/>
                <w:sz w:val="24"/>
                <w:highlight w:val="none"/>
              </w:rPr>
              <w:t>2019年8月8日</w:t>
            </w:r>
            <w:r>
              <w:rPr>
                <w:rFonts w:hint="eastAsia"/>
                <w:color w:val="auto"/>
                <w:sz w:val="24"/>
                <w:highlight w:val="none"/>
                <w:lang w:eastAsia="zh-CN"/>
              </w:rPr>
              <w:t>。</w:t>
            </w:r>
          </w:p>
        </w:tc>
      </w:tr>
      <w:tr w14:paraId="53CB4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6" w:type="dxa"/>
            <w:vAlign w:val="center"/>
          </w:tcPr>
          <w:p w14:paraId="6AF07403">
            <w:pPr>
              <w:autoSpaceDE w:val="0"/>
              <w:autoSpaceDN w:val="0"/>
              <w:adjustRightInd w:val="0"/>
              <w:snapToGrid w:val="0"/>
              <w:jc w:val="center"/>
              <w:rPr>
                <w:color w:val="auto"/>
                <w:kern w:val="0"/>
                <w:sz w:val="24"/>
                <w:szCs w:val="24"/>
                <w:highlight w:val="none"/>
              </w:rPr>
            </w:pPr>
            <w:r>
              <w:rPr>
                <w:color w:val="auto"/>
                <w:kern w:val="0"/>
                <w:sz w:val="24"/>
                <w:szCs w:val="24"/>
                <w:highlight w:val="none"/>
              </w:rPr>
              <w:t>规划及规划环境影响评价符合性分析</w:t>
            </w:r>
          </w:p>
        </w:tc>
        <w:tc>
          <w:tcPr>
            <w:tcW w:w="7774" w:type="dxa"/>
            <w:gridSpan w:val="3"/>
            <w:vAlign w:val="center"/>
          </w:tcPr>
          <w:p w14:paraId="08C6973E">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四川大英经济开发区位于大英县城东侧，西连射大路，东至隆盛镇打儿窝，南邻达成铁路，北至成南高速公路，规划面积16.0平方公里，包括石油化工产业园（梁家坝和红花坝片区）、盐化工产业园（聂家坝片区）、机电轻纺产业园（马家坝片区和景家坝片区、梨子坝-尚家坝片区）、电子产业园（聂家坝片区）及配套居住组团，经开区主导发展石化、纺织、机电产业。</w:t>
            </w:r>
          </w:p>
          <w:p w14:paraId="38453BB7">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cs="Times New Roman"/>
                <w:b/>
                <w:bCs/>
                <w:iCs/>
                <w:color w:val="auto"/>
                <w:sz w:val="24"/>
                <w:szCs w:val="24"/>
                <w:highlight w:val="none"/>
              </w:rPr>
            </w:pPr>
            <w:r>
              <w:rPr>
                <w:rFonts w:ascii="Times New Roman" w:hAnsi="Times New Roman" w:eastAsia="宋体" w:cs="Times New Roman"/>
                <w:color w:val="auto"/>
                <w:sz w:val="24"/>
                <w:highlight w:val="none"/>
              </w:rPr>
              <w:t>2019年1月，经开区经省人民政府批准设立为省级经济开发区（川府函〔2019〕20号），2019年8月，取得了《四川省生态环境厅关于&lt;四川大英经济开发区规划环境影响报告书&gt;的审查意见》（川环建函〔2019〕48号）。</w:t>
            </w:r>
          </w:p>
          <w:p w14:paraId="65E9A78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1</w:t>
            </w:r>
            <w:r>
              <w:rPr>
                <w:rFonts w:ascii="Times New Roman" w:hAnsi="Times New Roman" w:cs="Times New Roman"/>
                <w:b/>
                <w:bCs/>
                <w:color w:val="auto"/>
                <w:sz w:val="24"/>
                <w:highlight w:val="none"/>
                <w:lang w:val="en-US" w:eastAsia="zh-CN"/>
              </w:rPr>
              <w:t>、</w:t>
            </w:r>
            <w:r>
              <w:rPr>
                <w:rFonts w:ascii="Times New Roman" w:hAnsi="Times New Roman" w:eastAsia="宋体" w:cs="Times New Roman"/>
                <w:b/>
                <w:bCs/>
                <w:color w:val="auto"/>
                <w:sz w:val="24"/>
                <w:highlight w:val="none"/>
              </w:rPr>
              <w:t>与</w:t>
            </w:r>
            <w:r>
              <w:rPr>
                <w:rFonts w:ascii="Times New Roman" w:hAnsi="Times New Roman" w:eastAsia="宋体" w:cs="Times New Roman"/>
                <w:b/>
                <w:color w:val="auto"/>
                <w:kern w:val="0"/>
                <w:sz w:val="24"/>
                <w:szCs w:val="24"/>
                <w:highlight w:val="none"/>
              </w:rPr>
              <w:t>四川大英经济开发区的规划</w:t>
            </w:r>
            <w:r>
              <w:rPr>
                <w:rFonts w:ascii="Times New Roman" w:hAnsi="Times New Roman" w:eastAsia="宋体" w:cs="Times New Roman"/>
                <w:b/>
                <w:bCs/>
                <w:color w:val="auto"/>
                <w:sz w:val="24"/>
                <w:highlight w:val="none"/>
              </w:rPr>
              <w:t>符合性分析</w:t>
            </w:r>
          </w:p>
          <w:p w14:paraId="51A7B83A">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lang w:val="en-US" w:eastAsia="zh-CN"/>
              </w:rPr>
            </w:pPr>
            <w:r>
              <w:rPr>
                <w:rFonts w:ascii="Times New Roman" w:hAnsi="Times New Roman" w:eastAsia="宋体" w:cs="Times New Roman"/>
                <w:color w:val="auto"/>
                <w:sz w:val="24"/>
                <w:highlight w:val="none"/>
                <w:lang w:val="en-US" w:eastAsia="zh-CN"/>
              </w:rPr>
              <w:t>（1）与四川大英经济开发区总体规划符合性分析</w:t>
            </w:r>
          </w:p>
          <w:p w14:paraId="194211E8">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四川大英经济开发区产业定位为：以石化、纺织、机电等产业为主的综合型园区。</w:t>
            </w:r>
          </w:p>
          <w:p w14:paraId="53EE9FD3">
            <w:pPr>
              <w:keepNext w:val="0"/>
              <w:keepLines w:val="0"/>
              <w:pageBreakBefore w:val="0"/>
              <w:widowControl w:val="0"/>
              <w:kinsoku/>
              <w:wordWrap/>
              <w:overflowPunct/>
              <w:topLinePunct w:val="0"/>
              <w:autoSpaceDE/>
              <w:autoSpaceDN/>
              <w:bidi w:val="0"/>
              <w:adjustRightInd/>
              <w:snapToGrid/>
              <w:spacing w:line="360" w:lineRule="auto"/>
              <w:contextualSpacing/>
              <w:textAlignment w:val="auto"/>
              <w:rPr>
                <w:rFonts w:ascii="Times New Roman" w:hAnsi="Times New Roman" w:eastAsia="宋体" w:cs="Times New Roman"/>
                <w:color w:val="auto"/>
                <w:sz w:val="24"/>
                <w:highlight w:val="none"/>
              </w:rPr>
            </w:pPr>
            <w:r>
              <w:rPr>
                <w:color w:val="auto"/>
                <w:sz w:val="21"/>
                <w:highlight w:val="none"/>
              </w:rPr>
              <mc:AlternateContent>
                <mc:Choice Requires="wps">
                  <w:drawing>
                    <wp:anchor distT="0" distB="0" distL="114300" distR="114300" simplePos="0" relativeHeight="251673600" behindDoc="0" locked="0" layoutInCell="1" allowOverlap="1">
                      <wp:simplePos x="0" y="0"/>
                      <wp:positionH relativeFrom="column">
                        <wp:posOffset>3493135</wp:posOffset>
                      </wp:positionH>
                      <wp:positionV relativeFrom="paragraph">
                        <wp:posOffset>1095375</wp:posOffset>
                      </wp:positionV>
                      <wp:extent cx="101600" cy="75565"/>
                      <wp:effectExtent l="12700" t="12700" r="19050" b="26035"/>
                      <wp:wrapNone/>
                      <wp:docPr id="3" name="等腰三角形 3"/>
                      <wp:cNvGraphicFramePr/>
                      <a:graphic xmlns:a="http://schemas.openxmlformats.org/drawingml/2006/main">
                        <a:graphicData uri="http://schemas.microsoft.com/office/word/2010/wordprocessingShape">
                          <wps:wsp>
                            <wps:cNvSpPr/>
                            <wps:spPr>
                              <a:xfrm>
                                <a:off x="5221605" y="4849495"/>
                                <a:ext cx="101600" cy="75565"/>
                              </a:xfrm>
                              <a:prstGeom prst="triangle">
                                <a:avLst/>
                              </a:prstGeom>
                              <a:solidFill>
                                <a:srgbClr val="00B050"/>
                              </a:solid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75.05pt;margin-top:86.25pt;height:5.95pt;width:8pt;z-index:251673600;v-text-anchor:middle;mso-width-relative:page;mso-height-relative:page;" fillcolor="#00B050" filled="t" stroked="t" coordsize="21600,21600" o:gfxdata="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4IBdR2gAAAAsBAAAPAAAAAAAA&#10;AAEAIAAAACIAAABkcnMvZG93bnJldi54bWxQSwECFAAUAAAACACHTuJAkeCIDYICAAD0BAAADgAA&#10;AAAAAAABACAAAAApAQAAZHJzL2Uyb0RvYy54bWxQSwUGAAAAAAYABgBZAQAAHQYAAAAA&#10;" adj="10800">
                      <v:fill on="t" focussize="0,0"/>
                      <v:stroke weight="2pt" color="#00B050 [2404]" joinstyle="round"/>
                      <v:imagedata o:title=""/>
                      <o:lock v:ext="edit" aspectratio="f"/>
                    </v:shape>
                  </w:pict>
                </mc:Fallback>
              </mc:AlternateContent>
            </w:r>
            <w:r>
              <w:rPr>
                <w:rFonts w:ascii="Times New Roman" w:hAnsi="Times New Roman" w:cs="Times New Roman"/>
                <w:color w:val="auto"/>
                <w:sz w:val="21"/>
                <w:highlight w:val="none"/>
              </w:rPr>
              <mc:AlternateContent>
                <mc:Choice Requires="wps">
                  <w:drawing>
                    <wp:anchor distT="0" distB="0" distL="113665" distR="113665" simplePos="0" relativeHeight="251662336" behindDoc="0" locked="0" layoutInCell="1" allowOverlap="1">
                      <wp:simplePos x="0" y="0"/>
                      <wp:positionH relativeFrom="column">
                        <wp:posOffset>3264535</wp:posOffset>
                      </wp:positionH>
                      <wp:positionV relativeFrom="paragraph">
                        <wp:posOffset>207010</wp:posOffset>
                      </wp:positionV>
                      <wp:extent cx="1009015" cy="399415"/>
                      <wp:effectExtent l="12700" t="12700" r="26035" b="559435"/>
                      <wp:wrapNone/>
                      <wp:docPr id="4" name="矩形标注 12"/>
                      <wp:cNvGraphicFramePr/>
                      <a:graphic xmlns:a="http://schemas.openxmlformats.org/drawingml/2006/main">
                        <a:graphicData uri="http://schemas.microsoft.com/office/word/2010/wordprocessingShape">
                          <wps:wsp>
                            <wps:cNvSpPr/>
                            <wps:spPr>
                              <a:xfrm>
                                <a:off x="0" y="0"/>
                                <a:ext cx="1009015" cy="399415"/>
                              </a:xfrm>
                              <a:prstGeom prst="wedgeRectCallout">
                                <a:avLst>
                                  <a:gd name="adj1" fmla="val -21302"/>
                                  <a:gd name="adj2" fmla="val 182909"/>
                                </a:avLst>
                              </a:prstGeom>
                              <a:noFill/>
                              <a:ln w="25400" cap="flat" cmpd="sng">
                                <a:solidFill>
                                  <a:srgbClr val="000000"/>
                                </a:solidFill>
                                <a:prstDash val="solid"/>
                                <a:round/>
                              </a:ln>
                            </wps:spPr>
                            <wps:txbx>
                              <w:txbxContent>
                                <w:p w14:paraId="0FF08C99">
                                  <w:pPr>
                                    <w:jc w:val="center"/>
                                    <w:rPr>
                                      <w:rFonts w:eastAsia="宋体"/>
                                      <w:b/>
                                      <w:bCs/>
                                      <w:color w:val="FF0000"/>
                                      <w:sz w:val="32"/>
                                      <w:szCs w:val="40"/>
                                      <w:lang w:val="en-US" w:eastAsia="zh-CN"/>
                                    </w:rPr>
                                  </w:pPr>
                                  <w:r>
                                    <w:rPr>
                                      <w:rFonts w:hint="eastAsia"/>
                                      <w:b/>
                                      <w:bCs/>
                                      <w:color w:val="FF0000"/>
                                      <w:sz w:val="32"/>
                                      <w:szCs w:val="40"/>
                                      <w:lang w:val="en-US" w:eastAsia="zh-CN"/>
                                    </w:rPr>
                                    <w:t>本项目</w:t>
                                  </w:r>
                                </w:p>
                              </w:txbxContent>
                            </wps:txbx>
                            <wps:bodyPr vert="horz" wrap="square" lIns="91440" tIns="45720" rIns="91440" bIns="45720" anchor="ctr" anchorCtr="0" upright="0">
                              <a:noAutofit/>
                            </wps:bodyPr>
                          </wps:wsp>
                        </a:graphicData>
                      </a:graphic>
                    </wp:anchor>
                  </w:drawing>
                </mc:Choice>
                <mc:Fallback>
                  <w:pict>
                    <v:shape id="矩形标注 12" o:spid="_x0000_s1026" o:spt="61" type="#_x0000_t61" style="position:absolute;left:0pt;margin-left:257.05pt;margin-top:16.3pt;height:31.45pt;width:79.45pt;z-index:251662336;v-text-anchor:middle;mso-width-relative:page;mso-height-relative:page;" filled="f" stroked="t" coordsize="21600,21600" o:gfxdata="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anOb9cA&#10;AAAJAQAADwAAAAAAAAABACAAAAAiAAAAZHJzL2Rvd25yZXYueG1sUEsBAhQAFAAAAAgAh07iQBsJ&#10;kspZAgAAlgQAAA4AAAAAAAAAAQAgAAAAJgEAAGRycy9lMm9Eb2MueG1sUEsFBgAAAAAGAAYAWQEA&#10;APEFAAAAAA==&#10;" adj="6199,50308">
                      <v:fill on="f" focussize="0,0"/>
                      <v:stroke weight="2pt" color="#000000" joinstyle="round"/>
                      <v:imagedata o:title=""/>
                      <o:lock v:ext="edit" aspectratio="f"/>
                      <v:textbox>
                        <w:txbxContent>
                          <w:p w14:paraId="0FF08C99">
                            <w:pPr>
                              <w:jc w:val="center"/>
                              <w:rPr>
                                <w:rFonts w:eastAsia="宋体"/>
                                <w:b/>
                                <w:bCs/>
                                <w:color w:val="FF0000"/>
                                <w:sz w:val="32"/>
                                <w:szCs w:val="40"/>
                                <w:lang w:val="en-US" w:eastAsia="zh-CN"/>
                              </w:rPr>
                            </w:pPr>
                            <w:r>
                              <w:rPr>
                                <w:rFonts w:hint="eastAsia"/>
                                <w:b/>
                                <w:bCs/>
                                <w:color w:val="FF0000"/>
                                <w:sz w:val="32"/>
                                <w:szCs w:val="40"/>
                                <w:lang w:val="en-US" w:eastAsia="zh-CN"/>
                              </w:rPr>
                              <w:t>本项目</w:t>
                            </w:r>
                          </w:p>
                        </w:txbxContent>
                      </v:textbox>
                    </v:shape>
                  </w:pict>
                </mc:Fallback>
              </mc:AlternateContent>
            </w:r>
            <w:r>
              <w:rPr>
                <w:rFonts w:ascii="Times New Roman" w:hAnsi="Times New Roman" w:cs="Times New Roman"/>
                <w:color w:val="auto"/>
                <w:highlight w:val="none"/>
              </w:rPr>
              <w:drawing>
                <wp:inline distT="0" distB="0" distL="114300" distR="114300">
                  <wp:extent cx="4745990" cy="3513455"/>
                  <wp:effectExtent l="0" t="0" r="16510" b="10795"/>
                  <wp:docPr id="5" name="图片 8" descr="附图7 大英县工业集中发展区功能分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附图7 大英县工业集中发展区功能分区规划图"/>
                          <pic:cNvPicPr>
                            <a:picLocks noChangeAspect="1"/>
                          </pic:cNvPicPr>
                        </pic:nvPicPr>
                        <pic:blipFill>
                          <a:blip r:embed="rId17"/>
                          <a:stretch>
                            <a:fillRect/>
                          </a:stretch>
                        </pic:blipFill>
                        <pic:spPr>
                          <a:xfrm>
                            <a:off x="0" y="0"/>
                            <a:ext cx="4745990" cy="3513455"/>
                          </a:xfrm>
                          <a:prstGeom prst="rect">
                            <a:avLst/>
                          </a:prstGeom>
                          <a:noFill/>
                          <a:ln w="9525" cap="flat" cmpd="sng">
                            <a:noFill/>
                            <a:prstDash val="solid"/>
                            <a:round/>
                          </a:ln>
                        </pic:spPr>
                      </pic:pic>
                    </a:graphicData>
                  </a:graphic>
                </wp:inline>
              </w:drawing>
            </w:r>
          </w:p>
          <w:p w14:paraId="7DBD3E94">
            <w:pPr>
              <w:pStyle w:val="44"/>
              <w:bidi w:val="0"/>
              <w:rPr>
                <w:color w:val="auto"/>
                <w:highlight w:val="none"/>
                <w:lang w:val="en-US" w:eastAsia="zh-CN"/>
              </w:rPr>
            </w:pPr>
            <w:r>
              <w:rPr>
                <w:color w:val="auto"/>
                <w:highlight w:val="none"/>
                <w:lang w:val="en-US" w:eastAsia="zh-CN"/>
              </w:rPr>
              <w:t>园区功能分区图</w:t>
            </w:r>
          </w:p>
          <w:p w14:paraId="5E692DCD">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cs="Times New Roman"/>
                <w:color w:val="auto"/>
                <w:sz w:val="24"/>
                <w:szCs w:val="24"/>
                <w:highlight w:val="none"/>
                <w:lang w:val="en-US" w:eastAsia="zh-CN"/>
              </w:rPr>
              <w:t>由上图可知</w: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lang w:val="en-US" w:eastAsia="zh-CN"/>
              </w:rPr>
              <w:t>本项目位于</w:t>
            </w:r>
            <w:r>
              <w:rPr>
                <w:rFonts w:hint="eastAsia" w:cs="Times New Roman"/>
                <w:color w:val="auto"/>
                <w:sz w:val="24"/>
                <w:szCs w:val="24"/>
                <w:highlight w:val="none"/>
                <w:lang w:val="en-US" w:eastAsia="zh-CN"/>
              </w:rPr>
              <w:t>石化</w:t>
            </w:r>
            <w:r>
              <w:rPr>
                <w:rFonts w:ascii="Times New Roman" w:hAnsi="Times New Roman" w:cs="Times New Roman"/>
                <w:color w:val="auto"/>
                <w:sz w:val="24"/>
                <w:szCs w:val="24"/>
                <w:highlight w:val="none"/>
              </w:rPr>
              <w:t>产业园</w:t>
            </w:r>
            <w:r>
              <w:rPr>
                <w:rFonts w:ascii="Times New Roman" w:hAnsi="Times New Roman" w:cs="Times New Roman"/>
                <w:color w:val="auto"/>
                <w:sz w:val="24"/>
                <w:szCs w:val="24"/>
                <w:highlight w:val="none"/>
                <w:lang w:val="en-US" w:eastAsia="zh-CN"/>
              </w:rPr>
              <w:t>内</w:t>
            </w:r>
            <w:r>
              <w:rPr>
                <w:rFonts w:ascii="Times New Roman" w:hAnsi="Times New Roman" w:cs="Times New Roman"/>
                <w:color w:val="auto"/>
                <w:sz w:val="24"/>
                <w:szCs w:val="24"/>
                <w:highlight w:val="none"/>
              </w:rPr>
              <w:t>。</w:t>
            </w:r>
          </w:p>
          <w:p w14:paraId="3F96948B">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四川大英经济开发区环境准入条件及负面清单：</w:t>
            </w:r>
          </w:p>
          <w:p w14:paraId="795F114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hint="eastAsia" w:cs="Times New Roman"/>
                <w:color w:val="auto"/>
                <w:sz w:val="24"/>
                <w:highlight w:val="none"/>
                <w:lang w:val="en-US" w:eastAsia="zh-CN"/>
              </w:rPr>
              <w:t>I、</w:t>
            </w:r>
            <w:r>
              <w:rPr>
                <w:rFonts w:ascii="Times New Roman" w:hAnsi="Times New Roman" w:eastAsia="宋体" w:cs="Times New Roman"/>
                <w:color w:val="auto"/>
                <w:sz w:val="24"/>
                <w:highlight w:val="none"/>
              </w:rPr>
              <w:t>鼓励类</w:t>
            </w:r>
          </w:p>
          <w:p w14:paraId="23B61339">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lang w:val="en-US" w:eastAsia="zh-CN"/>
              </w:rPr>
              <w:t>1）</w:t>
            </w:r>
            <w:r>
              <w:rPr>
                <w:rFonts w:ascii="Times New Roman" w:hAnsi="Times New Roman" w:eastAsia="宋体" w:cs="Times New Roman"/>
                <w:color w:val="auto"/>
                <w:sz w:val="24"/>
                <w:highlight w:val="none"/>
              </w:rPr>
              <w:t>鼓励发展环境友好的化工新材料和机械制造产业。</w:t>
            </w:r>
          </w:p>
          <w:p w14:paraId="38957055">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lang w:val="en-US" w:eastAsia="zh-CN"/>
              </w:rPr>
              <w:t>2）</w:t>
            </w:r>
            <w:r>
              <w:rPr>
                <w:rFonts w:ascii="Times New Roman" w:hAnsi="Times New Roman" w:eastAsia="宋体" w:cs="Times New Roman"/>
                <w:b/>
                <w:bCs/>
                <w:color w:val="auto"/>
                <w:sz w:val="24"/>
                <w:highlight w:val="none"/>
              </w:rPr>
              <w:t>与规划区主导产业相配套产业，企业效益明显，对区域不造成明显污染，遵循清洁生产及循环经济的项目。</w:t>
            </w:r>
          </w:p>
          <w:p w14:paraId="58D1392E">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II、负面清单</w:t>
            </w:r>
          </w:p>
          <w:p w14:paraId="78E5E26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—总体原则—</w:t>
            </w:r>
          </w:p>
          <w:p w14:paraId="0C391B2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①不符合国家行业准入条件的项目，列入国家产能过剩的项目，列入产业结构指导目录限制及禁止类的项目。</w:t>
            </w:r>
          </w:p>
          <w:p w14:paraId="286469E4">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②不符合国家环保法律法规、各类污染防治规划及要求的项目。</w:t>
            </w:r>
          </w:p>
          <w:p w14:paraId="6C6A9FC1">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③清洁生产水平不能达到行业清洁生产标准二级标准要求或低于全国同类企业先进清洁生产水平的项目。</w:t>
            </w:r>
          </w:p>
          <w:p w14:paraId="4F3514A9">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④与园区生活空间冲突或经环保论证与周边企业、规划用地等环境不相容，与居住区紧邻且存在重大危险源的项目。</w:t>
            </w:r>
          </w:p>
          <w:p w14:paraId="23455182">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⑤禁止新建燃煤火电、金属冶炼、制浆（含废纸制浆）、屠宰、皮革鞣制、铅蓄电池制造、原油炼制、煤化工及发酵制药项目。</w:t>
            </w:r>
          </w:p>
          <w:p w14:paraId="39FD046D">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⑥禁止新引入印制电路板、集成电路制造、平板及柔性显示器件制造等耗、排水量大的项目。</w:t>
            </w:r>
          </w:p>
          <w:p w14:paraId="04C46BB2">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⑦其他与规划环评要求不符的项目。</w:t>
            </w:r>
          </w:p>
          <w:p w14:paraId="6F85F847">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—负面清单—</w:t>
            </w:r>
          </w:p>
          <w:p w14:paraId="5E7BB22C">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规划区项目建设首先应符合《产业结构调整指导目录（2019年本）</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产业转移指导目录（2012年本）</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外商投资产业指导目录（2015年修订）</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环境保护综合名录（2017年版）》等国家产业政策的要求，其次要符合四川省及遂宁市制定的相关产业政策的要求。清单中包括两类，一类是禁止类，涉及的项目禁止新建、改扩建</w:t>
            </w:r>
            <w:r>
              <w:rPr>
                <w:rFonts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另一类是限制类，意为有条件发展的项目，现状已建项目可保留发展，禁止新建该类项目。</w:t>
            </w:r>
          </w:p>
          <w:p w14:paraId="7C3B6FDF">
            <w:pPr>
              <w:pStyle w:val="43"/>
              <w:bidi w:val="0"/>
              <w:rPr>
                <w:color w:val="auto"/>
                <w:highlight w:val="none"/>
                <w:lang w:val="en-US" w:eastAsia="zh-CN"/>
              </w:rPr>
            </w:pPr>
            <w:r>
              <w:rPr>
                <w:color w:val="auto"/>
                <w:highlight w:val="none"/>
                <w:lang w:val="en-US" w:eastAsia="zh-CN"/>
              </w:rPr>
              <w:t>四川大英经济开发区主导产业负面清单</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409"/>
              <w:gridCol w:w="3430"/>
              <w:gridCol w:w="941"/>
            </w:tblGrid>
            <w:tr w14:paraId="3486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ign w:val="center"/>
                </w:tcPr>
                <w:p w14:paraId="3DF10EB3">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行业</w:t>
                  </w:r>
                </w:p>
                <w:p w14:paraId="39402C5F">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分类</w:t>
                  </w:r>
                </w:p>
              </w:tc>
              <w:tc>
                <w:tcPr>
                  <w:tcW w:w="1595" w:type="pct"/>
                  <w:tcBorders>
                    <w:tl2br w:val="nil"/>
                    <w:tr2bl w:val="nil"/>
                  </w:tcBorders>
                  <w:noWrap/>
                  <w:vAlign w:val="center"/>
                </w:tcPr>
                <w:p w14:paraId="6F091176">
                  <w:pPr>
                    <w:widowControl/>
                    <w:spacing w:line="240" w:lineRule="auto"/>
                    <w:jc w:val="center"/>
                    <w:rPr>
                      <w:rFonts w:ascii="Times New Roman" w:hAnsi="Times New Roman" w:cs="Times New Roman"/>
                      <w:b/>
                      <w:bCs/>
                      <w:color w:val="auto"/>
                      <w:kern w:val="0"/>
                      <w:sz w:val="21"/>
                      <w:szCs w:val="21"/>
                      <w:highlight w:val="none"/>
                    </w:rPr>
                  </w:pPr>
                  <w:r>
                    <w:rPr>
                      <w:rFonts w:ascii="Times New Roman" w:hAnsi="Times New Roman" w:cs="Times New Roman"/>
                      <w:b/>
                      <w:bCs/>
                      <w:color w:val="auto"/>
                      <w:kern w:val="0"/>
                      <w:sz w:val="21"/>
                      <w:szCs w:val="21"/>
                      <w:highlight w:val="none"/>
                    </w:rPr>
                    <w:t>大/中类</w:t>
                  </w:r>
                </w:p>
              </w:tc>
              <w:tc>
                <w:tcPr>
                  <w:tcW w:w="2273" w:type="pct"/>
                  <w:tcBorders>
                    <w:tl2br w:val="nil"/>
                    <w:tr2bl w:val="nil"/>
                  </w:tcBorders>
                  <w:noWrap/>
                  <w:vAlign w:val="center"/>
                </w:tcPr>
                <w:p w14:paraId="0E88F891">
                  <w:pPr>
                    <w:widowControl/>
                    <w:spacing w:line="240" w:lineRule="auto"/>
                    <w:jc w:val="center"/>
                    <w:rPr>
                      <w:rFonts w:ascii="Times New Roman" w:hAnsi="Times New Roman" w:cs="Times New Roman"/>
                      <w:b/>
                      <w:bCs/>
                      <w:color w:val="auto"/>
                      <w:spacing w:val="-12"/>
                      <w:sz w:val="21"/>
                      <w:szCs w:val="21"/>
                      <w:highlight w:val="none"/>
                    </w:rPr>
                  </w:pPr>
                  <w:r>
                    <w:rPr>
                      <w:rFonts w:ascii="Times New Roman" w:hAnsi="Times New Roman" w:cs="Times New Roman"/>
                      <w:b/>
                      <w:bCs/>
                      <w:color w:val="auto"/>
                      <w:spacing w:val="-12"/>
                      <w:sz w:val="21"/>
                      <w:szCs w:val="21"/>
                      <w:highlight w:val="none"/>
                    </w:rPr>
                    <w:t>禁止类</w:t>
                  </w:r>
                </w:p>
              </w:tc>
              <w:tc>
                <w:tcPr>
                  <w:tcW w:w="623" w:type="pct"/>
                  <w:tcBorders>
                    <w:tl2br w:val="nil"/>
                    <w:tr2bl w:val="nil"/>
                  </w:tcBorders>
                  <w:noWrap/>
                  <w:vAlign w:val="center"/>
                </w:tcPr>
                <w:p w14:paraId="16710299">
                  <w:pPr>
                    <w:widowControl/>
                    <w:autoSpaceDE w:val="0"/>
                    <w:autoSpaceDN w:val="0"/>
                    <w:spacing w:line="240" w:lineRule="auto"/>
                    <w:jc w:val="center"/>
                    <w:rPr>
                      <w:rFonts w:ascii="Times New Roman" w:hAnsi="Times New Roman" w:cs="Times New Roman"/>
                      <w:b/>
                      <w:bCs/>
                      <w:color w:val="auto"/>
                      <w:kern w:val="0"/>
                      <w:sz w:val="21"/>
                      <w:szCs w:val="21"/>
                      <w:highlight w:val="none"/>
                    </w:rPr>
                  </w:pPr>
                  <w:r>
                    <w:rPr>
                      <w:rFonts w:ascii="Times New Roman" w:hAnsi="Times New Roman" w:cs="Times New Roman"/>
                      <w:b/>
                      <w:bCs/>
                      <w:color w:val="auto"/>
                      <w:kern w:val="0"/>
                      <w:sz w:val="21"/>
                      <w:szCs w:val="21"/>
                      <w:highlight w:val="none"/>
                    </w:rPr>
                    <w:t>限制类</w:t>
                  </w:r>
                </w:p>
              </w:tc>
            </w:tr>
            <w:tr w14:paraId="0F5A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ign w:val="center"/>
                </w:tcPr>
                <w:p w14:paraId="1EA84D5C">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石化</w:t>
                  </w:r>
                </w:p>
              </w:tc>
              <w:tc>
                <w:tcPr>
                  <w:tcW w:w="1595" w:type="pct"/>
                  <w:tcBorders>
                    <w:tl2br w:val="nil"/>
                    <w:tr2bl w:val="nil"/>
                  </w:tcBorders>
                  <w:noWrap/>
                  <w:vAlign w:val="center"/>
                </w:tcPr>
                <w:p w14:paraId="5D5701B2">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251精炼石油产品制造</w:t>
                  </w:r>
                </w:p>
              </w:tc>
              <w:tc>
                <w:tcPr>
                  <w:tcW w:w="2273" w:type="pct"/>
                  <w:tcBorders>
                    <w:tl2br w:val="nil"/>
                    <w:tr2bl w:val="nil"/>
                  </w:tcBorders>
                  <w:noWrap/>
                  <w:vAlign w:val="center"/>
                </w:tcPr>
                <w:p w14:paraId="41941235">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新建原油炼制、扩建燃料油炼制项目</w:t>
                  </w:r>
                  <w:r>
                    <w:rPr>
                      <w:rFonts w:ascii="Times New Roman" w:hAnsi="Times New Roman"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油品升级项目除外</w:t>
                  </w:r>
                </w:p>
              </w:tc>
              <w:tc>
                <w:tcPr>
                  <w:tcW w:w="623" w:type="pct"/>
                  <w:tcBorders>
                    <w:tl2br w:val="nil"/>
                    <w:tr2bl w:val="nil"/>
                  </w:tcBorders>
                  <w:noWrap/>
                  <w:vAlign w:val="center"/>
                </w:tcPr>
                <w:p w14:paraId="7412A26D">
                  <w:pPr>
                    <w:widowControl/>
                    <w:spacing w:line="240" w:lineRule="auto"/>
                    <w:jc w:val="center"/>
                    <w:rPr>
                      <w:rFonts w:ascii="Times New Roman" w:hAnsi="Times New Roman" w:eastAsia="宋体" w:cs="Times New Roman"/>
                      <w:b/>
                      <w:bCs/>
                      <w:color w:val="auto"/>
                      <w:sz w:val="21"/>
                      <w:szCs w:val="21"/>
                      <w:highlight w:val="none"/>
                      <w:lang w:val="en-US" w:eastAsia="zh-CN"/>
                    </w:rPr>
                  </w:pPr>
                  <w:r>
                    <w:rPr>
                      <w:rFonts w:ascii="Times New Roman" w:hAnsi="Times New Roman" w:cs="Times New Roman"/>
                      <w:b/>
                      <w:bCs/>
                      <w:color w:val="auto"/>
                      <w:sz w:val="21"/>
                      <w:szCs w:val="21"/>
                      <w:highlight w:val="none"/>
                      <w:lang w:val="en-US" w:eastAsia="zh-CN"/>
                    </w:rPr>
                    <w:t>/</w:t>
                  </w:r>
                </w:p>
              </w:tc>
            </w:tr>
            <w:tr w14:paraId="30D6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noWrap/>
                  <w:vAlign w:val="center"/>
                </w:tcPr>
                <w:p w14:paraId="0FDF6B3B">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化工</w:t>
                  </w:r>
                </w:p>
              </w:tc>
              <w:tc>
                <w:tcPr>
                  <w:tcW w:w="1595" w:type="pct"/>
                  <w:tcBorders>
                    <w:tl2br w:val="nil"/>
                    <w:tr2bl w:val="nil"/>
                  </w:tcBorders>
                  <w:noWrap/>
                  <w:vAlign w:val="center"/>
                </w:tcPr>
                <w:p w14:paraId="77CA7232">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261基础化学原料制造</w:t>
                  </w:r>
                </w:p>
              </w:tc>
              <w:tc>
                <w:tcPr>
                  <w:tcW w:w="2273" w:type="pct"/>
                  <w:tcBorders>
                    <w:tl2br w:val="nil"/>
                    <w:tr2bl w:val="nil"/>
                  </w:tcBorders>
                  <w:noWrap/>
                  <w:vAlign w:val="center"/>
                </w:tcPr>
                <w:p w14:paraId="0BB71BEB">
                  <w:pPr>
                    <w:widowControl/>
                    <w:spacing w:line="240" w:lineRule="auto"/>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“三酸两碱”（硫酸、盐酸、硝酸，烧碱、纯碱）项目</w:t>
                  </w:r>
                  <w:r>
                    <w:rPr>
                      <w:rFonts w:ascii="Times New Roman" w:hAnsi="Times New Roman"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氯碱（PVC）项目</w:t>
                  </w:r>
                </w:p>
              </w:tc>
              <w:tc>
                <w:tcPr>
                  <w:tcW w:w="623" w:type="pct"/>
                  <w:tcBorders>
                    <w:tl2br w:val="nil"/>
                    <w:tr2bl w:val="nil"/>
                  </w:tcBorders>
                  <w:noWrap/>
                  <w:vAlign w:val="center"/>
                </w:tcPr>
                <w:p w14:paraId="7595CF8C">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val="en-US" w:eastAsia="zh-CN"/>
                    </w:rPr>
                    <w:t>/</w:t>
                  </w:r>
                </w:p>
              </w:tc>
            </w:tr>
            <w:tr w14:paraId="7CB9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14:paraId="22CC0C88">
                  <w:pPr>
                    <w:rPr>
                      <w:color w:val="auto"/>
                      <w:highlight w:val="none"/>
                    </w:rPr>
                  </w:pPr>
                </w:p>
              </w:tc>
              <w:tc>
                <w:tcPr>
                  <w:tcW w:w="1595" w:type="pct"/>
                  <w:tcBorders>
                    <w:tl2br w:val="nil"/>
                    <w:tr2bl w:val="nil"/>
                  </w:tcBorders>
                  <w:noWrap/>
                  <w:vAlign w:val="center"/>
                </w:tcPr>
                <w:p w14:paraId="3802E6AE">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262肥料制造</w:t>
                  </w:r>
                </w:p>
              </w:tc>
              <w:tc>
                <w:tcPr>
                  <w:tcW w:w="2273" w:type="pct"/>
                  <w:tcBorders>
                    <w:tl2br w:val="nil"/>
                    <w:tr2bl w:val="nil"/>
                  </w:tcBorders>
                  <w:noWrap/>
                  <w:vAlign w:val="center"/>
                </w:tcPr>
                <w:p w14:paraId="6C7C63E3">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除合成氨外的肥料制造项目</w:t>
                  </w:r>
                </w:p>
              </w:tc>
              <w:tc>
                <w:tcPr>
                  <w:tcW w:w="623" w:type="pct"/>
                  <w:tcBorders>
                    <w:tl2br w:val="nil"/>
                    <w:tr2bl w:val="nil"/>
                  </w:tcBorders>
                  <w:noWrap/>
                  <w:vAlign w:val="center"/>
                </w:tcPr>
                <w:p w14:paraId="7129E1E1">
                  <w:pPr>
                    <w:widowControl/>
                    <w:spacing w:line="240" w:lineRule="auto"/>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合成氨</w:t>
                  </w:r>
                </w:p>
                <w:p w14:paraId="6B0BECB2">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项目</w:t>
                  </w:r>
                </w:p>
              </w:tc>
            </w:tr>
            <w:tr w14:paraId="7278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14:paraId="3ED9B5DB">
                  <w:pPr>
                    <w:rPr>
                      <w:color w:val="auto"/>
                      <w:highlight w:val="none"/>
                    </w:rPr>
                  </w:pPr>
                </w:p>
              </w:tc>
              <w:tc>
                <w:tcPr>
                  <w:tcW w:w="1595" w:type="pct"/>
                  <w:tcBorders>
                    <w:tl2br w:val="nil"/>
                    <w:tr2bl w:val="nil"/>
                  </w:tcBorders>
                  <w:noWrap/>
                  <w:vAlign w:val="center"/>
                </w:tcPr>
                <w:p w14:paraId="35DD7BA8">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263农药制造</w:t>
                  </w:r>
                </w:p>
              </w:tc>
              <w:tc>
                <w:tcPr>
                  <w:tcW w:w="2273" w:type="pct"/>
                  <w:tcBorders>
                    <w:tl2br w:val="nil"/>
                    <w:tr2bl w:val="nil"/>
                  </w:tcBorders>
                  <w:noWrap/>
                  <w:vAlign w:val="center"/>
                </w:tcPr>
                <w:p w14:paraId="004EB5F0">
                  <w:pPr>
                    <w:widowControl/>
                    <w:spacing w:line="240" w:lineRule="auto"/>
                    <w:jc w:val="center"/>
                    <w:rPr>
                      <w:rFonts w:ascii="Times New Roman" w:hAnsi="Times New Roman" w:cs="Times New Roman"/>
                      <w:b/>
                      <w:bCs/>
                      <w:color w:val="auto"/>
                      <w:spacing w:val="-12"/>
                      <w:sz w:val="21"/>
                      <w:szCs w:val="21"/>
                      <w:highlight w:val="none"/>
                    </w:rPr>
                  </w:pPr>
                  <w:r>
                    <w:rPr>
                      <w:rFonts w:ascii="Times New Roman" w:hAnsi="Times New Roman" w:cs="Times New Roman"/>
                      <w:color w:val="auto"/>
                      <w:kern w:val="0"/>
                      <w:sz w:val="21"/>
                      <w:szCs w:val="21"/>
                      <w:highlight w:val="none"/>
                    </w:rPr>
                    <w:t>全部</w:t>
                  </w:r>
                </w:p>
              </w:tc>
              <w:tc>
                <w:tcPr>
                  <w:tcW w:w="623" w:type="pct"/>
                  <w:tcBorders>
                    <w:tl2br w:val="nil"/>
                    <w:tr2bl w:val="nil"/>
                  </w:tcBorders>
                  <w:noWrap/>
                  <w:vAlign w:val="center"/>
                </w:tcPr>
                <w:p w14:paraId="06A079AC">
                  <w:pPr>
                    <w:widowControl/>
                    <w:spacing w:line="240" w:lineRule="auto"/>
                    <w:jc w:val="center"/>
                    <w:rPr>
                      <w:rFonts w:ascii="Times New Roman" w:hAnsi="Times New Roman" w:cs="Times New Roman"/>
                      <w:b/>
                      <w:bCs/>
                      <w:color w:val="auto"/>
                      <w:spacing w:val="-12"/>
                      <w:sz w:val="21"/>
                      <w:szCs w:val="21"/>
                      <w:highlight w:val="none"/>
                    </w:rPr>
                  </w:pPr>
                  <w:r>
                    <w:rPr>
                      <w:rFonts w:ascii="Times New Roman" w:hAnsi="Times New Roman" w:cs="Times New Roman"/>
                      <w:b/>
                      <w:bCs/>
                      <w:color w:val="auto"/>
                      <w:sz w:val="21"/>
                      <w:szCs w:val="21"/>
                      <w:highlight w:val="none"/>
                      <w:lang w:val="en-US" w:eastAsia="zh-CN"/>
                    </w:rPr>
                    <w:t>/</w:t>
                  </w:r>
                </w:p>
              </w:tc>
            </w:tr>
            <w:tr w14:paraId="3A4E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14:paraId="577FDA72">
                  <w:pPr>
                    <w:rPr>
                      <w:color w:val="auto"/>
                      <w:highlight w:val="none"/>
                    </w:rPr>
                  </w:pPr>
                </w:p>
              </w:tc>
              <w:tc>
                <w:tcPr>
                  <w:tcW w:w="1595" w:type="pct"/>
                  <w:tcBorders>
                    <w:tl2br w:val="nil"/>
                    <w:tr2bl w:val="nil"/>
                  </w:tcBorders>
                  <w:noWrap/>
                  <w:vAlign w:val="center"/>
                </w:tcPr>
                <w:p w14:paraId="7FB429AD">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264涂料、油墨、颜料及类似产品制造</w:t>
                  </w:r>
                </w:p>
              </w:tc>
              <w:tc>
                <w:tcPr>
                  <w:tcW w:w="2273" w:type="pct"/>
                  <w:tcBorders>
                    <w:tl2br w:val="nil"/>
                    <w:tr2bl w:val="nil"/>
                  </w:tcBorders>
                  <w:noWrap/>
                  <w:vAlign w:val="center"/>
                </w:tcPr>
                <w:p w14:paraId="76E336C9">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涉及有机溶剂使用和挥发性有机物排放的低固份油性涂料生产</w:t>
                  </w:r>
                </w:p>
              </w:tc>
              <w:tc>
                <w:tcPr>
                  <w:tcW w:w="623" w:type="pct"/>
                  <w:tcBorders>
                    <w:tl2br w:val="nil"/>
                    <w:tr2bl w:val="nil"/>
                  </w:tcBorders>
                  <w:noWrap/>
                  <w:vAlign w:val="center"/>
                </w:tcPr>
                <w:p w14:paraId="75A4E697">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val="en-US" w:eastAsia="zh-CN"/>
                    </w:rPr>
                    <w:t>/</w:t>
                  </w:r>
                </w:p>
              </w:tc>
            </w:tr>
            <w:tr w14:paraId="4A55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14:paraId="23FC71D7">
                  <w:pPr>
                    <w:rPr>
                      <w:color w:val="auto"/>
                      <w:highlight w:val="none"/>
                    </w:rPr>
                  </w:pPr>
                </w:p>
              </w:tc>
              <w:tc>
                <w:tcPr>
                  <w:tcW w:w="1595" w:type="pct"/>
                  <w:tcBorders>
                    <w:tl2br w:val="nil"/>
                    <w:tr2bl w:val="nil"/>
                  </w:tcBorders>
                  <w:noWrap/>
                  <w:vAlign w:val="center"/>
                </w:tcPr>
                <w:p w14:paraId="45A46AB9">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265合成材料</w:t>
                  </w:r>
                </w:p>
              </w:tc>
              <w:tc>
                <w:tcPr>
                  <w:tcW w:w="2273" w:type="pct"/>
                  <w:tcBorders>
                    <w:tl2br w:val="nil"/>
                    <w:tr2bl w:val="nil"/>
                  </w:tcBorders>
                  <w:noWrap/>
                  <w:vAlign w:val="center"/>
                </w:tcPr>
                <w:p w14:paraId="03AC7DD2">
                  <w:pPr>
                    <w:widowControl/>
                    <w:spacing w:line="240" w:lineRule="auto"/>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新建、改扩建溶剂型氯丁橡胶类、丁苯热塑性橡胶类、聚氨酯类和聚丙烯酸酯类等通用型胶粘剂生产项目</w:t>
                  </w:r>
                  <w:r>
                    <w:rPr>
                      <w:rFonts w:ascii="Times New Roman" w:hAnsi="Times New Roman"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石油化学合成材料制造（丙烯、C4馏分下游产品制造除外）</w:t>
                  </w:r>
                </w:p>
              </w:tc>
              <w:tc>
                <w:tcPr>
                  <w:tcW w:w="623" w:type="pct"/>
                  <w:tcBorders>
                    <w:tl2br w:val="nil"/>
                    <w:tr2bl w:val="nil"/>
                  </w:tcBorders>
                  <w:noWrap/>
                  <w:vAlign w:val="center"/>
                </w:tcPr>
                <w:p w14:paraId="09C84466">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val="en-US" w:eastAsia="zh-CN"/>
                    </w:rPr>
                    <w:t>/</w:t>
                  </w:r>
                </w:p>
              </w:tc>
            </w:tr>
            <w:tr w14:paraId="2403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14:paraId="2A8EADF8">
                  <w:pPr>
                    <w:rPr>
                      <w:color w:val="auto"/>
                      <w:highlight w:val="none"/>
                    </w:rPr>
                  </w:pPr>
                </w:p>
              </w:tc>
              <w:tc>
                <w:tcPr>
                  <w:tcW w:w="1595" w:type="pct"/>
                  <w:tcBorders>
                    <w:tl2br w:val="nil"/>
                    <w:tr2bl w:val="nil"/>
                  </w:tcBorders>
                  <w:noWrap/>
                  <w:vAlign w:val="center"/>
                </w:tcPr>
                <w:p w14:paraId="4A578B30">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266专用化学产品制造</w:t>
                  </w:r>
                </w:p>
              </w:tc>
              <w:tc>
                <w:tcPr>
                  <w:tcW w:w="2273" w:type="pct"/>
                  <w:tcBorders>
                    <w:tl2br w:val="nil"/>
                    <w:tr2bl w:val="nil"/>
                  </w:tcBorders>
                  <w:noWrap/>
                  <w:vAlign w:val="center"/>
                </w:tcPr>
                <w:p w14:paraId="2B4D43BA">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动物胶制造</w:t>
                  </w:r>
                </w:p>
              </w:tc>
              <w:tc>
                <w:tcPr>
                  <w:tcW w:w="623" w:type="pct"/>
                  <w:tcBorders>
                    <w:tl2br w:val="nil"/>
                    <w:tr2bl w:val="nil"/>
                  </w:tcBorders>
                  <w:noWrap/>
                  <w:vAlign w:val="center"/>
                </w:tcPr>
                <w:p w14:paraId="0EF83686">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val="en-US" w:eastAsia="zh-CN"/>
                    </w:rPr>
                    <w:t>/</w:t>
                  </w:r>
                </w:p>
              </w:tc>
            </w:tr>
            <w:tr w14:paraId="51AD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14:paraId="5AB6FA5A">
                  <w:pPr>
                    <w:rPr>
                      <w:color w:val="auto"/>
                      <w:highlight w:val="none"/>
                    </w:rPr>
                  </w:pPr>
                </w:p>
              </w:tc>
              <w:tc>
                <w:tcPr>
                  <w:tcW w:w="1595" w:type="pct"/>
                  <w:tcBorders>
                    <w:tl2br w:val="nil"/>
                    <w:tr2bl w:val="nil"/>
                  </w:tcBorders>
                  <w:noWrap/>
                  <w:vAlign w:val="center"/>
                </w:tcPr>
                <w:p w14:paraId="29899498">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267炸药、火工及焰火产品制造</w:t>
                  </w:r>
                </w:p>
              </w:tc>
              <w:tc>
                <w:tcPr>
                  <w:tcW w:w="2273" w:type="pct"/>
                  <w:tcBorders>
                    <w:tl2br w:val="nil"/>
                    <w:tr2bl w:val="nil"/>
                  </w:tcBorders>
                  <w:noWrap/>
                  <w:vAlign w:val="center"/>
                </w:tcPr>
                <w:p w14:paraId="2E4AA949">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全部</w:t>
                  </w:r>
                </w:p>
              </w:tc>
              <w:tc>
                <w:tcPr>
                  <w:tcW w:w="623" w:type="pct"/>
                  <w:tcBorders>
                    <w:tl2br w:val="nil"/>
                    <w:tr2bl w:val="nil"/>
                  </w:tcBorders>
                  <w:noWrap/>
                  <w:vAlign w:val="center"/>
                </w:tcPr>
                <w:p w14:paraId="4E6AF08D">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val="en-US" w:eastAsia="zh-CN"/>
                    </w:rPr>
                    <w:t>/</w:t>
                  </w:r>
                </w:p>
              </w:tc>
            </w:tr>
            <w:tr w14:paraId="4B65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ign w:val="center"/>
                </w:tcPr>
                <w:p w14:paraId="41D55732">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纺织</w:t>
                  </w:r>
                </w:p>
              </w:tc>
              <w:tc>
                <w:tcPr>
                  <w:tcW w:w="1595" w:type="pct"/>
                  <w:tcBorders>
                    <w:tl2br w:val="nil"/>
                    <w:tr2bl w:val="nil"/>
                  </w:tcBorders>
                  <w:noWrap/>
                  <w:vAlign w:val="center"/>
                </w:tcPr>
                <w:p w14:paraId="396E1F94">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17纺织业</w:t>
                  </w:r>
                </w:p>
              </w:tc>
              <w:tc>
                <w:tcPr>
                  <w:tcW w:w="2273" w:type="pct"/>
                  <w:tcBorders>
                    <w:tl2br w:val="nil"/>
                    <w:tr2bl w:val="nil"/>
                  </w:tcBorders>
                  <w:noWrap/>
                  <w:vAlign w:val="center"/>
                </w:tcPr>
                <w:p w14:paraId="1C18BE23">
                  <w:pPr>
                    <w:widowControl/>
                    <w:spacing w:line="240" w:lineRule="auto"/>
                    <w:jc w:val="center"/>
                    <w:rPr>
                      <w:rFonts w:ascii="Times New Roman" w:hAnsi="Times New Roman" w:cs="Times New Roman"/>
                      <w:b/>
                      <w:bCs/>
                      <w:color w:val="auto"/>
                      <w:spacing w:val="-12"/>
                      <w:sz w:val="21"/>
                      <w:szCs w:val="21"/>
                      <w:highlight w:val="none"/>
                    </w:rPr>
                  </w:pPr>
                  <w:r>
                    <w:rPr>
                      <w:rFonts w:ascii="Times New Roman" w:hAnsi="Times New Roman" w:cs="Times New Roman"/>
                      <w:color w:val="auto"/>
                      <w:kern w:val="0"/>
                      <w:sz w:val="21"/>
                      <w:szCs w:val="21"/>
                      <w:highlight w:val="none"/>
                    </w:rPr>
                    <w:t>涉及印染、染整、脱胶工序或产生缫丝、精炼废水的项目</w:t>
                  </w:r>
                </w:p>
              </w:tc>
              <w:tc>
                <w:tcPr>
                  <w:tcW w:w="623" w:type="pct"/>
                  <w:tcBorders>
                    <w:tl2br w:val="nil"/>
                    <w:tr2bl w:val="nil"/>
                  </w:tcBorders>
                  <w:noWrap/>
                  <w:vAlign w:val="center"/>
                </w:tcPr>
                <w:p w14:paraId="683D90DC">
                  <w:pPr>
                    <w:widowControl/>
                    <w:spacing w:line="240" w:lineRule="auto"/>
                    <w:jc w:val="center"/>
                    <w:rPr>
                      <w:rFonts w:ascii="Times New Roman" w:hAnsi="Times New Roman" w:cs="Times New Roman"/>
                      <w:b/>
                      <w:bCs/>
                      <w:color w:val="auto"/>
                      <w:spacing w:val="-12"/>
                      <w:sz w:val="21"/>
                      <w:szCs w:val="21"/>
                      <w:highlight w:val="none"/>
                    </w:rPr>
                  </w:pPr>
                  <w:r>
                    <w:rPr>
                      <w:rFonts w:ascii="Times New Roman" w:hAnsi="Times New Roman" w:cs="Times New Roman"/>
                      <w:b/>
                      <w:bCs/>
                      <w:color w:val="auto"/>
                      <w:sz w:val="21"/>
                      <w:szCs w:val="21"/>
                      <w:highlight w:val="none"/>
                      <w:lang w:val="en-US" w:eastAsia="zh-CN"/>
                    </w:rPr>
                    <w:t>/</w:t>
                  </w:r>
                </w:p>
              </w:tc>
            </w:tr>
            <w:tr w14:paraId="4CFD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noWrap/>
                  <w:vAlign w:val="center"/>
                </w:tcPr>
                <w:p w14:paraId="5585C0CB">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建材</w:t>
                  </w:r>
                </w:p>
              </w:tc>
              <w:tc>
                <w:tcPr>
                  <w:tcW w:w="1595" w:type="pct"/>
                  <w:tcBorders>
                    <w:tl2br w:val="nil"/>
                    <w:tr2bl w:val="nil"/>
                  </w:tcBorders>
                  <w:noWrap/>
                  <w:vAlign w:val="center"/>
                </w:tcPr>
                <w:p w14:paraId="2D79DD37">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201木材加工</w:t>
                  </w:r>
                </w:p>
              </w:tc>
              <w:tc>
                <w:tcPr>
                  <w:tcW w:w="2273" w:type="pct"/>
                  <w:vMerge w:val="restart"/>
                  <w:tcBorders>
                    <w:tl2br w:val="nil"/>
                    <w:tr2bl w:val="nil"/>
                  </w:tcBorders>
                  <w:noWrap/>
                  <w:vAlign w:val="center"/>
                </w:tcPr>
                <w:p w14:paraId="70FA3BB7">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涉及有机溶剂使用和挥发性有机物排放的沥青类防水材料生产、人造板项目</w:t>
                  </w:r>
                </w:p>
              </w:tc>
              <w:tc>
                <w:tcPr>
                  <w:tcW w:w="623" w:type="pct"/>
                  <w:tcBorders>
                    <w:tl2br w:val="nil"/>
                    <w:tr2bl w:val="nil"/>
                  </w:tcBorders>
                  <w:noWrap/>
                  <w:vAlign w:val="center"/>
                </w:tcPr>
                <w:p w14:paraId="779F4A47">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val="en-US" w:eastAsia="zh-CN"/>
                    </w:rPr>
                    <w:t>/</w:t>
                  </w:r>
                </w:p>
              </w:tc>
            </w:tr>
            <w:tr w14:paraId="2EE1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14:paraId="1B5265E7">
                  <w:pPr>
                    <w:rPr>
                      <w:color w:val="auto"/>
                      <w:highlight w:val="none"/>
                    </w:rPr>
                  </w:pPr>
                </w:p>
              </w:tc>
              <w:tc>
                <w:tcPr>
                  <w:tcW w:w="1595" w:type="pct"/>
                  <w:tcBorders>
                    <w:tl2br w:val="nil"/>
                    <w:tr2bl w:val="nil"/>
                  </w:tcBorders>
                  <w:noWrap/>
                  <w:vAlign w:val="center"/>
                </w:tcPr>
                <w:p w14:paraId="1B694BED">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202人造板制造</w:t>
                  </w:r>
                </w:p>
              </w:tc>
              <w:tc>
                <w:tcPr>
                  <w:tcW w:w="2273" w:type="pct"/>
                  <w:vMerge w:val="continue"/>
                  <w:tcBorders>
                    <w:tl2br w:val="nil"/>
                    <w:tr2bl w:val="nil"/>
                  </w:tcBorders>
                  <w:noWrap/>
                  <w:vAlign w:val="center"/>
                </w:tcPr>
                <w:p w14:paraId="785187D3">
                  <w:pPr>
                    <w:rPr>
                      <w:color w:val="auto"/>
                      <w:highlight w:val="none"/>
                    </w:rPr>
                  </w:pPr>
                </w:p>
              </w:tc>
              <w:tc>
                <w:tcPr>
                  <w:tcW w:w="623" w:type="pct"/>
                  <w:tcBorders>
                    <w:tl2br w:val="nil"/>
                    <w:tr2bl w:val="nil"/>
                  </w:tcBorders>
                  <w:noWrap/>
                  <w:vAlign w:val="center"/>
                </w:tcPr>
                <w:p w14:paraId="236F3B71">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val="en-US" w:eastAsia="zh-CN"/>
                    </w:rPr>
                    <w:t>/</w:t>
                  </w:r>
                </w:p>
              </w:tc>
            </w:tr>
            <w:tr w14:paraId="34B2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14:paraId="24CCBEE9">
                  <w:pPr>
                    <w:rPr>
                      <w:color w:val="auto"/>
                      <w:highlight w:val="none"/>
                    </w:rPr>
                  </w:pPr>
                </w:p>
              </w:tc>
              <w:tc>
                <w:tcPr>
                  <w:tcW w:w="1595" w:type="pct"/>
                  <w:tcBorders>
                    <w:tl2br w:val="nil"/>
                    <w:tr2bl w:val="nil"/>
                  </w:tcBorders>
                  <w:noWrap/>
                  <w:vAlign w:val="center"/>
                </w:tcPr>
                <w:p w14:paraId="246B268A">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203木质制品制造</w:t>
                  </w:r>
                </w:p>
              </w:tc>
              <w:tc>
                <w:tcPr>
                  <w:tcW w:w="2273" w:type="pct"/>
                  <w:tcBorders>
                    <w:tl2br w:val="nil"/>
                    <w:tr2bl w:val="nil"/>
                  </w:tcBorders>
                  <w:noWrap/>
                  <w:vAlign w:val="center"/>
                </w:tcPr>
                <w:p w14:paraId="45016489">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使用粉末喷涂、水性涂料及UV涂料以及进入共享喷涂中心的项目除外</w:t>
                  </w:r>
                </w:p>
              </w:tc>
              <w:tc>
                <w:tcPr>
                  <w:tcW w:w="623" w:type="pct"/>
                  <w:tcBorders>
                    <w:tl2br w:val="nil"/>
                    <w:tr2bl w:val="nil"/>
                  </w:tcBorders>
                  <w:noWrap/>
                  <w:vAlign w:val="center"/>
                </w:tcPr>
                <w:p w14:paraId="62390356">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val="en-US" w:eastAsia="zh-CN"/>
                    </w:rPr>
                    <w:t>/</w:t>
                  </w:r>
                </w:p>
              </w:tc>
            </w:tr>
            <w:tr w14:paraId="6540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509" w:type="pct"/>
                  <w:tcBorders>
                    <w:tl2br w:val="nil"/>
                    <w:tr2bl w:val="nil"/>
                  </w:tcBorders>
                  <w:noWrap/>
                  <w:vAlign w:val="center"/>
                </w:tcPr>
                <w:p w14:paraId="4CB12676">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食品</w:t>
                  </w:r>
                </w:p>
              </w:tc>
              <w:tc>
                <w:tcPr>
                  <w:tcW w:w="1595" w:type="pct"/>
                  <w:tcBorders>
                    <w:tl2br w:val="nil"/>
                    <w:tr2bl w:val="nil"/>
                  </w:tcBorders>
                  <w:noWrap/>
                  <w:vAlign w:val="center"/>
                </w:tcPr>
                <w:p w14:paraId="07598CC2">
                  <w:pPr>
                    <w:widowControl/>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食品制造业</w:t>
                  </w:r>
                </w:p>
              </w:tc>
              <w:tc>
                <w:tcPr>
                  <w:tcW w:w="2273" w:type="pct"/>
                  <w:tcBorders>
                    <w:tl2br w:val="nil"/>
                    <w:tr2bl w:val="nil"/>
                  </w:tcBorders>
                  <w:noWrap/>
                  <w:vAlign w:val="center"/>
                </w:tcPr>
                <w:p w14:paraId="4C380E51">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color w:val="auto"/>
                      <w:kern w:val="0"/>
                      <w:sz w:val="21"/>
                      <w:szCs w:val="21"/>
                      <w:highlight w:val="none"/>
                    </w:rPr>
                    <w:t>全部</w:t>
                  </w:r>
                </w:p>
              </w:tc>
              <w:tc>
                <w:tcPr>
                  <w:tcW w:w="623" w:type="pct"/>
                  <w:tcBorders>
                    <w:tl2br w:val="nil"/>
                    <w:tr2bl w:val="nil"/>
                  </w:tcBorders>
                  <w:noWrap/>
                  <w:vAlign w:val="center"/>
                </w:tcPr>
                <w:p w14:paraId="53ECC411">
                  <w:pPr>
                    <w:widowControl/>
                    <w:spacing w:line="240"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val="en-US" w:eastAsia="zh-CN"/>
                    </w:rPr>
                    <w:t>/</w:t>
                  </w:r>
                </w:p>
              </w:tc>
            </w:tr>
          </w:tbl>
          <w:p w14:paraId="65D08BC8">
            <w:pPr>
              <w:widowControl/>
              <w:autoSpaceDE w:val="0"/>
              <w:autoSpaceDN w:val="0"/>
              <w:spacing w:line="360" w:lineRule="auto"/>
              <w:ind w:left="420" w:left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lang w:eastAsia="zh-CN"/>
              </w:rPr>
              <w:t>（</w:t>
            </w:r>
            <w:r>
              <w:rPr>
                <w:rFonts w:ascii="Times New Roman" w:hAnsi="Times New Roman" w:cs="Times New Roman"/>
                <w:color w:val="auto"/>
                <w:kern w:val="0"/>
                <w:sz w:val="24"/>
                <w:szCs w:val="24"/>
                <w:highlight w:val="none"/>
                <w:lang w:val="en-US" w:eastAsia="zh-CN"/>
              </w:rPr>
              <w:t>2</w:t>
            </w:r>
            <w:r>
              <w:rPr>
                <w:rFonts w:ascii="Times New Roman" w:hAnsi="Times New Roman" w:cs="Times New Roman"/>
                <w:color w:val="auto"/>
                <w:kern w:val="0"/>
                <w:sz w:val="24"/>
                <w:szCs w:val="24"/>
                <w:highlight w:val="none"/>
                <w:lang w:eastAsia="zh-CN"/>
              </w:rPr>
              <w:t>）</w:t>
            </w:r>
            <w:r>
              <w:rPr>
                <w:rFonts w:ascii="Times New Roman" w:hAnsi="Times New Roman" w:cs="Times New Roman"/>
                <w:color w:val="auto"/>
                <w:kern w:val="0"/>
                <w:sz w:val="24"/>
                <w:szCs w:val="24"/>
                <w:highlight w:val="none"/>
              </w:rPr>
              <w:t>允许类</w:t>
            </w:r>
          </w:p>
          <w:p w14:paraId="58E5ABBD">
            <w:pPr>
              <w:widowControl/>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原则上未被列入上述鼓励类、负面清单的属允许发展类，但在具体实施过程中切不可盲目引进项目，应注意按如下原则要求：</w:t>
            </w:r>
          </w:p>
          <w:p w14:paraId="59AFAAF8">
            <w:pPr>
              <w:widowControl/>
              <w:spacing w:line="360" w:lineRule="auto"/>
              <w:ind w:firstLine="480" w:firstLineChars="200"/>
              <w:rPr>
                <w:rFonts w:ascii="Times New Roman" w:hAnsi="Times New Roman" w:cs="Times New Roman"/>
                <w:bCs/>
                <w:color w:val="auto"/>
                <w:sz w:val="24"/>
                <w:szCs w:val="24"/>
                <w:highlight w:val="none"/>
              </w:rPr>
            </w:pPr>
            <w:r>
              <w:rPr>
                <w:rFonts w:ascii="Times New Roman" w:hAnsi="Times New Roman" w:cs="Times New Roman"/>
                <w:color w:val="auto"/>
                <w:sz w:val="24"/>
                <w:szCs w:val="24"/>
                <w:highlight w:val="none"/>
              </w:rPr>
              <w:t>对于不属于规划区规划主导产业和重点发展方向的建设项目，若与规划区产业定位有互补作用，或属于规划区重要项目的下游企业，或属于高品质、高附加值、低污染的企业，或</w:t>
            </w:r>
            <w:bookmarkStart w:id="6" w:name="_Hlk42026673"/>
            <w:r>
              <w:rPr>
                <w:rFonts w:ascii="Times New Roman" w:hAnsi="Times New Roman" w:cs="Times New Roman"/>
                <w:color w:val="auto"/>
                <w:sz w:val="24"/>
                <w:szCs w:val="24"/>
                <w:highlight w:val="none"/>
              </w:rPr>
              <w:t>有利于规划区实现循环经济理念和可持续发展</w:t>
            </w:r>
            <w:bookmarkEnd w:id="6"/>
            <w:r>
              <w:rPr>
                <w:rFonts w:ascii="Times New Roman" w:hAnsi="Times New Roman" w:cs="Times New Roman"/>
                <w:color w:val="auto"/>
                <w:sz w:val="24"/>
                <w:szCs w:val="24"/>
                <w:highlight w:val="none"/>
              </w:rPr>
              <w:t>，这一类企业若在建设项目环评中经论证分析</w:t>
            </w:r>
            <w:bookmarkStart w:id="7" w:name="_Hlk42026692"/>
            <w:r>
              <w:rPr>
                <w:rFonts w:ascii="Times New Roman" w:hAnsi="Times New Roman" w:cs="Times New Roman"/>
                <w:color w:val="auto"/>
                <w:sz w:val="24"/>
                <w:szCs w:val="24"/>
                <w:highlight w:val="none"/>
              </w:rPr>
              <w:t>与规划区规划无明显冲突，不会影响规划区规划实施的</w:t>
            </w:r>
            <w:bookmarkEnd w:id="7"/>
            <w:r>
              <w:rPr>
                <w:rFonts w:ascii="Times New Roman" w:hAnsi="Times New Roman" w:cs="Times New Roman"/>
                <w:color w:val="auto"/>
                <w:sz w:val="24"/>
                <w:szCs w:val="24"/>
                <w:highlight w:val="none"/>
              </w:rPr>
              <w:t>，建议允许此类建设项目入驻。</w:t>
            </w:r>
          </w:p>
          <w:p w14:paraId="2290AE2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Times New Roman"/>
                <w:b w:val="0"/>
                <w:bCs w:val="0"/>
                <w:strike w:val="0"/>
                <w:dstrike w:val="0"/>
                <w:color w:val="auto"/>
                <w:kern w:val="0"/>
                <w:sz w:val="24"/>
                <w:szCs w:val="24"/>
                <w:highlight w:val="none"/>
                <w:u w:val="none"/>
                <w:lang w:eastAsia="zh-CN"/>
              </w:rPr>
            </w:pPr>
            <w:bookmarkStart w:id="8" w:name="_Hlk32072544"/>
            <w:r>
              <w:rPr>
                <w:rFonts w:hint="eastAsia" w:cs="Times New Roman"/>
                <w:b w:val="0"/>
                <w:bCs w:val="0"/>
                <w:strike w:val="0"/>
                <w:dstrike w:val="0"/>
                <w:color w:val="auto"/>
                <w:sz w:val="24"/>
                <w:highlight w:val="none"/>
                <w:u w:val="none"/>
                <w:lang w:val="en-US" w:eastAsia="zh-CN"/>
              </w:rPr>
              <w:t>综上，</w:t>
            </w:r>
            <w:r>
              <w:rPr>
                <w:rFonts w:ascii="Times New Roman" w:hAnsi="Times New Roman" w:eastAsia="宋体" w:cs="Times New Roman"/>
                <w:b w:val="0"/>
                <w:bCs w:val="0"/>
                <w:strike w:val="0"/>
                <w:dstrike w:val="0"/>
                <w:color w:val="auto"/>
                <w:sz w:val="24"/>
                <w:highlight w:val="none"/>
                <w:u w:val="none"/>
              </w:rPr>
              <w:t>本项目位于四川大英经济开发区内，</w:t>
            </w:r>
            <w:r>
              <w:rPr>
                <w:rFonts w:hint="eastAsia" w:ascii="Times New Roman" w:hAnsi="Times New Roman" w:eastAsia="宋体" w:cs="Times New Roman"/>
                <w:b w:val="0"/>
                <w:bCs w:val="0"/>
                <w:strike w:val="0"/>
                <w:dstrike w:val="0"/>
                <w:color w:val="auto"/>
                <w:sz w:val="24"/>
                <w:highlight w:val="none"/>
                <w:u w:val="none"/>
                <w:lang w:val="en-US" w:eastAsia="zh-CN"/>
              </w:rPr>
              <w:t>属于</w:t>
            </w:r>
            <w:r>
              <w:rPr>
                <w:rFonts w:ascii="Times New Roman" w:hAnsi="Times New Roman" w:cs="Times New Roman"/>
                <w:b w:val="0"/>
                <w:bCs w:val="0"/>
                <w:color w:val="auto"/>
                <w:kern w:val="0"/>
                <w:sz w:val="24"/>
                <w:szCs w:val="24"/>
                <w:highlight w:val="none"/>
              </w:rPr>
              <w:t>基础化学原料制造</w:t>
            </w:r>
            <w:r>
              <w:rPr>
                <w:rFonts w:hint="eastAsia" w:ascii="Times New Roman" w:hAnsi="Times New Roman" w:eastAsia="宋体" w:cs="Times New Roman"/>
                <w:b w:val="0"/>
                <w:bCs w:val="0"/>
                <w:strike w:val="0"/>
                <w:dstrike w:val="0"/>
                <w:color w:val="auto"/>
                <w:sz w:val="24"/>
                <w:highlight w:val="none"/>
                <w:u w:val="none"/>
                <w:lang w:val="en-US" w:eastAsia="zh-CN"/>
              </w:rPr>
              <w:t>，</w:t>
            </w:r>
            <w:r>
              <w:rPr>
                <w:rFonts w:hint="eastAsia" w:eastAsia="宋体" w:cs="Times New Roman"/>
                <w:b w:val="0"/>
                <w:bCs w:val="0"/>
                <w:strike w:val="0"/>
                <w:dstrike w:val="0"/>
                <w:color w:val="auto"/>
                <w:sz w:val="24"/>
                <w:highlight w:val="none"/>
                <w:u w:val="none"/>
                <w:lang w:val="en-US" w:eastAsia="zh-CN"/>
              </w:rPr>
              <w:t>本项目产品主要为</w:t>
            </w:r>
            <w:r>
              <w:rPr>
                <w:rFonts w:hint="eastAsia" w:cs="Times New Roman"/>
                <w:b w:val="0"/>
                <w:bCs w:val="0"/>
                <w:strike w:val="0"/>
                <w:dstrike w:val="0"/>
                <w:color w:val="auto"/>
                <w:sz w:val="24"/>
                <w:highlight w:val="none"/>
                <w:u w:val="none"/>
                <w:lang w:val="en-US" w:eastAsia="zh-CN"/>
              </w:rPr>
              <w:t>高纯化学原料，属于</w:t>
            </w:r>
            <w:r>
              <w:rPr>
                <w:rFonts w:hint="eastAsia" w:eastAsia="宋体" w:cs="Times New Roman"/>
                <w:b w:val="0"/>
                <w:bCs w:val="0"/>
                <w:strike w:val="0"/>
                <w:dstrike w:val="0"/>
                <w:color w:val="auto"/>
                <w:sz w:val="24"/>
                <w:highlight w:val="none"/>
                <w:u w:val="none"/>
                <w:lang w:val="en-US" w:eastAsia="zh-CN"/>
              </w:rPr>
              <w:t>化工新材料企业生产过程中所需</w:t>
            </w:r>
            <w:r>
              <w:rPr>
                <w:rFonts w:hint="eastAsia" w:ascii="Times New Roman" w:hAnsi="Times New Roman" w:eastAsia="宋体" w:cs="Times New Roman"/>
                <w:b w:val="0"/>
                <w:bCs w:val="0"/>
                <w:strike w:val="0"/>
                <w:dstrike w:val="0"/>
                <w:color w:val="auto"/>
                <w:sz w:val="24"/>
                <w:highlight w:val="none"/>
                <w:u w:val="none"/>
                <w:lang w:val="en-US" w:eastAsia="zh-CN"/>
              </w:rPr>
              <w:t>助剂、催化剂、缓蚀剂、表面活性剂、切削油、防冻液</w:t>
            </w:r>
            <w:r>
              <w:rPr>
                <w:rFonts w:hint="eastAsia" w:cs="Times New Roman"/>
                <w:b w:val="0"/>
                <w:bCs w:val="0"/>
                <w:strike w:val="0"/>
                <w:dstrike w:val="0"/>
                <w:color w:val="auto"/>
                <w:sz w:val="24"/>
                <w:highlight w:val="none"/>
                <w:u w:val="none"/>
                <w:lang w:val="en-US" w:eastAsia="zh-CN"/>
              </w:rPr>
              <w:t>等的生产</w:t>
            </w:r>
            <w:r>
              <w:rPr>
                <w:rFonts w:hint="eastAsia" w:eastAsia="宋体" w:cs="Times New Roman"/>
                <w:b w:val="0"/>
                <w:bCs w:val="0"/>
                <w:strike w:val="0"/>
                <w:dstrike w:val="0"/>
                <w:color w:val="auto"/>
                <w:sz w:val="24"/>
                <w:highlight w:val="none"/>
                <w:u w:val="none"/>
                <w:lang w:val="en-US" w:eastAsia="zh-CN"/>
              </w:rPr>
              <w:t>原料，属于化工新材料企业的配套辅助企业</w:t>
            </w:r>
            <w:r>
              <w:rPr>
                <w:rFonts w:hint="eastAsia" w:cs="Times New Roman"/>
                <w:b w:val="0"/>
                <w:bCs w:val="0"/>
                <w:strike w:val="0"/>
                <w:dstrike w:val="0"/>
                <w:color w:val="auto"/>
                <w:sz w:val="24"/>
                <w:highlight w:val="none"/>
                <w:u w:val="none"/>
                <w:lang w:val="en-US" w:eastAsia="zh-CN"/>
              </w:rPr>
              <w:t>，不属于上表中禁止类、限制类项目</w:t>
            </w:r>
            <w:r>
              <w:rPr>
                <w:rFonts w:hint="eastAsia" w:eastAsia="宋体" w:cs="Times New Roman"/>
                <w:b w:val="0"/>
                <w:bCs w:val="0"/>
                <w:strike w:val="0"/>
                <w:dstrike w:val="0"/>
                <w:color w:val="auto"/>
                <w:sz w:val="24"/>
                <w:highlight w:val="none"/>
                <w:u w:val="none"/>
                <w:lang w:val="en-US" w:eastAsia="zh-CN"/>
              </w:rPr>
              <w:t>。因此，</w:t>
            </w:r>
            <w:r>
              <w:rPr>
                <w:rFonts w:ascii="Times New Roman" w:hAnsi="Times New Roman" w:eastAsia="宋体" w:cs="Times New Roman"/>
                <w:b w:val="0"/>
                <w:bCs w:val="0"/>
                <w:strike w:val="0"/>
                <w:dstrike w:val="0"/>
                <w:color w:val="auto"/>
                <w:sz w:val="24"/>
                <w:highlight w:val="none"/>
                <w:u w:val="none"/>
              </w:rPr>
              <w:t>本项目符合四川大英经济开发区产业规划和布局要求</w:t>
            </w:r>
            <w:r>
              <w:rPr>
                <w:rFonts w:ascii="Times New Roman" w:hAnsi="Times New Roman" w:cs="Times New Roman"/>
                <w:b w:val="0"/>
                <w:bCs w:val="0"/>
                <w:strike w:val="0"/>
                <w:dstrike w:val="0"/>
                <w:color w:val="auto"/>
                <w:kern w:val="0"/>
                <w:sz w:val="24"/>
                <w:szCs w:val="24"/>
                <w:highlight w:val="none"/>
                <w:u w:val="none"/>
                <w:lang w:val="en-US" w:eastAsia="zh-CN"/>
              </w:rPr>
              <w:t>。</w:t>
            </w:r>
          </w:p>
          <w:bookmarkEnd w:id="8"/>
          <w:p w14:paraId="3A97C03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2</w:t>
            </w:r>
            <w:r>
              <w:rPr>
                <w:rFonts w:ascii="Times New Roman" w:hAnsi="Times New Roman" w:cs="Times New Roman"/>
                <w:b/>
                <w:bCs/>
                <w:color w:val="auto"/>
                <w:sz w:val="24"/>
                <w:highlight w:val="none"/>
                <w:lang w:val="en-US" w:eastAsia="zh-CN"/>
              </w:rPr>
              <w:t>、项目与园区规划环评生态环境准入要求符合性分析</w:t>
            </w:r>
          </w:p>
          <w:p w14:paraId="7DE14CE0">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项目与</w:t>
            </w:r>
            <w:r>
              <w:rPr>
                <w:rFonts w:ascii="Times New Roman" w:hAnsi="Times New Roman" w:cs="Times New Roman"/>
                <w:color w:val="auto"/>
                <w:sz w:val="24"/>
                <w:szCs w:val="24"/>
                <w:highlight w:val="none"/>
                <w:lang w:val="en-US" w:eastAsia="zh-CN"/>
              </w:rPr>
              <w:t>四川大英经济开发区</w:t>
            </w:r>
            <w:r>
              <w:rPr>
                <w:rFonts w:ascii="Times New Roman" w:hAnsi="Times New Roman" w:cs="Times New Roman"/>
                <w:color w:val="auto"/>
                <w:sz w:val="24"/>
                <w:szCs w:val="24"/>
                <w:highlight w:val="none"/>
              </w:rPr>
              <w:t>规划环评及环评批复的符合性见下表。</w:t>
            </w:r>
          </w:p>
          <w:p w14:paraId="63D80C2D">
            <w:pPr>
              <w:pStyle w:val="43"/>
              <w:bidi w:val="0"/>
              <w:rPr>
                <w:color w:val="auto"/>
                <w:highlight w:val="none"/>
                <w:lang w:val="en-US" w:eastAsia="zh-CN"/>
              </w:rPr>
            </w:pPr>
            <w:r>
              <w:rPr>
                <w:color w:val="auto"/>
                <w:highlight w:val="none"/>
                <w:lang w:val="en-US" w:eastAsia="zh-CN"/>
              </w:rPr>
              <w:t>项目与发展区规划环评及环评批复的符合性</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5"/>
              <w:gridCol w:w="3622"/>
              <w:gridCol w:w="965"/>
            </w:tblGrid>
            <w:tr w14:paraId="0329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8" w:type="pct"/>
                  <w:tcBorders>
                    <w:tl2br w:val="nil"/>
                    <w:tr2bl w:val="nil"/>
                  </w:tcBorders>
                  <w:noWrap/>
                  <w:vAlign w:val="center"/>
                </w:tcPr>
                <w:p w14:paraId="743C175B">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b/>
                      <w:color w:val="auto"/>
                      <w:sz w:val="21"/>
                      <w:szCs w:val="21"/>
                      <w:highlight w:val="none"/>
                      <w:lang w:val="en-US" w:eastAsia="zh-CN"/>
                    </w:rPr>
                  </w:pPr>
                  <w:r>
                    <w:rPr>
                      <w:rFonts w:ascii="Times New Roman" w:hAnsi="Times New Roman" w:cs="Times New Roman"/>
                      <w:b/>
                      <w:color w:val="auto"/>
                      <w:sz w:val="21"/>
                      <w:szCs w:val="21"/>
                      <w:highlight w:val="none"/>
                      <w:lang w:val="en-US" w:eastAsia="zh-CN"/>
                    </w:rPr>
                    <w:t>规划环评要求</w:t>
                  </w:r>
                </w:p>
              </w:tc>
              <w:tc>
                <w:tcPr>
                  <w:tcW w:w="2401" w:type="pct"/>
                  <w:tcBorders>
                    <w:tl2br w:val="nil"/>
                    <w:tr2bl w:val="nil"/>
                  </w:tcBorders>
                  <w:noWrap/>
                  <w:vAlign w:val="center"/>
                </w:tcPr>
                <w:p w14:paraId="3742C343">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本项目</w:t>
                  </w:r>
                </w:p>
              </w:tc>
              <w:tc>
                <w:tcPr>
                  <w:tcW w:w="640" w:type="pct"/>
                  <w:tcBorders>
                    <w:tl2br w:val="nil"/>
                    <w:tr2bl w:val="nil"/>
                  </w:tcBorders>
                  <w:noWrap/>
                  <w:vAlign w:val="center"/>
                </w:tcPr>
                <w:p w14:paraId="49B0A8CB">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b/>
                      <w:color w:val="auto"/>
                      <w:sz w:val="21"/>
                      <w:szCs w:val="21"/>
                      <w:highlight w:val="none"/>
                      <w:lang w:val="en-US" w:eastAsia="zh-CN"/>
                    </w:rPr>
                  </w:pPr>
                  <w:r>
                    <w:rPr>
                      <w:rFonts w:ascii="Times New Roman" w:hAnsi="Times New Roman" w:cs="Times New Roman"/>
                      <w:b/>
                      <w:color w:val="auto"/>
                      <w:sz w:val="21"/>
                      <w:szCs w:val="21"/>
                      <w:highlight w:val="none"/>
                      <w:lang w:val="en-US" w:eastAsia="zh-CN"/>
                    </w:rPr>
                    <w:t>符合性</w:t>
                  </w:r>
                </w:p>
              </w:tc>
            </w:tr>
            <w:tr w14:paraId="1B2A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8" w:type="pct"/>
                  <w:tcBorders>
                    <w:tl2br w:val="nil"/>
                    <w:tr2bl w:val="nil"/>
                  </w:tcBorders>
                  <w:noWrap/>
                  <w:vAlign w:val="center"/>
                </w:tcPr>
                <w:p w14:paraId="5221BEB6">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b/>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优化能源结构，除久大盐化现有锅炉外禁止使用燃煤等高污染燃料，以天然气、电等清洁能源为主，新建燃气锅炉加装低氮燃烧装置，鼓励引入天然气分布式能源。</w:t>
                  </w:r>
                </w:p>
              </w:tc>
              <w:tc>
                <w:tcPr>
                  <w:tcW w:w="2401" w:type="pct"/>
                  <w:tcBorders>
                    <w:tl2br w:val="nil"/>
                    <w:tr2bl w:val="nil"/>
                  </w:tcBorders>
                  <w:noWrap/>
                  <w:vAlign w:val="center"/>
                </w:tcPr>
                <w:p w14:paraId="17C22A41">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b/>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厂区现有燃气锅炉采用天然气作为能源，属于清洁能源，且锅炉加装了低氮燃烧装置；本次技改不新建燃气锅炉。</w:t>
                  </w:r>
                </w:p>
              </w:tc>
              <w:tc>
                <w:tcPr>
                  <w:tcW w:w="640" w:type="pct"/>
                  <w:tcBorders>
                    <w:tl2br w:val="nil"/>
                    <w:tr2bl w:val="nil"/>
                  </w:tcBorders>
                  <w:noWrap/>
                  <w:vAlign w:val="center"/>
                </w:tcPr>
                <w:p w14:paraId="44599CBD">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b/>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符合</w:t>
                  </w:r>
                </w:p>
              </w:tc>
            </w:tr>
            <w:tr w14:paraId="7C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pct"/>
                  <w:tcBorders>
                    <w:tl2br w:val="nil"/>
                    <w:tr2bl w:val="nil"/>
                  </w:tcBorders>
                  <w:noWrap/>
                  <w:vAlign w:val="center"/>
                </w:tcPr>
                <w:p w14:paraId="231743D2">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lang w:val="en-US" w:eastAsia="zh-CN"/>
                    </w:rPr>
                    <w:t>一</w:t>
                  </w:r>
                  <w:r>
                    <w:rPr>
                      <w:rFonts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rPr>
                    <w:t>禁止引入不符合国家行业准入条件的项目，列入国家产能过剩类别的项目，列入产业结构指导目录限制及禁止类的项目。</w:t>
                  </w:r>
                </w:p>
              </w:tc>
              <w:tc>
                <w:tcPr>
                  <w:tcW w:w="2401" w:type="pct"/>
                  <w:tcBorders>
                    <w:tl2br w:val="nil"/>
                    <w:tr2bl w:val="nil"/>
                  </w:tcBorders>
                  <w:noWrap/>
                  <w:vAlign w:val="center"/>
                </w:tcPr>
                <w:p w14:paraId="76592FA3">
                  <w:pPr>
                    <w:keepNext w:val="0"/>
                    <w:keepLines w:val="0"/>
                    <w:pageBreakBefore w:val="0"/>
                    <w:widowControl w:val="0"/>
                    <w:kinsoku/>
                    <w:wordWrap w:val="0"/>
                    <w:overflowPunct/>
                    <w:topLinePunct w:val="0"/>
                    <w:autoSpaceDE/>
                    <w:autoSpaceDN/>
                    <w:bidi w:val="0"/>
                    <w:adjustRightInd w:val="0"/>
                    <w:snapToGrid w:val="0"/>
                    <w:spacing w:line="240" w:lineRule="auto"/>
                    <w:ind w:right="0"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根据《国民经济行业分类》（GB/T4754-2017），本项目属于</w:t>
                  </w:r>
                  <w:r>
                    <w:rPr>
                      <w:rFonts w:hint="eastAsia" w:ascii="Times New Roman" w:hAnsi="Times New Roman" w:eastAsia="宋体" w:cs="Times New Roman"/>
                      <w:color w:val="auto"/>
                      <w:sz w:val="21"/>
                      <w:szCs w:val="21"/>
                      <w:highlight w:val="none"/>
                      <w:lang w:val="en-US" w:eastAsia="zh-CN"/>
                    </w:rPr>
                    <w:t>C</w:t>
                  </w:r>
                  <w:r>
                    <w:rPr>
                      <w:rFonts w:hint="eastAsia" w:cs="Times New Roman"/>
                      <w:color w:val="auto"/>
                      <w:sz w:val="21"/>
                      <w:szCs w:val="21"/>
                      <w:highlight w:val="none"/>
                      <w:lang w:val="en-US" w:eastAsia="zh-CN"/>
                    </w:rPr>
                    <w:t>2614有机化学原料制造</w:t>
                  </w:r>
                  <w:r>
                    <w:rPr>
                      <w:rFonts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根据《</w:t>
                  </w:r>
                  <w:r>
                    <w:rPr>
                      <w:rFonts w:ascii="Times New Roman" w:hAnsi="Times New Roman" w:eastAsia="宋体" w:cs="Times New Roman"/>
                      <w:color w:val="auto"/>
                      <w:sz w:val="21"/>
                      <w:szCs w:val="21"/>
                      <w:highlight w:val="none"/>
                      <w:lang w:val="en-US" w:eastAsia="zh-CN"/>
                    </w:rPr>
                    <w:t>产业结构调整指导目录（20</w:t>
                  </w:r>
                  <w:r>
                    <w:rPr>
                      <w:rFonts w:hint="eastAsia" w:ascii="Times New Roman" w:hAnsi="Times New Roman" w:eastAsia="宋体" w:cs="Times New Roman"/>
                      <w:color w:val="auto"/>
                      <w:sz w:val="21"/>
                      <w:szCs w:val="21"/>
                      <w:highlight w:val="none"/>
                      <w:lang w:val="en-US" w:eastAsia="zh-CN"/>
                    </w:rPr>
                    <w:t>24</w:t>
                  </w:r>
                  <w:r>
                    <w:rPr>
                      <w:rFonts w:ascii="Times New Roman" w:hAnsi="Times New Roman" w:eastAsia="宋体" w:cs="Times New Roman"/>
                      <w:color w:val="auto"/>
                      <w:sz w:val="21"/>
                      <w:szCs w:val="21"/>
                      <w:highlight w:val="none"/>
                      <w:lang w:val="en-US" w:eastAsia="zh-CN"/>
                    </w:rPr>
                    <w:t>年本）</w:t>
                  </w:r>
                  <w:r>
                    <w:rPr>
                      <w:rFonts w:hint="eastAsia" w:ascii="Times New Roman" w:hAnsi="Times New Roman" w:eastAsia="宋体" w:cs="Times New Roman"/>
                      <w:color w:val="auto"/>
                      <w:sz w:val="21"/>
                      <w:szCs w:val="21"/>
                      <w:highlight w:val="none"/>
                      <w:lang w:val="en-US" w:eastAsia="zh-CN"/>
                    </w:rPr>
                    <w:t>》</w:t>
                  </w:r>
                  <w:r>
                    <w:rPr>
                      <w:rFonts w:ascii="Times New Roman" w:hAnsi="Times New Roman" w:eastAsia="宋体" w:cs="Times New Roman"/>
                      <w:color w:val="auto"/>
                      <w:sz w:val="21"/>
                      <w:szCs w:val="21"/>
                      <w:highlight w:val="none"/>
                      <w:lang w:val="en-US" w:eastAsia="zh-CN"/>
                    </w:rPr>
                    <w:t>，</w:t>
                  </w:r>
                  <w:r>
                    <w:rPr>
                      <w:rFonts w:ascii="Times New Roman" w:hAnsi="Times New Roman" w:eastAsia="宋体" w:cs="Times New Roman"/>
                      <w:color w:val="auto"/>
                      <w:sz w:val="21"/>
                      <w:szCs w:val="21"/>
                      <w:highlight w:val="none"/>
                      <w:lang w:val="zh-CN" w:eastAsia="zh-CN"/>
                    </w:rPr>
                    <w:t>本项目</w:t>
                  </w:r>
                  <w:r>
                    <w:rPr>
                      <w:rFonts w:hint="eastAsia" w:eastAsia="宋体" w:cs="Times New Roman"/>
                      <w:color w:val="auto"/>
                      <w:sz w:val="21"/>
                      <w:szCs w:val="21"/>
                      <w:highlight w:val="none"/>
                      <w:lang w:val="en-US" w:eastAsia="zh-CN"/>
                    </w:rPr>
                    <w:t>产品为</w:t>
                  </w:r>
                  <w:r>
                    <w:rPr>
                      <w:rFonts w:hint="eastAsia" w:cs="Times New Roman"/>
                      <w:color w:val="auto"/>
                      <w:sz w:val="21"/>
                      <w:szCs w:val="21"/>
                      <w:highlight w:val="none"/>
                      <w:lang w:val="en-US" w:eastAsia="zh-CN"/>
                    </w:rPr>
                    <w:t>高纯化学原料，为</w:t>
                  </w:r>
                  <w:r>
                    <w:rPr>
                      <w:rFonts w:hint="eastAsia" w:eastAsia="宋体" w:cs="Times New Roman"/>
                      <w:color w:val="auto"/>
                      <w:sz w:val="21"/>
                      <w:szCs w:val="21"/>
                      <w:highlight w:val="none"/>
                      <w:lang w:val="en-US" w:eastAsia="zh-CN"/>
                    </w:rPr>
                    <w:t>助剂、催化剂、表面活性剂、缓蚀剂等辅助化学产品</w:t>
                  </w:r>
                  <w:r>
                    <w:rPr>
                      <w:rFonts w:hint="eastAsia" w:cs="Times New Roman"/>
                      <w:color w:val="auto"/>
                      <w:sz w:val="21"/>
                      <w:szCs w:val="21"/>
                      <w:highlight w:val="none"/>
                      <w:lang w:val="en-US" w:eastAsia="zh-CN"/>
                    </w:rPr>
                    <w:t>的生产原料</w:t>
                  </w:r>
                  <w:r>
                    <w:rPr>
                      <w:rFonts w:hint="eastAsia" w:eastAsia="宋体" w:cs="Times New Roman"/>
                      <w:color w:val="auto"/>
                      <w:sz w:val="21"/>
                      <w:szCs w:val="21"/>
                      <w:highlight w:val="none"/>
                      <w:lang w:val="en-US" w:eastAsia="zh-CN"/>
                    </w:rPr>
                    <w:t>，</w:t>
                  </w:r>
                  <w:r>
                    <w:rPr>
                      <w:rFonts w:ascii="Times New Roman" w:hAnsi="Times New Roman" w:eastAsia="宋体" w:cs="Times New Roman"/>
                      <w:color w:val="auto"/>
                      <w:sz w:val="21"/>
                      <w:szCs w:val="21"/>
                      <w:highlight w:val="none"/>
                      <w:lang w:val="zh-CN"/>
                    </w:rPr>
                    <w:t>不属于“鼓励类</w:t>
                  </w:r>
                  <w:r>
                    <w:rPr>
                      <w:rFonts w:hint="eastAsia" w:cs="Times New Roman"/>
                      <w:color w:val="auto"/>
                      <w:sz w:val="21"/>
                      <w:szCs w:val="21"/>
                      <w:highlight w:val="none"/>
                      <w:lang w:val="zh-CN"/>
                    </w:rPr>
                    <w:t>”“</w:t>
                  </w:r>
                  <w:r>
                    <w:rPr>
                      <w:rFonts w:ascii="Times New Roman" w:hAnsi="Times New Roman" w:eastAsia="宋体" w:cs="Times New Roman"/>
                      <w:color w:val="auto"/>
                      <w:sz w:val="21"/>
                      <w:szCs w:val="21"/>
                      <w:highlight w:val="none"/>
                      <w:lang w:val="zh-CN"/>
                    </w:rPr>
                    <w:t>限制类”及“淘汰类”之列，为允许类建设项目</w:t>
                  </w:r>
                  <w:r>
                    <w:rPr>
                      <w:rFonts w:hint="eastAsia" w:eastAsia="宋体" w:cs="Times New Roman"/>
                      <w:color w:val="auto"/>
                      <w:sz w:val="21"/>
                      <w:szCs w:val="21"/>
                      <w:highlight w:val="none"/>
                      <w:lang w:val="zh-CN"/>
                    </w:rPr>
                    <w:t>。</w:t>
                  </w:r>
                </w:p>
              </w:tc>
              <w:tc>
                <w:tcPr>
                  <w:tcW w:w="640" w:type="pct"/>
                  <w:tcBorders>
                    <w:tl2br w:val="nil"/>
                    <w:tr2bl w:val="nil"/>
                  </w:tcBorders>
                  <w:noWrap/>
                  <w:vAlign w:val="center"/>
                </w:tcPr>
                <w:p w14:paraId="739F96B2">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lang w:val="en-US" w:eastAsia="zh-CN"/>
                    </w:rPr>
                    <w:t>符合</w:t>
                  </w:r>
                </w:p>
              </w:tc>
            </w:tr>
            <w:tr w14:paraId="48C3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pct"/>
                  <w:tcBorders>
                    <w:tl2br w:val="nil"/>
                    <w:tr2bl w:val="nil"/>
                  </w:tcBorders>
                  <w:noWrap/>
                  <w:vAlign w:val="center"/>
                </w:tcPr>
                <w:p w14:paraId="645A4462">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color w:val="auto"/>
                      <w:kern w:val="0"/>
                      <w:sz w:val="21"/>
                      <w:szCs w:val="21"/>
                      <w:highlight w:val="none"/>
                      <w:lang w:eastAsia="zh-CN"/>
                    </w:rPr>
                  </w:pPr>
                  <w:r>
                    <w:rPr>
                      <w:rFonts w:ascii="Times New Roman" w:hAnsi="Times New Roman"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二）禁止引入不符合国家环保法律法规、各类污染防治规</w:t>
                  </w:r>
                  <w:r>
                    <w:rPr>
                      <w:rFonts w:ascii="Times New Roman" w:hAnsi="Times New Roman" w:cs="Times New Roman"/>
                      <w:color w:val="auto"/>
                      <w:kern w:val="0"/>
                      <w:sz w:val="21"/>
                      <w:szCs w:val="21"/>
                      <w:highlight w:val="none"/>
                      <w:lang w:eastAsia="zh-CN"/>
                    </w:rPr>
                    <w:t>划及要求的项目。</w:t>
                  </w:r>
                </w:p>
              </w:tc>
              <w:tc>
                <w:tcPr>
                  <w:tcW w:w="2401" w:type="pct"/>
                  <w:tcBorders>
                    <w:tl2br w:val="nil"/>
                    <w:tr2bl w:val="nil"/>
                  </w:tcBorders>
                  <w:noWrap/>
                  <w:vAlign w:val="center"/>
                </w:tcPr>
                <w:p w14:paraId="5BB0C802">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left"/>
                    <w:textAlignment w:val="auto"/>
                    <w:rPr>
                      <w:rFonts w:ascii="Times New Roman" w:hAnsi="Times New Roman" w:eastAsia="宋体" w:cs="Times New Roman"/>
                      <w:color w:val="auto"/>
                      <w:kern w:val="0"/>
                      <w:sz w:val="21"/>
                      <w:szCs w:val="21"/>
                      <w:highlight w:val="none"/>
                      <w:lang w:val="en-US" w:eastAsia="zh-CN"/>
                    </w:rPr>
                  </w:pPr>
                  <w:r>
                    <w:rPr>
                      <w:rFonts w:ascii="Times New Roman" w:hAnsi="Times New Roman" w:eastAsia="宋体" w:cs="Times New Roman"/>
                      <w:color w:val="auto"/>
                      <w:kern w:val="0"/>
                      <w:sz w:val="21"/>
                      <w:szCs w:val="21"/>
                      <w:highlight w:val="none"/>
                      <w:lang w:val="en-US" w:eastAsia="zh-CN"/>
                    </w:rPr>
                    <w:t>本项目位于工业园区内，</w:t>
                  </w:r>
                  <w:r>
                    <w:rPr>
                      <w:rFonts w:ascii="Times New Roman" w:hAnsi="Times New Roman" w:eastAsia="宋体" w:cs="Times New Roman"/>
                      <w:color w:val="auto"/>
                      <w:sz w:val="21"/>
                      <w:szCs w:val="21"/>
                      <w:highlight w:val="none"/>
                      <w:lang w:val="en-US" w:eastAsia="zh-CN"/>
                    </w:rPr>
                    <w:t>属于</w:t>
                  </w:r>
                  <w:r>
                    <w:rPr>
                      <w:rFonts w:hint="eastAsia" w:ascii="Times New Roman" w:hAnsi="Times New Roman" w:eastAsia="宋体" w:cs="Times New Roman"/>
                      <w:color w:val="auto"/>
                      <w:sz w:val="21"/>
                      <w:szCs w:val="21"/>
                      <w:highlight w:val="none"/>
                      <w:lang w:val="en-US" w:eastAsia="zh-CN"/>
                    </w:rPr>
                    <w:t>C</w:t>
                  </w:r>
                  <w:r>
                    <w:rPr>
                      <w:rFonts w:hint="eastAsia" w:cs="Times New Roman"/>
                      <w:color w:val="auto"/>
                      <w:sz w:val="21"/>
                      <w:szCs w:val="21"/>
                      <w:highlight w:val="none"/>
                      <w:lang w:val="en-US" w:eastAsia="zh-CN"/>
                    </w:rPr>
                    <w:t>2614有机化学原料制造</w:t>
                  </w:r>
                  <w:r>
                    <w:rPr>
                      <w:rFonts w:ascii="Times New Roman" w:hAnsi="Times New Roman" w:eastAsia="宋体" w:cs="Times New Roman"/>
                      <w:color w:val="auto"/>
                      <w:sz w:val="21"/>
                      <w:szCs w:val="21"/>
                      <w:highlight w:val="none"/>
                      <w:lang w:val="en-US" w:eastAsia="zh-CN"/>
                    </w:rPr>
                    <w:t>，主要大气污染物为</w:t>
                  </w:r>
                  <w:r>
                    <w:rPr>
                      <w:rFonts w:hint="eastAsia" w:cs="Times New Roman"/>
                      <w:color w:val="auto"/>
                      <w:sz w:val="21"/>
                      <w:szCs w:val="21"/>
                      <w:highlight w:val="none"/>
                      <w:lang w:val="en-US" w:eastAsia="zh-CN"/>
                    </w:rPr>
                    <w:t>蒸馏过程</w:t>
                  </w:r>
                  <w:r>
                    <w:rPr>
                      <w:rFonts w:ascii="Times New Roman" w:hAnsi="Times New Roman" w:eastAsia="宋体" w:cs="Times New Roman"/>
                      <w:color w:val="auto"/>
                      <w:sz w:val="21"/>
                      <w:szCs w:val="21"/>
                      <w:highlight w:val="none"/>
                      <w:lang w:val="en-US" w:eastAsia="zh-CN"/>
                    </w:rPr>
                    <w:t>中产生的</w:t>
                  </w:r>
                  <w:r>
                    <w:rPr>
                      <w:rFonts w:hint="eastAsia" w:cs="Times New Roman"/>
                      <w:color w:val="auto"/>
                      <w:sz w:val="21"/>
                      <w:szCs w:val="21"/>
                      <w:highlight w:val="none"/>
                      <w:lang w:val="en-US" w:eastAsia="zh-CN"/>
                    </w:rPr>
                    <w:t>蒸馏尾气（以VOCs计）、储罐呼吸废气（以VOCs计）、</w:t>
                  </w:r>
                  <w:r>
                    <w:rPr>
                      <w:rFonts w:hint="eastAsia" w:cs="Times New Roman"/>
                      <w:color w:val="auto"/>
                      <w:sz w:val="21"/>
                      <w:szCs w:val="21"/>
                      <w:highlight w:val="none"/>
                      <w:vertAlign w:val="baseline"/>
                      <w:lang w:val="en-US" w:eastAsia="zh-CN"/>
                    </w:rPr>
                    <w:t>锅炉燃烧废气、污水处理站废气</w:t>
                  </w:r>
                  <w:r>
                    <w:rPr>
                      <w:rFonts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蒸馏尾气和储罐呼吸废气均经新建的水洗塔水洗后依托现有DA001排气筒（28m）有组织排放；本次技改供热依托现有蒸汽锅炉，锅炉燃烧废气采用“</w:t>
                  </w:r>
                  <w:r>
                    <w:rPr>
                      <w:rFonts w:hint="eastAsia" w:ascii="Times New Roman" w:hAnsi="Times New Roman" w:eastAsia="宋体" w:cs="Times New Roman"/>
                      <w:color w:val="auto"/>
                      <w:sz w:val="21"/>
                      <w:szCs w:val="21"/>
                      <w:highlight w:val="none"/>
                    </w:rPr>
                    <w:t>低氮燃烧器+烟气再循环技术”</w:t>
                  </w:r>
                  <w:r>
                    <w:rPr>
                      <w:rFonts w:hint="eastAsia" w:cs="Times New Roman"/>
                      <w:color w:val="auto"/>
                      <w:sz w:val="21"/>
                      <w:szCs w:val="21"/>
                      <w:highlight w:val="none"/>
                      <w:lang w:val="en-US" w:eastAsia="zh-CN"/>
                    </w:rPr>
                    <w:t>处理后经现有DA002</w:t>
                  </w:r>
                  <w:r>
                    <w:rPr>
                      <w:rFonts w:hint="eastAsia" w:ascii="Times New Roman" w:hAnsi="Times New Roman" w:eastAsia="宋体" w:cs="Times New Roman"/>
                      <w:color w:val="auto"/>
                      <w:sz w:val="21"/>
                      <w:szCs w:val="21"/>
                      <w:highlight w:val="none"/>
                    </w:rPr>
                    <w:t>排气筒</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15m</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该污染物已按最不利考虑纳入原环评排污量中，本次不再新增</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污水处理站废气依托现有</w:t>
                  </w:r>
                  <w:r>
                    <w:rPr>
                      <w:rFonts w:hint="eastAsia" w:ascii="Times New Roman" w:hAnsi="Times New Roman" w:eastAsia="宋体" w:cs="Times New Roman"/>
                      <w:color w:val="auto"/>
                      <w:sz w:val="21"/>
                      <w:szCs w:val="21"/>
                      <w:highlight w:val="none"/>
                    </w:rPr>
                    <w:t>“稀碱液循环洗涤+活性炭吸附”系统净化后经</w:t>
                  </w:r>
                  <w:r>
                    <w:rPr>
                      <w:rFonts w:hint="eastAsia" w:cs="Times New Roman"/>
                      <w:color w:val="auto"/>
                      <w:sz w:val="21"/>
                      <w:szCs w:val="21"/>
                      <w:highlight w:val="none"/>
                      <w:lang w:val="en-US" w:eastAsia="zh-CN"/>
                    </w:rPr>
                    <w:t>DA003</w:t>
                  </w:r>
                  <w:r>
                    <w:rPr>
                      <w:rFonts w:hint="eastAsia" w:ascii="Times New Roman" w:hAnsi="Times New Roman" w:eastAsia="宋体" w:cs="Times New Roman"/>
                      <w:color w:val="auto"/>
                      <w:sz w:val="21"/>
                      <w:szCs w:val="21"/>
                      <w:highlight w:val="none"/>
                    </w:rPr>
                    <w:t>排气筒</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15m</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生</w:t>
                  </w:r>
                  <w:r>
                    <w:rPr>
                      <w:rFonts w:ascii="Times New Roman" w:hAnsi="Times New Roman" w:cs="Times New Roman"/>
                      <w:color w:val="auto"/>
                      <w:szCs w:val="21"/>
                      <w:highlight w:val="none"/>
                    </w:rPr>
                    <w:t>活污水、</w:t>
                  </w:r>
                  <w:r>
                    <w:rPr>
                      <w:rFonts w:hint="eastAsia" w:cs="Times New Roman"/>
                      <w:color w:val="auto"/>
                      <w:szCs w:val="21"/>
                      <w:highlight w:val="none"/>
                      <w:lang w:val="en-US" w:eastAsia="zh-CN"/>
                    </w:rPr>
                    <w:t>生产废水以及初期雨水等综合废水均经厂区污水处理站</w:t>
                  </w:r>
                  <w:r>
                    <w:rPr>
                      <w:rFonts w:ascii="Times New Roman" w:hAnsi="Times New Roman" w:cs="Times New Roman"/>
                      <w:color w:val="auto"/>
                      <w:szCs w:val="21"/>
                      <w:highlight w:val="none"/>
                    </w:rPr>
                    <w:t>（</w:t>
                  </w:r>
                  <w:r>
                    <w:rPr>
                      <w:rFonts w:hint="eastAsia" w:cs="Times New Roman"/>
                      <w:color w:val="auto"/>
                      <w:szCs w:val="21"/>
                      <w:highlight w:val="none"/>
                      <w:lang w:val="en-US" w:eastAsia="zh-CN"/>
                    </w:rPr>
                    <w:t>84</w:t>
                  </w:r>
                  <w:r>
                    <w:rPr>
                      <w:rFonts w:ascii="Times New Roman" w:hAnsi="Times New Roman" w:cs="Times New Roman"/>
                      <w:color w:val="auto"/>
                      <w:szCs w:val="21"/>
                      <w:highlight w:val="none"/>
                    </w:rPr>
                    <w:t>m</w:t>
                  </w:r>
                  <w:r>
                    <w:rPr>
                      <w:rFonts w:ascii="Times New Roman" w:hAnsi="Times New Roman" w:cs="Times New Roman"/>
                      <w:color w:val="auto"/>
                      <w:szCs w:val="21"/>
                      <w:highlight w:val="none"/>
                      <w:vertAlign w:val="superscript"/>
                    </w:rPr>
                    <w:t>3</w:t>
                  </w:r>
                  <w:r>
                    <w:rPr>
                      <w:rFonts w:hint="eastAsia" w:cs="Times New Roman"/>
                      <w:color w:val="auto"/>
                      <w:szCs w:val="21"/>
                      <w:highlight w:val="none"/>
                      <w:vertAlign w:val="baseline"/>
                      <w:lang w:val="en-US" w:eastAsia="zh-CN"/>
                    </w:rPr>
                    <w:t>/d</w:t>
                  </w:r>
                  <w:r>
                    <w:rPr>
                      <w:rFonts w:ascii="Times New Roman" w:hAnsi="Times New Roman" w:cs="Times New Roman"/>
                      <w:color w:val="auto"/>
                      <w:szCs w:val="21"/>
                      <w:highlight w:val="none"/>
                    </w:rPr>
                    <w:t>）</w:t>
                  </w:r>
                  <w:r>
                    <w:rPr>
                      <w:rFonts w:hint="eastAsia" w:cs="Times New Roman"/>
                      <w:color w:val="auto"/>
                      <w:szCs w:val="21"/>
                      <w:highlight w:val="none"/>
                      <w:lang w:val="en-US" w:eastAsia="zh-CN"/>
                    </w:rPr>
                    <w:t>处理</w:t>
                  </w:r>
                  <w:r>
                    <w:rPr>
                      <w:rFonts w:ascii="Times New Roman" w:hAnsi="Times New Roman" w:cs="Times New Roman"/>
                      <w:color w:val="auto"/>
                      <w:szCs w:val="21"/>
                      <w:highlight w:val="none"/>
                    </w:rPr>
                    <w:t>达到</w:t>
                  </w:r>
                  <w:r>
                    <w:rPr>
                      <w:rStyle w:val="29"/>
                      <w:rFonts w:hint="default" w:ascii="Times New Roman" w:hAnsi="Times New Roman" w:eastAsia="宋体" w:cs="Times New Roman"/>
                      <w:color w:val="auto"/>
                      <w:kern w:val="2"/>
                      <w:sz w:val="21"/>
                      <w:szCs w:val="21"/>
                      <w:highlight w:val="none"/>
                      <w:lang w:val="en-US" w:eastAsia="zh-CN" w:bidi="ar-SA"/>
                    </w:rPr>
                    <w:t>《污水综合排放标准》三级</w:t>
                  </w:r>
                  <w:r>
                    <w:rPr>
                      <w:rFonts w:ascii="Times New Roman" w:hAnsi="Times New Roman" w:cs="Times New Roman"/>
                      <w:color w:val="auto"/>
                      <w:szCs w:val="21"/>
                      <w:highlight w:val="none"/>
                    </w:rPr>
                    <w:t>标准后</w:t>
                  </w:r>
                  <w:r>
                    <w:rPr>
                      <w:rFonts w:hint="eastAsia" w:cs="Times New Roman"/>
                      <w:color w:val="auto"/>
                      <w:szCs w:val="21"/>
                      <w:highlight w:val="none"/>
                      <w:lang w:val="en-US" w:eastAsia="zh-CN"/>
                    </w:rPr>
                    <w:t>经</w:t>
                  </w:r>
                  <w:r>
                    <w:rPr>
                      <w:rFonts w:ascii="Times New Roman" w:hAnsi="Times New Roman" w:cs="Times New Roman"/>
                      <w:color w:val="auto"/>
                      <w:szCs w:val="21"/>
                      <w:highlight w:val="none"/>
                      <w:lang w:eastAsia="zh-CN"/>
                    </w:rPr>
                    <w:t>园区污水管网</w:t>
                  </w:r>
                  <w:r>
                    <w:rPr>
                      <w:rFonts w:ascii="Times New Roman" w:hAnsi="Times New Roman" w:cs="Times New Roman"/>
                      <w:color w:val="auto"/>
                      <w:szCs w:val="21"/>
                      <w:highlight w:val="none"/>
                    </w:rPr>
                    <w:t>后进入</w:t>
                  </w:r>
                  <w:r>
                    <w:rPr>
                      <w:rFonts w:hint="eastAsia" w:cs="Times New Roman"/>
                      <w:color w:val="auto"/>
                      <w:szCs w:val="21"/>
                      <w:highlight w:val="none"/>
                      <w:lang w:eastAsia="zh-CN"/>
                    </w:rPr>
                    <w:t>大英经济开发区污水处理厂</w:t>
                  </w:r>
                  <w:r>
                    <w:rPr>
                      <w:rFonts w:ascii="Times New Roman" w:hAnsi="Times New Roman" w:cs="Times New Roman"/>
                      <w:color w:val="auto"/>
                      <w:szCs w:val="21"/>
                      <w:highlight w:val="none"/>
                    </w:rPr>
                    <w:t>处理达标排入</w:t>
                  </w:r>
                  <w:r>
                    <w:rPr>
                      <w:rFonts w:ascii="Times New Roman" w:hAnsi="Times New Roman" w:cs="Times New Roman"/>
                      <w:color w:val="auto"/>
                      <w:szCs w:val="21"/>
                      <w:highlight w:val="none"/>
                      <w:lang w:eastAsia="zh-CN"/>
                    </w:rPr>
                    <w:t>郪江</w:t>
                  </w:r>
                  <w:r>
                    <w:rPr>
                      <w:rFonts w:hint="eastAsia" w:cs="Times New Roman"/>
                      <w:color w:val="auto"/>
                      <w:szCs w:val="21"/>
                      <w:highlight w:val="none"/>
                      <w:lang w:eastAsia="zh-CN"/>
                    </w:rPr>
                    <w:t>。</w:t>
                  </w:r>
                  <w:r>
                    <w:rPr>
                      <w:rFonts w:ascii="Times New Roman" w:hAnsi="Times New Roman" w:eastAsia="宋体" w:cs="Times New Roman"/>
                      <w:color w:val="auto"/>
                      <w:sz w:val="21"/>
                      <w:szCs w:val="21"/>
                      <w:highlight w:val="none"/>
                      <w:lang w:val="en-US" w:eastAsia="zh-CN"/>
                    </w:rPr>
                    <w:t>本项目符合国家法律法规、符合各类污染防治规划要求</w:t>
                  </w:r>
                </w:p>
              </w:tc>
              <w:tc>
                <w:tcPr>
                  <w:tcW w:w="640" w:type="pct"/>
                  <w:tcBorders>
                    <w:tl2br w:val="nil"/>
                    <w:tr2bl w:val="nil"/>
                  </w:tcBorders>
                  <w:noWrap/>
                  <w:vAlign w:val="center"/>
                </w:tcPr>
                <w:p w14:paraId="33446DFB">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sz w:val="21"/>
                      <w:szCs w:val="21"/>
                      <w:highlight w:val="none"/>
                      <w:lang w:val="en-US" w:eastAsia="zh-CN"/>
                    </w:rPr>
                    <w:t>符合</w:t>
                  </w:r>
                </w:p>
              </w:tc>
            </w:tr>
            <w:tr w14:paraId="37B7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pct"/>
                  <w:tcBorders>
                    <w:tl2br w:val="nil"/>
                    <w:tr2bl w:val="nil"/>
                  </w:tcBorders>
                  <w:noWrap/>
                  <w:vAlign w:val="center"/>
                </w:tcPr>
                <w:p w14:paraId="2AD53D63">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rPr>
                    <w:t>三）禁止新建燃煤火电、金属冶炼、制浆（含废纸制浆）屠宰、皮革鞣制、铅蓄电池制造、原油炼制、煤化工、印染项目，具体清单见《报告书》。</w:t>
                  </w:r>
                </w:p>
              </w:tc>
              <w:tc>
                <w:tcPr>
                  <w:tcW w:w="2401" w:type="pct"/>
                  <w:tcBorders>
                    <w:tl2br w:val="nil"/>
                    <w:tr2bl w:val="nil"/>
                  </w:tcBorders>
                  <w:noWrap/>
                  <w:vAlign w:val="center"/>
                </w:tcPr>
                <w:p w14:paraId="77AE3CF2">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eastAsia="宋体" w:cs="Times New Roman"/>
                      <w:color w:val="auto"/>
                      <w:kern w:val="0"/>
                      <w:sz w:val="21"/>
                      <w:szCs w:val="21"/>
                      <w:highlight w:val="none"/>
                      <w:lang w:val="en-US" w:eastAsia="zh-CN"/>
                    </w:rPr>
                  </w:pPr>
                  <w:r>
                    <w:rPr>
                      <w:rFonts w:ascii="Times New Roman" w:hAnsi="Times New Roman" w:eastAsia="宋体" w:cs="Times New Roman"/>
                      <w:color w:val="auto"/>
                      <w:kern w:val="0"/>
                      <w:sz w:val="21"/>
                      <w:szCs w:val="21"/>
                      <w:highlight w:val="none"/>
                      <w:lang w:val="en-US" w:eastAsia="zh-CN"/>
                    </w:rPr>
                    <w:t>不涉及</w:t>
                  </w:r>
                </w:p>
              </w:tc>
              <w:tc>
                <w:tcPr>
                  <w:tcW w:w="640" w:type="pct"/>
                  <w:tcBorders>
                    <w:tl2br w:val="nil"/>
                    <w:tr2bl w:val="nil"/>
                  </w:tcBorders>
                  <w:noWrap/>
                  <w:vAlign w:val="center"/>
                </w:tcPr>
                <w:p w14:paraId="36714866">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cs="Times New Roman"/>
                      <w:color w:val="auto"/>
                      <w:sz w:val="21"/>
                      <w:szCs w:val="21"/>
                      <w:highlight w:val="none"/>
                      <w:lang w:val="en-US" w:eastAsia="zh-CN"/>
                    </w:rPr>
                  </w:pPr>
                  <w:r>
                    <w:rPr>
                      <w:rFonts w:ascii="Times New Roman" w:hAnsi="Times New Roman" w:cs="Times New Roman"/>
                      <w:color w:val="auto"/>
                      <w:sz w:val="21"/>
                      <w:szCs w:val="21"/>
                      <w:highlight w:val="none"/>
                      <w:lang w:val="en-US" w:eastAsia="zh-CN"/>
                    </w:rPr>
                    <w:t>符合</w:t>
                  </w:r>
                </w:p>
              </w:tc>
            </w:tr>
            <w:tr w14:paraId="4C1D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pct"/>
                  <w:tcBorders>
                    <w:tl2br w:val="nil"/>
                    <w:tr2bl w:val="nil"/>
                  </w:tcBorders>
                  <w:noWrap/>
                  <w:vAlign w:val="center"/>
                </w:tcPr>
                <w:p w14:paraId="1E21957D">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rPr>
                    <w:t>四</w:t>
                  </w:r>
                  <w:r>
                    <w:rPr>
                      <w:rFonts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rPr>
                    <w:t>经开区内现有盛马化工燃料油炼制规模不再扩大。</w:t>
                  </w:r>
                </w:p>
              </w:tc>
              <w:tc>
                <w:tcPr>
                  <w:tcW w:w="2401" w:type="pct"/>
                  <w:tcBorders>
                    <w:tl2br w:val="nil"/>
                    <w:tr2bl w:val="nil"/>
                  </w:tcBorders>
                  <w:noWrap/>
                  <w:vAlign w:val="center"/>
                </w:tcPr>
                <w:p w14:paraId="50C9A5D0">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cs="Times New Roman"/>
                      <w:color w:val="auto"/>
                      <w:kern w:val="0"/>
                      <w:sz w:val="21"/>
                      <w:szCs w:val="21"/>
                      <w:highlight w:val="none"/>
                      <w:lang w:val="en-US" w:eastAsia="zh-CN"/>
                    </w:rPr>
                  </w:pPr>
                  <w:r>
                    <w:rPr>
                      <w:rFonts w:ascii="Times New Roman" w:hAnsi="Times New Roman" w:eastAsia="宋体" w:cs="Times New Roman"/>
                      <w:color w:val="auto"/>
                      <w:kern w:val="0"/>
                      <w:sz w:val="21"/>
                      <w:szCs w:val="21"/>
                      <w:highlight w:val="none"/>
                      <w:lang w:val="en-US" w:eastAsia="zh-CN"/>
                    </w:rPr>
                    <w:t>不涉及</w:t>
                  </w:r>
                </w:p>
              </w:tc>
              <w:tc>
                <w:tcPr>
                  <w:tcW w:w="640" w:type="pct"/>
                  <w:tcBorders>
                    <w:tl2br w:val="nil"/>
                    <w:tr2bl w:val="nil"/>
                  </w:tcBorders>
                  <w:noWrap/>
                  <w:vAlign w:val="center"/>
                </w:tcPr>
                <w:p w14:paraId="0129EB06">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cs="Times New Roman"/>
                      <w:color w:val="auto"/>
                      <w:sz w:val="21"/>
                      <w:szCs w:val="21"/>
                      <w:highlight w:val="none"/>
                      <w:lang w:val="en-US" w:eastAsia="zh-CN"/>
                    </w:rPr>
                  </w:pPr>
                  <w:r>
                    <w:rPr>
                      <w:rFonts w:ascii="Times New Roman" w:hAnsi="Times New Roman" w:cs="Times New Roman"/>
                      <w:color w:val="auto"/>
                      <w:sz w:val="21"/>
                      <w:szCs w:val="21"/>
                      <w:highlight w:val="none"/>
                      <w:lang w:val="en-US" w:eastAsia="zh-CN"/>
                    </w:rPr>
                    <w:t>符合</w:t>
                  </w:r>
                </w:p>
              </w:tc>
            </w:tr>
          </w:tbl>
          <w:p w14:paraId="4958FBDE">
            <w:pPr>
              <w:adjustRightInd w:val="0"/>
              <w:snapToGrid w:val="0"/>
              <w:spacing w:line="360" w:lineRule="auto"/>
              <w:ind w:firstLine="482" w:firstLineChars="200"/>
              <w:rPr>
                <w:rFonts w:hint="eastAsia" w:eastAsia="宋体"/>
                <w:b/>
                <w:bCs/>
                <w:color w:val="auto"/>
                <w:kern w:val="0"/>
                <w:sz w:val="24"/>
                <w:highlight w:val="none"/>
                <w:lang w:eastAsia="zh-CN"/>
              </w:rPr>
            </w:pPr>
            <w:r>
              <w:rPr>
                <w:rFonts w:ascii="Times New Roman" w:hAnsi="Times New Roman" w:eastAsia="宋体" w:cs="Times New Roman"/>
                <w:b/>
                <w:bCs/>
                <w:color w:val="auto"/>
                <w:kern w:val="0"/>
                <w:sz w:val="24"/>
                <w:szCs w:val="24"/>
                <w:highlight w:val="none"/>
                <w:lang w:val="en-US" w:eastAsia="zh-CN" w:bidi="ar-SA"/>
              </w:rPr>
              <w:t>综上，本项目符合四川大英经济开发区规划要求</w:t>
            </w:r>
            <w:r>
              <w:rPr>
                <w:rFonts w:hint="eastAsia" w:eastAsia="宋体" w:cs="Times New Roman"/>
                <w:b/>
                <w:bCs/>
                <w:color w:val="auto"/>
                <w:kern w:val="0"/>
                <w:sz w:val="24"/>
                <w:szCs w:val="24"/>
                <w:highlight w:val="none"/>
                <w:lang w:val="en-US" w:eastAsia="zh-CN" w:bidi="ar-SA"/>
              </w:rPr>
              <w:t>。</w:t>
            </w:r>
          </w:p>
        </w:tc>
      </w:tr>
      <w:tr w14:paraId="0BA95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2" w:hRule="atLeast"/>
          <w:jc w:val="center"/>
        </w:trPr>
        <w:tc>
          <w:tcPr>
            <w:tcW w:w="1096" w:type="dxa"/>
            <w:vAlign w:val="center"/>
          </w:tcPr>
          <w:p w14:paraId="34FBDFCD">
            <w:pPr>
              <w:autoSpaceDE w:val="0"/>
              <w:autoSpaceDN w:val="0"/>
              <w:adjustRightInd w:val="0"/>
              <w:snapToGrid w:val="0"/>
              <w:jc w:val="center"/>
              <w:rPr>
                <w:color w:val="auto"/>
                <w:kern w:val="0"/>
                <w:szCs w:val="21"/>
                <w:highlight w:val="none"/>
              </w:rPr>
            </w:pPr>
            <w:r>
              <w:rPr>
                <w:color w:val="auto"/>
                <w:kern w:val="0"/>
                <w:sz w:val="24"/>
                <w:szCs w:val="24"/>
                <w:highlight w:val="none"/>
              </w:rPr>
              <w:t>其他符合性分析</w:t>
            </w:r>
          </w:p>
        </w:tc>
        <w:tc>
          <w:tcPr>
            <w:tcW w:w="7774" w:type="dxa"/>
            <w:gridSpan w:val="3"/>
            <w:vAlign w:val="center"/>
          </w:tcPr>
          <w:p w14:paraId="388947DA">
            <w:pPr>
              <w:autoSpaceDE w:val="0"/>
              <w:autoSpaceDN w:val="0"/>
              <w:adjustRightInd w:val="0"/>
              <w:snapToGrid w:val="0"/>
              <w:spacing w:line="360" w:lineRule="auto"/>
              <w:ind w:firstLine="482" w:firstLineChars="200"/>
              <w:jc w:val="left"/>
              <w:rPr>
                <w:b/>
                <w:bCs/>
                <w:color w:val="auto"/>
                <w:kern w:val="0"/>
                <w:sz w:val="24"/>
                <w:highlight w:val="none"/>
              </w:rPr>
            </w:pPr>
            <w:r>
              <w:rPr>
                <w:b/>
                <w:bCs/>
                <w:color w:val="auto"/>
                <w:kern w:val="0"/>
                <w:sz w:val="24"/>
                <w:highlight w:val="none"/>
              </w:rPr>
              <w:t>1、产业政策符合性分析</w:t>
            </w:r>
          </w:p>
          <w:p w14:paraId="58417FAA">
            <w:pPr>
              <w:spacing w:line="360" w:lineRule="auto"/>
              <w:ind w:firstLine="480" w:firstLineChars="200"/>
              <w:rPr>
                <w:color w:val="auto"/>
                <w:sz w:val="24"/>
                <w:highlight w:val="none"/>
              </w:rPr>
            </w:pPr>
            <w:r>
              <w:rPr>
                <w:color w:val="auto"/>
                <w:sz w:val="24"/>
                <w:highlight w:val="none"/>
              </w:rPr>
              <w:t>根据《国民经济行业分类》（GB/T4754-2017</w:t>
            </w:r>
            <w:r>
              <w:rPr>
                <w:rFonts w:hint="eastAsia"/>
                <w:color w:val="auto"/>
                <w:sz w:val="24"/>
                <w:highlight w:val="none"/>
              </w:rPr>
              <w:t>，按1号修改单修订</w:t>
            </w:r>
            <w:r>
              <w:rPr>
                <w:color w:val="auto"/>
                <w:sz w:val="24"/>
                <w:highlight w:val="none"/>
              </w:rPr>
              <w:t>），本项目</w:t>
            </w:r>
            <w:r>
              <w:rPr>
                <w:rFonts w:ascii="Times New Roman" w:hAnsi="Times New Roman" w:eastAsia="宋体" w:cs="Times New Roman"/>
                <w:color w:val="auto"/>
                <w:sz w:val="24"/>
                <w:szCs w:val="24"/>
                <w:highlight w:val="none"/>
                <w:lang w:val="en-US" w:eastAsia="zh-CN"/>
              </w:rPr>
              <w:t>属于</w:t>
            </w:r>
            <w:r>
              <w:rPr>
                <w:rFonts w:hint="eastAsia" w:ascii="Times New Roman" w:hAnsi="Times New Roman" w:eastAsia="宋体" w:cs="Times New Roman"/>
                <w:color w:val="auto"/>
                <w:sz w:val="24"/>
                <w:szCs w:val="24"/>
                <w:highlight w:val="none"/>
                <w:lang w:val="en-US" w:eastAsia="zh-CN"/>
              </w:rPr>
              <w:t>C</w:t>
            </w:r>
            <w:r>
              <w:rPr>
                <w:rFonts w:hint="eastAsia" w:cs="Times New Roman"/>
                <w:color w:val="auto"/>
                <w:sz w:val="24"/>
                <w:szCs w:val="24"/>
                <w:highlight w:val="none"/>
                <w:lang w:val="en-US" w:eastAsia="zh-CN"/>
              </w:rPr>
              <w:t>2614有机化学原料制造</w:t>
            </w:r>
            <w:r>
              <w:rPr>
                <w:color w:val="auto"/>
                <w:sz w:val="24"/>
                <w:highlight w:val="none"/>
              </w:rPr>
              <w:t>。根据《产业结构调整指导目录（20</w:t>
            </w:r>
            <w:r>
              <w:rPr>
                <w:rFonts w:hint="eastAsia"/>
                <w:color w:val="auto"/>
                <w:sz w:val="24"/>
                <w:highlight w:val="none"/>
                <w:lang w:val="en-US" w:eastAsia="zh-CN"/>
              </w:rPr>
              <w:t>24</w:t>
            </w:r>
            <w:r>
              <w:rPr>
                <w:color w:val="auto"/>
                <w:sz w:val="24"/>
                <w:highlight w:val="none"/>
              </w:rPr>
              <w:t>年本）》，本项目不属于其中规定的鼓励类、限制类、淘汰类，属于允许类。</w:t>
            </w:r>
          </w:p>
          <w:p w14:paraId="39FDAADA">
            <w:pPr>
              <w:spacing w:line="360" w:lineRule="auto"/>
              <w:ind w:firstLine="480" w:firstLineChars="200"/>
              <w:rPr>
                <w:color w:val="auto"/>
                <w:sz w:val="24"/>
                <w:highlight w:val="none"/>
              </w:rPr>
            </w:pPr>
            <w:r>
              <w:rPr>
                <w:color w:val="auto"/>
                <w:sz w:val="24"/>
                <w:highlight w:val="none"/>
              </w:rPr>
              <w:t>同时</w:t>
            </w:r>
            <w:r>
              <w:rPr>
                <w:rFonts w:hint="eastAsia"/>
                <w:color w:val="auto"/>
                <w:sz w:val="24"/>
                <w:highlight w:val="none"/>
                <w:lang w:eastAsia="zh-CN"/>
              </w:rPr>
              <w:t>大英县经济信息化和科学技术局</w:t>
            </w:r>
            <w:r>
              <w:rPr>
                <w:color w:val="auto"/>
                <w:sz w:val="24"/>
                <w:highlight w:val="none"/>
              </w:rPr>
              <w:t>对本项目进行了备案，备案号：</w:t>
            </w:r>
            <w:r>
              <w:rPr>
                <w:rFonts w:hint="eastAsia"/>
                <w:color w:val="auto"/>
                <w:sz w:val="24"/>
                <w:highlight w:val="none"/>
                <w:lang w:eastAsia="zh-CN"/>
              </w:rPr>
              <w:t>川投资备【2412-510923-07-02-377760】JXQB-0465</w:t>
            </w:r>
            <w:r>
              <w:rPr>
                <w:rFonts w:hint="eastAsia"/>
                <w:color w:val="auto"/>
                <w:sz w:val="24"/>
                <w:highlight w:val="none"/>
              </w:rPr>
              <w:t>号</w:t>
            </w:r>
            <w:r>
              <w:rPr>
                <w:color w:val="auto"/>
                <w:sz w:val="24"/>
                <w:highlight w:val="none"/>
              </w:rPr>
              <w:t>。因此，本项目符合国家产业政策。</w:t>
            </w:r>
          </w:p>
          <w:p w14:paraId="489BE191">
            <w:pPr>
              <w:spacing w:line="360" w:lineRule="auto"/>
              <w:ind w:firstLine="480" w:firstLineChars="200"/>
              <w:rPr>
                <w:color w:val="auto"/>
                <w:sz w:val="24"/>
                <w:highlight w:val="none"/>
              </w:rPr>
            </w:pPr>
            <w:r>
              <w:rPr>
                <w:color w:val="auto"/>
                <w:sz w:val="24"/>
                <w:highlight w:val="none"/>
              </w:rPr>
              <w:t>因此，本项目的建设符合国家现行产业政策。</w:t>
            </w:r>
          </w:p>
          <w:p w14:paraId="74BAE144">
            <w:pPr>
              <w:spacing w:line="360" w:lineRule="auto"/>
              <w:ind w:firstLine="482" w:firstLineChars="200"/>
              <w:rPr>
                <w:b/>
                <w:color w:val="auto"/>
                <w:sz w:val="24"/>
                <w:highlight w:val="none"/>
              </w:rPr>
            </w:pPr>
            <w:r>
              <w:rPr>
                <w:b/>
                <w:color w:val="auto"/>
                <w:sz w:val="24"/>
                <w:highlight w:val="none"/>
              </w:rPr>
              <w:t>2、用地符合性分析</w:t>
            </w:r>
          </w:p>
          <w:p w14:paraId="4DE9F1A1">
            <w:pPr>
              <w:spacing w:line="360" w:lineRule="auto"/>
              <w:ind w:firstLine="480" w:firstLineChars="200"/>
              <w:rPr>
                <w:rFonts w:hint="default" w:eastAsia="宋体"/>
                <w:color w:val="auto"/>
                <w:sz w:val="24"/>
                <w:highlight w:val="none"/>
                <w:lang w:val="en-US" w:eastAsia="zh-CN"/>
              </w:rPr>
            </w:pPr>
            <w:r>
              <w:rPr>
                <w:color w:val="auto"/>
                <w:sz w:val="24"/>
                <w:highlight w:val="none"/>
              </w:rPr>
              <w:t>本项目位于</w:t>
            </w:r>
            <w:r>
              <w:rPr>
                <w:rFonts w:ascii="Times New Roman" w:hAnsi="Times New Roman" w:cs="Times New Roman"/>
                <w:color w:val="auto"/>
                <w:sz w:val="24"/>
                <w:szCs w:val="32"/>
                <w:highlight w:val="none"/>
              </w:rPr>
              <w:t>四川大英经济开发区</w:t>
            </w:r>
            <w:r>
              <w:rPr>
                <w:rFonts w:hint="eastAsia" w:ascii="Times New Roman" w:hAnsi="Times New Roman" w:cs="Times New Roman"/>
                <w:color w:val="auto"/>
                <w:sz w:val="24"/>
                <w:szCs w:val="32"/>
                <w:highlight w:val="none"/>
                <w:lang w:val="en-US" w:eastAsia="zh-CN"/>
              </w:rPr>
              <w:t>功能分区大英红旗化工园区总体规划范围内</w:t>
            </w:r>
            <w:r>
              <w:rPr>
                <w:rFonts w:hint="eastAsia" w:ascii="Times New Roman" w:hAnsi="Times New Roman" w:cs="Times New Roman"/>
                <w:color w:val="auto"/>
                <w:sz w:val="24"/>
                <w:szCs w:val="32"/>
                <w:highlight w:val="none"/>
                <w:lang w:eastAsia="zh-CN"/>
              </w:rPr>
              <w:t>，</w:t>
            </w:r>
            <w:r>
              <w:rPr>
                <w:rFonts w:hint="eastAsia"/>
                <w:color w:val="auto"/>
                <w:sz w:val="24"/>
                <w:highlight w:val="none"/>
                <w:lang w:eastAsia="zh-CN"/>
              </w:rPr>
              <w:t>四川屹光新材料制造有限公司</w:t>
            </w:r>
            <w:r>
              <w:rPr>
                <w:color w:val="auto"/>
                <w:sz w:val="24"/>
                <w:highlight w:val="none"/>
              </w:rPr>
              <w:t>厂区地块已</w:t>
            </w:r>
            <w:r>
              <w:rPr>
                <w:rFonts w:hint="eastAsia"/>
                <w:color w:val="auto"/>
                <w:sz w:val="24"/>
                <w:highlight w:val="none"/>
                <w:lang w:val="en-US" w:eastAsia="zh-CN"/>
              </w:rPr>
              <w:t>于2019年</w:t>
            </w:r>
            <w:r>
              <w:rPr>
                <w:color w:val="auto"/>
                <w:sz w:val="24"/>
                <w:highlight w:val="none"/>
              </w:rPr>
              <w:t>取得</w:t>
            </w:r>
            <w:r>
              <w:rPr>
                <w:rFonts w:hint="eastAsia"/>
                <w:color w:val="auto"/>
                <w:sz w:val="24"/>
                <w:highlight w:val="none"/>
                <w:lang w:val="en-US" w:eastAsia="zh-CN"/>
              </w:rPr>
              <w:t>土地证（川（2019）大英县不动产权第0002033号），</w:t>
            </w:r>
            <w:r>
              <w:rPr>
                <w:rFonts w:hint="eastAsia" w:cs="Times New Roman"/>
                <w:color w:val="auto"/>
                <w:sz w:val="24"/>
                <w:szCs w:val="32"/>
                <w:highlight w:val="none"/>
                <w:lang w:val="en-US" w:eastAsia="zh-CN"/>
              </w:rPr>
              <w:t>用地性质为工业用地。</w:t>
            </w:r>
            <w:r>
              <w:rPr>
                <w:color w:val="auto"/>
                <w:sz w:val="24"/>
                <w:highlight w:val="none"/>
              </w:rPr>
              <w:t>本项目在</w:t>
            </w:r>
            <w:r>
              <w:rPr>
                <w:rFonts w:hint="eastAsia"/>
                <w:color w:val="auto"/>
                <w:sz w:val="24"/>
                <w:highlight w:val="none"/>
                <w:lang w:eastAsia="zh-CN"/>
              </w:rPr>
              <w:t>四川屹光新材料制造有限公司</w:t>
            </w:r>
            <w:r>
              <w:rPr>
                <w:rFonts w:hint="eastAsia"/>
                <w:color w:val="auto"/>
                <w:sz w:val="24"/>
                <w:highlight w:val="none"/>
                <w:lang w:val="en-US" w:eastAsia="zh-CN"/>
              </w:rPr>
              <w:t>现有厂区预留用地</w:t>
            </w:r>
            <w:r>
              <w:rPr>
                <w:color w:val="auto"/>
                <w:sz w:val="24"/>
                <w:highlight w:val="none"/>
              </w:rPr>
              <w:t>内进行</w:t>
            </w:r>
            <w:r>
              <w:rPr>
                <w:rFonts w:hint="eastAsia"/>
                <w:color w:val="auto"/>
                <w:sz w:val="24"/>
                <w:highlight w:val="none"/>
                <w:lang w:val="en-US" w:eastAsia="zh-CN"/>
              </w:rPr>
              <w:t>技改，</w:t>
            </w:r>
            <w:r>
              <w:rPr>
                <w:color w:val="auto"/>
                <w:sz w:val="24"/>
                <w:highlight w:val="none"/>
              </w:rPr>
              <w:t>不新增土地</w:t>
            </w:r>
            <w:r>
              <w:rPr>
                <w:rFonts w:hint="eastAsia"/>
                <w:color w:val="auto"/>
                <w:sz w:val="24"/>
                <w:highlight w:val="none"/>
                <w:lang w:eastAsia="zh-CN"/>
              </w:rPr>
              <w:t>。</w:t>
            </w:r>
            <w:r>
              <w:rPr>
                <w:rFonts w:hint="eastAsia"/>
                <w:color w:val="auto"/>
                <w:sz w:val="24"/>
                <w:highlight w:val="none"/>
                <w:lang w:val="en-US" w:eastAsia="zh-CN"/>
              </w:rPr>
              <w:t>因此，项目用地符合规划。</w:t>
            </w:r>
          </w:p>
          <w:p w14:paraId="0F3B6AA1">
            <w:pPr>
              <w:numPr>
                <w:ilvl w:val="0"/>
                <w:numId w:val="12"/>
              </w:numPr>
              <w:adjustRightInd w:val="0"/>
              <w:spacing w:line="360" w:lineRule="auto"/>
              <w:ind w:firstLine="482" w:firstLineChars="200"/>
              <w:rPr>
                <w:b/>
                <w:color w:val="auto"/>
                <w:sz w:val="24"/>
                <w:szCs w:val="22"/>
                <w:highlight w:val="none"/>
              </w:rPr>
            </w:pPr>
            <w:r>
              <w:rPr>
                <w:rFonts w:hint="eastAsia"/>
                <w:b/>
                <w:color w:val="auto"/>
                <w:sz w:val="24"/>
                <w:szCs w:val="22"/>
                <w:highlight w:val="none"/>
                <w:lang w:eastAsia="zh-CN"/>
              </w:rPr>
              <w:t>“</w:t>
            </w:r>
            <w:r>
              <w:rPr>
                <w:rFonts w:hint="eastAsia"/>
                <w:b/>
                <w:color w:val="auto"/>
                <w:sz w:val="24"/>
                <w:szCs w:val="22"/>
                <w:highlight w:val="none"/>
                <w:lang w:val="en-US" w:eastAsia="zh-CN"/>
              </w:rPr>
              <w:t>生态环境分区管控</w:t>
            </w:r>
            <w:r>
              <w:rPr>
                <w:rFonts w:hint="eastAsia"/>
                <w:b/>
                <w:color w:val="auto"/>
                <w:sz w:val="24"/>
                <w:szCs w:val="22"/>
                <w:highlight w:val="none"/>
                <w:lang w:eastAsia="zh-CN"/>
              </w:rPr>
              <w:t>”</w:t>
            </w:r>
            <w:r>
              <w:rPr>
                <w:b/>
                <w:color w:val="auto"/>
                <w:sz w:val="24"/>
                <w:szCs w:val="22"/>
                <w:highlight w:val="none"/>
              </w:rPr>
              <w:t>符合性分析</w:t>
            </w:r>
          </w:p>
          <w:p w14:paraId="4E0DA2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Times New Roman" w:hAnsi="Times New Roman" w:cs="Times New Roman"/>
                <w:color w:val="auto"/>
                <w:sz w:val="24"/>
                <w:highlight w:val="none"/>
              </w:rPr>
            </w:pPr>
            <w:r>
              <w:rPr>
                <w:rFonts w:ascii="Times New Roman" w:hAnsi="Times New Roman" w:cs="Times New Roman"/>
                <w:color w:val="auto"/>
                <w:sz w:val="24"/>
                <w:highlight w:val="none"/>
              </w:rPr>
              <w:t>按照“四川省生态环境厅办公室关于印发《产业园区规划环评“三线一单”符合性分析技术要点（试行）》和《项目环评“三线一单”符合性分析技术要点（试行）》的通知（川环办函</w:t>
            </w:r>
            <w:r>
              <w:rPr>
                <w:rFonts w:hint="eastAsia" w:cs="Times New Roman"/>
                <w:color w:val="auto"/>
                <w:sz w:val="24"/>
                <w:highlight w:val="none"/>
                <w:lang w:eastAsia="zh-CN"/>
              </w:rPr>
              <w:t>〔</w:t>
            </w:r>
            <w:r>
              <w:rPr>
                <w:rFonts w:ascii="Times New Roman" w:hAnsi="Times New Roman" w:cs="Times New Roman"/>
                <w:color w:val="auto"/>
                <w:sz w:val="24"/>
                <w:highlight w:val="none"/>
              </w:rPr>
              <w:t>2021</w:t>
            </w:r>
            <w:r>
              <w:rPr>
                <w:rFonts w:hint="eastAsia" w:cs="Times New Roman"/>
                <w:color w:val="auto"/>
                <w:sz w:val="24"/>
                <w:highlight w:val="none"/>
                <w:lang w:eastAsia="zh-CN"/>
              </w:rPr>
              <w:t>〕</w:t>
            </w:r>
            <w:r>
              <w:rPr>
                <w:rFonts w:ascii="Times New Roman" w:hAnsi="Times New Roman" w:cs="Times New Roman"/>
                <w:color w:val="auto"/>
                <w:sz w:val="24"/>
                <w:highlight w:val="none"/>
              </w:rPr>
              <w:t>469号）”的相关要求进行分析。本项目属于污染类项目，属于园区内项目。</w:t>
            </w:r>
          </w:p>
          <w:p w14:paraId="09969C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Times New Roman" w:hAnsi="Times New Roman" w:cs="Times New Roman"/>
                <w:color w:val="auto"/>
                <w:sz w:val="24"/>
                <w:szCs w:val="24"/>
                <w:highlight w:val="none"/>
                <w:lang w:val="en-US" w:eastAsia="zh-CN"/>
              </w:rPr>
            </w:pPr>
            <w:r>
              <w:rPr>
                <w:rFonts w:ascii="Times New Roman" w:hAnsi="Times New Roman" w:cs="Times New Roman"/>
                <w:color w:val="auto"/>
                <w:sz w:val="24"/>
                <w:szCs w:val="24"/>
                <w:highlight w:val="none"/>
                <w:lang w:val="en-US" w:eastAsia="zh-CN"/>
              </w:rPr>
              <w:t>（1）与生态保护红线符合性分析</w:t>
            </w:r>
          </w:p>
          <w:p w14:paraId="6C2D1E9B">
            <w:pPr>
              <w:spacing w:line="360" w:lineRule="auto"/>
              <w:ind w:firstLine="480" w:firstLineChars="200"/>
              <w:rPr>
                <w:rFonts w:ascii="Times New Roman" w:hAnsi="Times New Roman" w:cs="Times New Roman"/>
                <w:color w:val="auto"/>
                <w:sz w:val="24"/>
                <w:szCs w:val="24"/>
                <w:highlight w:val="none"/>
                <w:lang w:val="en-US" w:eastAsia="zh-CN"/>
              </w:rPr>
            </w:pPr>
            <w:r>
              <w:rPr>
                <w:rFonts w:ascii="Times New Roman" w:hAnsi="Times New Roman" w:cs="Times New Roman"/>
                <w:color w:val="auto"/>
                <w:sz w:val="24"/>
                <w:szCs w:val="24"/>
                <w:highlight w:val="none"/>
              </w:rPr>
              <w:t>生态保护红线是指依法在重点生态功能区，生态环境敏感区和脆弱区等区域划定严格的管控边界，是国家和区域生态安全的底线，对于维护生态安全格局、保障生态服务功能、支撑经济社会可持续发展具有重要作用。</w:t>
            </w:r>
            <w:r>
              <w:rPr>
                <w:rFonts w:ascii="Times New Roman" w:hAnsi="Times New Roman" w:cs="Times New Roman"/>
                <w:color w:val="auto"/>
                <w:sz w:val="24"/>
                <w:szCs w:val="24"/>
                <w:highlight w:val="none"/>
                <w:lang w:val="en-US" w:eastAsia="zh-CN"/>
              </w:rPr>
              <w:t>遂宁市生态保护红线如下图所示：</w:t>
            </w:r>
          </w:p>
          <w:p w14:paraId="51A1BE71">
            <w:pPr>
              <w:pStyle w:val="9"/>
              <w:rPr>
                <w:rFonts w:ascii="Times New Roman" w:hAnsi="Times New Roman" w:cs="Times New Roman"/>
                <w:color w:val="auto"/>
                <w:sz w:val="24"/>
                <w:szCs w:val="24"/>
                <w:highlight w:val="none"/>
                <w:lang w:val="en-US" w:eastAsia="zh-CN"/>
              </w:rPr>
            </w:pPr>
          </w:p>
          <w:p w14:paraId="53C45753">
            <w:pPr>
              <w:rPr>
                <w:rFonts w:ascii="Times New Roman" w:hAnsi="Times New Roman" w:cs="Times New Roman"/>
                <w:color w:val="auto"/>
                <w:sz w:val="24"/>
                <w:szCs w:val="24"/>
                <w:highlight w:val="none"/>
                <w:lang w:val="en-US" w:eastAsia="zh-CN"/>
              </w:rPr>
            </w:pPr>
          </w:p>
          <w:p w14:paraId="40E7DB0C">
            <w:pPr>
              <w:pStyle w:val="9"/>
              <w:rPr>
                <w:rFonts w:ascii="Times New Roman" w:hAnsi="Times New Roman" w:cs="Times New Roman"/>
                <w:color w:val="auto"/>
                <w:sz w:val="24"/>
                <w:szCs w:val="24"/>
                <w:highlight w:val="none"/>
                <w:lang w:val="en-US" w:eastAsia="zh-CN"/>
              </w:rPr>
            </w:pPr>
          </w:p>
          <w:p w14:paraId="15B328FF">
            <w:pPr>
              <w:rPr>
                <w:rFonts w:ascii="Times New Roman" w:hAnsi="Times New Roman" w:cs="Times New Roman"/>
                <w:color w:val="auto"/>
                <w:sz w:val="24"/>
                <w:szCs w:val="24"/>
                <w:highlight w:val="none"/>
                <w:lang w:val="en-US" w:eastAsia="zh-CN"/>
              </w:rPr>
            </w:pPr>
          </w:p>
          <w:p w14:paraId="0FA2B013">
            <w:pPr>
              <w:pStyle w:val="15"/>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cs="Times New Roman"/>
                <w:color w:val="auto"/>
                <w:highlight w:val="none"/>
              </w:rPr>
            </w:pPr>
            <w:r>
              <w:rPr>
                <w:rFonts w:ascii="Times New Roman" w:hAnsi="Times New Roman" w:cs="Times New Roman"/>
                <w:color w:val="auto"/>
                <w:sz w:val="24"/>
                <w:highlight w:val="none"/>
              </w:rPr>
              <mc:AlternateContent>
                <mc:Choice Requires="wps">
                  <w:drawing>
                    <wp:anchor distT="0" distB="0" distL="113665" distR="113665" simplePos="0" relativeHeight="251663360" behindDoc="0" locked="0" layoutInCell="1" allowOverlap="1">
                      <wp:simplePos x="0" y="0"/>
                      <wp:positionH relativeFrom="column">
                        <wp:posOffset>691515</wp:posOffset>
                      </wp:positionH>
                      <wp:positionV relativeFrom="paragraph">
                        <wp:posOffset>2386965</wp:posOffset>
                      </wp:positionV>
                      <wp:extent cx="1044575" cy="294640"/>
                      <wp:effectExtent l="4445" t="619760" r="17780" b="19050"/>
                      <wp:wrapNone/>
                      <wp:docPr id="12" name="矩形标注 17"/>
                      <wp:cNvGraphicFramePr/>
                      <a:graphic xmlns:a="http://schemas.openxmlformats.org/drawingml/2006/main">
                        <a:graphicData uri="http://schemas.microsoft.com/office/word/2010/wordprocessingShape">
                          <wps:wsp>
                            <wps:cNvSpPr/>
                            <wps:spPr>
                              <a:xfrm>
                                <a:off x="0" y="0"/>
                                <a:ext cx="1044575" cy="294639"/>
                              </a:xfrm>
                              <a:prstGeom prst="wedgeRectCallout">
                                <a:avLst>
                                  <a:gd name="adj1" fmla="val 32930"/>
                                  <a:gd name="adj2" fmla="val -252583"/>
                                </a:avLst>
                              </a:prstGeom>
                              <a:solidFill>
                                <a:srgbClr val="FFFFFF"/>
                              </a:solidFill>
                              <a:ln w="9525" cap="flat" cmpd="sng">
                                <a:solidFill>
                                  <a:srgbClr val="FF0000"/>
                                </a:solidFill>
                                <a:prstDash val="solid"/>
                                <a:miter/>
                              </a:ln>
                            </wps:spPr>
                            <wps:txbx>
                              <w:txbxContent>
                                <w:p w14:paraId="196AE48A">
                                  <w:pPr>
                                    <w:jc w:val="center"/>
                                    <w:rPr>
                                      <w:rFonts w:eastAsia="宋体"/>
                                      <w:color w:val="C00000"/>
                                      <w:lang w:val="en-US" w:eastAsia="zh-CN"/>
                                    </w:rPr>
                                  </w:pPr>
                                  <w:r>
                                    <w:rPr>
                                      <w:rFonts w:hint="eastAsia"/>
                                      <w:color w:val="C00000"/>
                                      <w:lang w:val="en-US" w:eastAsia="zh-CN"/>
                                    </w:rPr>
                                    <w:t>本项目所在地</w:t>
                                  </w:r>
                                </w:p>
                              </w:txbxContent>
                            </wps:txbx>
                            <wps:bodyPr vert="horz" wrap="square" lIns="91440" tIns="45720" rIns="91440" bIns="45720" anchor="t" anchorCtr="0" upright="1">
                              <a:noAutofit/>
                            </wps:bodyPr>
                          </wps:wsp>
                        </a:graphicData>
                      </a:graphic>
                    </wp:anchor>
                  </w:drawing>
                </mc:Choice>
                <mc:Fallback>
                  <w:pict>
                    <v:shape id="矩形标注 17" o:spid="_x0000_s1026" o:spt="61" type="#_x0000_t61" style="position:absolute;left:0pt;margin-left:54.45pt;margin-top:187.95pt;height:23.2pt;width:82.25pt;z-index:251663360;mso-width-relative:page;mso-height-relative:page;" fillcolor="#FFFFFF" filled="t" stroked="t" coordsize="21600,21600" o:gfxdata="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3P9J2wAAAAsBAAAPAAAAAAAAAAEAIAAAACIAAABkcnMvZG93bnJldi54bWxQSwECFAAUAAAA&#10;CACHTuJADKmo2V0CAAC9BAAADgAAAAAAAAABACAAAAAqAQAAZHJzL2Uyb0RvYy54bWxQSwUGAAAA&#10;AAYABgBZAQAA+QUAAAAA&#10;" adj="17913,-43758">
                      <v:fill on="t" focussize="0,0"/>
                      <v:stroke color="#FF0000" joinstyle="miter"/>
                      <v:imagedata o:title=""/>
                      <o:lock v:ext="edit" aspectratio="f"/>
                      <v:textbox>
                        <w:txbxContent>
                          <w:p w14:paraId="196AE48A">
                            <w:pPr>
                              <w:jc w:val="center"/>
                              <w:rPr>
                                <w:rFonts w:eastAsia="宋体"/>
                                <w:color w:val="C00000"/>
                                <w:lang w:val="en-US" w:eastAsia="zh-CN"/>
                              </w:rPr>
                            </w:pPr>
                            <w:r>
                              <w:rPr>
                                <w:rFonts w:hint="eastAsia"/>
                                <w:color w:val="C00000"/>
                                <w:lang w:val="en-US" w:eastAsia="zh-CN"/>
                              </w:rPr>
                              <w:t>本项目所在地</w:t>
                            </w:r>
                          </w:p>
                        </w:txbxContent>
                      </v:textbox>
                    </v:shape>
                  </w:pict>
                </mc:Fallback>
              </mc:AlternateContent>
            </w:r>
            <w:r>
              <w:rPr>
                <w:rFonts w:ascii="Times New Roman" w:hAnsi="Times New Roman" w:cs="Times New Roman"/>
                <w:color w:val="auto"/>
                <w:highlight w:val="none"/>
              </w:rPr>
              <w:drawing>
                <wp:inline distT="0" distB="0" distL="114300" distR="114300">
                  <wp:extent cx="4779010" cy="2945130"/>
                  <wp:effectExtent l="9525" t="9525" r="12065" b="171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4779010" cy="2945130"/>
                          </a:xfrm>
                          <a:prstGeom prst="rect">
                            <a:avLst/>
                          </a:prstGeom>
                          <a:noFill/>
                          <a:ln w="9525" cap="flat" cmpd="sng">
                            <a:solidFill>
                              <a:srgbClr val="000000"/>
                            </a:solidFill>
                            <a:prstDash val="solid"/>
                            <a:miter/>
                          </a:ln>
                        </pic:spPr>
                      </pic:pic>
                    </a:graphicData>
                  </a:graphic>
                </wp:inline>
              </w:drawing>
            </w:r>
          </w:p>
          <w:p w14:paraId="3056823B">
            <w:pPr>
              <w:pStyle w:val="44"/>
              <w:bidi w:val="0"/>
              <w:rPr>
                <w:color w:val="auto"/>
                <w:highlight w:val="none"/>
                <w:lang w:val="en-US" w:eastAsia="zh-CN"/>
              </w:rPr>
            </w:pPr>
            <w:r>
              <w:rPr>
                <w:color w:val="auto"/>
                <w:highlight w:val="none"/>
                <w:lang w:val="en-US" w:eastAsia="zh-CN"/>
              </w:rPr>
              <w:t>遂宁市生态保护红线图</w:t>
            </w:r>
          </w:p>
          <w:p w14:paraId="41E5EA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highlight w:val="none"/>
                <w:lang w:eastAsia="zh-CN"/>
              </w:rPr>
            </w:pPr>
            <w:bookmarkStart w:id="9" w:name="_Toc29495"/>
            <w:bookmarkStart w:id="10" w:name="_Toc21381"/>
            <w:r>
              <w:rPr>
                <w:rFonts w:ascii="Times New Roman" w:hAnsi="Times New Roman" w:cs="Times New Roman"/>
                <w:color w:val="auto"/>
                <w:sz w:val="24"/>
                <w:highlight w:val="none"/>
              </w:rPr>
              <w:t>本项目位于四川大英经济开发区</w:t>
            </w:r>
            <w:r>
              <w:rPr>
                <w:rFonts w:ascii="Times New Roman" w:hAnsi="Times New Roman" w:cs="Times New Roman"/>
                <w:color w:val="auto"/>
                <w:sz w:val="24"/>
                <w:highlight w:val="none"/>
                <w:lang w:val="en-US" w:eastAsia="zh-CN"/>
              </w:rPr>
              <w:t>内，</w:t>
            </w:r>
            <w:r>
              <w:rPr>
                <w:rFonts w:ascii="Times New Roman" w:hAnsi="Times New Roman" w:cs="Times New Roman"/>
                <w:color w:val="auto"/>
                <w:sz w:val="24"/>
                <w:highlight w:val="none"/>
              </w:rPr>
              <w:t>不涉及</w:t>
            </w:r>
            <w:r>
              <w:rPr>
                <w:rFonts w:ascii="Times New Roman" w:hAnsi="Times New Roman" w:cs="Times New Roman"/>
                <w:color w:val="auto"/>
                <w:sz w:val="24"/>
                <w:highlight w:val="none"/>
                <w:lang w:val="en-US" w:eastAsia="zh-CN"/>
              </w:rPr>
              <w:t>遂宁</w:t>
            </w:r>
            <w:r>
              <w:rPr>
                <w:rFonts w:ascii="Times New Roman" w:hAnsi="Times New Roman" w:cs="Times New Roman"/>
                <w:color w:val="auto"/>
                <w:sz w:val="24"/>
                <w:highlight w:val="none"/>
              </w:rPr>
              <w:t>市划定的</w:t>
            </w:r>
            <w:r>
              <w:rPr>
                <w:rFonts w:ascii="Times New Roman" w:hAnsi="Times New Roman" w:cs="Times New Roman"/>
                <w:color w:val="auto"/>
                <w:sz w:val="24"/>
                <w:highlight w:val="none"/>
                <w:lang w:val="en-US" w:eastAsia="zh-CN"/>
              </w:rPr>
              <w:t>生态</w:t>
            </w:r>
            <w:r>
              <w:rPr>
                <w:rFonts w:ascii="Times New Roman" w:hAnsi="Times New Roman" w:cs="Times New Roman"/>
                <w:color w:val="auto"/>
                <w:sz w:val="24"/>
                <w:highlight w:val="none"/>
              </w:rPr>
              <w:t>红线</w:t>
            </w:r>
            <w:r>
              <w:rPr>
                <w:rFonts w:ascii="Times New Roman" w:hAnsi="Times New Roman" w:cs="Times New Roman"/>
                <w:color w:val="auto"/>
                <w:sz w:val="24"/>
                <w:highlight w:val="none"/>
                <w:lang w:eastAsia="zh-CN"/>
              </w:rPr>
              <w:t>。</w:t>
            </w:r>
          </w:p>
          <w:p w14:paraId="0B1C388F">
            <w:pPr>
              <w:spacing w:line="360" w:lineRule="auto"/>
              <w:ind w:firstLine="480" w:firstLineChars="200"/>
              <w:outlineLvl w:val="0"/>
              <w:rPr>
                <w:rFonts w:ascii="Times New Roman" w:hAnsi="Times New Roman" w:cs="Times New Roman"/>
                <w:color w:val="auto"/>
                <w:sz w:val="24"/>
                <w:szCs w:val="24"/>
                <w:highlight w:val="none"/>
                <w:lang w:val="en-US" w:eastAsia="zh-CN"/>
              </w:rPr>
            </w:pPr>
            <w:r>
              <w:rPr>
                <w:rFonts w:ascii="Times New Roman" w:hAnsi="Times New Roman" w:cs="Times New Roman"/>
                <w:color w:val="auto"/>
                <w:sz w:val="24"/>
                <w:szCs w:val="24"/>
                <w:highlight w:val="none"/>
                <w:lang w:val="en-US" w:eastAsia="zh-CN"/>
              </w:rPr>
              <w:t>（2）</w:t>
            </w:r>
            <w:r>
              <w:rPr>
                <w:rFonts w:ascii="Times New Roman" w:hAnsi="Times New Roman" w:cs="Times New Roman"/>
                <w:color w:val="auto"/>
                <w:sz w:val="24"/>
                <w:highlight w:val="none"/>
              </w:rPr>
              <w:t>环境风险管控单元确定</w:t>
            </w:r>
          </w:p>
          <w:p w14:paraId="06BF878D">
            <w:pPr>
              <w:pStyle w:val="145"/>
              <w:keepNext w:val="0"/>
              <w:keepLines w:val="0"/>
              <w:pageBreakBefore w:val="0"/>
              <w:widowControl/>
              <w:kinsoku/>
              <w:wordWrap/>
              <w:overflowPunct/>
              <w:topLinePunct w:val="0"/>
              <w:autoSpaceDE/>
              <w:autoSpaceDN/>
              <w:bidi w:val="0"/>
              <w:spacing w:before="0" w:after="0" w:line="360" w:lineRule="auto"/>
              <w:ind w:firstLine="480" w:firstLineChars="200"/>
              <w:jc w:val="both"/>
              <w:textAlignment w:val="auto"/>
              <w:outlineLvl w:val="9"/>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根据生态环境部办公厅《关于印发〈2023年生态环境分区管控成果动态更新工作方案》的通知》（环办环评函</w:t>
            </w:r>
            <w:r>
              <w:rPr>
                <w:rFonts w:hint="eastAsia" w:eastAsia="宋体" w:cs="Times New Roman"/>
                <w:color w:val="auto"/>
                <w:sz w:val="24"/>
                <w:szCs w:val="24"/>
                <w:highlight w:val="none"/>
                <w:u w:val="none"/>
                <w:lang w:eastAsia="zh-CN"/>
              </w:rPr>
              <w:t>〔2023〕81号）、</w:t>
            </w:r>
            <w:r>
              <w:rPr>
                <w:rFonts w:ascii="Times New Roman" w:hAnsi="Times New Roman" w:eastAsia="宋体" w:cs="Times New Roman"/>
                <w:color w:val="auto"/>
                <w:sz w:val="24"/>
                <w:szCs w:val="24"/>
                <w:highlight w:val="none"/>
                <w:u w:val="none"/>
              </w:rPr>
              <w:t>四川省生态环境保护委员会办公室《关于印发〈四川省2023年生态环境分区管控成果动态更新工作方案》的通知》（川环委办</w:t>
            </w:r>
            <w:r>
              <w:rPr>
                <w:rFonts w:hint="eastAsia" w:eastAsia="宋体" w:cs="Times New Roman"/>
                <w:color w:val="auto"/>
                <w:sz w:val="24"/>
                <w:szCs w:val="24"/>
                <w:highlight w:val="none"/>
                <w:u w:val="none"/>
                <w:lang w:eastAsia="zh-CN"/>
              </w:rPr>
              <w:t>〔2023〕11号）</w:t>
            </w:r>
            <w:r>
              <w:rPr>
                <w:rFonts w:ascii="Times New Roman" w:hAnsi="Times New Roman" w:eastAsia="宋体" w:cs="Times New Roman"/>
                <w:color w:val="auto"/>
                <w:sz w:val="24"/>
                <w:szCs w:val="24"/>
                <w:highlight w:val="none"/>
                <w:u w:val="none"/>
              </w:rPr>
              <w:t>要求</w:t>
            </w:r>
            <w:r>
              <w:rPr>
                <w:rFonts w:hint="eastAsia" w:eastAsia="宋体" w:cs="Times New Roman"/>
                <w:color w:val="auto"/>
                <w:sz w:val="24"/>
                <w:szCs w:val="24"/>
                <w:highlight w:val="none"/>
                <w:u w:val="none"/>
                <w:lang w:eastAsia="zh-CN"/>
              </w:rPr>
              <w:t>、</w:t>
            </w:r>
            <w:r>
              <w:rPr>
                <w:rFonts w:ascii="Times New Roman" w:hAnsi="Times New Roman" w:eastAsia="宋体" w:cs="Times New Roman"/>
                <w:color w:val="auto"/>
                <w:sz w:val="24"/>
                <w:szCs w:val="24"/>
                <w:highlight w:val="none"/>
                <w:u w:val="none"/>
              </w:rPr>
              <w:t>《项目环评“三线一单”符合性技术分析要求（试行）》川环办函</w:t>
            </w:r>
            <w:r>
              <w:rPr>
                <w:rFonts w:ascii="Times New Roman" w:hAnsi="Times New Roman" w:eastAsia="宋体" w:cs="Times New Roman"/>
                <w:color w:val="auto"/>
                <w:sz w:val="24"/>
                <w:szCs w:val="24"/>
                <w:highlight w:val="none"/>
                <w:u w:val="none"/>
                <w:lang w:val="zh-CN"/>
              </w:rPr>
              <w:t>〔</w:t>
            </w:r>
            <w:r>
              <w:rPr>
                <w:rFonts w:ascii="Times New Roman" w:hAnsi="Times New Roman" w:eastAsia="宋体" w:cs="Times New Roman"/>
                <w:color w:val="auto"/>
                <w:sz w:val="24"/>
                <w:szCs w:val="24"/>
                <w:highlight w:val="none"/>
                <w:u w:val="none"/>
              </w:rPr>
              <w:t>2021</w:t>
            </w:r>
            <w:r>
              <w:rPr>
                <w:rFonts w:ascii="Times New Roman" w:hAnsi="Times New Roman" w:eastAsia="宋体" w:cs="Times New Roman"/>
                <w:color w:val="auto"/>
                <w:sz w:val="24"/>
                <w:szCs w:val="24"/>
                <w:highlight w:val="none"/>
                <w:u w:val="none"/>
                <w:lang w:val="zh-CN"/>
              </w:rPr>
              <w:t>〕</w:t>
            </w:r>
            <w:r>
              <w:rPr>
                <w:rFonts w:ascii="Times New Roman" w:hAnsi="Times New Roman" w:eastAsia="宋体" w:cs="Times New Roman"/>
                <w:color w:val="auto"/>
                <w:sz w:val="24"/>
                <w:szCs w:val="24"/>
                <w:highlight w:val="none"/>
                <w:u w:val="none"/>
              </w:rPr>
              <w:t>469号文件：如建设项目位于产业园区内，且产业园区规划环境影响评价中已开展了园区与“三线一单”符合性分析，则项目环评只需分析与产业园区生态环境准入要求的符合性。</w:t>
            </w:r>
          </w:p>
          <w:p w14:paraId="69494D3F">
            <w:pPr>
              <w:spacing w:line="360" w:lineRule="auto"/>
              <w:ind w:firstLine="480" w:firstLineChars="200"/>
              <w:rPr>
                <w:rFonts w:ascii="Times New Roman" w:hAnsi="Times New Roman" w:eastAsia="宋体" w:cs="Times New Roman"/>
                <w:b w:val="0"/>
                <w:bCs/>
                <w:color w:val="auto"/>
                <w:kern w:val="44"/>
                <w:sz w:val="24"/>
                <w:szCs w:val="24"/>
                <w:highlight w:val="none"/>
                <w:lang w:val="en-US" w:eastAsia="zh-CN" w:bidi="ar-SA"/>
              </w:rPr>
            </w:pPr>
            <w:r>
              <w:rPr>
                <w:rFonts w:ascii="Times New Roman" w:hAnsi="Times New Roman" w:eastAsia="宋体" w:cs="Times New Roman"/>
                <w:b w:val="0"/>
                <w:bCs/>
                <w:color w:val="auto"/>
                <w:kern w:val="44"/>
                <w:sz w:val="24"/>
                <w:szCs w:val="24"/>
                <w:highlight w:val="none"/>
                <w:lang w:val="en-US" w:eastAsia="zh-CN" w:bidi="ar-SA"/>
              </w:rPr>
              <w:t>根据四川政务服务网“</w:t>
            </w:r>
            <w:r>
              <w:rPr>
                <w:rFonts w:hint="eastAsia" w:eastAsia="宋体" w:cs="Times New Roman"/>
                <w:b w:val="0"/>
                <w:bCs/>
                <w:color w:val="auto"/>
                <w:kern w:val="44"/>
                <w:sz w:val="24"/>
                <w:szCs w:val="24"/>
                <w:highlight w:val="none"/>
                <w:lang w:val="en-US" w:eastAsia="zh-CN" w:bidi="ar-SA"/>
              </w:rPr>
              <w:t>生态环境分区管控</w:t>
            </w:r>
            <w:r>
              <w:rPr>
                <w:rFonts w:ascii="Times New Roman" w:hAnsi="Times New Roman" w:eastAsia="宋体" w:cs="Times New Roman"/>
                <w:b w:val="0"/>
                <w:bCs/>
                <w:color w:val="auto"/>
                <w:kern w:val="44"/>
                <w:sz w:val="24"/>
                <w:szCs w:val="24"/>
                <w:highlight w:val="none"/>
                <w:lang w:val="en-US" w:eastAsia="zh-CN" w:bidi="ar-SA"/>
              </w:rPr>
              <w:t>”数据分析系统</w:t>
            </w:r>
            <w:r>
              <w:rPr>
                <w:rFonts w:hint="eastAsia" w:cs="Times New Roman"/>
                <w:b w:val="0"/>
                <w:bCs/>
                <w:color w:val="auto"/>
                <w:kern w:val="44"/>
                <w:sz w:val="24"/>
                <w:szCs w:val="24"/>
                <w:highlight w:val="none"/>
                <w:lang w:val="en-US" w:eastAsia="zh-CN" w:bidi="ar-SA"/>
              </w:rPr>
              <w:t>（查询时间2024年12月6日）</w:t>
            </w:r>
            <w:r>
              <w:rPr>
                <w:rFonts w:ascii="Times New Roman" w:hAnsi="Times New Roman" w:eastAsia="宋体" w:cs="Times New Roman"/>
                <w:b w:val="0"/>
                <w:bCs/>
                <w:color w:val="auto"/>
                <w:kern w:val="44"/>
                <w:sz w:val="24"/>
                <w:szCs w:val="24"/>
                <w:highlight w:val="none"/>
                <w:lang w:val="en-US" w:eastAsia="zh-CN" w:bidi="ar-SA"/>
              </w:rPr>
              <w:t>，本项目涉及5个环境管控单元，详见下</w:t>
            </w:r>
            <w:r>
              <w:rPr>
                <w:rFonts w:hint="eastAsia" w:eastAsia="宋体" w:cs="Times New Roman"/>
                <w:b w:val="0"/>
                <w:bCs/>
                <w:color w:val="auto"/>
                <w:kern w:val="44"/>
                <w:sz w:val="24"/>
                <w:szCs w:val="24"/>
                <w:highlight w:val="none"/>
                <w:lang w:val="en-US" w:eastAsia="zh-CN" w:bidi="ar-SA"/>
              </w:rPr>
              <w:t>图</w:t>
            </w:r>
            <w:r>
              <w:rPr>
                <w:rFonts w:ascii="Times New Roman" w:hAnsi="Times New Roman" w:eastAsia="宋体" w:cs="Times New Roman"/>
                <w:b w:val="0"/>
                <w:bCs/>
                <w:color w:val="auto"/>
                <w:kern w:val="44"/>
                <w:sz w:val="24"/>
                <w:szCs w:val="24"/>
                <w:highlight w:val="none"/>
                <w:lang w:val="en-US" w:eastAsia="zh-CN" w:bidi="ar-SA"/>
              </w:rPr>
              <w:t>：</w:t>
            </w:r>
          </w:p>
          <w:p w14:paraId="3CC0E981">
            <w:pPr>
              <w:pStyle w:val="9"/>
              <w:rPr>
                <w:rFonts w:ascii="Times New Roman" w:hAnsi="Times New Roman" w:eastAsia="宋体" w:cs="Times New Roman"/>
                <w:b w:val="0"/>
                <w:bCs/>
                <w:color w:val="auto"/>
                <w:kern w:val="44"/>
                <w:sz w:val="24"/>
                <w:szCs w:val="24"/>
                <w:highlight w:val="none"/>
                <w:lang w:val="en-US" w:eastAsia="zh-CN" w:bidi="ar-SA"/>
              </w:rPr>
            </w:pPr>
          </w:p>
          <w:p w14:paraId="48084109">
            <w:pPr>
              <w:rPr>
                <w:rFonts w:ascii="Times New Roman" w:hAnsi="Times New Roman" w:eastAsia="宋体" w:cs="Times New Roman"/>
                <w:b w:val="0"/>
                <w:bCs/>
                <w:color w:val="auto"/>
                <w:kern w:val="44"/>
                <w:sz w:val="24"/>
                <w:szCs w:val="24"/>
                <w:highlight w:val="none"/>
                <w:lang w:val="en-US" w:eastAsia="zh-CN" w:bidi="ar-SA"/>
              </w:rPr>
            </w:pPr>
          </w:p>
          <w:p w14:paraId="6A04521E">
            <w:pPr>
              <w:pStyle w:val="9"/>
              <w:rPr>
                <w:rFonts w:ascii="Times New Roman" w:hAnsi="Times New Roman" w:eastAsia="宋体" w:cs="Times New Roman"/>
                <w:b w:val="0"/>
                <w:bCs/>
                <w:color w:val="auto"/>
                <w:kern w:val="44"/>
                <w:sz w:val="24"/>
                <w:szCs w:val="24"/>
                <w:highlight w:val="none"/>
                <w:lang w:val="en-US" w:eastAsia="zh-CN" w:bidi="ar-SA"/>
              </w:rPr>
            </w:pPr>
          </w:p>
          <w:p w14:paraId="72E4FB7F">
            <w:pPr>
              <w:rPr>
                <w:rFonts w:ascii="Times New Roman" w:hAnsi="Times New Roman" w:eastAsia="宋体" w:cs="Times New Roman"/>
                <w:b w:val="0"/>
                <w:bCs/>
                <w:color w:val="auto"/>
                <w:kern w:val="44"/>
                <w:sz w:val="24"/>
                <w:szCs w:val="24"/>
                <w:highlight w:val="none"/>
                <w:lang w:val="en-US" w:eastAsia="zh-CN" w:bidi="ar-SA"/>
              </w:rPr>
            </w:pPr>
          </w:p>
          <w:p w14:paraId="022A2644">
            <w:pPr>
              <w:pStyle w:val="9"/>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color w:val="auto"/>
                <w:highlight w:val="none"/>
                <w:lang w:val="en-US" w:eastAsia="zh-CN"/>
              </w:rPr>
            </w:pPr>
            <w:r>
              <w:rPr>
                <w:color w:val="auto"/>
                <w:highlight w:val="none"/>
              </w:rPr>
              <w:drawing>
                <wp:inline distT="0" distB="0" distL="114300" distR="114300">
                  <wp:extent cx="4799330" cy="3767455"/>
                  <wp:effectExtent l="0" t="0" r="1270" b="444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9"/>
                          <a:stretch>
                            <a:fillRect/>
                          </a:stretch>
                        </pic:blipFill>
                        <pic:spPr>
                          <a:xfrm>
                            <a:off x="0" y="0"/>
                            <a:ext cx="4799330" cy="3767455"/>
                          </a:xfrm>
                          <a:prstGeom prst="rect">
                            <a:avLst/>
                          </a:prstGeom>
                          <a:noFill/>
                          <a:ln>
                            <a:noFill/>
                          </a:ln>
                        </pic:spPr>
                      </pic:pic>
                    </a:graphicData>
                  </a:graphic>
                </wp:inline>
              </w:drawing>
            </w:r>
          </w:p>
          <w:p w14:paraId="071ABF2B">
            <w:pPr>
              <w:pStyle w:val="44"/>
              <w:bidi w:val="0"/>
              <w:rPr>
                <w:rFonts w:hint="default" w:ascii="Times New Roman" w:hAnsi="Times New Roman" w:eastAsia="宋体" w:cs="Times New Roman"/>
                <w:color w:val="auto"/>
                <w:sz w:val="21"/>
                <w:szCs w:val="18"/>
                <w:highlight w:val="none"/>
                <w:lang w:val="en-US" w:eastAsia="zh-CN"/>
              </w:rPr>
            </w:pPr>
            <w:r>
              <w:rPr>
                <w:rFonts w:hint="default" w:ascii="Times New Roman" w:hAnsi="Times New Roman" w:eastAsia="宋体" w:cs="Times New Roman"/>
                <w:color w:val="auto"/>
                <w:sz w:val="21"/>
                <w:szCs w:val="18"/>
                <w:highlight w:val="none"/>
                <w:lang w:val="en-US" w:eastAsia="zh-CN"/>
              </w:rPr>
              <w:t>四川政务服务网“生态环境分区管控”查询截图</w:t>
            </w:r>
          </w:p>
          <w:p w14:paraId="295EBEA6">
            <w:pPr>
              <w:adjustRightInd w:val="0"/>
              <w:snapToGrid w:val="0"/>
              <w:spacing w:line="360" w:lineRule="auto"/>
              <w:ind w:firstLine="480" w:firstLineChars="200"/>
              <w:rPr>
                <w:rFonts w:hint="eastAsia"/>
                <w:b w:val="0"/>
                <w:bCs w:val="0"/>
                <w:color w:val="auto"/>
                <w:sz w:val="24"/>
                <w:highlight w:val="none"/>
                <w:lang w:val="en-US" w:eastAsia="zh-CN"/>
              </w:rPr>
            </w:pPr>
            <w:r>
              <w:rPr>
                <w:rFonts w:hint="eastAsia"/>
                <w:b w:val="0"/>
                <w:bCs w:val="0"/>
                <w:color w:val="auto"/>
                <w:sz w:val="24"/>
                <w:highlight w:val="none"/>
                <w:lang w:val="en-US" w:eastAsia="zh-CN"/>
              </w:rPr>
              <w:t>项目涉及管控单元具体如下表：</w:t>
            </w:r>
          </w:p>
          <w:p w14:paraId="6A9E2E71">
            <w:pPr>
              <w:pStyle w:val="43"/>
              <w:bidi w:val="0"/>
              <w:rPr>
                <w:color w:val="auto"/>
                <w:highlight w:val="none"/>
              </w:rPr>
            </w:pPr>
            <w:r>
              <w:rPr>
                <w:color w:val="auto"/>
                <w:highlight w:val="none"/>
              </w:rPr>
              <w:t>本项目涉及环境管控单元一览表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489"/>
              <w:gridCol w:w="1122"/>
              <w:gridCol w:w="863"/>
              <w:gridCol w:w="1420"/>
              <w:gridCol w:w="1524"/>
            </w:tblGrid>
            <w:tr w14:paraId="08E9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6407468D">
                  <w:pPr>
                    <w:widowControl/>
                    <w:spacing w:line="240" w:lineRule="auto"/>
                    <w:ind w:firstLine="0" w:firstLineChars="0"/>
                    <w:jc w:val="center"/>
                    <w:rPr>
                      <w:rStyle w:val="29"/>
                      <w:rFonts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环境管控单元编码</w:t>
                  </w:r>
                </w:p>
              </w:tc>
              <w:tc>
                <w:tcPr>
                  <w:tcW w:w="986" w:type="pct"/>
                  <w:noWrap w:val="0"/>
                  <w:vAlign w:val="center"/>
                </w:tcPr>
                <w:p w14:paraId="68CDB795">
                  <w:pPr>
                    <w:widowControl/>
                    <w:spacing w:line="240" w:lineRule="auto"/>
                    <w:ind w:firstLine="0" w:firstLineChars="0"/>
                    <w:jc w:val="center"/>
                    <w:rPr>
                      <w:rStyle w:val="29"/>
                      <w:rFonts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环境管控单元名称</w:t>
                  </w:r>
                </w:p>
              </w:tc>
              <w:tc>
                <w:tcPr>
                  <w:tcW w:w="743" w:type="pct"/>
                  <w:noWrap w:val="0"/>
                  <w:vAlign w:val="center"/>
                </w:tcPr>
                <w:p w14:paraId="6BC3340D">
                  <w:pPr>
                    <w:widowControl/>
                    <w:spacing w:line="240" w:lineRule="auto"/>
                    <w:ind w:firstLine="0" w:firstLineChars="0"/>
                    <w:jc w:val="center"/>
                    <w:rPr>
                      <w:rStyle w:val="29"/>
                      <w:rFonts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所属市（州）</w:t>
                  </w:r>
                </w:p>
              </w:tc>
              <w:tc>
                <w:tcPr>
                  <w:tcW w:w="571" w:type="pct"/>
                  <w:noWrap w:val="0"/>
                  <w:vAlign w:val="center"/>
                </w:tcPr>
                <w:p w14:paraId="75CBD20E">
                  <w:pPr>
                    <w:widowControl/>
                    <w:spacing w:line="240" w:lineRule="auto"/>
                    <w:ind w:firstLine="0" w:firstLineChars="0"/>
                    <w:jc w:val="center"/>
                    <w:rPr>
                      <w:rStyle w:val="29"/>
                      <w:rFonts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所属区县</w:t>
                  </w:r>
                </w:p>
              </w:tc>
              <w:tc>
                <w:tcPr>
                  <w:tcW w:w="941" w:type="pct"/>
                  <w:noWrap w:val="0"/>
                  <w:vAlign w:val="center"/>
                </w:tcPr>
                <w:p w14:paraId="1A512A49">
                  <w:pPr>
                    <w:widowControl/>
                    <w:spacing w:line="240" w:lineRule="auto"/>
                    <w:ind w:firstLine="0" w:firstLineChars="0"/>
                    <w:jc w:val="center"/>
                    <w:rPr>
                      <w:rStyle w:val="29"/>
                      <w:rFonts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准入清单类型</w:t>
                  </w:r>
                </w:p>
              </w:tc>
              <w:tc>
                <w:tcPr>
                  <w:tcW w:w="1009" w:type="pct"/>
                  <w:noWrap w:val="0"/>
                  <w:vAlign w:val="center"/>
                </w:tcPr>
                <w:p w14:paraId="1A5BBC2A">
                  <w:pPr>
                    <w:widowControl/>
                    <w:spacing w:line="240" w:lineRule="auto"/>
                    <w:ind w:firstLine="0" w:firstLineChars="0"/>
                    <w:jc w:val="center"/>
                    <w:rPr>
                      <w:rStyle w:val="29"/>
                      <w:rFonts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管控类型</w:t>
                  </w:r>
                </w:p>
              </w:tc>
            </w:tr>
            <w:tr w14:paraId="5434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27B787A5">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YS5109232310001</w:t>
                  </w:r>
                </w:p>
              </w:tc>
              <w:tc>
                <w:tcPr>
                  <w:tcW w:w="986" w:type="pct"/>
                  <w:noWrap w:val="0"/>
                  <w:vAlign w:val="center"/>
                </w:tcPr>
                <w:p w14:paraId="272AAB21">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大英县工业集中发展区（含经开区）</w:t>
                  </w:r>
                </w:p>
              </w:tc>
              <w:tc>
                <w:tcPr>
                  <w:tcW w:w="743" w:type="pct"/>
                  <w:noWrap w:val="0"/>
                  <w:vAlign w:val="center"/>
                </w:tcPr>
                <w:p w14:paraId="39EC2133">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遂宁市</w:t>
                  </w:r>
                </w:p>
              </w:tc>
              <w:tc>
                <w:tcPr>
                  <w:tcW w:w="571" w:type="pct"/>
                  <w:noWrap w:val="0"/>
                  <w:vAlign w:val="center"/>
                </w:tcPr>
                <w:p w14:paraId="3324A204">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大英县</w:t>
                  </w:r>
                </w:p>
              </w:tc>
              <w:tc>
                <w:tcPr>
                  <w:tcW w:w="941" w:type="pct"/>
                  <w:noWrap w:val="0"/>
                  <w:vAlign w:val="center"/>
                </w:tcPr>
                <w:p w14:paraId="0E59241A">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大气环境管控分区</w:t>
                  </w:r>
                </w:p>
              </w:tc>
              <w:tc>
                <w:tcPr>
                  <w:tcW w:w="1009" w:type="pct"/>
                  <w:noWrap w:val="0"/>
                  <w:vAlign w:val="center"/>
                </w:tcPr>
                <w:p w14:paraId="6BBC6DFE">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大气环境高排放重点管控区</w:t>
                  </w:r>
                </w:p>
              </w:tc>
            </w:tr>
            <w:tr w14:paraId="4EA6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6065B528">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YS5109232530001</w:t>
                  </w:r>
                </w:p>
              </w:tc>
              <w:tc>
                <w:tcPr>
                  <w:tcW w:w="986" w:type="pct"/>
                  <w:noWrap w:val="0"/>
                  <w:vAlign w:val="center"/>
                </w:tcPr>
                <w:p w14:paraId="0770669A">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大英县城镇开发边界</w:t>
                  </w:r>
                </w:p>
              </w:tc>
              <w:tc>
                <w:tcPr>
                  <w:tcW w:w="743" w:type="pct"/>
                  <w:noWrap w:val="0"/>
                  <w:vAlign w:val="center"/>
                </w:tcPr>
                <w:p w14:paraId="0F8F9EBB">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遂宁市</w:t>
                  </w:r>
                </w:p>
              </w:tc>
              <w:tc>
                <w:tcPr>
                  <w:tcW w:w="571" w:type="pct"/>
                  <w:noWrap w:val="0"/>
                  <w:vAlign w:val="center"/>
                </w:tcPr>
                <w:p w14:paraId="0DEB5211">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大英县</w:t>
                  </w:r>
                </w:p>
              </w:tc>
              <w:tc>
                <w:tcPr>
                  <w:tcW w:w="941" w:type="pct"/>
                  <w:noWrap w:val="0"/>
                  <w:vAlign w:val="center"/>
                </w:tcPr>
                <w:p w14:paraId="33B6DCF0">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资源管控分区</w:t>
                  </w:r>
                </w:p>
              </w:tc>
              <w:tc>
                <w:tcPr>
                  <w:tcW w:w="1009" w:type="pct"/>
                  <w:noWrap w:val="0"/>
                  <w:vAlign w:val="center"/>
                </w:tcPr>
                <w:p w14:paraId="3EF06BB4">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土地资源重点管控区</w:t>
                  </w:r>
                </w:p>
              </w:tc>
            </w:tr>
            <w:tr w14:paraId="12B9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772CF1C2">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YS5109232540002</w:t>
                  </w:r>
                </w:p>
              </w:tc>
              <w:tc>
                <w:tcPr>
                  <w:tcW w:w="986" w:type="pct"/>
                  <w:noWrap w:val="0"/>
                  <w:vAlign w:val="center"/>
                </w:tcPr>
                <w:p w14:paraId="16A17FB9">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四川大英经济开发区</w:t>
                  </w:r>
                </w:p>
              </w:tc>
              <w:tc>
                <w:tcPr>
                  <w:tcW w:w="743" w:type="pct"/>
                  <w:noWrap w:val="0"/>
                  <w:vAlign w:val="center"/>
                </w:tcPr>
                <w:p w14:paraId="6E0DB3C7">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遂宁市</w:t>
                  </w:r>
                </w:p>
              </w:tc>
              <w:tc>
                <w:tcPr>
                  <w:tcW w:w="571" w:type="pct"/>
                  <w:noWrap w:val="0"/>
                  <w:vAlign w:val="center"/>
                </w:tcPr>
                <w:p w14:paraId="77A72706">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大英县</w:t>
                  </w:r>
                </w:p>
              </w:tc>
              <w:tc>
                <w:tcPr>
                  <w:tcW w:w="941" w:type="pct"/>
                  <w:noWrap w:val="0"/>
                  <w:vAlign w:val="center"/>
                </w:tcPr>
                <w:p w14:paraId="4235D39D">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资源管控分区</w:t>
                  </w:r>
                </w:p>
              </w:tc>
              <w:tc>
                <w:tcPr>
                  <w:tcW w:w="1009" w:type="pct"/>
                  <w:noWrap w:val="0"/>
                  <w:vAlign w:val="center"/>
                </w:tcPr>
                <w:p w14:paraId="7C1C8577">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高污染燃料禁燃区</w:t>
                  </w:r>
                </w:p>
              </w:tc>
            </w:tr>
            <w:tr w14:paraId="488E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5C74C46E">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YS5109232550001</w:t>
                  </w:r>
                </w:p>
              </w:tc>
              <w:tc>
                <w:tcPr>
                  <w:tcW w:w="986" w:type="pct"/>
                  <w:noWrap w:val="0"/>
                  <w:vAlign w:val="center"/>
                </w:tcPr>
                <w:p w14:paraId="23ADE070">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大英县自然资源重点管控区</w:t>
                  </w:r>
                </w:p>
              </w:tc>
              <w:tc>
                <w:tcPr>
                  <w:tcW w:w="743" w:type="pct"/>
                  <w:noWrap w:val="0"/>
                  <w:vAlign w:val="center"/>
                </w:tcPr>
                <w:p w14:paraId="3CCEB9AE">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遂宁市</w:t>
                  </w:r>
                </w:p>
              </w:tc>
              <w:tc>
                <w:tcPr>
                  <w:tcW w:w="571" w:type="pct"/>
                  <w:noWrap w:val="0"/>
                  <w:vAlign w:val="center"/>
                </w:tcPr>
                <w:p w14:paraId="20016D14">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大英县</w:t>
                  </w:r>
                </w:p>
              </w:tc>
              <w:tc>
                <w:tcPr>
                  <w:tcW w:w="941" w:type="pct"/>
                  <w:noWrap w:val="0"/>
                  <w:vAlign w:val="center"/>
                </w:tcPr>
                <w:p w14:paraId="027775EA">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资源管控分区</w:t>
                  </w:r>
                </w:p>
              </w:tc>
              <w:tc>
                <w:tcPr>
                  <w:tcW w:w="1009" w:type="pct"/>
                  <w:noWrap w:val="0"/>
                  <w:vAlign w:val="center"/>
                </w:tcPr>
                <w:p w14:paraId="5058B1F7">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自然资源重点管控区</w:t>
                  </w:r>
                </w:p>
              </w:tc>
            </w:tr>
            <w:tr w14:paraId="6C90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58BC845F">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ZH51092320002</w:t>
                  </w:r>
                </w:p>
              </w:tc>
              <w:tc>
                <w:tcPr>
                  <w:tcW w:w="986" w:type="pct"/>
                  <w:noWrap w:val="0"/>
                  <w:vAlign w:val="center"/>
                </w:tcPr>
                <w:p w14:paraId="249BEEB4">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大英县工业集中发展区（含经开区）</w:t>
                  </w:r>
                </w:p>
              </w:tc>
              <w:tc>
                <w:tcPr>
                  <w:tcW w:w="743" w:type="pct"/>
                  <w:noWrap w:val="0"/>
                  <w:vAlign w:val="center"/>
                </w:tcPr>
                <w:p w14:paraId="563CE634">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遂宁市</w:t>
                  </w:r>
                </w:p>
              </w:tc>
              <w:tc>
                <w:tcPr>
                  <w:tcW w:w="571" w:type="pct"/>
                  <w:noWrap w:val="0"/>
                  <w:vAlign w:val="center"/>
                </w:tcPr>
                <w:p w14:paraId="70848F9C">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大英县</w:t>
                  </w:r>
                </w:p>
              </w:tc>
              <w:tc>
                <w:tcPr>
                  <w:tcW w:w="941" w:type="pct"/>
                  <w:noWrap w:val="0"/>
                  <w:vAlign w:val="center"/>
                </w:tcPr>
                <w:p w14:paraId="2EF1B9AD">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环境综合管控单元</w:t>
                  </w:r>
                </w:p>
              </w:tc>
              <w:tc>
                <w:tcPr>
                  <w:tcW w:w="1009" w:type="pct"/>
                  <w:noWrap w:val="0"/>
                  <w:vAlign w:val="center"/>
                </w:tcPr>
                <w:p w14:paraId="1D61479A">
                  <w:pPr>
                    <w:pStyle w:val="71"/>
                    <w:widowControl/>
                    <w:spacing w:line="240" w:lineRule="auto"/>
                    <w:ind w:firstLine="0" w:firstLineChars="0"/>
                    <w:jc w:val="center"/>
                    <w:rPr>
                      <w:rStyle w:val="29"/>
                      <w:rFonts w:ascii="宋体" w:hAnsi="宋体" w:eastAsia="宋体" w:cs="Times New Roman"/>
                      <w:color w:val="auto"/>
                      <w:kern w:val="2"/>
                      <w:sz w:val="21"/>
                      <w:szCs w:val="21"/>
                      <w:highlight w:val="none"/>
                      <w:lang w:val="en-US" w:eastAsia="zh-CN" w:bidi="ar-SA"/>
                    </w:rPr>
                  </w:pPr>
                  <w:r>
                    <w:rPr>
                      <w:rStyle w:val="29"/>
                      <w:rFonts w:hint="eastAsia" w:ascii="宋体" w:hAnsi="宋体" w:eastAsia="宋体" w:cs="Times New Roman"/>
                      <w:color w:val="auto"/>
                      <w:kern w:val="2"/>
                      <w:sz w:val="21"/>
                      <w:szCs w:val="21"/>
                      <w:highlight w:val="none"/>
                      <w:lang w:val="en-US" w:eastAsia="zh-CN" w:bidi="ar-SA"/>
                    </w:rPr>
                    <w:t>环境综合管控单元工业重点管控单元</w:t>
                  </w:r>
                </w:p>
              </w:tc>
            </w:tr>
          </w:tbl>
          <w:p w14:paraId="0BA14A83">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3000t/a醇胺技改项目</w:t>
            </w:r>
            <w:r>
              <w:rPr>
                <w:rFonts w:hint="default" w:ascii="Times New Roman" w:hAnsi="Times New Roman" w:eastAsia="宋体" w:cs="Times New Roman"/>
                <w:color w:val="auto"/>
                <w:sz w:val="24"/>
                <w:szCs w:val="24"/>
                <w:highlight w:val="none"/>
              </w:rPr>
              <w:t>位于遂宁市大英县环境综合管控单元工业重点管控单元（管控单元名称：大英县工业集中发展区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含经开区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，管控单元编号：ZH51092320002）</w:t>
            </w:r>
            <w:r>
              <w:rPr>
                <w:rFonts w:hint="eastAsia" w:ascii="Times New Roman" w:hAnsi="Times New Roman" w:eastAsia="宋体" w:cs="Times New Roman"/>
                <w:color w:val="auto"/>
                <w:sz w:val="24"/>
                <w:szCs w:val="24"/>
                <w:highlight w:val="none"/>
                <w:lang w:eastAsia="zh-CN"/>
              </w:rPr>
              <w:t>。</w:t>
            </w:r>
          </w:p>
          <w:p w14:paraId="3E633952">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项目与管控单元相对位置如下图所示：（图中</w:t>
            </w:r>
            <w:r>
              <w:rPr>
                <w:rFonts w:hint="default" w:ascii="Times New Roman" w:hAnsi="Times New Roman" w:eastAsia="宋体" w:cs="Times New Roman"/>
                <w:color w:val="00FFFF"/>
                <w:sz w:val="24"/>
                <w:szCs w:val="24"/>
                <w:highlight w:val="none"/>
              </w:rPr>
              <w:t>▼</w:t>
            </w:r>
            <w:r>
              <w:rPr>
                <w:rFonts w:hint="default" w:ascii="Times New Roman" w:hAnsi="Times New Roman" w:eastAsia="宋体" w:cs="Times New Roman"/>
                <w:color w:val="auto"/>
                <w:sz w:val="24"/>
                <w:szCs w:val="24"/>
                <w:highlight w:val="none"/>
              </w:rPr>
              <w:t>表示项目位置）</w:t>
            </w:r>
          </w:p>
          <w:p w14:paraId="56508B84">
            <w:pPr>
              <w:pStyle w:val="9"/>
              <w:rPr>
                <w:rFonts w:hint="eastAsia"/>
                <w:color w:val="auto"/>
                <w:highlight w:val="none"/>
                <w:lang w:eastAsia="zh-CN"/>
              </w:rPr>
            </w:pPr>
            <w:r>
              <w:rPr>
                <w:rFonts w:hint="default" w:ascii="Helvetica" w:hAnsi="Helvetica" w:eastAsia="Helvetica"/>
                <w:color w:val="auto"/>
                <w:sz w:val="28"/>
                <w:szCs w:val="24"/>
                <w:highlight w:val="none"/>
              </w:rPr>
              <w:drawing>
                <wp:inline distT="0" distB="0" distL="114300" distR="114300">
                  <wp:extent cx="5082540" cy="3593465"/>
                  <wp:effectExtent l="0" t="0" r="381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0"/>
                          <a:stretch>
                            <a:fillRect/>
                          </a:stretch>
                        </pic:blipFill>
                        <pic:spPr>
                          <a:xfrm>
                            <a:off x="0" y="0"/>
                            <a:ext cx="5082540" cy="3593465"/>
                          </a:xfrm>
                          <a:prstGeom prst="rect">
                            <a:avLst/>
                          </a:prstGeom>
                          <a:noFill/>
                          <a:ln>
                            <a:noFill/>
                          </a:ln>
                        </pic:spPr>
                      </pic:pic>
                    </a:graphicData>
                  </a:graphic>
                </wp:inline>
              </w:drawing>
            </w:r>
          </w:p>
          <w:p w14:paraId="1AAFAAEC">
            <w:pPr>
              <w:pStyle w:val="44"/>
              <w:bidi w:val="0"/>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highlight w:val="none"/>
              </w:rPr>
              <w:t>本项目与管控单元相对位置</w:t>
            </w:r>
            <w:r>
              <w:rPr>
                <w:rFonts w:ascii="Times New Roman" w:hAnsi="Times New Roman" w:eastAsia="宋体" w:cs="Times New Roman"/>
                <w:color w:val="auto"/>
                <w:sz w:val="21"/>
                <w:szCs w:val="21"/>
                <w:highlight w:val="none"/>
                <w:lang w:val="en-US" w:eastAsia="zh-CN"/>
              </w:rPr>
              <w:t>（图中</w:t>
            </w:r>
            <w:r>
              <w:rPr>
                <w:rFonts w:ascii="Times New Roman" w:hAnsi="Times New Roman" w:eastAsia="宋体" w:cs="Times New Roman"/>
                <w:color w:val="00FFFF"/>
                <w:sz w:val="21"/>
                <w:szCs w:val="21"/>
                <w:highlight w:val="none"/>
              </w:rPr>
              <w:t>▼</w:t>
            </w:r>
            <w:r>
              <w:rPr>
                <w:rFonts w:ascii="Times New Roman" w:hAnsi="Times New Roman" w:eastAsia="宋体" w:cs="Times New Roman"/>
                <w:color w:val="auto"/>
                <w:sz w:val="21"/>
                <w:szCs w:val="21"/>
                <w:highlight w:val="none"/>
                <w:lang w:val="en-US" w:eastAsia="zh-CN"/>
              </w:rPr>
              <w:t>表示项目位置）</w:t>
            </w:r>
          </w:p>
          <w:p w14:paraId="0A1C6EE3">
            <w:pPr>
              <w:rPr>
                <w:rFonts w:hint="eastAsia"/>
                <w:color w:val="auto"/>
                <w:highlight w:val="none"/>
                <w:lang w:eastAsia="zh-CN"/>
              </w:rPr>
            </w:pPr>
          </w:p>
          <w:bookmarkEnd w:id="9"/>
          <w:bookmarkEnd w:id="10"/>
          <w:p w14:paraId="369EA468">
            <w:pPr>
              <w:pStyle w:val="44"/>
              <w:numPr>
                <w:ilvl w:val="0"/>
                <w:numId w:val="0"/>
              </w:numPr>
              <w:bidi w:val="0"/>
              <w:ind w:leftChars="0"/>
              <w:jc w:val="both"/>
              <w:rPr>
                <w:rFonts w:hint="eastAsia"/>
                <w:b/>
                <w:bCs/>
                <w:color w:val="auto"/>
                <w:kern w:val="0"/>
                <w:szCs w:val="21"/>
                <w:highlight w:val="none"/>
              </w:rPr>
            </w:pPr>
          </w:p>
          <w:p w14:paraId="47DF2105">
            <w:pPr>
              <w:pStyle w:val="44"/>
              <w:numPr>
                <w:ilvl w:val="0"/>
                <w:numId w:val="0"/>
              </w:numPr>
              <w:bidi w:val="0"/>
              <w:ind w:leftChars="0"/>
              <w:jc w:val="both"/>
              <w:rPr>
                <w:rFonts w:hint="eastAsia"/>
                <w:b/>
                <w:bCs/>
                <w:color w:val="auto"/>
                <w:kern w:val="0"/>
                <w:szCs w:val="21"/>
                <w:highlight w:val="none"/>
              </w:rPr>
            </w:pPr>
          </w:p>
          <w:p w14:paraId="54FC2AD3">
            <w:pPr>
              <w:pStyle w:val="44"/>
              <w:numPr>
                <w:ilvl w:val="0"/>
                <w:numId w:val="0"/>
              </w:numPr>
              <w:bidi w:val="0"/>
              <w:ind w:leftChars="0"/>
              <w:jc w:val="both"/>
              <w:rPr>
                <w:rFonts w:hint="eastAsia"/>
                <w:b/>
                <w:bCs/>
                <w:color w:val="auto"/>
                <w:kern w:val="0"/>
                <w:szCs w:val="21"/>
                <w:highlight w:val="none"/>
              </w:rPr>
            </w:pPr>
          </w:p>
          <w:p w14:paraId="35BC256F">
            <w:pPr>
              <w:pStyle w:val="44"/>
              <w:numPr>
                <w:ilvl w:val="0"/>
                <w:numId w:val="0"/>
              </w:numPr>
              <w:bidi w:val="0"/>
              <w:ind w:leftChars="0"/>
              <w:jc w:val="both"/>
              <w:rPr>
                <w:rFonts w:hint="eastAsia"/>
                <w:b/>
                <w:bCs/>
                <w:color w:val="auto"/>
                <w:kern w:val="0"/>
                <w:szCs w:val="21"/>
                <w:highlight w:val="none"/>
              </w:rPr>
            </w:pPr>
          </w:p>
          <w:p w14:paraId="7C7F251F">
            <w:pPr>
              <w:pStyle w:val="44"/>
              <w:numPr>
                <w:ilvl w:val="0"/>
                <w:numId w:val="0"/>
              </w:numPr>
              <w:bidi w:val="0"/>
              <w:ind w:leftChars="0"/>
              <w:jc w:val="both"/>
              <w:rPr>
                <w:rFonts w:hint="eastAsia"/>
                <w:b/>
                <w:bCs/>
                <w:color w:val="auto"/>
                <w:kern w:val="0"/>
                <w:szCs w:val="21"/>
                <w:highlight w:val="none"/>
              </w:rPr>
            </w:pPr>
          </w:p>
          <w:p w14:paraId="1E5F374C">
            <w:pPr>
              <w:pStyle w:val="44"/>
              <w:numPr>
                <w:ilvl w:val="0"/>
                <w:numId w:val="0"/>
              </w:numPr>
              <w:bidi w:val="0"/>
              <w:ind w:leftChars="0"/>
              <w:jc w:val="both"/>
              <w:rPr>
                <w:rFonts w:hint="eastAsia"/>
                <w:b/>
                <w:bCs/>
                <w:color w:val="auto"/>
                <w:kern w:val="0"/>
                <w:szCs w:val="21"/>
                <w:highlight w:val="none"/>
              </w:rPr>
            </w:pPr>
          </w:p>
          <w:p w14:paraId="734F7480">
            <w:pPr>
              <w:pStyle w:val="44"/>
              <w:numPr>
                <w:ilvl w:val="0"/>
                <w:numId w:val="0"/>
              </w:numPr>
              <w:bidi w:val="0"/>
              <w:ind w:leftChars="0"/>
              <w:jc w:val="both"/>
              <w:rPr>
                <w:rFonts w:hint="eastAsia"/>
                <w:b/>
                <w:bCs/>
                <w:color w:val="auto"/>
                <w:kern w:val="0"/>
                <w:szCs w:val="21"/>
                <w:highlight w:val="none"/>
              </w:rPr>
            </w:pPr>
          </w:p>
          <w:p w14:paraId="6A19499E">
            <w:pPr>
              <w:pStyle w:val="44"/>
              <w:numPr>
                <w:ilvl w:val="0"/>
                <w:numId w:val="0"/>
              </w:numPr>
              <w:bidi w:val="0"/>
              <w:ind w:leftChars="0"/>
              <w:jc w:val="both"/>
              <w:rPr>
                <w:rFonts w:hint="eastAsia"/>
                <w:b/>
                <w:bCs/>
                <w:color w:val="auto"/>
                <w:kern w:val="0"/>
                <w:szCs w:val="21"/>
                <w:highlight w:val="none"/>
              </w:rPr>
            </w:pPr>
          </w:p>
          <w:p w14:paraId="6ED33664">
            <w:pPr>
              <w:pStyle w:val="44"/>
              <w:numPr>
                <w:ilvl w:val="0"/>
                <w:numId w:val="0"/>
              </w:numPr>
              <w:bidi w:val="0"/>
              <w:ind w:leftChars="0"/>
              <w:jc w:val="both"/>
              <w:rPr>
                <w:rFonts w:hint="eastAsia"/>
                <w:b/>
                <w:bCs/>
                <w:color w:val="auto"/>
                <w:kern w:val="0"/>
                <w:szCs w:val="21"/>
                <w:highlight w:val="none"/>
              </w:rPr>
            </w:pPr>
          </w:p>
          <w:p w14:paraId="54C385F4">
            <w:pPr>
              <w:pStyle w:val="44"/>
              <w:numPr>
                <w:ilvl w:val="0"/>
                <w:numId w:val="0"/>
              </w:numPr>
              <w:bidi w:val="0"/>
              <w:ind w:leftChars="0"/>
              <w:jc w:val="both"/>
              <w:rPr>
                <w:rFonts w:hint="eastAsia"/>
                <w:b/>
                <w:bCs/>
                <w:color w:val="auto"/>
                <w:kern w:val="0"/>
                <w:szCs w:val="21"/>
                <w:highlight w:val="none"/>
              </w:rPr>
            </w:pPr>
          </w:p>
          <w:p w14:paraId="524E2B59">
            <w:pPr>
              <w:pStyle w:val="44"/>
              <w:numPr>
                <w:ilvl w:val="0"/>
                <w:numId w:val="0"/>
              </w:numPr>
              <w:bidi w:val="0"/>
              <w:ind w:leftChars="0"/>
              <w:jc w:val="both"/>
              <w:rPr>
                <w:rFonts w:hint="eastAsia"/>
                <w:b/>
                <w:bCs/>
                <w:color w:val="auto"/>
                <w:kern w:val="0"/>
                <w:szCs w:val="21"/>
                <w:highlight w:val="none"/>
              </w:rPr>
            </w:pPr>
          </w:p>
          <w:p w14:paraId="5932AB9C">
            <w:pPr>
              <w:pStyle w:val="44"/>
              <w:numPr>
                <w:ilvl w:val="0"/>
                <w:numId w:val="0"/>
              </w:numPr>
              <w:bidi w:val="0"/>
              <w:ind w:leftChars="0"/>
              <w:jc w:val="both"/>
              <w:rPr>
                <w:rFonts w:hint="eastAsia"/>
                <w:b/>
                <w:bCs/>
                <w:color w:val="auto"/>
                <w:kern w:val="0"/>
                <w:szCs w:val="21"/>
                <w:highlight w:val="none"/>
              </w:rPr>
            </w:pPr>
          </w:p>
          <w:p w14:paraId="46E6039C">
            <w:pPr>
              <w:pStyle w:val="44"/>
              <w:numPr>
                <w:ilvl w:val="0"/>
                <w:numId w:val="0"/>
              </w:numPr>
              <w:bidi w:val="0"/>
              <w:ind w:leftChars="0"/>
              <w:jc w:val="both"/>
              <w:rPr>
                <w:rFonts w:hint="eastAsia"/>
                <w:b/>
                <w:bCs/>
                <w:color w:val="auto"/>
                <w:kern w:val="0"/>
                <w:szCs w:val="21"/>
                <w:highlight w:val="none"/>
              </w:rPr>
            </w:pPr>
          </w:p>
          <w:p w14:paraId="4B5BF94F">
            <w:pPr>
              <w:pStyle w:val="44"/>
              <w:numPr>
                <w:ilvl w:val="0"/>
                <w:numId w:val="0"/>
              </w:numPr>
              <w:bidi w:val="0"/>
              <w:ind w:leftChars="0"/>
              <w:jc w:val="both"/>
              <w:rPr>
                <w:rFonts w:hint="eastAsia"/>
                <w:b/>
                <w:bCs/>
                <w:color w:val="auto"/>
                <w:kern w:val="0"/>
                <w:szCs w:val="21"/>
                <w:highlight w:val="none"/>
              </w:rPr>
            </w:pPr>
          </w:p>
          <w:p w14:paraId="47CB82D7">
            <w:pPr>
              <w:pStyle w:val="44"/>
              <w:numPr>
                <w:ilvl w:val="0"/>
                <w:numId w:val="0"/>
              </w:numPr>
              <w:bidi w:val="0"/>
              <w:ind w:leftChars="0"/>
              <w:jc w:val="both"/>
              <w:rPr>
                <w:rFonts w:hint="eastAsia"/>
                <w:b/>
                <w:bCs/>
                <w:color w:val="auto"/>
                <w:kern w:val="0"/>
                <w:szCs w:val="21"/>
                <w:highlight w:val="none"/>
              </w:rPr>
            </w:pPr>
          </w:p>
          <w:p w14:paraId="6DEB47AB">
            <w:pPr>
              <w:pStyle w:val="44"/>
              <w:numPr>
                <w:ilvl w:val="0"/>
                <w:numId w:val="0"/>
              </w:numPr>
              <w:bidi w:val="0"/>
              <w:ind w:leftChars="0"/>
              <w:jc w:val="both"/>
              <w:rPr>
                <w:rFonts w:hint="eastAsia"/>
                <w:b/>
                <w:bCs/>
                <w:color w:val="auto"/>
                <w:kern w:val="0"/>
                <w:szCs w:val="21"/>
                <w:highlight w:val="none"/>
              </w:rPr>
            </w:pPr>
          </w:p>
          <w:p w14:paraId="1D6FBE25">
            <w:pPr>
              <w:pStyle w:val="44"/>
              <w:numPr>
                <w:ilvl w:val="0"/>
                <w:numId w:val="0"/>
              </w:numPr>
              <w:bidi w:val="0"/>
              <w:ind w:leftChars="0"/>
              <w:jc w:val="both"/>
              <w:rPr>
                <w:rFonts w:hint="eastAsia"/>
                <w:b/>
                <w:bCs/>
                <w:color w:val="auto"/>
                <w:kern w:val="0"/>
                <w:szCs w:val="21"/>
                <w:highlight w:val="none"/>
              </w:rPr>
            </w:pPr>
          </w:p>
          <w:p w14:paraId="3C8CE024">
            <w:pPr>
              <w:pStyle w:val="44"/>
              <w:numPr>
                <w:ilvl w:val="0"/>
                <w:numId w:val="0"/>
              </w:numPr>
              <w:bidi w:val="0"/>
              <w:ind w:leftChars="0"/>
              <w:jc w:val="both"/>
              <w:rPr>
                <w:rFonts w:hint="eastAsia"/>
                <w:b/>
                <w:bCs/>
                <w:color w:val="auto"/>
                <w:kern w:val="0"/>
                <w:szCs w:val="21"/>
                <w:highlight w:val="none"/>
              </w:rPr>
            </w:pPr>
          </w:p>
          <w:p w14:paraId="00920B13">
            <w:pPr>
              <w:pStyle w:val="44"/>
              <w:numPr>
                <w:ilvl w:val="0"/>
                <w:numId w:val="0"/>
              </w:numPr>
              <w:bidi w:val="0"/>
              <w:ind w:leftChars="0"/>
              <w:jc w:val="both"/>
              <w:rPr>
                <w:rFonts w:hint="eastAsia"/>
                <w:b/>
                <w:bCs/>
                <w:color w:val="auto"/>
                <w:kern w:val="0"/>
                <w:szCs w:val="21"/>
                <w:highlight w:val="none"/>
              </w:rPr>
            </w:pPr>
          </w:p>
          <w:p w14:paraId="6783A6E4">
            <w:pPr>
              <w:pStyle w:val="44"/>
              <w:numPr>
                <w:ilvl w:val="0"/>
                <w:numId w:val="0"/>
              </w:numPr>
              <w:bidi w:val="0"/>
              <w:ind w:leftChars="0"/>
              <w:jc w:val="both"/>
              <w:rPr>
                <w:rFonts w:hint="eastAsia"/>
                <w:b/>
                <w:bCs/>
                <w:color w:val="auto"/>
                <w:kern w:val="0"/>
                <w:szCs w:val="21"/>
                <w:highlight w:val="none"/>
              </w:rPr>
            </w:pPr>
          </w:p>
          <w:p w14:paraId="08B18A8C">
            <w:pPr>
              <w:pStyle w:val="44"/>
              <w:numPr>
                <w:ilvl w:val="0"/>
                <w:numId w:val="0"/>
              </w:numPr>
              <w:bidi w:val="0"/>
              <w:ind w:leftChars="0"/>
              <w:jc w:val="both"/>
              <w:rPr>
                <w:rFonts w:hint="eastAsia"/>
                <w:b/>
                <w:bCs/>
                <w:color w:val="auto"/>
                <w:kern w:val="0"/>
                <w:szCs w:val="21"/>
                <w:highlight w:val="none"/>
              </w:rPr>
            </w:pPr>
          </w:p>
          <w:p w14:paraId="2AA6F22F">
            <w:pPr>
              <w:pStyle w:val="44"/>
              <w:numPr>
                <w:ilvl w:val="0"/>
                <w:numId w:val="0"/>
              </w:numPr>
              <w:bidi w:val="0"/>
              <w:ind w:leftChars="0"/>
              <w:jc w:val="both"/>
              <w:rPr>
                <w:rFonts w:hint="eastAsia"/>
                <w:b/>
                <w:bCs/>
                <w:color w:val="auto"/>
                <w:kern w:val="0"/>
                <w:szCs w:val="21"/>
                <w:highlight w:val="none"/>
              </w:rPr>
            </w:pPr>
          </w:p>
          <w:p w14:paraId="4DEC430B">
            <w:pPr>
              <w:pStyle w:val="44"/>
              <w:numPr>
                <w:ilvl w:val="0"/>
                <w:numId w:val="0"/>
              </w:numPr>
              <w:bidi w:val="0"/>
              <w:ind w:leftChars="0"/>
              <w:jc w:val="both"/>
              <w:rPr>
                <w:rFonts w:hint="eastAsia"/>
                <w:b/>
                <w:bCs/>
                <w:color w:val="auto"/>
                <w:kern w:val="0"/>
                <w:szCs w:val="21"/>
                <w:highlight w:val="none"/>
              </w:rPr>
            </w:pPr>
          </w:p>
          <w:p w14:paraId="403A36F5">
            <w:pPr>
              <w:pStyle w:val="44"/>
              <w:numPr>
                <w:ilvl w:val="0"/>
                <w:numId w:val="0"/>
              </w:numPr>
              <w:bidi w:val="0"/>
              <w:ind w:leftChars="0"/>
              <w:jc w:val="both"/>
              <w:rPr>
                <w:rFonts w:hint="eastAsia"/>
                <w:b/>
                <w:bCs/>
                <w:color w:val="auto"/>
                <w:kern w:val="0"/>
                <w:szCs w:val="21"/>
                <w:highlight w:val="none"/>
              </w:rPr>
            </w:pPr>
          </w:p>
          <w:p w14:paraId="4086751B">
            <w:pPr>
              <w:pStyle w:val="44"/>
              <w:numPr>
                <w:ilvl w:val="0"/>
                <w:numId w:val="0"/>
              </w:numPr>
              <w:bidi w:val="0"/>
              <w:ind w:leftChars="0"/>
              <w:jc w:val="both"/>
              <w:rPr>
                <w:rFonts w:hint="eastAsia"/>
                <w:b/>
                <w:bCs/>
                <w:color w:val="auto"/>
                <w:kern w:val="0"/>
                <w:szCs w:val="21"/>
                <w:highlight w:val="none"/>
              </w:rPr>
            </w:pPr>
          </w:p>
          <w:p w14:paraId="446C49F1">
            <w:pPr>
              <w:pStyle w:val="44"/>
              <w:numPr>
                <w:ilvl w:val="0"/>
                <w:numId w:val="0"/>
              </w:numPr>
              <w:bidi w:val="0"/>
              <w:ind w:leftChars="0"/>
              <w:jc w:val="both"/>
              <w:rPr>
                <w:rFonts w:hint="eastAsia"/>
                <w:b/>
                <w:bCs/>
                <w:color w:val="auto"/>
                <w:kern w:val="0"/>
                <w:szCs w:val="21"/>
                <w:highlight w:val="none"/>
              </w:rPr>
            </w:pPr>
          </w:p>
        </w:tc>
      </w:tr>
    </w:tbl>
    <w:p w14:paraId="02D103C2">
      <w:pPr>
        <w:spacing w:line="360" w:lineRule="auto"/>
        <w:outlineLvl w:val="0"/>
        <w:rPr>
          <w:color w:val="auto"/>
          <w:sz w:val="30"/>
          <w:highlight w:val="none"/>
        </w:rPr>
        <w:sectPr>
          <w:footerReference r:id="rId7" w:type="default"/>
          <w:pgSz w:w="11906" w:h="16838"/>
          <w:pgMar w:top="1701" w:right="1531" w:bottom="1701" w:left="1531" w:header="851" w:footer="1077" w:gutter="0"/>
          <w:pgNumType w:fmt="decimal" w:start="1"/>
          <w:cols w:space="720" w:num="1"/>
          <w:docGrid w:linePitch="312" w:charSpace="0"/>
        </w:sectPr>
      </w:pPr>
    </w:p>
    <w:p w14:paraId="4F964CA0">
      <w:pPr>
        <w:pStyle w:val="43"/>
        <w:bidi w:val="0"/>
        <w:rPr>
          <w:rFonts w:hint="default"/>
          <w:color w:val="auto"/>
          <w:highlight w:val="none"/>
          <w:lang w:val="en-US" w:eastAsia="zh-CN"/>
        </w:rPr>
      </w:pPr>
      <w:r>
        <w:rPr>
          <w:rFonts w:hint="eastAsia"/>
          <w:color w:val="auto"/>
          <w:highlight w:val="none"/>
          <w:lang w:val="en-US" w:eastAsia="zh-CN"/>
        </w:rPr>
        <w:t>项目与“生态环境分区管控”符合性分析</w:t>
      </w:r>
    </w:p>
    <w:tbl>
      <w:tblPr>
        <w:tblStyle w:val="27"/>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662"/>
        <w:gridCol w:w="637"/>
        <w:gridCol w:w="7071"/>
        <w:gridCol w:w="2786"/>
        <w:gridCol w:w="684"/>
      </w:tblGrid>
      <w:tr w14:paraId="550B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pct"/>
            <w:gridSpan w:val="4"/>
            <w:tcBorders>
              <w:tl2br w:val="nil"/>
              <w:tr2bl w:val="nil"/>
            </w:tcBorders>
            <w:noWrap w:val="0"/>
            <w:vAlign w:val="center"/>
          </w:tcPr>
          <w:p w14:paraId="5A678461">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生态环境分区管控</w:t>
            </w:r>
            <w:r>
              <w:rPr>
                <w:rFonts w:hint="default" w:ascii="Times New Roman" w:hAnsi="Times New Roman" w:eastAsia="宋体" w:cs="Times New Roman"/>
                <w:b/>
                <w:bCs/>
                <w:color w:val="auto"/>
                <w:kern w:val="0"/>
                <w:sz w:val="21"/>
                <w:szCs w:val="21"/>
                <w:highlight w:val="none"/>
              </w:rPr>
              <w:t>的具体要求</w:t>
            </w:r>
          </w:p>
        </w:tc>
        <w:tc>
          <w:tcPr>
            <w:tcW w:w="1041" w:type="pct"/>
            <w:vMerge w:val="restart"/>
            <w:tcBorders>
              <w:tl2br w:val="nil"/>
              <w:tr2bl w:val="nil"/>
            </w:tcBorders>
            <w:noWrap w:val="0"/>
            <w:vAlign w:val="center"/>
          </w:tcPr>
          <w:p w14:paraId="62F95D91">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项目对应情况介绍</w:t>
            </w:r>
          </w:p>
        </w:tc>
        <w:tc>
          <w:tcPr>
            <w:tcW w:w="255" w:type="pct"/>
            <w:vMerge w:val="restart"/>
            <w:tcBorders>
              <w:tl2br w:val="nil"/>
              <w:tr2bl w:val="nil"/>
            </w:tcBorders>
            <w:noWrap w:val="0"/>
            <w:vAlign w:val="center"/>
          </w:tcPr>
          <w:p w14:paraId="3ACF653F">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符合性分析</w:t>
            </w:r>
          </w:p>
        </w:tc>
      </w:tr>
      <w:tr w14:paraId="7386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8" w:type="pct"/>
            <w:gridSpan w:val="3"/>
            <w:tcBorders>
              <w:tl2br w:val="nil"/>
              <w:tr2bl w:val="nil"/>
            </w:tcBorders>
            <w:noWrap w:val="0"/>
            <w:vAlign w:val="center"/>
          </w:tcPr>
          <w:p w14:paraId="58036A54">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类别</w:t>
            </w:r>
          </w:p>
        </w:tc>
        <w:tc>
          <w:tcPr>
            <w:tcW w:w="2644" w:type="pct"/>
            <w:tcBorders>
              <w:tl2br w:val="nil"/>
              <w:tr2bl w:val="nil"/>
            </w:tcBorders>
            <w:noWrap w:val="0"/>
            <w:vAlign w:val="center"/>
          </w:tcPr>
          <w:p w14:paraId="657B71C6">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对应管控要求</w:t>
            </w:r>
          </w:p>
        </w:tc>
        <w:tc>
          <w:tcPr>
            <w:tcW w:w="1041" w:type="pct"/>
            <w:vMerge w:val="continue"/>
            <w:tcBorders>
              <w:tl2br w:val="nil"/>
              <w:tr2bl w:val="nil"/>
            </w:tcBorders>
            <w:noWrap w:val="0"/>
            <w:vAlign w:val="center"/>
          </w:tcPr>
          <w:p w14:paraId="23178D57">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255" w:type="pct"/>
            <w:vMerge w:val="continue"/>
            <w:tcBorders>
              <w:tl2br w:val="nil"/>
              <w:tr2bl w:val="nil"/>
            </w:tcBorders>
            <w:noWrap w:val="0"/>
            <w:vAlign w:val="center"/>
          </w:tcPr>
          <w:p w14:paraId="3BFD0C29">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p>
        </w:tc>
      </w:tr>
      <w:tr w14:paraId="0BD0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restart"/>
            <w:tcBorders>
              <w:tl2br w:val="nil"/>
              <w:tr2bl w:val="nil"/>
            </w:tcBorders>
            <w:noWrap w:val="0"/>
            <w:vAlign w:val="center"/>
          </w:tcPr>
          <w:p w14:paraId="427A0D8B">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大英县工业集中发展区</w:t>
            </w:r>
            <w:r>
              <w:rPr>
                <w:rStyle w:val="29"/>
                <w:rFonts w:hint="eastAsia"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含经开区</w:t>
            </w:r>
            <w:r>
              <w:rPr>
                <w:rStyle w:val="29"/>
                <w:rFonts w:hint="eastAsia"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（YS5109232310001）</w:t>
            </w:r>
            <w:r>
              <w:rPr>
                <w:rStyle w:val="29"/>
                <w:rFonts w:hint="default" w:ascii="Times New Roman" w:hAnsi="Times New Roman"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大英县城镇开发边界（YS5109232530001）/四川大英经济开发区（YS5109232540002）/大英县自然资源重点管控区（YS5109232550001）</w:t>
            </w:r>
          </w:p>
        </w:tc>
        <w:tc>
          <w:tcPr>
            <w:tcW w:w="247" w:type="pct"/>
            <w:vMerge w:val="restart"/>
            <w:tcBorders>
              <w:tl2br w:val="nil"/>
              <w:tr2bl w:val="nil"/>
            </w:tcBorders>
            <w:noWrap w:val="0"/>
            <w:vAlign w:val="center"/>
          </w:tcPr>
          <w:p w14:paraId="0CA329D9">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普适性</w:t>
            </w:r>
            <w:r>
              <w:rPr>
                <w:rFonts w:hint="default" w:ascii="Times New Roman" w:hAnsi="Times New Roman" w:eastAsia="宋体" w:cs="Times New Roman"/>
                <w:color w:val="auto"/>
                <w:kern w:val="0"/>
                <w:sz w:val="21"/>
                <w:szCs w:val="21"/>
                <w:highlight w:val="none"/>
              </w:rPr>
              <w:t>清单管控要求</w:t>
            </w:r>
          </w:p>
        </w:tc>
        <w:tc>
          <w:tcPr>
            <w:tcW w:w="238" w:type="pct"/>
            <w:tcBorders>
              <w:tl2br w:val="nil"/>
              <w:tr2bl w:val="nil"/>
            </w:tcBorders>
            <w:noWrap w:val="0"/>
            <w:vAlign w:val="center"/>
          </w:tcPr>
          <w:p w14:paraId="29F93546">
            <w:pPr>
              <w:keepNext w:val="0"/>
              <w:keepLines w:val="0"/>
              <w:pageBreakBefore w:val="0"/>
              <w:widowControl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空间布局约束</w:t>
            </w:r>
          </w:p>
        </w:tc>
        <w:tc>
          <w:tcPr>
            <w:tcW w:w="2644" w:type="pct"/>
            <w:tcBorders>
              <w:tl2br w:val="nil"/>
              <w:tr2bl w:val="nil"/>
            </w:tcBorders>
            <w:noWrap w:val="0"/>
            <w:vAlign w:val="center"/>
          </w:tcPr>
          <w:p w14:paraId="7AA83F0C">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禁止开发建设活动的要求：暂无</w:t>
            </w:r>
          </w:p>
          <w:p w14:paraId="364BD25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限制开发建设活动的要求：暂无</w:t>
            </w:r>
          </w:p>
          <w:p w14:paraId="1DD083E5">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不符合空间布局要求活动的退出要求：暂无</w:t>
            </w:r>
          </w:p>
          <w:p w14:paraId="16A5685D">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其他空间布局约束要求：暂无</w:t>
            </w:r>
          </w:p>
        </w:tc>
        <w:tc>
          <w:tcPr>
            <w:tcW w:w="1041" w:type="pct"/>
            <w:tcBorders>
              <w:tl2br w:val="nil"/>
              <w:tr2bl w:val="nil"/>
            </w:tcBorders>
            <w:noWrap w:val="0"/>
            <w:vAlign w:val="center"/>
          </w:tcPr>
          <w:p w14:paraId="69DB0D26">
            <w:pPr>
              <w:keepNext w:val="0"/>
              <w:keepLines w:val="0"/>
              <w:pageBreakBefore w:val="0"/>
              <w:numPr>
                <w:ilvl w:val="0"/>
                <w:numId w:val="0"/>
              </w:numPr>
              <w:tabs>
                <w:tab w:val="left" w:pos="7390"/>
              </w:tabs>
              <w:kinsoku/>
              <w:wordWrap/>
              <w:overflowPunct/>
              <w:topLinePunct w:val="0"/>
              <w:autoSpaceDE w:val="0"/>
              <w:autoSpaceDN w:val="0"/>
              <w:bidi w:val="0"/>
              <w:adjustRightInd w:val="0"/>
              <w:snapToGrid w:val="0"/>
              <w:spacing w:line="240" w:lineRule="auto"/>
              <w:jc w:val="center"/>
              <w:textAlignment w:val="baseline"/>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cs="Times New Roman"/>
                <w:color w:val="auto"/>
                <w:kern w:val="0"/>
                <w:sz w:val="21"/>
                <w:szCs w:val="21"/>
                <w:highlight w:val="none"/>
                <w:lang w:val="en-US" w:eastAsia="zh-CN" w:bidi="ar-SA"/>
              </w:rPr>
              <w:t>/</w:t>
            </w:r>
          </w:p>
        </w:tc>
        <w:tc>
          <w:tcPr>
            <w:tcW w:w="255" w:type="pct"/>
            <w:tcBorders>
              <w:tl2br w:val="nil"/>
              <w:tr2bl w:val="nil"/>
            </w:tcBorders>
            <w:noWrap w:val="0"/>
            <w:vAlign w:val="center"/>
          </w:tcPr>
          <w:p w14:paraId="13F7F007">
            <w:pPr>
              <w:keepNext w:val="0"/>
              <w:keepLines w:val="0"/>
              <w:pageBreakBefore w:val="0"/>
              <w:numPr>
                <w:ilvl w:val="0"/>
                <w:numId w:val="0"/>
              </w:numPr>
              <w:tabs>
                <w:tab w:val="left" w:pos="7390"/>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Style w:val="29"/>
                <w:rFonts w:hint="default" w:ascii="Times New Roman" w:hAnsi="Times New Roman" w:cs="Times New Roman"/>
                <w:color w:val="auto"/>
                <w:kern w:val="0"/>
                <w:sz w:val="21"/>
                <w:szCs w:val="21"/>
                <w:highlight w:val="none"/>
                <w:lang w:val="en-US" w:eastAsia="zh-CN" w:bidi="ar-SA"/>
              </w:rPr>
              <w:t>/</w:t>
            </w:r>
          </w:p>
        </w:tc>
      </w:tr>
      <w:tr w14:paraId="4859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3CD7F933">
            <w:pPr>
              <w:keepNext w:val="0"/>
              <w:keepLines w:val="0"/>
              <w:pageBreakBefore w:val="0"/>
              <w:widowControl/>
              <w:suppressLineNumbers w:val="0"/>
              <w:kinsoku/>
              <w:wordWrap/>
              <w:overflowPunct/>
              <w:topLinePunct w:val="0"/>
              <w:bidi w:val="0"/>
              <w:jc w:val="left"/>
              <w:rPr>
                <w:rFonts w:hint="default" w:ascii="Times New Roman" w:hAnsi="Times New Roman" w:cs="Times New Roman"/>
                <w:color w:val="auto"/>
                <w:sz w:val="21"/>
                <w:szCs w:val="21"/>
                <w:highlight w:val="none"/>
              </w:rPr>
            </w:pPr>
          </w:p>
        </w:tc>
        <w:tc>
          <w:tcPr>
            <w:tcW w:w="247" w:type="pct"/>
            <w:vMerge w:val="continue"/>
            <w:tcBorders>
              <w:tl2br w:val="nil"/>
              <w:tr2bl w:val="nil"/>
            </w:tcBorders>
            <w:noWrap w:val="0"/>
            <w:vAlign w:val="center"/>
          </w:tcPr>
          <w:p w14:paraId="6BCD3615">
            <w:pPr>
              <w:keepNext w:val="0"/>
              <w:keepLines w:val="0"/>
              <w:pageBreakBefore w:val="0"/>
              <w:widowControl/>
              <w:suppressLineNumbers w:val="0"/>
              <w:kinsoku/>
              <w:wordWrap/>
              <w:overflowPunct/>
              <w:topLinePunct w:val="0"/>
              <w:bidi w:val="0"/>
              <w:jc w:val="left"/>
              <w:rPr>
                <w:rFonts w:hint="default" w:ascii="Times New Roman" w:hAnsi="Times New Roman" w:cs="Times New Roman"/>
                <w:color w:val="auto"/>
                <w:sz w:val="21"/>
                <w:szCs w:val="21"/>
                <w:highlight w:val="none"/>
              </w:rPr>
            </w:pPr>
          </w:p>
        </w:tc>
        <w:tc>
          <w:tcPr>
            <w:tcW w:w="238" w:type="pct"/>
            <w:tcBorders>
              <w:tl2br w:val="nil"/>
              <w:tr2bl w:val="nil"/>
            </w:tcBorders>
            <w:noWrap w:val="0"/>
            <w:vAlign w:val="center"/>
          </w:tcPr>
          <w:p w14:paraId="72F641EF">
            <w:pPr>
              <w:keepNext w:val="0"/>
              <w:keepLines w:val="0"/>
              <w:pageBreakBefore w:val="0"/>
              <w:widowControl/>
              <w:suppressLineNumbers w:val="0"/>
              <w:kinsoku/>
              <w:wordWrap/>
              <w:overflowPunct/>
              <w:topLinePunct w:val="0"/>
              <w:bidi w:val="0"/>
              <w:jc w:val="center"/>
              <w:rPr>
                <w:rFonts w:hint="default" w:ascii="Times New Roman" w:hAnsi="Times New Roman" w:cs="Times New Roman"/>
                <w:color w:val="auto"/>
                <w:sz w:val="21"/>
                <w:szCs w:val="21"/>
                <w:highlight w:val="none"/>
              </w:rPr>
            </w:pPr>
            <w:r>
              <w:rPr>
                <w:rStyle w:val="29"/>
                <w:rFonts w:hint="default" w:ascii="Times New Roman" w:hAnsi="Times New Roman" w:eastAsia="宋体" w:cs="Times New Roman"/>
                <w:color w:val="auto"/>
                <w:kern w:val="0"/>
                <w:sz w:val="21"/>
                <w:szCs w:val="21"/>
                <w:highlight w:val="none"/>
                <w:lang w:val="en-US" w:eastAsia="zh-CN" w:bidi="ar-SA"/>
              </w:rPr>
              <w:t>污染物排放管控</w:t>
            </w:r>
          </w:p>
        </w:tc>
        <w:tc>
          <w:tcPr>
            <w:tcW w:w="2644" w:type="pct"/>
            <w:tcBorders>
              <w:tl2br w:val="nil"/>
              <w:tr2bl w:val="nil"/>
            </w:tcBorders>
            <w:noWrap w:val="0"/>
            <w:vAlign w:val="center"/>
          </w:tcPr>
          <w:p w14:paraId="4EECD419">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允许排放量要求：暂无</w:t>
            </w:r>
          </w:p>
          <w:p w14:paraId="2217D33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现有源提标升级改造：暂无</w:t>
            </w:r>
          </w:p>
          <w:p w14:paraId="7D54C6C1">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其他污染物排放管控要求：暂无</w:t>
            </w:r>
          </w:p>
        </w:tc>
        <w:tc>
          <w:tcPr>
            <w:tcW w:w="1041" w:type="pct"/>
            <w:tcBorders>
              <w:tl2br w:val="nil"/>
              <w:tr2bl w:val="nil"/>
            </w:tcBorders>
            <w:noWrap w:val="0"/>
            <w:vAlign w:val="center"/>
          </w:tcPr>
          <w:p w14:paraId="3C5138F7">
            <w:pPr>
              <w:keepNext w:val="0"/>
              <w:keepLines w:val="0"/>
              <w:pageBreakBefore w:val="0"/>
              <w:widowControl/>
              <w:suppressLineNumbers w:val="0"/>
              <w:kinsoku/>
              <w:wordWrap/>
              <w:overflowPunct/>
              <w:topLinePunct w:val="0"/>
              <w:bidi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255" w:type="pct"/>
            <w:tcBorders>
              <w:tl2br w:val="nil"/>
              <w:tr2bl w:val="nil"/>
            </w:tcBorders>
            <w:noWrap w:val="0"/>
            <w:vAlign w:val="center"/>
          </w:tcPr>
          <w:p w14:paraId="060781C1">
            <w:pPr>
              <w:keepNext w:val="0"/>
              <w:keepLines w:val="0"/>
              <w:pageBreakBefore w:val="0"/>
              <w:widowControl/>
              <w:suppressLineNumbers w:val="0"/>
              <w:kinsoku/>
              <w:wordWrap/>
              <w:overflowPunct/>
              <w:topLinePunct w:val="0"/>
              <w:bidi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r>
      <w:tr w14:paraId="76C5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51F6B12B">
            <w:pPr>
              <w:keepNext w:val="0"/>
              <w:keepLines w:val="0"/>
              <w:pageBreakBefore w:val="0"/>
              <w:widowControl/>
              <w:suppressLineNumbers w:val="0"/>
              <w:kinsoku/>
              <w:wordWrap/>
              <w:overflowPunct/>
              <w:topLinePunct w:val="0"/>
              <w:bidi w:val="0"/>
              <w:jc w:val="left"/>
              <w:rPr>
                <w:rFonts w:hint="default" w:ascii="Times New Roman" w:hAnsi="Times New Roman" w:eastAsia="宋体" w:cs="Times New Roman"/>
                <w:color w:val="auto"/>
                <w:kern w:val="0"/>
                <w:sz w:val="21"/>
                <w:szCs w:val="21"/>
                <w:highlight w:val="none"/>
                <w:lang w:val="en-US" w:eastAsia="zh-CN" w:bidi="ar"/>
              </w:rPr>
            </w:pPr>
          </w:p>
        </w:tc>
        <w:tc>
          <w:tcPr>
            <w:tcW w:w="247" w:type="pct"/>
            <w:vMerge w:val="continue"/>
            <w:tcBorders>
              <w:tl2br w:val="nil"/>
              <w:tr2bl w:val="nil"/>
            </w:tcBorders>
            <w:noWrap w:val="0"/>
            <w:vAlign w:val="center"/>
          </w:tcPr>
          <w:p w14:paraId="1EA0F70B">
            <w:pPr>
              <w:keepNext w:val="0"/>
              <w:keepLines w:val="0"/>
              <w:pageBreakBefore w:val="0"/>
              <w:widowControl/>
              <w:suppressLineNumbers w:val="0"/>
              <w:kinsoku/>
              <w:wordWrap/>
              <w:overflowPunct/>
              <w:topLinePunct w:val="0"/>
              <w:bidi w:val="0"/>
              <w:jc w:val="left"/>
              <w:rPr>
                <w:rFonts w:hint="default" w:ascii="Times New Roman" w:hAnsi="Times New Roman" w:eastAsia="宋体" w:cs="Times New Roman"/>
                <w:color w:val="auto"/>
                <w:kern w:val="0"/>
                <w:sz w:val="21"/>
                <w:szCs w:val="21"/>
                <w:highlight w:val="none"/>
                <w:lang w:val="en-US" w:eastAsia="zh-CN" w:bidi="ar"/>
              </w:rPr>
            </w:pPr>
          </w:p>
        </w:tc>
        <w:tc>
          <w:tcPr>
            <w:tcW w:w="238" w:type="pct"/>
            <w:tcBorders>
              <w:tl2br w:val="nil"/>
              <w:tr2bl w:val="nil"/>
            </w:tcBorders>
            <w:noWrap w:val="0"/>
            <w:vAlign w:val="center"/>
          </w:tcPr>
          <w:p w14:paraId="03D5AA30">
            <w:pPr>
              <w:keepNext w:val="0"/>
              <w:keepLines w:val="0"/>
              <w:pageBreakBefore w:val="0"/>
              <w:widowControl/>
              <w:suppressLineNumbers w:val="0"/>
              <w:kinsoku/>
              <w:wordWrap/>
              <w:overflowPunct/>
              <w:topLinePunct w:val="0"/>
              <w:bidi w:val="0"/>
              <w:jc w:val="center"/>
              <w:rPr>
                <w:rFonts w:hint="default" w:ascii="Times New Roman" w:hAnsi="Times New Roman" w:eastAsia="宋体" w:cs="Times New Roman"/>
                <w:color w:val="auto"/>
                <w:kern w:val="0"/>
                <w:sz w:val="21"/>
                <w:szCs w:val="21"/>
                <w:highlight w:val="none"/>
                <w:lang w:val="en-US" w:eastAsia="zh-CN" w:bidi="ar"/>
              </w:rPr>
            </w:pPr>
            <w:r>
              <w:rPr>
                <w:rStyle w:val="29"/>
                <w:rFonts w:hint="default" w:ascii="Times New Roman" w:hAnsi="Times New Roman" w:eastAsia="宋体" w:cs="Times New Roman"/>
                <w:color w:val="auto"/>
                <w:kern w:val="0"/>
                <w:sz w:val="21"/>
                <w:szCs w:val="21"/>
                <w:highlight w:val="none"/>
                <w:lang w:val="en-US" w:eastAsia="zh-CN" w:bidi="ar-SA"/>
              </w:rPr>
              <w:t>环境风险防控</w:t>
            </w:r>
          </w:p>
        </w:tc>
        <w:tc>
          <w:tcPr>
            <w:tcW w:w="2644" w:type="pct"/>
            <w:tcBorders>
              <w:tl2br w:val="nil"/>
              <w:tr2bl w:val="nil"/>
            </w:tcBorders>
            <w:noWrap w:val="0"/>
            <w:vAlign w:val="center"/>
          </w:tcPr>
          <w:p w14:paraId="23988CD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联防联控要求：暂无</w:t>
            </w:r>
          </w:p>
          <w:p w14:paraId="7BBE0A8A">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其他环境风险防控要求：暂无</w:t>
            </w:r>
          </w:p>
        </w:tc>
        <w:tc>
          <w:tcPr>
            <w:tcW w:w="1041" w:type="pct"/>
            <w:tcBorders>
              <w:tl2br w:val="nil"/>
              <w:tr2bl w:val="nil"/>
            </w:tcBorders>
            <w:noWrap w:val="0"/>
            <w:vAlign w:val="center"/>
          </w:tcPr>
          <w:p w14:paraId="4A294042">
            <w:pPr>
              <w:keepNext w:val="0"/>
              <w:keepLines w:val="0"/>
              <w:pageBreakBefore w:val="0"/>
              <w:widowControl/>
              <w:suppressLineNumbers w:val="0"/>
              <w:kinsoku/>
              <w:wordWrap/>
              <w:overflowPunct/>
              <w:topLinePunct w:val="0"/>
              <w:bidi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c>
          <w:tcPr>
            <w:tcW w:w="255" w:type="pct"/>
            <w:tcBorders>
              <w:tl2br w:val="nil"/>
              <w:tr2bl w:val="nil"/>
            </w:tcBorders>
            <w:noWrap w:val="0"/>
            <w:vAlign w:val="center"/>
          </w:tcPr>
          <w:p w14:paraId="108ADA3F">
            <w:pPr>
              <w:keepNext w:val="0"/>
              <w:keepLines w:val="0"/>
              <w:pageBreakBefore w:val="0"/>
              <w:widowControl/>
              <w:suppressLineNumbers w:val="0"/>
              <w:kinsoku/>
              <w:wordWrap/>
              <w:overflowPunct/>
              <w:topLinePunct w:val="0"/>
              <w:bidi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w:t>
            </w:r>
          </w:p>
        </w:tc>
      </w:tr>
      <w:tr w14:paraId="31C4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0EB7600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highlight w:val="none"/>
              </w:rPr>
            </w:pPr>
          </w:p>
        </w:tc>
        <w:tc>
          <w:tcPr>
            <w:tcW w:w="247" w:type="pct"/>
            <w:vMerge w:val="continue"/>
            <w:tcBorders>
              <w:tl2br w:val="nil"/>
              <w:tr2bl w:val="nil"/>
            </w:tcBorders>
            <w:noWrap w:val="0"/>
            <w:vAlign w:val="center"/>
          </w:tcPr>
          <w:p w14:paraId="388DAB3B">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highlight w:val="none"/>
              </w:rPr>
            </w:pPr>
          </w:p>
        </w:tc>
        <w:tc>
          <w:tcPr>
            <w:tcW w:w="238" w:type="pct"/>
            <w:tcBorders>
              <w:tl2br w:val="nil"/>
              <w:tr2bl w:val="nil"/>
            </w:tcBorders>
            <w:noWrap w:val="0"/>
            <w:vAlign w:val="center"/>
          </w:tcPr>
          <w:p w14:paraId="3ADE1F96">
            <w:pPr>
              <w:keepNext w:val="0"/>
              <w:keepLines w:val="0"/>
              <w:pageBreakBefore w:val="0"/>
              <w:widowControl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0"/>
                <w:sz w:val="21"/>
                <w:szCs w:val="21"/>
                <w:highlight w:val="none"/>
                <w:lang w:val="en-US" w:eastAsia="zh-CN" w:bidi="ar-SA"/>
              </w:rPr>
              <w:t>资源开发利用效率要求</w:t>
            </w:r>
          </w:p>
        </w:tc>
        <w:tc>
          <w:tcPr>
            <w:tcW w:w="2644" w:type="pct"/>
            <w:tcBorders>
              <w:tl2br w:val="nil"/>
              <w:tr2bl w:val="nil"/>
            </w:tcBorders>
            <w:noWrap w:val="0"/>
            <w:vAlign w:val="center"/>
          </w:tcPr>
          <w:p w14:paraId="479041E4">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水资源利用总量要求：暂无</w:t>
            </w:r>
          </w:p>
          <w:p w14:paraId="2EC4B9C5">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地下水开采要求</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暂无</w:t>
            </w:r>
          </w:p>
          <w:p w14:paraId="20C1D2F1">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能源利用总量及效率要求</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暂无</w:t>
            </w:r>
          </w:p>
          <w:p w14:paraId="214D7B4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禁燃区要求</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暂无</w:t>
            </w:r>
          </w:p>
          <w:p w14:paraId="67A2601A">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其他资源利用效率要求</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暂无</w:t>
            </w:r>
          </w:p>
        </w:tc>
        <w:tc>
          <w:tcPr>
            <w:tcW w:w="1041" w:type="pct"/>
            <w:tcBorders>
              <w:tl2br w:val="nil"/>
              <w:tr2bl w:val="nil"/>
            </w:tcBorders>
            <w:noWrap w:val="0"/>
            <w:vAlign w:val="center"/>
          </w:tcPr>
          <w:p w14:paraId="40EA0B51">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55" w:type="pct"/>
            <w:tcBorders>
              <w:tl2br w:val="nil"/>
              <w:tr2bl w:val="nil"/>
            </w:tcBorders>
            <w:noWrap w:val="0"/>
            <w:vAlign w:val="center"/>
          </w:tcPr>
          <w:p w14:paraId="42A6159C">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14:paraId="0D14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restart"/>
            <w:tcBorders>
              <w:tl2br w:val="nil"/>
              <w:tr2bl w:val="nil"/>
            </w:tcBorders>
            <w:noWrap w:val="0"/>
            <w:vAlign w:val="center"/>
          </w:tcPr>
          <w:p w14:paraId="78F13C3A">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大英县工业集中发展区</w:t>
            </w:r>
            <w:r>
              <w:rPr>
                <w:rStyle w:val="29"/>
                <w:rFonts w:hint="eastAsia"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含经开区</w:t>
            </w:r>
            <w:r>
              <w:rPr>
                <w:rStyle w:val="29"/>
                <w:rFonts w:hint="eastAsia"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（YS5109232310001）</w:t>
            </w:r>
          </w:p>
        </w:tc>
        <w:tc>
          <w:tcPr>
            <w:tcW w:w="247" w:type="pct"/>
            <w:vMerge w:val="restart"/>
            <w:tcBorders>
              <w:tl2br w:val="nil"/>
              <w:tr2bl w:val="nil"/>
            </w:tcBorders>
            <w:noWrap w:val="0"/>
            <w:vAlign w:val="center"/>
          </w:tcPr>
          <w:p w14:paraId="2E6D1ED4">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单元级清单管控要求</w:t>
            </w:r>
          </w:p>
        </w:tc>
        <w:tc>
          <w:tcPr>
            <w:tcW w:w="238" w:type="pct"/>
            <w:tcBorders>
              <w:tl2br w:val="nil"/>
              <w:tr2bl w:val="nil"/>
            </w:tcBorders>
            <w:noWrap w:val="0"/>
            <w:vAlign w:val="center"/>
          </w:tcPr>
          <w:p w14:paraId="072BAAB9">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空间布局约束</w:t>
            </w:r>
          </w:p>
        </w:tc>
        <w:tc>
          <w:tcPr>
            <w:tcW w:w="2644" w:type="pct"/>
            <w:tcBorders>
              <w:tl2br w:val="nil"/>
              <w:tr2bl w:val="nil"/>
            </w:tcBorders>
            <w:noWrap w:val="0"/>
            <w:vAlign w:val="center"/>
          </w:tcPr>
          <w:p w14:paraId="3306CF57">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禁止开发建设活动的要求：/</w:t>
            </w:r>
          </w:p>
          <w:p w14:paraId="36C61068">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限制开发建设活动的要求：/</w:t>
            </w:r>
          </w:p>
          <w:p w14:paraId="059CD44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允许开发建设活动的要求：/</w:t>
            </w:r>
          </w:p>
          <w:p w14:paraId="1A4E84B2">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2796B339">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其他空间布局约束要求：/</w:t>
            </w:r>
          </w:p>
        </w:tc>
        <w:tc>
          <w:tcPr>
            <w:tcW w:w="1041" w:type="pct"/>
            <w:tcBorders>
              <w:tl2br w:val="nil"/>
              <w:tr2bl w:val="nil"/>
            </w:tcBorders>
            <w:noWrap w:val="0"/>
            <w:vAlign w:val="center"/>
          </w:tcPr>
          <w:p w14:paraId="02C22B97">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55" w:type="pct"/>
            <w:tcBorders>
              <w:tl2br w:val="nil"/>
              <w:tr2bl w:val="nil"/>
            </w:tcBorders>
            <w:noWrap w:val="0"/>
            <w:vAlign w:val="center"/>
          </w:tcPr>
          <w:p w14:paraId="6B64CB54">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14:paraId="416C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519E6280">
            <w:pPr>
              <w:pStyle w:val="112"/>
              <w:widowControl/>
              <w:shd w:val="clear" w:color="auto" w:fill="FFFFFF"/>
              <w:spacing w:line="240" w:lineRule="auto"/>
              <w:ind w:firstLine="0" w:firstLineChars="0"/>
              <w:jc w:val="left"/>
              <w:rPr>
                <w:rFonts w:hint="default" w:ascii="Times New Roman" w:hAnsi="Times New Roman" w:cs="Times New Roman"/>
                <w:color w:val="auto"/>
                <w:sz w:val="21"/>
                <w:szCs w:val="21"/>
                <w:highlight w:val="none"/>
              </w:rPr>
            </w:pPr>
          </w:p>
        </w:tc>
        <w:tc>
          <w:tcPr>
            <w:tcW w:w="247" w:type="pct"/>
            <w:vMerge w:val="continue"/>
            <w:tcBorders>
              <w:tl2br w:val="nil"/>
              <w:tr2bl w:val="nil"/>
            </w:tcBorders>
            <w:noWrap w:val="0"/>
            <w:vAlign w:val="center"/>
          </w:tcPr>
          <w:p w14:paraId="25C18A69">
            <w:pPr>
              <w:pStyle w:val="112"/>
              <w:widowControl/>
              <w:shd w:val="clear" w:color="auto" w:fill="FFFFFF"/>
              <w:spacing w:line="240" w:lineRule="auto"/>
              <w:ind w:firstLine="0" w:firstLineChars="0"/>
              <w:jc w:val="left"/>
              <w:rPr>
                <w:rFonts w:hint="default" w:ascii="Times New Roman" w:hAnsi="Times New Roman" w:cs="Times New Roman"/>
                <w:color w:val="auto"/>
                <w:sz w:val="21"/>
                <w:szCs w:val="21"/>
                <w:highlight w:val="none"/>
              </w:rPr>
            </w:pPr>
          </w:p>
        </w:tc>
        <w:tc>
          <w:tcPr>
            <w:tcW w:w="238" w:type="pct"/>
            <w:tcBorders>
              <w:tl2br w:val="nil"/>
              <w:tr2bl w:val="nil"/>
            </w:tcBorders>
            <w:noWrap w:val="0"/>
            <w:vAlign w:val="center"/>
          </w:tcPr>
          <w:p w14:paraId="3CF99585">
            <w:pPr>
              <w:pStyle w:val="112"/>
              <w:widowControl/>
              <w:spacing w:line="240" w:lineRule="auto"/>
              <w:ind w:firstLine="0" w:firstLineChars="0"/>
              <w:jc w:val="center"/>
              <w:rPr>
                <w:rFonts w:hint="default" w:ascii="Times New Roman" w:hAnsi="Times New Roman"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污染物排放管控</w:t>
            </w:r>
          </w:p>
        </w:tc>
        <w:tc>
          <w:tcPr>
            <w:tcW w:w="2644" w:type="pct"/>
            <w:tcBorders>
              <w:tl2br w:val="nil"/>
              <w:tr2bl w:val="nil"/>
            </w:tcBorders>
            <w:noWrap w:val="0"/>
            <w:vAlign w:val="center"/>
          </w:tcPr>
          <w:p w14:paraId="0465F2BB">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大气环境质量执行标准</w:t>
            </w:r>
          </w:p>
          <w:p w14:paraId="50E4C6E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《环境空气质量标准》（GB3095-2012）：二级</w:t>
            </w:r>
          </w:p>
          <w:p w14:paraId="527454F9">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区域大气污染物削减/替代要求：/</w:t>
            </w:r>
          </w:p>
          <w:p w14:paraId="48BBFD26">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燃煤和其他能源大气污染控制要求：/</w:t>
            </w:r>
          </w:p>
          <w:p w14:paraId="72BF671E">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工业废气污染控制要求</w:t>
            </w:r>
          </w:p>
          <w:p w14:paraId="57934C0B">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14:paraId="7CC42E7E">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0497C771">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机动车船大气污染控制要求：/</w:t>
            </w:r>
          </w:p>
          <w:p w14:paraId="486F79AC">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扬尘污染控制要求：/</w:t>
            </w:r>
          </w:p>
          <w:p w14:paraId="5245EFE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农业生产经营活动大气污染控制要求：/</w:t>
            </w:r>
          </w:p>
          <w:p w14:paraId="21D82D1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重点行业企业专项治理要求</w:t>
            </w:r>
          </w:p>
          <w:p w14:paraId="05AC8AF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09FA4E58">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其他大气污染物排放管控要求：/</w:t>
            </w:r>
          </w:p>
        </w:tc>
        <w:tc>
          <w:tcPr>
            <w:tcW w:w="1041" w:type="pct"/>
            <w:tcBorders>
              <w:tl2br w:val="nil"/>
              <w:tr2bl w:val="nil"/>
            </w:tcBorders>
            <w:noWrap w:val="0"/>
            <w:vAlign w:val="center"/>
          </w:tcPr>
          <w:p w14:paraId="5858F7FD">
            <w:pPr>
              <w:pStyle w:val="112"/>
              <w:widowControl/>
              <w:numPr>
                <w:ilvl w:val="0"/>
                <w:numId w:val="13"/>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本项目现有厂区内采用</w:t>
            </w:r>
            <w:r>
              <w:rPr>
                <w:rStyle w:val="29"/>
                <w:rFonts w:hint="eastAsia" w:ascii="Times New Roman" w:hAnsi="Times New Roman" w:eastAsia="宋体" w:cs="Times New Roman"/>
                <w:color w:val="auto"/>
                <w:kern w:val="2"/>
                <w:sz w:val="21"/>
                <w:szCs w:val="21"/>
                <w:highlight w:val="none"/>
                <w:lang w:val="en-US" w:eastAsia="zh-CN" w:bidi="ar-SA"/>
              </w:rPr>
              <w:t>天然气作为锅炉能源，且本次技改不新建锅炉。</w:t>
            </w:r>
          </w:p>
          <w:p w14:paraId="476B12B6">
            <w:pPr>
              <w:pStyle w:val="112"/>
              <w:widowControl/>
              <w:numPr>
                <w:ilvl w:val="0"/>
                <w:numId w:val="13"/>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本项目不涉及左列行业；燃气锅炉采用天然气。</w:t>
            </w:r>
          </w:p>
          <w:p w14:paraId="77F3A052">
            <w:pPr>
              <w:pStyle w:val="112"/>
              <w:widowControl/>
              <w:numPr>
                <w:ilvl w:val="0"/>
                <w:numId w:val="13"/>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本项目产生的废气均经管道收集后经水洗塔处理后有组织排放。</w:t>
            </w:r>
          </w:p>
        </w:tc>
        <w:tc>
          <w:tcPr>
            <w:tcW w:w="255" w:type="pct"/>
            <w:tcBorders>
              <w:tl2br w:val="nil"/>
              <w:tr2bl w:val="nil"/>
            </w:tcBorders>
            <w:noWrap w:val="0"/>
            <w:vAlign w:val="center"/>
          </w:tcPr>
          <w:p w14:paraId="2E84988C">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符合</w:t>
            </w:r>
          </w:p>
        </w:tc>
      </w:tr>
      <w:tr w14:paraId="339D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1710885B">
            <w:pPr>
              <w:pStyle w:val="112"/>
              <w:widowControl/>
              <w:shd w:val="clear" w:color="auto" w:fill="FFFFFF"/>
              <w:spacing w:line="240" w:lineRule="auto"/>
              <w:ind w:firstLine="0" w:firstLineChars="0"/>
              <w:jc w:val="left"/>
              <w:rPr>
                <w:rFonts w:hint="default" w:ascii="Times New Roman" w:hAnsi="Times New Roman" w:cs="Times New Roman"/>
                <w:color w:val="auto"/>
                <w:sz w:val="21"/>
                <w:szCs w:val="21"/>
                <w:highlight w:val="none"/>
              </w:rPr>
            </w:pPr>
          </w:p>
        </w:tc>
        <w:tc>
          <w:tcPr>
            <w:tcW w:w="247" w:type="pct"/>
            <w:vMerge w:val="continue"/>
            <w:tcBorders>
              <w:tl2br w:val="nil"/>
              <w:tr2bl w:val="nil"/>
            </w:tcBorders>
            <w:noWrap w:val="0"/>
            <w:vAlign w:val="center"/>
          </w:tcPr>
          <w:p w14:paraId="0362D922">
            <w:pPr>
              <w:pStyle w:val="112"/>
              <w:widowControl/>
              <w:shd w:val="clear" w:color="auto" w:fill="FFFFFF"/>
              <w:spacing w:line="240" w:lineRule="auto"/>
              <w:ind w:firstLine="0" w:firstLineChars="0"/>
              <w:jc w:val="left"/>
              <w:rPr>
                <w:rFonts w:hint="default" w:ascii="Times New Roman" w:hAnsi="Times New Roman" w:cs="Times New Roman"/>
                <w:color w:val="auto"/>
                <w:sz w:val="21"/>
                <w:szCs w:val="21"/>
                <w:highlight w:val="none"/>
              </w:rPr>
            </w:pPr>
          </w:p>
        </w:tc>
        <w:tc>
          <w:tcPr>
            <w:tcW w:w="238" w:type="pct"/>
            <w:tcBorders>
              <w:tl2br w:val="nil"/>
              <w:tr2bl w:val="nil"/>
            </w:tcBorders>
            <w:noWrap w:val="0"/>
            <w:vAlign w:val="center"/>
          </w:tcPr>
          <w:p w14:paraId="47186B17">
            <w:pPr>
              <w:pStyle w:val="112"/>
              <w:widowControl/>
              <w:spacing w:line="240" w:lineRule="auto"/>
              <w:ind w:firstLine="0" w:firstLineChars="0"/>
              <w:jc w:val="center"/>
              <w:rPr>
                <w:rFonts w:hint="default" w:ascii="Times New Roman" w:hAnsi="Times New Roman"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环境风险防控</w:t>
            </w:r>
          </w:p>
        </w:tc>
        <w:tc>
          <w:tcPr>
            <w:tcW w:w="2644" w:type="pct"/>
            <w:vMerge w:val="restart"/>
            <w:tcBorders>
              <w:tl2br w:val="nil"/>
              <w:tr2bl w:val="nil"/>
            </w:tcBorders>
            <w:noWrap w:val="0"/>
            <w:vAlign w:val="center"/>
          </w:tcPr>
          <w:p w14:paraId="3A3601A0">
            <w:pPr>
              <w:pStyle w:val="112"/>
              <w:widowControl/>
              <w:shd w:val="clear" w:color="auto" w:fill="FFFFFF"/>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w:t>
            </w:r>
          </w:p>
        </w:tc>
        <w:tc>
          <w:tcPr>
            <w:tcW w:w="1041" w:type="pct"/>
            <w:vMerge w:val="restart"/>
            <w:tcBorders>
              <w:tl2br w:val="nil"/>
              <w:tr2bl w:val="nil"/>
            </w:tcBorders>
            <w:noWrap w:val="0"/>
            <w:vAlign w:val="center"/>
          </w:tcPr>
          <w:p w14:paraId="6AE30305">
            <w:pPr>
              <w:widowControl/>
              <w:numPr>
                <w:ilvl w:val="0"/>
                <w:numId w:val="0"/>
              </w:numPr>
              <w:shd w:val="clear" w:color="auto" w:fill="FFFFFF"/>
              <w:spacing w:line="240" w:lineRule="auto"/>
              <w:jc w:val="center"/>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w:t>
            </w:r>
          </w:p>
        </w:tc>
        <w:tc>
          <w:tcPr>
            <w:tcW w:w="255" w:type="pct"/>
            <w:vMerge w:val="restart"/>
            <w:tcBorders>
              <w:tl2br w:val="nil"/>
              <w:tr2bl w:val="nil"/>
            </w:tcBorders>
            <w:noWrap w:val="0"/>
            <w:vAlign w:val="center"/>
          </w:tcPr>
          <w:p w14:paraId="4E9EE229">
            <w:pPr>
              <w:widowControl/>
              <w:shd w:val="clear" w:color="auto" w:fill="FFFFFF"/>
              <w:spacing w:line="240" w:lineRule="auto"/>
              <w:ind w:firstLine="0" w:firstLineChars="0"/>
              <w:jc w:val="center"/>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w:t>
            </w:r>
          </w:p>
        </w:tc>
      </w:tr>
      <w:tr w14:paraId="7FED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4285D817">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3B7758D3">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2CCF9439">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资源开发效率要求</w:t>
            </w:r>
          </w:p>
        </w:tc>
        <w:tc>
          <w:tcPr>
            <w:tcW w:w="2644" w:type="pct"/>
            <w:vMerge w:val="continue"/>
            <w:tcBorders>
              <w:tl2br w:val="nil"/>
              <w:tr2bl w:val="nil"/>
            </w:tcBorders>
            <w:noWrap w:val="0"/>
            <w:vAlign w:val="center"/>
          </w:tcPr>
          <w:p w14:paraId="79ACD058">
            <w:pPr>
              <w:pStyle w:val="112"/>
              <w:widowControl/>
              <w:shd w:val="clear" w:color="auto" w:fill="FFFFFF"/>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p>
        </w:tc>
        <w:tc>
          <w:tcPr>
            <w:tcW w:w="1041" w:type="pct"/>
            <w:vMerge w:val="continue"/>
            <w:tcBorders>
              <w:tl2br w:val="nil"/>
              <w:tr2bl w:val="nil"/>
            </w:tcBorders>
            <w:noWrap w:val="0"/>
            <w:vAlign w:val="center"/>
          </w:tcPr>
          <w:p w14:paraId="1D7E33D5">
            <w:pPr>
              <w:keepNext w:val="0"/>
              <w:keepLines w:val="0"/>
              <w:widowControl/>
              <w:suppressLineNumbers w:val="0"/>
              <w:jc w:val="center"/>
              <w:rPr>
                <w:rFonts w:hint="default" w:ascii="Times New Roman" w:hAnsi="Times New Roman" w:eastAsia="宋体" w:cs="Times New Roman"/>
                <w:color w:val="auto"/>
                <w:sz w:val="21"/>
                <w:szCs w:val="21"/>
                <w:highlight w:val="none"/>
              </w:rPr>
            </w:pPr>
          </w:p>
        </w:tc>
        <w:tc>
          <w:tcPr>
            <w:tcW w:w="255" w:type="pct"/>
            <w:vMerge w:val="continue"/>
            <w:tcBorders>
              <w:tl2br w:val="nil"/>
              <w:tr2bl w:val="nil"/>
            </w:tcBorders>
            <w:noWrap w:val="0"/>
            <w:vAlign w:val="center"/>
          </w:tcPr>
          <w:p w14:paraId="3D17D31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r>
      <w:tr w14:paraId="7888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restart"/>
            <w:tcBorders>
              <w:tl2br w:val="nil"/>
              <w:tr2bl w:val="nil"/>
            </w:tcBorders>
            <w:noWrap w:val="0"/>
            <w:vAlign w:val="center"/>
          </w:tcPr>
          <w:p w14:paraId="6DAFF285">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大英县城镇开发边界（YS5109232530001）</w:t>
            </w:r>
          </w:p>
        </w:tc>
        <w:tc>
          <w:tcPr>
            <w:tcW w:w="247" w:type="pct"/>
            <w:vMerge w:val="restart"/>
            <w:tcBorders>
              <w:tl2br w:val="nil"/>
              <w:tr2bl w:val="nil"/>
            </w:tcBorders>
            <w:noWrap w:val="0"/>
            <w:vAlign w:val="center"/>
          </w:tcPr>
          <w:p w14:paraId="130EC513">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单元级</w:t>
            </w:r>
            <w:r>
              <w:rPr>
                <w:rFonts w:hint="default" w:ascii="Times New Roman" w:hAnsi="Times New Roman" w:eastAsia="宋体" w:cs="Times New Roman"/>
                <w:color w:val="auto"/>
                <w:kern w:val="0"/>
                <w:sz w:val="21"/>
                <w:szCs w:val="21"/>
                <w:highlight w:val="none"/>
              </w:rPr>
              <w:t>清单管控要求</w:t>
            </w:r>
          </w:p>
        </w:tc>
        <w:tc>
          <w:tcPr>
            <w:tcW w:w="238" w:type="pct"/>
            <w:tcBorders>
              <w:tl2br w:val="nil"/>
              <w:tr2bl w:val="nil"/>
            </w:tcBorders>
            <w:noWrap w:val="0"/>
            <w:vAlign w:val="center"/>
          </w:tcPr>
          <w:p w14:paraId="717AB880">
            <w:pPr>
              <w:keepNext w:val="0"/>
              <w:keepLines w:val="0"/>
              <w:pageBreakBefore w:val="0"/>
              <w:widowControl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空间布局约束</w:t>
            </w:r>
          </w:p>
        </w:tc>
        <w:tc>
          <w:tcPr>
            <w:tcW w:w="2644" w:type="pct"/>
            <w:tcBorders>
              <w:tl2br w:val="nil"/>
              <w:tr2bl w:val="nil"/>
            </w:tcBorders>
            <w:noWrap w:val="0"/>
            <w:vAlign w:val="center"/>
          </w:tcPr>
          <w:p w14:paraId="5F64FA54">
            <w:pPr>
              <w:pStyle w:val="112"/>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Style w:val="29"/>
                <w:rFonts w:hint="default" w:ascii="Times New Roman" w:hAnsi="Times New Roman" w:eastAsia="宋体" w:cs="Times New Roman"/>
                <w:color w:val="auto"/>
                <w:kern w:val="2"/>
                <w:sz w:val="21"/>
                <w:szCs w:val="21"/>
                <w:highlight w:val="none"/>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w:t>
            </w:r>
            <w:r>
              <w:rPr>
                <w:rStyle w:val="29"/>
                <w:rFonts w:hint="eastAsia" w:ascii="Times New Roman" w:hAnsi="Times New Roman" w:eastAsia="宋体"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2.城镇开发边界调整报国土空间规划原审批机关审批</w:t>
            </w:r>
            <w:r>
              <w:rPr>
                <w:rStyle w:val="29"/>
                <w:rFonts w:hint="eastAsia" w:ascii="Times New Roman" w:hAnsi="Times New Roman" w:eastAsia="宋体" w:cs="Times New Roman"/>
                <w:color w:val="auto"/>
                <w:kern w:val="2"/>
                <w:sz w:val="21"/>
                <w:szCs w:val="21"/>
                <w:highlight w:val="none"/>
                <w:lang w:val="en-US" w:eastAsia="zh-CN" w:bidi="ar-SA"/>
              </w:rPr>
              <w:t>。</w:t>
            </w:r>
          </w:p>
        </w:tc>
        <w:tc>
          <w:tcPr>
            <w:tcW w:w="1041" w:type="pct"/>
            <w:tcBorders>
              <w:tl2br w:val="nil"/>
              <w:tr2bl w:val="nil"/>
            </w:tcBorders>
            <w:noWrap w:val="0"/>
            <w:vAlign w:val="center"/>
          </w:tcPr>
          <w:p w14:paraId="01C715FF">
            <w:pPr>
              <w:pStyle w:val="112"/>
              <w:widowControl/>
              <w:numPr>
                <w:ilvl w:val="0"/>
                <w:numId w:val="0"/>
              </w:numPr>
              <w:shd w:val="clear" w:color="auto" w:fill="FFFFFF"/>
              <w:spacing w:line="240" w:lineRule="auto"/>
              <w:jc w:val="left"/>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本项目位于经开区范围内，按规定编制规划环评并审批机关，取得主管部门审批意见，符合规划。</w:t>
            </w:r>
          </w:p>
        </w:tc>
        <w:tc>
          <w:tcPr>
            <w:tcW w:w="255" w:type="pct"/>
            <w:tcBorders>
              <w:tl2br w:val="nil"/>
              <w:tr2bl w:val="nil"/>
            </w:tcBorders>
            <w:noWrap w:val="0"/>
            <w:vAlign w:val="center"/>
          </w:tcPr>
          <w:p w14:paraId="2BA12F01">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Style w:val="29"/>
                <w:rFonts w:hint="default" w:ascii="Times New Roman" w:hAnsi="Times New Roman" w:eastAsia="宋体" w:cs="Times New Roman"/>
                <w:color w:val="auto"/>
                <w:kern w:val="2"/>
                <w:sz w:val="21"/>
                <w:szCs w:val="21"/>
                <w:highlight w:val="none"/>
                <w:lang w:val="en-US" w:eastAsia="zh-CN" w:bidi="ar-SA"/>
              </w:rPr>
              <w:t>符合</w:t>
            </w:r>
          </w:p>
        </w:tc>
      </w:tr>
      <w:tr w14:paraId="5D64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5D2AC259">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highlight w:val="none"/>
              </w:rPr>
            </w:pPr>
          </w:p>
        </w:tc>
        <w:tc>
          <w:tcPr>
            <w:tcW w:w="247" w:type="pct"/>
            <w:vMerge w:val="continue"/>
            <w:tcBorders>
              <w:tl2br w:val="nil"/>
              <w:tr2bl w:val="nil"/>
            </w:tcBorders>
            <w:noWrap w:val="0"/>
            <w:vAlign w:val="center"/>
          </w:tcPr>
          <w:p w14:paraId="3879ABBB">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highlight w:val="none"/>
              </w:rPr>
            </w:pPr>
          </w:p>
        </w:tc>
        <w:tc>
          <w:tcPr>
            <w:tcW w:w="238" w:type="pct"/>
            <w:tcBorders>
              <w:tl2br w:val="nil"/>
              <w:tr2bl w:val="nil"/>
            </w:tcBorders>
            <w:noWrap w:val="0"/>
            <w:vAlign w:val="center"/>
          </w:tcPr>
          <w:p w14:paraId="3AF33CA3">
            <w:pPr>
              <w:keepNext w:val="0"/>
              <w:keepLines w:val="0"/>
              <w:pageBreakBefore w:val="0"/>
              <w:widowControl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0"/>
                <w:sz w:val="21"/>
                <w:szCs w:val="21"/>
                <w:highlight w:val="none"/>
                <w:lang w:val="en-US" w:eastAsia="zh-CN" w:bidi="ar-SA"/>
              </w:rPr>
              <w:t>污染物排放管控</w:t>
            </w:r>
          </w:p>
        </w:tc>
        <w:tc>
          <w:tcPr>
            <w:tcW w:w="2644" w:type="pct"/>
            <w:vMerge w:val="restart"/>
            <w:tcBorders>
              <w:tl2br w:val="nil"/>
              <w:tr2bl w:val="nil"/>
            </w:tcBorders>
            <w:noWrap w:val="0"/>
            <w:vAlign w:val="center"/>
          </w:tcPr>
          <w:p w14:paraId="0D738286">
            <w:pPr>
              <w:pStyle w:val="11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w:t>
            </w:r>
          </w:p>
        </w:tc>
        <w:tc>
          <w:tcPr>
            <w:tcW w:w="1041" w:type="pct"/>
            <w:vMerge w:val="restart"/>
            <w:tcBorders>
              <w:tl2br w:val="nil"/>
              <w:tr2bl w:val="nil"/>
            </w:tcBorders>
            <w:noWrap w:val="0"/>
            <w:vAlign w:val="center"/>
          </w:tcPr>
          <w:p w14:paraId="09CAFB6D">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w:t>
            </w:r>
          </w:p>
        </w:tc>
        <w:tc>
          <w:tcPr>
            <w:tcW w:w="255" w:type="pct"/>
            <w:vMerge w:val="restart"/>
            <w:tcBorders>
              <w:tl2br w:val="nil"/>
              <w:tr2bl w:val="nil"/>
            </w:tcBorders>
            <w:noWrap w:val="0"/>
            <w:vAlign w:val="center"/>
          </w:tcPr>
          <w:p w14:paraId="2CA3EF69">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w:t>
            </w:r>
          </w:p>
        </w:tc>
      </w:tr>
      <w:tr w14:paraId="0AA5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6DA24B9C">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391CF563">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4FF40900">
            <w:pPr>
              <w:pStyle w:val="112"/>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0"/>
                <w:sz w:val="21"/>
                <w:szCs w:val="21"/>
                <w:highlight w:val="none"/>
                <w:lang w:val="en-US" w:eastAsia="zh-CN" w:bidi="ar-SA"/>
              </w:rPr>
              <w:t>环境风险防控</w:t>
            </w:r>
          </w:p>
        </w:tc>
        <w:tc>
          <w:tcPr>
            <w:tcW w:w="2644" w:type="pct"/>
            <w:vMerge w:val="continue"/>
            <w:tcBorders>
              <w:tl2br w:val="nil"/>
              <w:tr2bl w:val="nil"/>
            </w:tcBorders>
            <w:noWrap w:val="0"/>
            <w:vAlign w:val="center"/>
          </w:tcPr>
          <w:p w14:paraId="12E52CFD">
            <w:pPr>
              <w:pStyle w:val="11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041" w:type="pct"/>
            <w:vMerge w:val="continue"/>
            <w:tcBorders>
              <w:tl2br w:val="nil"/>
              <w:tr2bl w:val="nil"/>
            </w:tcBorders>
            <w:noWrap w:val="0"/>
            <w:vAlign w:val="center"/>
          </w:tcPr>
          <w:p w14:paraId="3109A539">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55" w:type="pct"/>
            <w:vMerge w:val="continue"/>
            <w:tcBorders>
              <w:tl2br w:val="nil"/>
              <w:tr2bl w:val="nil"/>
            </w:tcBorders>
            <w:noWrap w:val="0"/>
            <w:vAlign w:val="center"/>
          </w:tcPr>
          <w:p w14:paraId="647B653F">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r>
      <w:tr w14:paraId="7084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025D6828">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4FC5BA8D">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31C5B8BB">
            <w:pPr>
              <w:keepNext w:val="0"/>
              <w:keepLines w:val="0"/>
              <w:pageBreakBefore w:val="0"/>
              <w:widowControl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0"/>
                <w:sz w:val="21"/>
                <w:szCs w:val="21"/>
                <w:highlight w:val="none"/>
                <w:lang w:val="en-US" w:eastAsia="zh-CN" w:bidi="ar-SA"/>
              </w:rPr>
              <w:t>资源开发利用效率要求</w:t>
            </w:r>
          </w:p>
        </w:tc>
        <w:tc>
          <w:tcPr>
            <w:tcW w:w="2644" w:type="pct"/>
            <w:tcBorders>
              <w:tl2br w:val="nil"/>
              <w:tr2bl w:val="nil"/>
            </w:tcBorders>
            <w:noWrap w:val="0"/>
            <w:vAlign w:val="center"/>
          </w:tcPr>
          <w:p w14:paraId="6B9B35FB">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土地资源开发效率要求</w:t>
            </w:r>
          </w:p>
          <w:p w14:paraId="25B78DEE">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土地资源开发利用量不得超过土地资源利用上线控制性指标。</w:t>
            </w:r>
          </w:p>
          <w:p w14:paraId="5710044F">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能源资源开发效率要求</w:t>
            </w:r>
          </w:p>
          <w:p w14:paraId="203E6A05">
            <w:pPr>
              <w:pStyle w:val="112"/>
              <w:widowControl/>
              <w:shd w:val="clear" w:color="auto" w:fill="FFFFFF"/>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其他资源开发效率要求</w:t>
            </w:r>
          </w:p>
        </w:tc>
        <w:tc>
          <w:tcPr>
            <w:tcW w:w="1041" w:type="pct"/>
            <w:tcBorders>
              <w:tl2br w:val="nil"/>
              <w:tr2bl w:val="nil"/>
            </w:tcBorders>
            <w:noWrap w:val="0"/>
            <w:vAlign w:val="center"/>
          </w:tcPr>
          <w:p w14:paraId="0EA1DF36">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本项目建设不会超过资源利用上线。</w:t>
            </w:r>
          </w:p>
        </w:tc>
        <w:tc>
          <w:tcPr>
            <w:tcW w:w="255" w:type="pct"/>
            <w:tcBorders>
              <w:tl2br w:val="nil"/>
              <w:tr2bl w:val="nil"/>
            </w:tcBorders>
            <w:noWrap w:val="0"/>
            <w:vAlign w:val="center"/>
          </w:tcPr>
          <w:p w14:paraId="4249E4A8">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符合</w:t>
            </w:r>
          </w:p>
        </w:tc>
      </w:tr>
      <w:tr w14:paraId="5F31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restart"/>
            <w:tcBorders>
              <w:tl2br w:val="nil"/>
              <w:tr2bl w:val="nil"/>
            </w:tcBorders>
            <w:noWrap w:val="0"/>
            <w:vAlign w:val="center"/>
          </w:tcPr>
          <w:p w14:paraId="2785421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四川大英经济开发区（YS5109232540002）</w:t>
            </w:r>
          </w:p>
        </w:tc>
        <w:tc>
          <w:tcPr>
            <w:tcW w:w="247" w:type="pct"/>
            <w:vMerge w:val="restart"/>
            <w:tcBorders>
              <w:tl2br w:val="nil"/>
              <w:tr2bl w:val="nil"/>
            </w:tcBorders>
            <w:noWrap w:val="0"/>
            <w:vAlign w:val="center"/>
          </w:tcPr>
          <w:p w14:paraId="4BE1CC0D">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单元级清单管控要求</w:t>
            </w:r>
          </w:p>
        </w:tc>
        <w:tc>
          <w:tcPr>
            <w:tcW w:w="238" w:type="pct"/>
            <w:tcBorders>
              <w:tl2br w:val="nil"/>
              <w:tr2bl w:val="nil"/>
            </w:tcBorders>
            <w:noWrap w:val="0"/>
            <w:vAlign w:val="center"/>
          </w:tcPr>
          <w:p w14:paraId="0CD10230">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空间布局约束</w:t>
            </w:r>
          </w:p>
        </w:tc>
        <w:tc>
          <w:tcPr>
            <w:tcW w:w="2644" w:type="pct"/>
            <w:tcBorders>
              <w:tl2br w:val="nil"/>
              <w:tr2bl w:val="nil"/>
            </w:tcBorders>
            <w:noWrap w:val="0"/>
            <w:vAlign w:val="center"/>
          </w:tcPr>
          <w:p w14:paraId="60537533">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坚决遏制“两高一低”项目盲目发展</w:t>
            </w:r>
          </w:p>
        </w:tc>
        <w:tc>
          <w:tcPr>
            <w:tcW w:w="1041" w:type="pct"/>
            <w:tcBorders>
              <w:tl2br w:val="nil"/>
              <w:tr2bl w:val="nil"/>
            </w:tcBorders>
            <w:noWrap w:val="0"/>
            <w:vAlign w:val="center"/>
          </w:tcPr>
          <w:p w14:paraId="660B3E05">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本项目不属于“两高一低”项目。</w:t>
            </w:r>
          </w:p>
        </w:tc>
        <w:tc>
          <w:tcPr>
            <w:tcW w:w="255" w:type="pct"/>
            <w:tcBorders>
              <w:tl2br w:val="nil"/>
              <w:tr2bl w:val="nil"/>
            </w:tcBorders>
            <w:noWrap w:val="0"/>
            <w:vAlign w:val="center"/>
          </w:tcPr>
          <w:p w14:paraId="3CC2E689">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符合</w:t>
            </w:r>
          </w:p>
        </w:tc>
      </w:tr>
      <w:tr w14:paraId="408D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52857AC6">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2854848B">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5869D63B">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污染物排放管控</w:t>
            </w:r>
          </w:p>
        </w:tc>
        <w:tc>
          <w:tcPr>
            <w:tcW w:w="2644" w:type="pct"/>
            <w:vMerge w:val="restart"/>
            <w:tcBorders>
              <w:tl2br w:val="nil"/>
              <w:tr2bl w:val="nil"/>
            </w:tcBorders>
            <w:noWrap w:val="0"/>
            <w:vAlign w:val="center"/>
          </w:tcPr>
          <w:p w14:paraId="0E70C5D4">
            <w:pPr>
              <w:pStyle w:val="112"/>
              <w:widowControl/>
              <w:shd w:val="clear" w:color="auto" w:fill="FFFFFF"/>
              <w:spacing w:line="240" w:lineRule="auto"/>
              <w:ind w:firstLine="0" w:firstLineChars="0"/>
              <w:jc w:val="center"/>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w:t>
            </w:r>
          </w:p>
        </w:tc>
        <w:tc>
          <w:tcPr>
            <w:tcW w:w="1041" w:type="pct"/>
            <w:vMerge w:val="restart"/>
            <w:tcBorders>
              <w:tl2br w:val="nil"/>
              <w:tr2bl w:val="nil"/>
            </w:tcBorders>
            <w:noWrap w:val="0"/>
            <w:vAlign w:val="center"/>
          </w:tcPr>
          <w:p w14:paraId="760CEF14">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w:t>
            </w:r>
          </w:p>
        </w:tc>
        <w:tc>
          <w:tcPr>
            <w:tcW w:w="255" w:type="pct"/>
            <w:vMerge w:val="restart"/>
            <w:tcBorders>
              <w:tl2br w:val="nil"/>
              <w:tr2bl w:val="nil"/>
            </w:tcBorders>
            <w:noWrap w:val="0"/>
            <w:vAlign w:val="center"/>
          </w:tcPr>
          <w:p w14:paraId="1B1802E2">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w:t>
            </w:r>
          </w:p>
        </w:tc>
      </w:tr>
      <w:tr w14:paraId="4F1F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32E5439D">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06267339">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3026ACCA">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环境风险防控</w:t>
            </w:r>
          </w:p>
        </w:tc>
        <w:tc>
          <w:tcPr>
            <w:tcW w:w="2644" w:type="pct"/>
            <w:vMerge w:val="continue"/>
            <w:tcBorders>
              <w:tl2br w:val="nil"/>
              <w:tr2bl w:val="nil"/>
            </w:tcBorders>
            <w:noWrap w:val="0"/>
            <w:vAlign w:val="center"/>
          </w:tcPr>
          <w:p w14:paraId="2937607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p>
        </w:tc>
        <w:tc>
          <w:tcPr>
            <w:tcW w:w="1041" w:type="pct"/>
            <w:vMerge w:val="continue"/>
            <w:tcBorders>
              <w:tl2br w:val="nil"/>
              <w:tr2bl w:val="nil"/>
            </w:tcBorders>
            <w:noWrap w:val="0"/>
            <w:vAlign w:val="center"/>
          </w:tcPr>
          <w:p w14:paraId="2255782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55" w:type="pct"/>
            <w:vMerge w:val="continue"/>
            <w:tcBorders>
              <w:tl2br w:val="nil"/>
              <w:tr2bl w:val="nil"/>
            </w:tcBorders>
            <w:noWrap w:val="0"/>
            <w:vAlign w:val="center"/>
          </w:tcPr>
          <w:p w14:paraId="4A683FFB">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r>
      <w:tr w14:paraId="0071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700D1874">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22833036">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14CE3F45">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资源开发效率要求</w:t>
            </w:r>
          </w:p>
        </w:tc>
        <w:tc>
          <w:tcPr>
            <w:tcW w:w="2644" w:type="pct"/>
            <w:tcBorders>
              <w:tl2br w:val="nil"/>
              <w:tr2bl w:val="nil"/>
            </w:tcBorders>
            <w:noWrap w:val="0"/>
            <w:vAlign w:val="center"/>
          </w:tcPr>
          <w:p w14:paraId="12184FF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土地资源开发效率要求</w:t>
            </w:r>
          </w:p>
          <w:p w14:paraId="4809F08F">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能源资源开发效率要求</w:t>
            </w:r>
          </w:p>
          <w:p w14:paraId="4F6AE07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能源消耗、污染物排放不得超过能源利用上线控制性指标。</w:t>
            </w:r>
          </w:p>
          <w:p w14:paraId="5FBE1416">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其他资源开发效率要求</w:t>
            </w:r>
          </w:p>
        </w:tc>
        <w:tc>
          <w:tcPr>
            <w:tcW w:w="1041" w:type="pct"/>
            <w:tcBorders>
              <w:tl2br w:val="nil"/>
              <w:tr2bl w:val="nil"/>
            </w:tcBorders>
            <w:noWrap w:val="0"/>
            <w:vAlign w:val="center"/>
          </w:tcPr>
          <w:p w14:paraId="71E7EEDD">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本项目建设不会超过资源利用上线。</w:t>
            </w:r>
          </w:p>
        </w:tc>
        <w:tc>
          <w:tcPr>
            <w:tcW w:w="255" w:type="pct"/>
            <w:tcBorders>
              <w:tl2br w:val="nil"/>
              <w:tr2bl w:val="nil"/>
            </w:tcBorders>
            <w:noWrap w:val="0"/>
            <w:vAlign w:val="center"/>
          </w:tcPr>
          <w:p w14:paraId="6E8CBBF4">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符合</w:t>
            </w:r>
          </w:p>
        </w:tc>
      </w:tr>
      <w:tr w14:paraId="252F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restart"/>
            <w:tcBorders>
              <w:tl2br w:val="nil"/>
              <w:tr2bl w:val="nil"/>
            </w:tcBorders>
            <w:noWrap w:val="0"/>
            <w:vAlign w:val="center"/>
          </w:tcPr>
          <w:p w14:paraId="642E3F0F">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大英县自然资源重点管控区（YS5109232550001）</w:t>
            </w:r>
          </w:p>
        </w:tc>
        <w:tc>
          <w:tcPr>
            <w:tcW w:w="247" w:type="pct"/>
            <w:vMerge w:val="restart"/>
            <w:tcBorders>
              <w:tl2br w:val="nil"/>
              <w:tr2bl w:val="nil"/>
            </w:tcBorders>
            <w:noWrap w:val="0"/>
            <w:vAlign w:val="center"/>
          </w:tcPr>
          <w:p w14:paraId="212A5DE1">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单元级清单管控要求</w:t>
            </w:r>
          </w:p>
        </w:tc>
        <w:tc>
          <w:tcPr>
            <w:tcW w:w="238" w:type="pct"/>
            <w:tcBorders>
              <w:tl2br w:val="nil"/>
              <w:tr2bl w:val="nil"/>
            </w:tcBorders>
            <w:noWrap w:val="0"/>
            <w:vAlign w:val="center"/>
          </w:tcPr>
          <w:p w14:paraId="48FB3EC6">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空间布局约束</w:t>
            </w:r>
          </w:p>
        </w:tc>
        <w:tc>
          <w:tcPr>
            <w:tcW w:w="2644" w:type="pct"/>
            <w:vMerge w:val="restart"/>
            <w:tcBorders>
              <w:tl2br w:val="nil"/>
              <w:tr2bl w:val="nil"/>
            </w:tcBorders>
            <w:noWrap w:val="0"/>
            <w:vAlign w:val="center"/>
          </w:tcPr>
          <w:p w14:paraId="7F39A0EB">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w:t>
            </w:r>
          </w:p>
        </w:tc>
        <w:tc>
          <w:tcPr>
            <w:tcW w:w="1041" w:type="pct"/>
            <w:vMerge w:val="restart"/>
            <w:tcBorders>
              <w:tl2br w:val="nil"/>
              <w:tr2bl w:val="nil"/>
            </w:tcBorders>
            <w:noWrap w:val="0"/>
            <w:vAlign w:val="center"/>
          </w:tcPr>
          <w:p w14:paraId="16CD37BA">
            <w:pPr>
              <w:keepNext w:val="0"/>
              <w:keepLines w:val="0"/>
              <w:pageBreakBefore w:val="0"/>
              <w:numPr>
                <w:ilvl w:val="0"/>
                <w:numId w:val="0"/>
              </w:numPr>
              <w:tabs>
                <w:tab w:val="left" w:pos="7390"/>
              </w:tabs>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Style w:val="29"/>
                <w:rFonts w:hint="default" w:ascii="Times New Roman" w:hAnsi="Times New Roman" w:eastAsia="宋体" w:cs="Times New Roman"/>
                <w:color w:val="auto"/>
                <w:kern w:val="2"/>
                <w:sz w:val="21"/>
                <w:szCs w:val="21"/>
                <w:highlight w:val="none"/>
                <w:lang w:val="en-US" w:eastAsia="zh-CN" w:bidi="ar-SA"/>
              </w:rPr>
              <w:t>/</w:t>
            </w:r>
          </w:p>
        </w:tc>
        <w:tc>
          <w:tcPr>
            <w:tcW w:w="255" w:type="pct"/>
            <w:vMerge w:val="restart"/>
            <w:tcBorders>
              <w:tl2br w:val="nil"/>
              <w:tr2bl w:val="nil"/>
            </w:tcBorders>
            <w:noWrap w:val="0"/>
            <w:vAlign w:val="center"/>
          </w:tcPr>
          <w:p w14:paraId="51816690">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w:t>
            </w:r>
          </w:p>
        </w:tc>
      </w:tr>
      <w:tr w14:paraId="3098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408D21F1">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31E91DEB">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7211882B">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污染物排放管控</w:t>
            </w:r>
          </w:p>
        </w:tc>
        <w:tc>
          <w:tcPr>
            <w:tcW w:w="2644" w:type="pct"/>
            <w:vMerge w:val="continue"/>
            <w:tcBorders>
              <w:tl2br w:val="nil"/>
              <w:tr2bl w:val="nil"/>
            </w:tcBorders>
            <w:noWrap w:val="0"/>
            <w:vAlign w:val="center"/>
          </w:tcPr>
          <w:p w14:paraId="3CEDB376">
            <w:pPr>
              <w:pStyle w:val="112"/>
              <w:widowControl/>
              <w:shd w:val="clear" w:color="auto" w:fill="FFFFFF"/>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p>
        </w:tc>
        <w:tc>
          <w:tcPr>
            <w:tcW w:w="1041" w:type="pct"/>
            <w:vMerge w:val="continue"/>
            <w:tcBorders>
              <w:tl2br w:val="nil"/>
              <w:tr2bl w:val="nil"/>
            </w:tcBorders>
            <w:noWrap w:val="0"/>
            <w:vAlign w:val="center"/>
          </w:tcPr>
          <w:p w14:paraId="5B422B5B">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cs="Times New Roman"/>
                <w:color w:val="auto"/>
                <w:sz w:val="21"/>
                <w:szCs w:val="21"/>
                <w:highlight w:val="none"/>
                <w:lang w:val="en-US" w:eastAsia="zh-CN"/>
              </w:rPr>
            </w:pPr>
          </w:p>
        </w:tc>
        <w:tc>
          <w:tcPr>
            <w:tcW w:w="255" w:type="pct"/>
            <w:vMerge w:val="continue"/>
            <w:tcBorders>
              <w:tl2br w:val="nil"/>
              <w:tr2bl w:val="nil"/>
            </w:tcBorders>
            <w:noWrap w:val="0"/>
            <w:vAlign w:val="center"/>
          </w:tcPr>
          <w:p w14:paraId="0FDADADB">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r>
      <w:tr w14:paraId="4DC6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380F491A">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6DBA6A1A">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1E473128">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环境风险防控</w:t>
            </w:r>
          </w:p>
        </w:tc>
        <w:tc>
          <w:tcPr>
            <w:tcW w:w="2644" w:type="pct"/>
            <w:vMerge w:val="continue"/>
            <w:tcBorders>
              <w:tl2br w:val="nil"/>
              <w:tr2bl w:val="nil"/>
            </w:tcBorders>
            <w:noWrap w:val="0"/>
            <w:vAlign w:val="center"/>
          </w:tcPr>
          <w:p w14:paraId="64AC8788">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Style w:val="29"/>
                <w:rFonts w:hint="default" w:ascii="Times New Roman" w:hAnsi="Times New Roman" w:eastAsia="宋体" w:cs="Times New Roman"/>
                <w:color w:val="auto"/>
                <w:kern w:val="0"/>
                <w:sz w:val="21"/>
                <w:szCs w:val="21"/>
                <w:highlight w:val="none"/>
                <w:lang w:val="en-US" w:eastAsia="zh-CN" w:bidi="ar-SA"/>
              </w:rPr>
            </w:pPr>
          </w:p>
        </w:tc>
        <w:tc>
          <w:tcPr>
            <w:tcW w:w="1041" w:type="pct"/>
            <w:vMerge w:val="continue"/>
            <w:tcBorders>
              <w:tl2br w:val="nil"/>
              <w:tr2bl w:val="nil"/>
            </w:tcBorders>
            <w:noWrap w:val="0"/>
            <w:vAlign w:val="center"/>
          </w:tcPr>
          <w:p w14:paraId="01B96495">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55" w:type="pct"/>
            <w:vMerge w:val="continue"/>
            <w:tcBorders>
              <w:tl2br w:val="nil"/>
              <w:tr2bl w:val="nil"/>
            </w:tcBorders>
            <w:noWrap w:val="0"/>
            <w:vAlign w:val="center"/>
          </w:tcPr>
          <w:p w14:paraId="1FC9C83B">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5062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0B75913F">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59542351">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09BAD4F1">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资源开发效率要求</w:t>
            </w:r>
          </w:p>
        </w:tc>
        <w:tc>
          <w:tcPr>
            <w:tcW w:w="2644" w:type="pct"/>
            <w:tcBorders>
              <w:tl2br w:val="nil"/>
              <w:tr2bl w:val="nil"/>
            </w:tcBorders>
            <w:noWrap w:val="0"/>
            <w:vAlign w:val="center"/>
          </w:tcPr>
          <w:p w14:paraId="0B66F9F6">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土地资源开发效率要求</w:t>
            </w:r>
          </w:p>
          <w:p w14:paraId="72AF801F">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能源资源开发效率要求</w:t>
            </w:r>
          </w:p>
          <w:p w14:paraId="338A0616">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能源消耗、污染物排放不得超过能源利用上线控制性指标。</w:t>
            </w:r>
          </w:p>
          <w:p w14:paraId="60E58DFD">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both"/>
              <w:textAlignment w:val="auto"/>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其他资源开发效率要求</w:t>
            </w:r>
          </w:p>
        </w:tc>
        <w:tc>
          <w:tcPr>
            <w:tcW w:w="1041" w:type="pct"/>
            <w:tcBorders>
              <w:tl2br w:val="nil"/>
              <w:tr2bl w:val="nil"/>
            </w:tcBorders>
            <w:noWrap w:val="0"/>
            <w:vAlign w:val="center"/>
          </w:tcPr>
          <w:p w14:paraId="2ED6A22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本项目建设不会超过资源利用上线。</w:t>
            </w:r>
          </w:p>
        </w:tc>
        <w:tc>
          <w:tcPr>
            <w:tcW w:w="255" w:type="pct"/>
            <w:tcBorders>
              <w:tl2br w:val="nil"/>
              <w:tr2bl w:val="nil"/>
            </w:tcBorders>
            <w:noWrap w:val="0"/>
            <w:vAlign w:val="center"/>
          </w:tcPr>
          <w:p w14:paraId="4E2EB044">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Style w:val="29"/>
                <w:rFonts w:hint="default" w:ascii="Times New Roman" w:hAnsi="Times New Roman" w:eastAsia="宋体" w:cs="Times New Roman"/>
                <w:color w:val="auto"/>
                <w:kern w:val="2"/>
                <w:sz w:val="21"/>
                <w:szCs w:val="21"/>
                <w:highlight w:val="none"/>
                <w:lang w:val="en-US" w:eastAsia="zh-CN" w:bidi="ar-SA"/>
              </w:rPr>
              <w:t>符合</w:t>
            </w:r>
          </w:p>
        </w:tc>
      </w:tr>
      <w:tr w14:paraId="46C7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restart"/>
            <w:tcBorders>
              <w:tl2br w:val="nil"/>
              <w:tr2bl w:val="nil"/>
            </w:tcBorders>
            <w:noWrap w:val="0"/>
            <w:vAlign w:val="center"/>
          </w:tcPr>
          <w:p w14:paraId="1C22E8DA">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大英县工业集中发展区</w:t>
            </w:r>
            <w:r>
              <w:rPr>
                <w:rStyle w:val="29"/>
                <w:rFonts w:hint="eastAsia"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含经开区</w:t>
            </w:r>
            <w:r>
              <w:rPr>
                <w:rStyle w:val="29"/>
                <w:rFonts w:hint="eastAsia"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（ZH51092320002）</w:t>
            </w:r>
          </w:p>
        </w:tc>
        <w:tc>
          <w:tcPr>
            <w:tcW w:w="247" w:type="pct"/>
            <w:vMerge w:val="restart"/>
            <w:tcBorders>
              <w:tl2br w:val="nil"/>
              <w:tr2bl w:val="nil"/>
            </w:tcBorders>
            <w:noWrap w:val="0"/>
            <w:vAlign w:val="center"/>
          </w:tcPr>
          <w:p w14:paraId="43FB6400">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普适性清单管控要求</w:t>
            </w:r>
          </w:p>
        </w:tc>
        <w:tc>
          <w:tcPr>
            <w:tcW w:w="238" w:type="pct"/>
            <w:vMerge w:val="restart"/>
            <w:tcBorders>
              <w:tl2br w:val="nil"/>
              <w:tr2bl w:val="nil"/>
            </w:tcBorders>
            <w:noWrap w:val="0"/>
            <w:vAlign w:val="center"/>
          </w:tcPr>
          <w:p w14:paraId="763C4911">
            <w:pPr>
              <w:pStyle w:val="112"/>
              <w:widowControl/>
              <w:spacing w:line="240" w:lineRule="auto"/>
              <w:ind w:firstLine="0" w:firstLineChars="0"/>
              <w:jc w:val="center"/>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空间布局约束</w:t>
            </w:r>
          </w:p>
        </w:tc>
        <w:tc>
          <w:tcPr>
            <w:tcW w:w="2644" w:type="pct"/>
            <w:tcBorders>
              <w:tl2br w:val="nil"/>
              <w:tr2bl w:val="nil"/>
            </w:tcBorders>
            <w:noWrap w:val="0"/>
            <w:vAlign w:val="center"/>
          </w:tcPr>
          <w:p w14:paraId="40E91F7D">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禁止开发建设活动的要求</w:t>
            </w:r>
          </w:p>
          <w:p w14:paraId="7AA8FB0B">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1.禁止引入不符合园区用地性质或产业规划的工业企业。</w:t>
            </w:r>
          </w:p>
          <w:p w14:paraId="3720CE44">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2.禁止在长江干支流、重要湖泊岸线一公里范围内新建、扩建化工园区和化工项目。</w:t>
            </w:r>
          </w:p>
          <w:p w14:paraId="71CA6C7A">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3.禁止在长江流域河湖管理范围内倾倒、填埋、堆放、弃置、处理固体废物。</w:t>
            </w:r>
          </w:p>
          <w:p w14:paraId="441C5E93">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tc>
        <w:tc>
          <w:tcPr>
            <w:tcW w:w="1041" w:type="pct"/>
            <w:tcBorders>
              <w:tl2br w:val="nil"/>
              <w:tr2bl w:val="nil"/>
            </w:tcBorders>
            <w:noWrap w:val="0"/>
            <w:vAlign w:val="center"/>
          </w:tcPr>
          <w:p w14:paraId="58CD1604">
            <w:pPr>
              <w:pStyle w:val="112"/>
              <w:widowControl/>
              <w:numPr>
                <w:ilvl w:val="0"/>
                <w:numId w:val="14"/>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本项目位于已建成规划园区，属于基础化学原料制造，技改不新增占地，现有占地均为工业用地，符合规划。</w:t>
            </w:r>
          </w:p>
          <w:p w14:paraId="017361DB">
            <w:pPr>
              <w:pStyle w:val="112"/>
              <w:widowControl/>
              <w:numPr>
                <w:ilvl w:val="0"/>
                <w:numId w:val="14"/>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本项目为技改项目，不属于新建、扩建化工园区和化工项目。</w:t>
            </w:r>
          </w:p>
          <w:p w14:paraId="749F5A3E">
            <w:pPr>
              <w:pStyle w:val="112"/>
              <w:widowControl/>
              <w:numPr>
                <w:ilvl w:val="0"/>
                <w:numId w:val="14"/>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本项目不涉及在长江流域河湖管理范围内倾倒、填埋、堆放、弃置、处理固体废物。</w:t>
            </w:r>
          </w:p>
          <w:p w14:paraId="63EFB793">
            <w:pPr>
              <w:pStyle w:val="112"/>
              <w:widowControl/>
              <w:numPr>
                <w:ilvl w:val="0"/>
                <w:numId w:val="14"/>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本项目所在</w:t>
            </w:r>
            <w:r>
              <w:rPr>
                <w:rFonts w:hint="eastAsia" w:eastAsia="宋体" w:cs="Times New Roman"/>
                <w:color w:val="auto"/>
                <w:sz w:val="21"/>
                <w:szCs w:val="21"/>
                <w:highlight w:val="none"/>
                <w:lang w:val="en-US" w:eastAsia="zh-CN"/>
              </w:rPr>
              <w:t>化工</w:t>
            </w:r>
            <w:r>
              <w:rPr>
                <w:rFonts w:hint="eastAsia" w:ascii="Times New Roman" w:hAnsi="Times New Roman" w:eastAsia="宋体" w:cs="Times New Roman"/>
                <w:color w:val="auto"/>
                <w:sz w:val="21"/>
                <w:szCs w:val="21"/>
                <w:highlight w:val="none"/>
                <w:lang w:val="en-US" w:eastAsia="zh-CN"/>
              </w:rPr>
              <w:t>园区</w:t>
            </w:r>
            <w:r>
              <w:rPr>
                <w:rFonts w:hint="eastAsia" w:eastAsia="宋体" w:cs="Times New Roman"/>
                <w:color w:val="auto"/>
                <w:sz w:val="21"/>
                <w:szCs w:val="21"/>
                <w:highlight w:val="none"/>
                <w:lang w:val="en-US" w:eastAsia="zh-CN"/>
              </w:rPr>
              <w:t>为四川大英经济开发区内-</w:t>
            </w:r>
            <w:r>
              <w:rPr>
                <w:rFonts w:hint="eastAsia" w:ascii="Times New Roman" w:hAnsi="Times New Roman" w:eastAsia="宋体" w:cs="Times New Roman"/>
                <w:color w:val="auto"/>
                <w:sz w:val="21"/>
                <w:szCs w:val="21"/>
                <w:highlight w:val="none"/>
                <w:lang w:val="en-US" w:eastAsia="zh-CN"/>
              </w:rPr>
              <w:t>大英红旗化工园区</w:t>
            </w:r>
            <w:r>
              <w:rPr>
                <w:rFonts w:hint="eastAsia"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为已通过认定的化工园区。</w:t>
            </w:r>
          </w:p>
        </w:tc>
        <w:tc>
          <w:tcPr>
            <w:tcW w:w="255" w:type="pct"/>
            <w:tcBorders>
              <w:tl2br w:val="nil"/>
              <w:tr2bl w:val="nil"/>
            </w:tcBorders>
            <w:noWrap w:val="0"/>
            <w:vAlign w:val="center"/>
          </w:tcPr>
          <w:p w14:paraId="48CA248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69CE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28F969C0">
            <w:pPr>
              <w:pStyle w:val="112"/>
              <w:widowControl/>
              <w:spacing w:line="240" w:lineRule="auto"/>
              <w:ind w:firstLine="0" w:firstLineChars="0"/>
              <w:jc w:val="left"/>
              <w:rPr>
                <w:color w:val="auto"/>
                <w:highlight w:val="none"/>
              </w:rPr>
            </w:pPr>
          </w:p>
        </w:tc>
        <w:tc>
          <w:tcPr>
            <w:tcW w:w="247" w:type="pct"/>
            <w:vMerge w:val="continue"/>
            <w:tcBorders>
              <w:tl2br w:val="nil"/>
              <w:tr2bl w:val="nil"/>
            </w:tcBorders>
            <w:noWrap w:val="0"/>
            <w:vAlign w:val="center"/>
          </w:tcPr>
          <w:p w14:paraId="2FE8A398">
            <w:pPr>
              <w:pStyle w:val="112"/>
              <w:widowControl/>
              <w:spacing w:line="240" w:lineRule="auto"/>
              <w:ind w:firstLine="0" w:firstLineChars="0"/>
              <w:jc w:val="left"/>
              <w:rPr>
                <w:color w:val="auto"/>
                <w:highlight w:val="none"/>
              </w:rPr>
            </w:pPr>
          </w:p>
        </w:tc>
        <w:tc>
          <w:tcPr>
            <w:tcW w:w="238" w:type="pct"/>
            <w:vMerge w:val="continue"/>
            <w:tcBorders>
              <w:tl2br w:val="nil"/>
              <w:tr2bl w:val="nil"/>
            </w:tcBorders>
            <w:noWrap w:val="0"/>
            <w:vAlign w:val="center"/>
          </w:tcPr>
          <w:p w14:paraId="05D4E2AE">
            <w:pPr>
              <w:pStyle w:val="112"/>
              <w:widowControl/>
              <w:spacing w:line="240" w:lineRule="auto"/>
              <w:ind w:firstLine="0" w:firstLineChars="0"/>
              <w:jc w:val="left"/>
              <w:rPr>
                <w:color w:val="auto"/>
                <w:highlight w:val="none"/>
              </w:rPr>
            </w:pPr>
          </w:p>
        </w:tc>
        <w:tc>
          <w:tcPr>
            <w:tcW w:w="2644" w:type="pct"/>
            <w:tcBorders>
              <w:tl2br w:val="nil"/>
              <w:tr2bl w:val="nil"/>
            </w:tcBorders>
            <w:noWrap w:val="0"/>
            <w:vAlign w:val="center"/>
          </w:tcPr>
          <w:p w14:paraId="5E4D01D7">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限制开发建设活动的要求</w:t>
            </w:r>
          </w:p>
          <w:p w14:paraId="3A6FF39C">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1.严控新建、扩建“两高”项目，对现存企业执行最严格排放标准和总量控制要求。</w:t>
            </w:r>
          </w:p>
          <w:p w14:paraId="0708E925">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2.长江干流及主要支流1公里范围内，严控新建石油化工、煤化工、涉磷、造纸、印染、制革等项目。</w:t>
            </w:r>
          </w:p>
          <w:p w14:paraId="2790F869">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26B50FFC">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现有属于禁止引入产业门类的企业，应按相关规定限期整治或退出。</w:t>
            </w:r>
          </w:p>
          <w:p w14:paraId="0792B271">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其他空间布局约束要求</w:t>
            </w:r>
            <w:r>
              <w:rPr>
                <w:rStyle w:val="29"/>
                <w:rFonts w:hint="eastAsia" w:ascii="Times New Roman" w:hAnsi="Times New Roman" w:eastAsia="宋体"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w:t>
            </w:r>
          </w:p>
        </w:tc>
        <w:tc>
          <w:tcPr>
            <w:tcW w:w="1041" w:type="pct"/>
            <w:tcBorders>
              <w:tl2br w:val="nil"/>
              <w:tr2bl w:val="nil"/>
            </w:tcBorders>
            <w:noWrap w:val="0"/>
            <w:vAlign w:val="center"/>
          </w:tcPr>
          <w:p w14:paraId="07457E22">
            <w:pPr>
              <w:pStyle w:val="112"/>
              <w:widowControl/>
              <w:numPr>
                <w:ilvl w:val="0"/>
                <w:numId w:val="15"/>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本项目为技改项目，且不属于新建、扩建“两高”项目。</w:t>
            </w:r>
          </w:p>
          <w:p w14:paraId="4F66FBD1">
            <w:pPr>
              <w:pStyle w:val="112"/>
              <w:widowControl/>
              <w:numPr>
                <w:ilvl w:val="0"/>
                <w:numId w:val="15"/>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本项目不属于新建左列行业项目；</w:t>
            </w:r>
          </w:p>
          <w:p w14:paraId="34D1B1E1">
            <w:pPr>
              <w:pStyle w:val="112"/>
              <w:widowControl/>
              <w:numPr>
                <w:ilvl w:val="0"/>
                <w:numId w:val="15"/>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厂区现有不属于禁止引入产业，符合园区规划。</w:t>
            </w:r>
          </w:p>
        </w:tc>
        <w:tc>
          <w:tcPr>
            <w:tcW w:w="255" w:type="pct"/>
            <w:tcBorders>
              <w:tl2br w:val="nil"/>
              <w:tr2bl w:val="nil"/>
            </w:tcBorders>
            <w:noWrap w:val="0"/>
            <w:vAlign w:val="center"/>
          </w:tcPr>
          <w:p w14:paraId="3C8E965B">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Style w:val="29"/>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符合</w:t>
            </w:r>
          </w:p>
        </w:tc>
      </w:tr>
      <w:tr w14:paraId="26C7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0ABCBDFC">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4537FDC9">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vMerge w:val="restart"/>
            <w:tcBorders>
              <w:tl2br w:val="nil"/>
              <w:tr2bl w:val="nil"/>
            </w:tcBorders>
            <w:noWrap w:val="0"/>
            <w:vAlign w:val="center"/>
          </w:tcPr>
          <w:p w14:paraId="589A9D1D">
            <w:pPr>
              <w:pStyle w:val="112"/>
              <w:widowControl/>
              <w:spacing w:line="240" w:lineRule="auto"/>
              <w:ind w:firstLine="0" w:firstLineChars="0"/>
              <w:jc w:val="center"/>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污染物排放管控</w:t>
            </w:r>
          </w:p>
        </w:tc>
        <w:tc>
          <w:tcPr>
            <w:tcW w:w="2644" w:type="pct"/>
            <w:tcBorders>
              <w:tl2br w:val="nil"/>
              <w:tr2bl w:val="nil"/>
            </w:tcBorders>
            <w:noWrap w:val="0"/>
            <w:vAlign w:val="center"/>
          </w:tcPr>
          <w:p w14:paraId="479DCECC">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允许排放量要求：/</w:t>
            </w:r>
          </w:p>
          <w:p w14:paraId="76E60337">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现有源提标升级改造</w:t>
            </w:r>
          </w:p>
          <w:p w14:paraId="79065EAF">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1.污水收集处理率达100%。</w:t>
            </w:r>
          </w:p>
          <w:p w14:paraId="42382FC9">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2.园区污水处理厂达《城镇污水处理厂污染物排放标准》一级A标或更高标准。</w:t>
            </w:r>
          </w:p>
          <w:p w14:paraId="3E5DC2CF">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3.加快推进危险化学品生产企业搬迁改造工程。</w:t>
            </w:r>
          </w:p>
          <w:p w14:paraId="5B89049D">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4.完善园区及企业雨污分流系统，全面推进医药、化工等行业初期雨水</w:t>
            </w:r>
            <w:r>
              <w:rPr>
                <w:rStyle w:val="29"/>
                <w:rFonts w:hint="eastAsia" w:ascii="宋体" w:hAnsi="宋体" w:eastAsia="宋体" w:cs="宋体"/>
                <w:color w:val="auto"/>
                <w:kern w:val="2"/>
                <w:sz w:val="21"/>
                <w:szCs w:val="21"/>
                <w:highlight w:val="none"/>
                <w:lang w:val="en-US" w:eastAsia="zh-CN" w:bidi="ar-SA"/>
              </w:rPr>
              <w:t>收集处理，推动有条件的园区实施入园企业“一企一管、明管输送、实时监测”</w:t>
            </w:r>
            <w:r>
              <w:rPr>
                <w:rStyle w:val="29"/>
                <w:rFonts w:hint="default" w:ascii="Times New Roman" w:hAnsi="Times New Roman" w:eastAsia="宋体" w:cs="Times New Roman"/>
                <w:color w:val="auto"/>
                <w:kern w:val="2"/>
                <w:sz w:val="21"/>
                <w:szCs w:val="21"/>
                <w:highlight w:val="none"/>
                <w:lang w:val="en-US" w:eastAsia="zh-CN" w:bidi="ar-SA"/>
              </w:rPr>
              <w:t>。加强企业废水预处理和排水管理，鼓励纳管企业与园区污水处理厂运营单位通过签订委托处理合同等方式协同处理废水。</w:t>
            </w:r>
          </w:p>
        </w:tc>
        <w:tc>
          <w:tcPr>
            <w:tcW w:w="1041" w:type="pct"/>
            <w:tcBorders>
              <w:tl2br w:val="nil"/>
              <w:tr2bl w:val="nil"/>
            </w:tcBorders>
            <w:noWrap w:val="0"/>
            <w:vAlign w:val="center"/>
          </w:tcPr>
          <w:p w14:paraId="638EE9C1">
            <w:pPr>
              <w:pStyle w:val="112"/>
              <w:widowControl/>
              <w:numPr>
                <w:ilvl w:val="0"/>
                <w:numId w:val="0"/>
              </w:numPr>
              <w:shd w:val="clear" w:color="auto" w:fill="FFFFFF"/>
              <w:spacing w:line="240" w:lineRule="auto"/>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1、2本项目废水经厂区污水处理站处理后排入园区管网，排入大英经济开发区污水处理厂处理达到《地表水环境质量标准》（GB3838-2002）中Ⅲ类水体标准后排入郪江；</w:t>
            </w:r>
            <w:r>
              <w:rPr>
                <w:rStyle w:val="29"/>
                <w:rFonts w:hint="default" w:ascii="Times New Roman" w:hAnsi="Times New Roman" w:eastAsia="宋体" w:cs="Times New Roman"/>
                <w:color w:val="auto"/>
                <w:kern w:val="2"/>
                <w:sz w:val="21"/>
                <w:szCs w:val="21"/>
                <w:highlight w:val="none"/>
                <w:lang w:val="en-US" w:eastAsia="zh-CN" w:bidi="ar-SA"/>
              </w:rPr>
              <w:t>污水收集处理率达100%</w:t>
            </w:r>
            <w:r>
              <w:rPr>
                <w:rStyle w:val="29"/>
                <w:rFonts w:hint="eastAsia" w:ascii="Times New Roman" w:hAnsi="Times New Roman" w:eastAsia="宋体" w:cs="Times New Roman"/>
                <w:color w:val="auto"/>
                <w:kern w:val="2"/>
                <w:sz w:val="21"/>
                <w:szCs w:val="21"/>
                <w:highlight w:val="none"/>
                <w:lang w:val="en-US" w:eastAsia="zh-CN" w:bidi="ar-SA"/>
              </w:rPr>
              <w:t>。</w:t>
            </w:r>
          </w:p>
          <w:p w14:paraId="1563D06C">
            <w:pPr>
              <w:pStyle w:val="112"/>
              <w:widowControl/>
              <w:numPr>
                <w:ilvl w:val="0"/>
                <w:numId w:val="0"/>
              </w:numPr>
              <w:shd w:val="clear" w:color="auto" w:fill="FFFFFF"/>
              <w:spacing w:line="240" w:lineRule="auto"/>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3、本项目符合园区产业规划。</w:t>
            </w:r>
          </w:p>
          <w:p w14:paraId="7E302E20">
            <w:pPr>
              <w:pStyle w:val="112"/>
              <w:widowControl/>
              <w:numPr>
                <w:ilvl w:val="0"/>
                <w:numId w:val="0"/>
              </w:numPr>
              <w:shd w:val="clear" w:color="auto" w:fill="FFFFFF"/>
              <w:spacing w:line="240" w:lineRule="auto"/>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4、本项目现有厂区已实行企业雨污分流，建有初期雨水收集池；废水经厂区污水处理站预处理后排入园区污水处理厂处理。</w:t>
            </w:r>
          </w:p>
        </w:tc>
        <w:tc>
          <w:tcPr>
            <w:tcW w:w="255" w:type="pct"/>
            <w:tcBorders>
              <w:tl2br w:val="nil"/>
              <w:tr2bl w:val="nil"/>
            </w:tcBorders>
            <w:noWrap w:val="0"/>
            <w:vAlign w:val="center"/>
          </w:tcPr>
          <w:p w14:paraId="18085A26">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Style w:val="29"/>
                <w:rFonts w:hint="eastAsia" w:ascii="Times New Roman" w:hAnsi="Times New Roman" w:cs="Times New Roman"/>
                <w:color w:val="auto"/>
                <w:kern w:val="2"/>
                <w:sz w:val="21"/>
                <w:szCs w:val="21"/>
                <w:highlight w:val="none"/>
                <w:lang w:val="en-US" w:eastAsia="zh-CN" w:bidi="ar-SA"/>
              </w:rPr>
              <w:t>符合</w:t>
            </w:r>
          </w:p>
        </w:tc>
      </w:tr>
      <w:tr w14:paraId="665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31B8CE90">
            <w:pPr>
              <w:pStyle w:val="112"/>
              <w:widowControl/>
              <w:spacing w:line="240" w:lineRule="auto"/>
              <w:ind w:firstLine="0" w:firstLineChars="0"/>
              <w:jc w:val="left"/>
              <w:rPr>
                <w:color w:val="auto"/>
                <w:highlight w:val="none"/>
              </w:rPr>
            </w:pPr>
          </w:p>
        </w:tc>
        <w:tc>
          <w:tcPr>
            <w:tcW w:w="247" w:type="pct"/>
            <w:vMerge w:val="continue"/>
            <w:tcBorders>
              <w:tl2br w:val="nil"/>
              <w:tr2bl w:val="nil"/>
            </w:tcBorders>
            <w:noWrap w:val="0"/>
            <w:vAlign w:val="center"/>
          </w:tcPr>
          <w:p w14:paraId="014F0BB9">
            <w:pPr>
              <w:pStyle w:val="112"/>
              <w:widowControl/>
              <w:spacing w:line="240" w:lineRule="auto"/>
              <w:ind w:firstLine="0" w:firstLineChars="0"/>
              <w:jc w:val="left"/>
              <w:rPr>
                <w:color w:val="auto"/>
                <w:highlight w:val="none"/>
              </w:rPr>
            </w:pPr>
          </w:p>
        </w:tc>
        <w:tc>
          <w:tcPr>
            <w:tcW w:w="238" w:type="pct"/>
            <w:vMerge w:val="continue"/>
            <w:tcBorders>
              <w:tl2br w:val="nil"/>
              <w:tr2bl w:val="nil"/>
            </w:tcBorders>
            <w:noWrap w:val="0"/>
            <w:vAlign w:val="center"/>
          </w:tcPr>
          <w:p w14:paraId="094DA9E7">
            <w:pPr>
              <w:pStyle w:val="112"/>
              <w:widowControl/>
              <w:spacing w:line="240" w:lineRule="auto"/>
              <w:ind w:firstLine="0" w:firstLineChars="0"/>
              <w:jc w:val="left"/>
              <w:rPr>
                <w:color w:val="auto"/>
                <w:highlight w:val="none"/>
              </w:rPr>
            </w:pPr>
          </w:p>
        </w:tc>
        <w:tc>
          <w:tcPr>
            <w:tcW w:w="2644" w:type="pct"/>
            <w:tcBorders>
              <w:tl2br w:val="nil"/>
              <w:tr2bl w:val="nil"/>
            </w:tcBorders>
            <w:noWrap w:val="0"/>
            <w:vAlign w:val="center"/>
          </w:tcPr>
          <w:p w14:paraId="047319D4">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其他污染物排放管控要求</w:t>
            </w:r>
          </w:p>
          <w:p w14:paraId="395715C6">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w:t>
            </w:r>
            <w:r>
              <w:rPr>
                <w:rStyle w:val="29"/>
                <w:rFonts w:hint="default" w:ascii="Times New Roman" w:hAnsi="Times New Roman" w:eastAsia="宋体" w:cs="Times New Roman"/>
                <w:color w:val="auto"/>
                <w:kern w:val="2"/>
                <w:sz w:val="21"/>
                <w:szCs w:val="21"/>
                <w:highlight w:val="none"/>
                <w:vertAlign w:val="subscript"/>
                <w:lang w:val="en-US" w:eastAsia="zh-CN" w:bidi="ar-SA"/>
              </w:rPr>
              <w:t>2</w:t>
            </w:r>
            <w:r>
              <w:rPr>
                <w:rStyle w:val="29"/>
                <w:rFonts w:hint="default" w:ascii="Times New Roman" w:hAnsi="Times New Roman" w:eastAsia="宋体" w:cs="Times New Roman"/>
                <w:color w:val="auto"/>
                <w:kern w:val="2"/>
                <w:sz w:val="21"/>
                <w:szCs w:val="21"/>
                <w:highlight w:val="none"/>
                <w:lang w:val="en-US" w:eastAsia="zh-CN" w:bidi="ar-SA"/>
              </w:rPr>
              <w:t>、NOx、VOCs和工业烟粉尘的项目实施现役源2倍削减量替代，其中射洪市执行1.5倍削减量替代。</w:t>
            </w:r>
          </w:p>
          <w:p w14:paraId="2FCC0AB3">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w:t>
            </w:r>
            <w:r>
              <w:rPr>
                <w:rStyle w:val="29"/>
                <w:rFonts w:hint="eastAsia" w:eastAsia="宋体"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2020年第2号</w:t>
            </w:r>
            <w:r>
              <w:rPr>
                <w:rStyle w:val="29"/>
                <w:rFonts w:hint="eastAsia" w:eastAsia="宋体"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中相应标准颗粒物、二氧化硫、氮氧化物和挥发性有机物特别排放限值和特别控制要求。</w:t>
            </w:r>
          </w:p>
          <w:p w14:paraId="0D64B5A4">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1BA454BC">
            <w:pPr>
              <w:pStyle w:val="112"/>
              <w:widowControl/>
              <w:spacing w:line="240" w:lineRule="auto"/>
              <w:ind w:firstLine="0" w:firstLineChars="0"/>
              <w:jc w:val="left"/>
              <w:rPr>
                <w:rStyle w:val="29"/>
                <w:rFonts w:hint="eastAsia" w:ascii="宋体" w:hAnsi="宋体" w:eastAsia="宋体" w:cs="宋体"/>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w:t>
            </w:r>
            <w:r>
              <w:rPr>
                <w:rStyle w:val="29"/>
                <w:rFonts w:hint="eastAsia" w:ascii="宋体" w:hAnsi="宋体" w:eastAsia="宋体" w:cs="宋体"/>
                <w:color w:val="auto"/>
                <w:kern w:val="2"/>
                <w:sz w:val="21"/>
                <w:szCs w:val="21"/>
                <w:highlight w:val="none"/>
                <w:lang w:val="en-US" w:eastAsia="zh-CN" w:bidi="ar-SA"/>
              </w:rPr>
              <w:t>合相关规定。</w:t>
            </w:r>
          </w:p>
          <w:p w14:paraId="5A0B7B84">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宋体" w:hAnsi="宋体" w:eastAsia="宋体" w:cs="宋体"/>
                <w:color w:val="auto"/>
                <w:kern w:val="2"/>
                <w:sz w:val="21"/>
                <w:szCs w:val="21"/>
                <w:highlight w:val="none"/>
                <w:lang w:val="en-US" w:eastAsia="zh-CN" w:bidi="ar-SA"/>
              </w:rPr>
              <w:t>5.重点行业建设项目应遵循重点重金属污染物排放“等量替代”原则。按国家规定，建设单位在提交环境影响评价文件时应明确重点重金属污</w:t>
            </w:r>
            <w:r>
              <w:rPr>
                <w:rStyle w:val="29"/>
                <w:rFonts w:hint="default" w:ascii="Times New Roman" w:hAnsi="Times New Roman" w:eastAsia="宋体" w:cs="Times New Roman"/>
                <w:color w:val="auto"/>
                <w:kern w:val="2"/>
                <w:sz w:val="21"/>
                <w:szCs w:val="21"/>
                <w:highlight w:val="none"/>
                <w:lang w:val="en-US" w:eastAsia="zh-CN" w:bidi="ar-SA"/>
              </w:rPr>
              <w:t>染物排放总量及来源，无明确具体总量来源的，各级生态环境部门不得批准相关环境影响评价文件。重金属污染物排放总量替代管理豁免的情形参见《</w:t>
            </w:r>
            <w:r>
              <w:rPr>
                <w:rStyle w:val="29"/>
                <w:rFonts w:hint="eastAsia" w:ascii="宋体" w:hAnsi="宋体" w:eastAsia="宋体" w:cs="宋体"/>
                <w:color w:val="auto"/>
                <w:kern w:val="2"/>
                <w:sz w:val="21"/>
                <w:szCs w:val="21"/>
                <w:highlight w:val="none"/>
                <w:lang w:val="en-US" w:eastAsia="zh-CN" w:bidi="ar-SA"/>
              </w:rPr>
              <w:t>四川省“十四五”重金属污染防控工作方案》；重点行业、重点重金属的界定参</w:t>
            </w:r>
            <w:r>
              <w:rPr>
                <w:rStyle w:val="29"/>
                <w:rFonts w:hint="default" w:ascii="Times New Roman" w:hAnsi="Times New Roman" w:eastAsia="宋体" w:cs="Times New Roman"/>
                <w:color w:val="auto"/>
                <w:kern w:val="2"/>
                <w:sz w:val="21"/>
                <w:szCs w:val="21"/>
                <w:highlight w:val="none"/>
                <w:lang w:val="en-US" w:eastAsia="zh-CN" w:bidi="ar-SA"/>
              </w:rPr>
              <w:t>见《四川省“十四五”重金属污染防控工作方案》。</w:t>
            </w:r>
          </w:p>
          <w:p w14:paraId="0D719465">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6.白酒行业参考执行更新后的四川省白酒行业资源环境绩效指标要求。</w:t>
            </w:r>
          </w:p>
          <w:p w14:paraId="73758D3C">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041" w:type="pct"/>
            <w:tcBorders>
              <w:tl2br w:val="nil"/>
              <w:tr2bl w:val="nil"/>
            </w:tcBorders>
            <w:noWrap w:val="0"/>
            <w:vAlign w:val="center"/>
          </w:tcPr>
          <w:p w14:paraId="4B5AB795">
            <w:pPr>
              <w:pStyle w:val="112"/>
              <w:widowControl/>
              <w:numPr>
                <w:ilvl w:val="0"/>
                <w:numId w:val="16"/>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1）本项目所在地水环境-郪江口断面上一年度水质达标，且项目不属于新建排放水污染建设项目，无需倍量削减替代；遂宁市上一年度空气质量年平均浓度达标，无需倍量削减替代；（2）本项目为技改项目，不属于新建排放</w:t>
            </w:r>
            <w:r>
              <w:rPr>
                <w:rStyle w:val="29"/>
                <w:rFonts w:hint="default" w:ascii="Times New Roman" w:hAnsi="Times New Roman" w:eastAsia="宋体" w:cs="Times New Roman"/>
                <w:color w:val="auto"/>
                <w:kern w:val="2"/>
                <w:sz w:val="21"/>
                <w:szCs w:val="21"/>
                <w:highlight w:val="none"/>
                <w:lang w:val="en-US" w:eastAsia="zh-CN" w:bidi="ar-SA"/>
              </w:rPr>
              <w:t>SO</w:t>
            </w:r>
            <w:r>
              <w:rPr>
                <w:rStyle w:val="29"/>
                <w:rFonts w:hint="default" w:ascii="Times New Roman" w:hAnsi="Times New Roman" w:eastAsia="宋体" w:cs="Times New Roman"/>
                <w:color w:val="auto"/>
                <w:kern w:val="2"/>
                <w:sz w:val="21"/>
                <w:szCs w:val="21"/>
                <w:highlight w:val="none"/>
                <w:vertAlign w:val="subscript"/>
                <w:lang w:val="en-US" w:eastAsia="zh-CN" w:bidi="ar-SA"/>
              </w:rPr>
              <w:t>2</w:t>
            </w:r>
            <w:r>
              <w:rPr>
                <w:rStyle w:val="29"/>
                <w:rFonts w:hint="default" w:ascii="Times New Roman" w:hAnsi="Times New Roman" w:eastAsia="宋体" w:cs="Times New Roman"/>
                <w:color w:val="auto"/>
                <w:kern w:val="2"/>
                <w:sz w:val="21"/>
                <w:szCs w:val="21"/>
                <w:highlight w:val="none"/>
                <w:lang w:val="en-US" w:eastAsia="zh-CN" w:bidi="ar-SA"/>
              </w:rPr>
              <w:t>、NOx、VOCs和工业烟粉尘的项目</w:t>
            </w:r>
            <w:r>
              <w:rPr>
                <w:rStyle w:val="29"/>
                <w:rFonts w:hint="eastAsia" w:ascii="Times New Roman" w:hAnsi="Times New Roman" w:eastAsia="宋体" w:cs="Times New Roman"/>
                <w:color w:val="auto"/>
                <w:kern w:val="2"/>
                <w:sz w:val="21"/>
                <w:szCs w:val="21"/>
                <w:highlight w:val="none"/>
                <w:lang w:val="en-US" w:eastAsia="zh-CN" w:bidi="ar-SA"/>
              </w:rPr>
              <w:t>；</w:t>
            </w:r>
          </w:p>
          <w:p w14:paraId="1F13101F">
            <w:pPr>
              <w:pStyle w:val="112"/>
              <w:widowControl/>
              <w:numPr>
                <w:ilvl w:val="0"/>
                <w:numId w:val="16"/>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本项目排放废气</w:t>
            </w:r>
            <w:r>
              <w:rPr>
                <w:rStyle w:val="29"/>
                <w:rFonts w:hint="eastAsia" w:eastAsia="宋体" w:cs="Times New Roman"/>
                <w:color w:val="auto"/>
                <w:kern w:val="2"/>
                <w:sz w:val="21"/>
                <w:szCs w:val="21"/>
                <w:highlight w:val="none"/>
                <w:lang w:val="en-US" w:eastAsia="zh-CN" w:bidi="ar-SA"/>
              </w:rPr>
              <w:t>执行</w:t>
            </w:r>
            <w:r>
              <w:rPr>
                <w:rStyle w:val="29"/>
                <w:rFonts w:hint="default" w:ascii="Times New Roman" w:hAnsi="Times New Roman" w:eastAsia="宋体" w:cs="Times New Roman"/>
                <w:color w:val="auto"/>
                <w:kern w:val="2"/>
                <w:sz w:val="21"/>
                <w:szCs w:val="21"/>
                <w:highlight w:val="none"/>
                <w:lang w:val="en-US" w:eastAsia="zh-CN" w:bidi="ar-SA"/>
              </w:rPr>
              <w:t>《四川省生态环境厅关于执行大气污染物特别排放限值的公告》</w:t>
            </w:r>
            <w:r>
              <w:rPr>
                <w:rStyle w:val="29"/>
                <w:rFonts w:hint="eastAsia" w:eastAsia="宋体"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2020年第2号</w:t>
            </w:r>
            <w:r>
              <w:rPr>
                <w:rStyle w:val="29"/>
                <w:rFonts w:hint="eastAsia" w:eastAsia="宋体"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中相应标准颗粒物、二氧化硫、氮氧化物和挥发性有机物特别排放限值和特别控制要求。</w:t>
            </w:r>
          </w:p>
          <w:p w14:paraId="1C71859A">
            <w:pPr>
              <w:pStyle w:val="112"/>
              <w:widowControl/>
              <w:numPr>
                <w:ilvl w:val="0"/>
                <w:numId w:val="16"/>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（1）本项目产生的固体废物均妥善处置，不外排；（2）本项目不属于左列行业；（3）本项目不属于新、改扩建项目。</w:t>
            </w:r>
          </w:p>
          <w:p w14:paraId="4EE2AFB3">
            <w:pPr>
              <w:pStyle w:val="112"/>
              <w:widowControl/>
              <w:numPr>
                <w:ilvl w:val="0"/>
                <w:numId w:val="16"/>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本项目废水经厂区预处理处理后经园区配套管网排入园区污水处理厂处理达标后排放，生产废水纳管率达到100%。</w:t>
            </w:r>
          </w:p>
          <w:p w14:paraId="3D1B0DC0">
            <w:pPr>
              <w:pStyle w:val="112"/>
              <w:widowControl/>
              <w:numPr>
                <w:ilvl w:val="0"/>
                <w:numId w:val="16"/>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本项目不属于</w:t>
            </w:r>
            <w:r>
              <w:rPr>
                <w:rStyle w:val="29"/>
                <w:rFonts w:hint="eastAsia" w:eastAsia="宋体" w:cs="Times New Roman"/>
                <w:color w:val="auto"/>
                <w:kern w:val="2"/>
                <w:sz w:val="21"/>
                <w:szCs w:val="21"/>
                <w:highlight w:val="none"/>
                <w:lang w:val="en-US" w:eastAsia="zh-CN" w:bidi="ar-SA"/>
              </w:rPr>
              <w:t>重点</w:t>
            </w:r>
            <w:r>
              <w:rPr>
                <w:rStyle w:val="29"/>
                <w:rFonts w:hint="eastAsia" w:ascii="Times New Roman" w:hAnsi="Times New Roman" w:eastAsia="宋体" w:cs="Times New Roman"/>
                <w:color w:val="auto"/>
                <w:kern w:val="2"/>
                <w:sz w:val="21"/>
                <w:szCs w:val="21"/>
                <w:highlight w:val="none"/>
                <w:lang w:val="en-US" w:eastAsia="zh-CN" w:bidi="ar-SA"/>
              </w:rPr>
              <w:t>行业建设项目，不涉及重点重金属污染物排放总量；</w:t>
            </w:r>
          </w:p>
          <w:p w14:paraId="03A033E7">
            <w:pPr>
              <w:pStyle w:val="112"/>
              <w:widowControl/>
              <w:numPr>
                <w:ilvl w:val="0"/>
                <w:numId w:val="16"/>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本项目不属于白酒行业；</w:t>
            </w:r>
          </w:p>
          <w:p w14:paraId="3B819083">
            <w:pPr>
              <w:pStyle w:val="112"/>
              <w:widowControl/>
              <w:numPr>
                <w:ilvl w:val="0"/>
                <w:numId w:val="16"/>
              </w:numPr>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本项目产生的废气均经管道收集后经水洗塔处理后有组织排放。</w:t>
            </w:r>
          </w:p>
        </w:tc>
        <w:tc>
          <w:tcPr>
            <w:tcW w:w="255" w:type="pct"/>
            <w:tcBorders>
              <w:tl2br w:val="nil"/>
              <w:tr2bl w:val="nil"/>
            </w:tcBorders>
            <w:noWrap w:val="0"/>
            <w:vAlign w:val="center"/>
          </w:tcPr>
          <w:p w14:paraId="6E7617FE">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eastAsia" w:ascii="Times New Roman" w:hAnsi="Times New Roman" w:eastAsia="宋体" w:cs="Times New Roman"/>
                <w:color w:val="auto"/>
                <w:kern w:val="2"/>
                <w:sz w:val="21"/>
                <w:szCs w:val="21"/>
                <w:highlight w:val="none"/>
                <w:lang w:val="en-US" w:eastAsia="zh-CN" w:bidi="ar-SA"/>
              </w:rPr>
              <w:t>符合</w:t>
            </w:r>
          </w:p>
        </w:tc>
      </w:tr>
      <w:tr w14:paraId="6353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23490B62">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285E0F4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78998CA5">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环境风险防控</w:t>
            </w:r>
          </w:p>
        </w:tc>
        <w:tc>
          <w:tcPr>
            <w:tcW w:w="2644" w:type="pct"/>
            <w:tcBorders>
              <w:tl2br w:val="nil"/>
              <w:tr2bl w:val="nil"/>
            </w:tcBorders>
            <w:noWrap w:val="0"/>
            <w:vAlign w:val="center"/>
          </w:tcPr>
          <w:p w14:paraId="66269B56">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联防联控要求</w:t>
            </w:r>
          </w:p>
          <w:p w14:paraId="05553335">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加强成都平原经济区信息共享和联动合作，协力推进产业和能源结构优化调整，加强大气污染源头防控，加强潼遂合作。</w:t>
            </w:r>
          </w:p>
          <w:p w14:paraId="4AAF2B05">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其他环境风险防控要求</w:t>
            </w:r>
          </w:p>
          <w:p w14:paraId="717EE445">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1.企业环境风险防控要求：涉及有毒有害、易燃易爆物质的新建、改扩建项目，严控准入要求。</w:t>
            </w:r>
          </w:p>
          <w:p w14:paraId="26B0032A">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01D6F297">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tc>
        <w:tc>
          <w:tcPr>
            <w:tcW w:w="1041" w:type="pct"/>
            <w:tcBorders>
              <w:tl2br w:val="nil"/>
              <w:tr2bl w:val="nil"/>
            </w:tcBorders>
            <w:noWrap w:val="0"/>
            <w:vAlign w:val="center"/>
          </w:tcPr>
          <w:p w14:paraId="460A576B">
            <w:pPr>
              <w:pStyle w:val="112"/>
              <w:widowControl/>
              <w:numPr>
                <w:ilvl w:val="0"/>
                <w:numId w:val="17"/>
              </w:numPr>
              <w:shd w:val="clear" w:color="auto" w:fill="FFFFFF"/>
              <w:spacing w:line="240" w:lineRule="auto"/>
              <w:ind w:firstLine="0" w:firstLineChars="0"/>
              <w:jc w:val="left"/>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本次技改不涉及新增</w:t>
            </w:r>
            <w:r>
              <w:rPr>
                <w:rFonts w:hint="eastAsia" w:ascii="Times New Roman" w:hAnsi="Times New Roman" w:eastAsia="宋体" w:cs="Times New Roman"/>
                <w:color w:val="auto"/>
                <w:sz w:val="21"/>
                <w:szCs w:val="21"/>
                <w:highlight w:val="none"/>
                <w:lang w:val="en-US" w:eastAsia="zh-CN"/>
              </w:rPr>
              <w:t>有毒有害、易燃易爆</w:t>
            </w:r>
            <w:r>
              <w:rPr>
                <w:rFonts w:hint="eastAsia" w:eastAsia="宋体" w:cs="Times New Roman"/>
                <w:color w:val="auto"/>
                <w:sz w:val="21"/>
                <w:szCs w:val="21"/>
                <w:highlight w:val="none"/>
                <w:lang w:val="en-US" w:eastAsia="zh-CN"/>
              </w:rPr>
              <w:t>风险</w:t>
            </w:r>
            <w:r>
              <w:rPr>
                <w:rFonts w:hint="eastAsia" w:ascii="Times New Roman" w:hAnsi="Times New Roman" w:eastAsia="宋体" w:cs="Times New Roman"/>
                <w:color w:val="auto"/>
                <w:sz w:val="21"/>
                <w:szCs w:val="21"/>
                <w:highlight w:val="none"/>
                <w:lang w:val="en-US" w:eastAsia="zh-CN"/>
              </w:rPr>
              <w:t>物质，</w:t>
            </w:r>
            <w:r>
              <w:rPr>
                <w:rFonts w:hint="eastAsia" w:eastAsia="宋体" w:cs="Times New Roman"/>
                <w:color w:val="auto"/>
                <w:sz w:val="21"/>
                <w:szCs w:val="21"/>
                <w:highlight w:val="none"/>
                <w:lang w:val="en-US" w:eastAsia="zh-CN"/>
              </w:rPr>
              <w:t>且</w:t>
            </w:r>
            <w:r>
              <w:rPr>
                <w:rFonts w:hint="eastAsia" w:ascii="Times New Roman" w:hAnsi="Times New Roman" w:eastAsia="宋体" w:cs="Times New Roman"/>
                <w:color w:val="auto"/>
                <w:sz w:val="21"/>
                <w:szCs w:val="21"/>
                <w:highlight w:val="none"/>
                <w:lang w:val="en-US" w:eastAsia="zh-CN"/>
              </w:rPr>
              <w:t>不属于新建、改扩建项目</w:t>
            </w:r>
            <w:r>
              <w:rPr>
                <w:rFonts w:hint="eastAsia" w:eastAsia="宋体" w:cs="Times New Roman"/>
                <w:color w:val="auto"/>
                <w:sz w:val="21"/>
                <w:szCs w:val="21"/>
                <w:highlight w:val="none"/>
                <w:lang w:val="en-US" w:eastAsia="zh-CN"/>
              </w:rPr>
              <w:t>。</w:t>
            </w:r>
          </w:p>
          <w:p w14:paraId="6FCA6576">
            <w:pPr>
              <w:pStyle w:val="112"/>
              <w:widowControl/>
              <w:numPr>
                <w:ilvl w:val="0"/>
                <w:numId w:val="17"/>
              </w:numPr>
              <w:shd w:val="clear" w:color="auto" w:fill="FFFFFF"/>
              <w:spacing w:line="240" w:lineRule="auto"/>
              <w:ind w:firstLine="0" w:firstLineChars="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本项目厂区已构建三级环境风险防控体系，危化品罐区外围建有围堰，设置初期雨水池，消防事故池等设施，制定有突然环境应急预案。</w:t>
            </w:r>
          </w:p>
          <w:p w14:paraId="4D6EF212">
            <w:pPr>
              <w:pStyle w:val="112"/>
              <w:widowControl/>
              <w:numPr>
                <w:ilvl w:val="0"/>
                <w:numId w:val="17"/>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企业制定有突</w:t>
            </w:r>
            <w:r>
              <w:rPr>
                <w:rFonts w:hint="eastAsia" w:eastAsia="宋体" w:cs="Times New Roman"/>
                <w:color w:val="auto"/>
                <w:sz w:val="21"/>
                <w:szCs w:val="21"/>
                <w:highlight w:val="none"/>
                <w:lang w:val="en-US" w:eastAsia="zh-CN"/>
              </w:rPr>
              <w:t>发</w:t>
            </w:r>
            <w:r>
              <w:rPr>
                <w:rFonts w:hint="eastAsia" w:ascii="Times New Roman" w:hAnsi="Times New Roman" w:eastAsia="宋体" w:cs="Times New Roman"/>
                <w:color w:val="auto"/>
                <w:sz w:val="21"/>
                <w:szCs w:val="21"/>
                <w:highlight w:val="none"/>
                <w:lang w:val="en-US" w:eastAsia="zh-CN"/>
              </w:rPr>
              <w:t>环境事件应急预案。</w:t>
            </w:r>
          </w:p>
        </w:tc>
        <w:tc>
          <w:tcPr>
            <w:tcW w:w="255" w:type="pct"/>
            <w:tcBorders>
              <w:tl2br w:val="nil"/>
              <w:tr2bl w:val="nil"/>
            </w:tcBorders>
            <w:noWrap w:val="0"/>
            <w:vAlign w:val="center"/>
          </w:tcPr>
          <w:p w14:paraId="1C1D068A">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w:t>
            </w:r>
          </w:p>
        </w:tc>
      </w:tr>
      <w:tr w14:paraId="4A47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23F2BA50">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0D8E7AEC">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5D21A0F4">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资源开发效率要求</w:t>
            </w:r>
          </w:p>
        </w:tc>
        <w:tc>
          <w:tcPr>
            <w:tcW w:w="2644" w:type="pct"/>
            <w:tcBorders>
              <w:tl2br w:val="nil"/>
              <w:tr2bl w:val="nil"/>
            </w:tcBorders>
            <w:noWrap w:val="0"/>
            <w:vAlign w:val="center"/>
          </w:tcPr>
          <w:p w14:paraId="0AF8B80A">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水资源利用总量要求</w:t>
            </w:r>
          </w:p>
          <w:p w14:paraId="3FFFA893">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1.到2025年，万元工业增加值用水量下降到32.0m</w:t>
            </w:r>
            <w:r>
              <w:rPr>
                <w:rStyle w:val="29"/>
                <w:rFonts w:hint="default" w:ascii="Times New Roman" w:hAnsi="Times New Roman" w:eastAsia="宋体" w:cs="Times New Roman"/>
                <w:color w:val="auto"/>
                <w:kern w:val="2"/>
                <w:sz w:val="21"/>
                <w:szCs w:val="21"/>
                <w:highlight w:val="none"/>
                <w:vertAlign w:val="superscript"/>
                <w:lang w:val="en-US" w:eastAsia="zh-CN" w:bidi="ar-SA"/>
              </w:rPr>
              <w:t>3</w:t>
            </w:r>
            <w:r>
              <w:rPr>
                <w:rStyle w:val="29"/>
                <w:rFonts w:hint="default" w:ascii="Times New Roman" w:hAnsi="Times New Roman" w:eastAsia="宋体" w:cs="Times New Roman"/>
                <w:color w:val="auto"/>
                <w:kern w:val="2"/>
                <w:sz w:val="21"/>
                <w:szCs w:val="21"/>
                <w:highlight w:val="none"/>
                <w:lang w:val="en-US" w:eastAsia="zh-CN" w:bidi="ar-SA"/>
              </w:rPr>
              <w:t>/万元，重复利用率提高到84%；</w:t>
            </w:r>
          </w:p>
          <w:p w14:paraId="0AB254A6">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2.至2030年，万元工业增加值用水量进一步减少为28.0m</w:t>
            </w:r>
            <w:r>
              <w:rPr>
                <w:rStyle w:val="29"/>
                <w:rFonts w:hint="default" w:ascii="Times New Roman" w:hAnsi="Times New Roman" w:eastAsia="宋体" w:cs="Times New Roman"/>
                <w:color w:val="auto"/>
                <w:kern w:val="2"/>
                <w:sz w:val="21"/>
                <w:szCs w:val="21"/>
                <w:highlight w:val="none"/>
                <w:vertAlign w:val="superscript"/>
                <w:lang w:val="en-US" w:eastAsia="zh-CN" w:bidi="ar-SA"/>
              </w:rPr>
              <w:t>3</w:t>
            </w:r>
            <w:r>
              <w:rPr>
                <w:rStyle w:val="29"/>
                <w:rFonts w:hint="default" w:ascii="Times New Roman" w:hAnsi="Times New Roman" w:eastAsia="宋体" w:cs="Times New Roman"/>
                <w:color w:val="auto"/>
                <w:kern w:val="2"/>
                <w:sz w:val="21"/>
                <w:szCs w:val="21"/>
                <w:highlight w:val="none"/>
                <w:lang w:val="en-US" w:eastAsia="zh-CN" w:bidi="ar-SA"/>
              </w:rPr>
              <w:t>/万元，重复利用率提高到85%；</w:t>
            </w:r>
          </w:p>
          <w:p w14:paraId="4F00D6FF">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3.新、改扩建项目水耗指标满足《四川省省级生态工业园区指标》综合类生态工业园区要求。</w:t>
            </w:r>
          </w:p>
          <w:p w14:paraId="74418A56">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地下水开采要求</w:t>
            </w:r>
          </w:p>
          <w:p w14:paraId="383C1776">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全面建设节水型社会，达到合理高效用水。</w:t>
            </w:r>
          </w:p>
          <w:p w14:paraId="42043495">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能源利用总量及效率要求</w:t>
            </w:r>
          </w:p>
          <w:p w14:paraId="4CE27BB3">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1.扩大高污染燃料禁燃区范</w:t>
            </w:r>
            <w:r>
              <w:rPr>
                <w:rStyle w:val="29"/>
                <w:rFonts w:hint="eastAsia" w:ascii="宋体" w:hAnsi="宋体" w:eastAsia="宋体" w:cs="宋体"/>
                <w:color w:val="auto"/>
                <w:kern w:val="2"/>
                <w:sz w:val="21"/>
                <w:szCs w:val="21"/>
                <w:highlight w:val="none"/>
                <w:lang w:val="en-US" w:eastAsia="zh-CN" w:bidi="ar-SA"/>
              </w:rPr>
              <w:t>围，在市、县（区）、镇（乡）建成区全面实施“煤改气”“煤改电”。</w:t>
            </w:r>
          </w:p>
          <w:p w14:paraId="7976AEE8">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2.新、改扩建项目能耗指标满足《四川省省级生态工业园区指标》综合类生态工业园区要求。</w:t>
            </w:r>
          </w:p>
          <w:p w14:paraId="4A0D87EB">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3.实施新建项目与煤炭消费总量控制挂钩机制，耗煤建设项目实行煤炭消耗等量减量替代。</w:t>
            </w:r>
          </w:p>
          <w:p w14:paraId="5E74B3A7">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4.提高煤炭利用效率和天然气利用占比，工业领域有序推进“煤改电”和“煤改气”。</w:t>
            </w:r>
          </w:p>
          <w:p w14:paraId="667D6B35">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5.到2030年，能源消费总量控制在1000万吨标准煤以内。</w:t>
            </w:r>
          </w:p>
          <w:p w14:paraId="52ECF933">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禁燃区要求</w:t>
            </w:r>
          </w:p>
          <w:p w14:paraId="27018FB4">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1.禁燃区内禁止燃烧以下高污染燃料：</w:t>
            </w:r>
          </w:p>
          <w:p w14:paraId="444A0FCB">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（1）煤炭及其制品（包括原煤、散煤、煤矸石、煤泥、煤粉、水浆煤、型煤、焦炭、兰炭、油类等常规燃料）。</w:t>
            </w:r>
          </w:p>
          <w:p w14:paraId="38C9FE51">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（2）石油焦、油页岩、原油、重油、渣油、煤焦油。</w:t>
            </w:r>
          </w:p>
          <w:p w14:paraId="77958B7E">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（3）非专用锅炉或未配置高效除尘设施的专用锅炉燃用的生物质成型燃料。</w:t>
            </w:r>
          </w:p>
          <w:p w14:paraId="6B23822B">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2.禁燃区内禁止新建、扩建燃用高污染燃料的锅炉、炉窑、炉灶等燃烧设施（集中供热、电厂锅炉除外）。</w:t>
            </w:r>
          </w:p>
          <w:p w14:paraId="0CCF5DC4">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3.自2020年1月1日起，禁燃区内禁止销售高污染燃料。</w:t>
            </w:r>
          </w:p>
          <w:p w14:paraId="7BAA9FE8">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4.加强对集中供热、电厂锅炉、10蒸吨/时以上的在用燃煤锅炉以及改用清洁能源前的在用锅炉等燃烧设施的监管，确保达标排放。</w:t>
            </w:r>
          </w:p>
          <w:p w14:paraId="36EC796C">
            <w:pPr>
              <w:pStyle w:val="112"/>
              <w:widowControl/>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其他资源利用效率要求</w:t>
            </w:r>
            <w:r>
              <w:rPr>
                <w:rStyle w:val="29"/>
                <w:rFonts w:hint="eastAsia" w:ascii="Times New Roman" w:hAnsi="Times New Roman" w:eastAsia="宋体" w:cs="Times New Roman"/>
                <w:color w:val="auto"/>
                <w:kern w:val="2"/>
                <w:sz w:val="21"/>
                <w:szCs w:val="21"/>
                <w:highlight w:val="none"/>
                <w:lang w:val="en-US" w:eastAsia="zh-CN" w:bidi="ar-SA"/>
              </w:rPr>
              <w:t>：</w:t>
            </w:r>
            <w:r>
              <w:rPr>
                <w:rStyle w:val="29"/>
                <w:rFonts w:hint="default" w:ascii="Times New Roman" w:hAnsi="Times New Roman" w:eastAsia="宋体" w:cs="Times New Roman"/>
                <w:color w:val="auto"/>
                <w:kern w:val="2"/>
                <w:sz w:val="21"/>
                <w:szCs w:val="21"/>
                <w:highlight w:val="none"/>
                <w:lang w:val="en-US" w:eastAsia="zh-CN" w:bidi="ar-SA"/>
              </w:rPr>
              <w:t>△</w:t>
            </w:r>
          </w:p>
        </w:tc>
        <w:tc>
          <w:tcPr>
            <w:tcW w:w="1041" w:type="pct"/>
            <w:tcBorders>
              <w:tl2br w:val="nil"/>
              <w:tr2bl w:val="nil"/>
            </w:tcBorders>
            <w:noWrap w:val="0"/>
            <w:vAlign w:val="center"/>
          </w:tcPr>
          <w:p w14:paraId="360BB116">
            <w:pPr>
              <w:keepNext w:val="0"/>
              <w:keepLines w:val="0"/>
              <w:widowControl/>
              <w:suppressLineNumbers w:val="0"/>
              <w:jc w:val="left"/>
              <w:rPr>
                <w:rStyle w:val="29"/>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本项目不涉及地下水开采，且属于技改项目，水耗指标满足</w:t>
            </w:r>
            <w:r>
              <w:rPr>
                <w:rStyle w:val="29"/>
                <w:rFonts w:hint="default" w:ascii="Times New Roman" w:hAnsi="Times New Roman" w:eastAsia="宋体" w:cs="Times New Roman"/>
                <w:color w:val="auto"/>
                <w:kern w:val="2"/>
                <w:sz w:val="21"/>
                <w:szCs w:val="21"/>
                <w:highlight w:val="none"/>
                <w:lang w:val="en-US" w:eastAsia="zh-CN" w:bidi="ar-SA"/>
              </w:rPr>
              <w:t>《四川省省级生态工业园区指标》综合类生态工业园区要求。</w:t>
            </w:r>
            <w:r>
              <w:rPr>
                <w:rStyle w:val="29"/>
                <w:rFonts w:hint="eastAsia" w:ascii="Times New Roman" w:hAnsi="Times New Roman" w:eastAsia="宋体" w:cs="Times New Roman"/>
                <w:color w:val="auto"/>
                <w:kern w:val="2"/>
                <w:sz w:val="21"/>
                <w:szCs w:val="21"/>
                <w:highlight w:val="none"/>
                <w:lang w:val="en-US" w:eastAsia="zh-CN" w:bidi="ar-SA"/>
              </w:rPr>
              <w:t>本项目不涉及燃煤，采用天然气清洁能源。</w:t>
            </w:r>
          </w:p>
          <w:p w14:paraId="3D52B4EA">
            <w:pPr>
              <w:keepNext w:val="0"/>
              <w:keepLines w:val="0"/>
              <w:widowControl/>
              <w:suppressLineNumbers w:val="0"/>
              <w:jc w:val="left"/>
              <w:rPr>
                <w:rStyle w:val="29"/>
                <w:rFonts w:hint="default" w:ascii="Times New Roman" w:hAnsi="Times New Roman" w:eastAsia="宋体" w:cs="Times New Roman"/>
                <w:color w:val="auto"/>
                <w:kern w:val="2"/>
                <w:sz w:val="21"/>
                <w:szCs w:val="21"/>
                <w:highlight w:val="none"/>
                <w:lang w:val="en-US" w:eastAsia="zh-CN" w:bidi="ar-SA"/>
              </w:rPr>
            </w:pPr>
          </w:p>
        </w:tc>
        <w:tc>
          <w:tcPr>
            <w:tcW w:w="255" w:type="pct"/>
            <w:tcBorders>
              <w:tl2br w:val="nil"/>
              <w:tr2bl w:val="nil"/>
            </w:tcBorders>
            <w:noWrap w:val="0"/>
            <w:vAlign w:val="center"/>
          </w:tcPr>
          <w:p w14:paraId="642AFC0E">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5A6C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41C3980D">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restart"/>
            <w:tcBorders>
              <w:tl2br w:val="nil"/>
              <w:tr2bl w:val="nil"/>
            </w:tcBorders>
            <w:noWrap w:val="0"/>
            <w:vAlign w:val="center"/>
          </w:tcPr>
          <w:p w14:paraId="2A7CC97E">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单元级清单管控要求</w:t>
            </w:r>
          </w:p>
        </w:tc>
        <w:tc>
          <w:tcPr>
            <w:tcW w:w="238" w:type="pct"/>
            <w:tcBorders>
              <w:tl2br w:val="nil"/>
              <w:tr2bl w:val="nil"/>
            </w:tcBorders>
            <w:noWrap w:val="0"/>
            <w:vAlign w:val="center"/>
          </w:tcPr>
          <w:p w14:paraId="1CF8C155">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空间布局约束</w:t>
            </w:r>
          </w:p>
        </w:tc>
        <w:tc>
          <w:tcPr>
            <w:tcW w:w="2644" w:type="pct"/>
            <w:tcBorders>
              <w:tl2br w:val="nil"/>
              <w:tr2bl w:val="nil"/>
            </w:tcBorders>
            <w:noWrap w:val="0"/>
            <w:vAlign w:val="center"/>
          </w:tcPr>
          <w:p w14:paraId="0EEF270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禁止开发建设活动的要求</w:t>
            </w:r>
          </w:p>
          <w:p w14:paraId="1DF83F2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1.禁止新建纯碱、PVC项目</w:t>
            </w:r>
          </w:p>
          <w:p w14:paraId="229CE45E">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2.禁止扩大合成氨或实施扩建氮肥项目</w:t>
            </w:r>
          </w:p>
          <w:p w14:paraId="1179B88C">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3.禁止新引入涉及印染、染整、脱胶工序或产生缫丝、精炼废水的项目</w:t>
            </w:r>
          </w:p>
          <w:p w14:paraId="04E83A47">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4.禁止引入印制电路板、集成电路制造、平板及柔性显示器件制造等耗、排水量大的项目</w:t>
            </w:r>
          </w:p>
          <w:p w14:paraId="6829CFE7">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5.禁止引进和新建涉及喷漆工艺家具制造（木制品加工）生产项目（使用粉末喷涂、水性涂料及UV涂料以及进入共享喷涂中心除外）</w:t>
            </w:r>
          </w:p>
          <w:p w14:paraId="1D9BDBD1">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6.禁止新建燃煤火电、金属冶炼、制浆（含废纸制浆）、屠宰、皮革鞣制、铅蓄电池制造、原油炼制、煤化工及发酵制药项目</w:t>
            </w:r>
          </w:p>
          <w:p w14:paraId="76CD349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7.梨子坝、马家坝片区禁止新引入化工项目片区铅蓄电池生产企业限制发展，待远期条件成熟时，实现铅、汞、镉、铬、砷重金属污染物“零排放”或搬迁出园区</w:t>
            </w:r>
          </w:p>
          <w:p w14:paraId="78D3D4E9">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8.规划区内郪江两侧自防洪堤</w:t>
            </w:r>
            <w:r>
              <w:rPr>
                <w:rStyle w:val="29"/>
                <w:rFonts w:hint="eastAsia" w:eastAsia="宋体" w:cs="Times New Roman"/>
                <w:color w:val="auto"/>
                <w:kern w:val="2"/>
                <w:sz w:val="21"/>
                <w:szCs w:val="21"/>
                <w:highlight w:val="none"/>
                <w:lang w:val="en-US" w:eastAsia="zh-CN" w:bidi="ar-SA"/>
              </w:rPr>
              <w:t>外缘</w:t>
            </w:r>
            <w:r>
              <w:rPr>
                <w:rStyle w:val="29"/>
                <w:rFonts w:hint="default" w:ascii="Times New Roman" w:hAnsi="Times New Roman" w:eastAsia="宋体" w:cs="Times New Roman"/>
                <w:color w:val="auto"/>
                <w:kern w:val="2"/>
                <w:sz w:val="21"/>
                <w:szCs w:val="21"/>
                <w:highlight w:val="none"/>
                <w:lang w:val="en-US" w:eastAsia="zh-CN" w:bidi="ar-SA"/>
              </w:rPr>
              <w:t>控制线起50m区域纳入生态保护范围，禁止开展采矿、挖沙取土或工业活动</w:t>
            </w:r>
          </w:p>
          <w:p w14:paraId="5C069D8B">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9.其他参照遂宁市总体准入要求-工业重点管控单元</w:t>
            </w:r>
          </w:p>
          <w:p w14:paraId="5C50AD97">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限制开发建设活动的要求</w:t>
            </w:r>
          </w:p>
          <w:p w14:paraId="5B79E221">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1.严格限制钢铁、水泥、平板玻璃、有色金属冶炼等高污染、高耗能项目</w:t>
            </w:r>
          </w:p>
          <w:p w14:paraId="2DEB55DB">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2.限制引进和新建涉及有机溶剂使用和挥发性有机物排放的低固份油性涂料生产、沥青类防水材料生产、人造板生产等项目；</w:t>
            </w:r>
          </w:p>
          <w:p w14:paraId="73256AA8">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3.限制高耗水、高污染企业入驻，严控入河污染物</w:t>
            </w:r>
          </w:p>
          <w:p w14:paraId="7B70081D">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4.其他参照遂宁市总体准入要求-工业重点管控单元</w:t>
            </w:r>
          </w:p>
          <w:p w14:paraId="16831DCC">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允许开发建设活动的要求：/</w:t>
            </w:r>
          </w:p>
          <w:p w14:paraId="3547C8D3">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4F162D8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岸线一公里范围内的化工企业：（1）根据《中华人民共和国长江保护法》，禁止在长江干支流岸线一公里范围内新建、扩建化工项目（2）现存化工企业，符合所在法定保护地管理规定、具有合法手续且污染物排放及环境风险满足管理要求，可继续保留</w:t>
            </w:r>
          </w:p>
          <w:p w14:paraId="7315E4C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2.其他参照遂宁市总体准入要求-工业重点管控单元</w:t>
            </w:r>
          </w:p>
          <w:p w14:paraId="656E319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其他空间布局约束要求：/</w:t>
            </w:r>
          </w:p>
        </w:tc>
        <w:tc>
          <w:tcPr>
            <w:tcW w:w="1041" w:type="pct"/>
            <w:tcBorders>
              <w:tl2br w:val="nil"/>
              <w:tr2bl w:val="nil"/>
            </w:tcBorders>
            <w:noWrap w:val="0"/>
            <w:vAlign w:val="center"/>
          </w:tcPr>
          <w:p w14:paraId="35DBDD53">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本项目不属于1、2、3、4、5、6中所列行业项目；本项目</w:t>
            </w:r>
            <w:r>
              <w:rPr>
                <w:rFonts w:hint="eastAsia" w:cs="Times New Roman"/>
                <w:color w:val="auto"/>
                <w:sz w:val="21"/>
                <w:szCs w:val="21"/>
                <w:highlight w:val="none"/>
                <w:lang w:val="en-US" w:eastAsia="zh-CN"/>
              </w:rPr>
              <w:t>不</w:t>
            </w:r>
            <w:r>
              <w:rPr>
                <w:rFonts w:hint="eastAsia" w:ascii="Times New Roman" w:hAnsi="Times New Roman" w:cs="Times New Roman"/>
                <w:color w:val="auto"/>
                <w:sz w:val="21"/>
                <w:szCs w:val="21"/>
                <w:highlight w:val="none"/>
                <w:lang w:val="en-US" w:eastAsia="zh-CN"/>
              </w:rPr>
              <w:t>属于</w:t>
            </w:r>
            <w:r>
              <w:rPr>
                <w:rStyle w:val="29"/>
                <w:rFonts w:hint="default" w:ascii="Times New Roman" w:hAnsi="Times New Roman" w:eastAsia="宋体" w:cs="Times New Roman"/>
                <w:color w:val="auto"/>
                <w:kern w:val="2"/>
                <w:sz w:val="21"/>
                <w:szCs w:val="21"/>
                <w:highlight w:val="none"/>
                <w:lang w:val="en-US" w:eastAsia="zh-CN" w:bidi="ar-SA"/>
              </w:rPr>
              <w:t>梨子坝、马家坝片区</w:t>
            </w:r>
            <w:r>
              <w:rPr>
                <w:rStyle w:val="29"/>
                <w:rFonts w:hint="eastAsia" w:ascii="Times New Roman" w:hAnsi="Times New Roman" w:eastAsia="宋体" w:cs="Times New Roman"/>
                <w:color w:val="auto"/>
                <w:kern w:val="2"/>
                <w:sz w:val="21"/>
                <w:szCs w:val="21"/>
                <w:highlight w:val="none"/>
                <w:lang w:val="en-US" w:eastAsia="zh-CN" w:bidi="ar-SA"/>
              </w:rPr>
              <w:t>项目；本项目不属于限制开发建设活动；本项目不属于新建、扩建化工项目。</w:t>
            </w:r>
          </w:p>
        </w:tc>
        <w:tc>
          <w:tcPr>
            <w:tcW w:w="255" w:type="pct"/>
            <w:tcBorders>
              <w:tl2br w:val="nil"/>
              <w:tr2bl w:val="nil"/>
            </w:tcBorders>
            <w:noWrap w:val="0"/>
            <w:vAlign w:val="center"/>
          </w:tcPr>
          <w:p w14:paraId="7ADF7EEF">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6984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06B58EF7">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2FA1781C">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4D0E1C1C">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污染物排放管控</w:t>
            </w:r>
          </w:p>
        </w:tc>
        <w:tc>
          <w:tcPr>
            <w:tcW w:w="2644" w:type="pct"/>
            <w:tcBorders>
              <w:tl2br w:val="nil"/>
              <w:tr2bl w:val="nil"/>
            </w:tcBorders>
            <w:noWrap w:val="0"/>
            <w:vAlign w:val="center"/>
          </w:tcPr>
          <w:p w14:paraId="1F4CA10F">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现有源提标升级改造</w:t>
            </w:r>
          </w:p>
          <w:p w14:paraId="2B182B2F">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1.燃煤热电锅炉完成超低排放改造，规模在20蒸吨/时及以上的现有大中型燃煤锅炉应全部实施脱硫，脱硫效率达到70%以上。</w:t>
            </w:r>
          </w:p>
          <w:p w14:paraId="0E5AA540">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2.新建化工项目必须配套建设高效脱硫、脱硝、除尘设施，脱硝效率不低于70%。</w:t>
            </w:r>
          </w:p>
          <w:p w14:paraId="7AA323C6">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3.加强中水回用，逐步将工业污水处理厂中水回用于工业企业的冷却用水等生产性用水，远期回用率达到30%；</w:t>
            </w:r>
          </w:p>
          <w:p w14:paraId="66E1E62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4.其他参照遂宁市总体准入要求-工业重点管控单元。</w:t>
            </w:r>
          </w:p>
          <w:p w14:paraId="0F1E5BBE">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新增源等量或倍量替代</w:t>
            </w:r>
          </w:p>
          <w:p w14:paraId="6BF4733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44808418">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新增源排放标准限值</w:t>
            </w:r>
          </w:p>
          <w:p w14:paraId="44B2766E">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1.项目产生的生产废水由企业自行处理达到《污水综合排放标准》三级或相应的行业排放标准后排入园区污水处理厂处理达《城镇污水处理厂污染物排放标准》一级A标或更严格标准后排放。</w:t>
            </w:r>
          </w:p>
          <w:p w14:paraId="1DADFBC7">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2.其他参照遂宁市总体准入要求-工业重点管控单元。</w:t>
            </w:r>
          </w:p>
          <w:p w14:paraId="5DE3153B">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污染物排放绩效水平准入要求</w:t>
            </w:r>
          </w:p>
          <w:p w14:paraId="784DC93E">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509B5FCD">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其他污染物排放管控要求：/</w:t>
            </w:r>
          </w:p>
        </w:tc>
        <w:tc>
          <w:tcPr>
            <w:tcW w:w="1041" w:type="pct"/>
            <w:tcBorders>
              <w:tl2br w:val="nil"/>
              <w:tr2bl w:val="nil"/>
            </w:tcBorders>
            <w:noWrap w:val="0"/>
            <w:vAlign w:val="center"/>
          </w:tcPr>
          <w:p w14:paraId="5D315619">
            <w:pPr>
              <w:pStyle w:val="112"/>
              <w:widowControl/>
              <w:numPr>
                <w:ilvl w:val="0"/>
                <w:numId w:val="18"/>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本项目现有厂区为燃气锅炉；</w:t>
            </w:r>
          </w:p>
          <w:p w14:paraId="22D6D7E6">
            <w:pPr>
              <w:pStyle w:val="112"/>
              <w:widowControl/>
              <w:numPr>
                <w:ilvl w:val="0"/>
                <w:numId w:val="18"/>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本次为技改项目，不属于新建化工项目；</w:t>
            </w:r>
          </w:p>
          <w:p w14:paraId="3389BAAA">
            <w:pPr>
              <w:pStyle w:val="112"/>
              <w:widowControl/>
              <w:numPr>
                <w:ilvl w:val="0"/>
                <w:numId w:val="18"/>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加强中水回用，目前企业冷却用水回用厂区。</w:t>
            </w:r>
          </w:p>
          <w:p w14:paraId="6F7DB207">
            <w:pPr>
              <w:pStyle w:val="112"/>
              <w:widowControl/>
              <w:numPr>
                <w:ilvl w:val="0"/>
                <w:numId w:val="18"/>
              </w:numPr>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本项目废水经企业自行处理达到</w:t>
            </w:r>
            <w:r>
              <w:rPr>
                <w:rStyle w:val="29"/>
                <w:rFonts w:hint="default" w:ascii="Times New Roman" w:hAnsi="Times New Roman" w:eastAsia="宋体" w:cs="Times New Roman"/>
                <w:color w:val="auto"/>
                <w:kern w:val="2"/>
                <w:sz w:val="21"/>
                <w:szCs w:val="21"/>
                <w:highlight w:val="none"/>
                <w:lang w:val="en-US" w:eastAsia="zh-CN" w:bidi="ar-SA"/>
              </w:rPr>
              <w:t>《污水综合排放标准》三级</w:t>
            </w:r>
            <w:r>
              <w:rPr>
                <w:rStyle w:val="29"/>
                <w:rFonts w:hint="eastAsia" w:ascii="Times New Roman" w:hAnsi="Times New Roman" w:eastAsia="宋体" w:cs="Times New Roman"/>
                <w:color w:val="auto"/>
                <w:kern w:val="2"/>
                <w:sz w:val="21"/>
                <w:szCs w:val="21"/>
                <w:highlight w:val="none"/>
                <w:lang w:val="en-US" w:eastAsia="zh-CN" w:bidi="ar-SA"/>
              </w:rPr>
              <w:t>标准</w:t>
            </w:r>
            <w:r>
              <w:rPr>
                <w:rStyle w:val="29"/>
                <w:rFonts w:hint="default" w:ascii="Times New Roman" w:hAnsi="Times New Roman" w:eastAsia="宋体" w:cs="Times New Roman"/>
                <w:color w:val="auto"/>
                <w:kern w:val="2"/>
                <w:sz w:val="21"/>
                <w:szCs w:val="21"/>
                <w:highlight w:val="none"/>
                <w:lang w:val="en-US" w:eastAsia="zh-CN" w:bidi="ar-SA"/>
              </w:rPr>
              <w:t>后排入园区污水处理厂处理达</w:t>
            </w:r>
            <w:r>
              <w:rPr>
                <w:rFonts w:hint="eastAsia" w:ascii="Times New Roman" w:hAnsi="Times New Roman" w:eastAsia="宋体" w:cs="Times New Roman"/>
                <w:color w:val="auto"/>
                <w:sz w:val="21"/>
                <w:szCs w:val="21"/>
                <w:highlight w:val="none"/>
                <w:lang w:val="en-US" w:eastAsia="zh-CN"/>
              </w:rPr>
              <w:t>《地表水环境质量标准》（GB3838-2002）中Ⅲ类水体标准后排入郪江</w:t>
            </w:r>
            <w:r>
              <w:rPr>
                <w:rStyle w:val="29"/>
                <w:rFonts w:hint="default" w:ascii="Times New Roman" w:hAnsi="Times New Roman" w:eastAsia="宋体" w:cs="Times New Roman"/>
                <w:color w:val="auto"/>
                <w:kern w:val="2"/>
                <w:sz w:val="21"/>
                <w:szCs w:val="21"/>
                <w:highlight w:val="none"/>
                <w:lang w:val="en-US" w:eastAsia="zh-CN" w:bidi="ar-SA"/>
              </w:rPr>
              <w:t>。</w:t>
            </w:r>
          </w:p>
          <w:p w14:paraId="720E9B38">
            <w:pPr>
              <w:pStyle w:val="112"/>
              <w:widowControl/>
              <w:numPr>
                <w:ilvl w:val="0"/>
                <w:numId w:val="0"/>
              </w:numPr>
              <w:shd w:val="clear" w:color="auto" w:fill="FFFFFF"/>
              <w:spacing w:line="240" w:lineRule="auto"/>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本项目符合遂宁市总体准入要求-工业重点管控单元。</w:t>
            </w:r>
          </w:p>
        </w:tc>
        <w:tc>
          <w:tcPr>
            <w:tcW w:w="255" w:type="pct"/>
            <w:tcBorders>
              <w:tl2br w:val="nil"/>
              <w:tr2bl w:val="nil"/>
            </w:tcBorders>
            <w:noWrap w:val="0"/>
            <w:vAlign w:val="center"/>
          </w:tcPr>
          <w:p w14:paraId="58C37C41">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Style w:val="29"/>
                <w:rFonts w:hint="eastAsia" w:ascii="Times New Roman" w:hAnsi="Times New Roman" w:eastAsia="宋体" w:cs="Times New Roman"/>
                <w:color w:val="auto"/>
                <w:kern w:val="2"/>
                <w:sz w:val="21"/>
                <w:szCs w:val="21"/>
                <w:highlight w:val="none"/>
                <w:lang w:val="en-US" w:eastAsia="zh-CN" w:bidi="ar-SA"/>
              </w:rPr>
              <w:t>符合</w:t>
            </w:r>
          </w:p>
        </w:tc>
      </w:tr>
      <w:tr w14:paraId="3C75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4D80FACC">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1709F51F">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50B6E231">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环境风险防控</w:t>
            </w:r>
          </w:p>
        </w:tc>
        <w:tc>
          <w:tcPr>
            <w:tcW w:w="2644" w:type="pct"/>
            <w:tcBorders>
              <w:tl2br w:val="nil"/>
              <w:tr2bl w:val="nil"/>
            </w:tcBorders>
            <w:noWrap w:val="0"/>
            <w:vAlign w:val="center"/>
          </w:tcPr>
          <w:p w14:paraId="22AFF6B7">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严格管控类农用地管控要求</w:t>
            </w:r>
          </w:p>
          <w:p w14:paraId="25CF1D5F">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72454187">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安全利用类农用地管控要求</w:t>
            </w:r>
          </w:p>
          <w:p w14:paraId="099B6A53">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69F7E1D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污染地块管控要求</w:t>
            </w:r>
          </w:p>
          <w:p w14:paraId="214D7AD6">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0B241A78">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园区环境风险防控要求</w:t>
            </w:r>
          </w:p>
          <w:p w14:paraId="33CF8ACB">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1.距城区500m范围内禁止引入环境风险潜势等级III级及以上的建设项目。</w:t>
            </w:r>
          </w:p>
          <w:p w14:paraId="5D23FA1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2.其他参照遂宁市总体准入要求-工业重点管控单元</w:t>
            </w:r>
          </w:p>
          <w:p w14:paraId="0D97A3DC">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企业环境风险防控要求</w:t>
            </w:r>
          </w:p>
          <w:p w14:paraId="4B8C8C5A">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630C4430">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其他环境风险防控要求：/</w:t>
            </w:r>
          </w:p>
        </w:tc>
        <w:tc>
          <w:tcPr>
            <w:tcW w:w="1041" w:type="pct"/>
            <w:tcBorders>
              <w:tl2br w:val="nil"/>
              <w:tr2bl w:val="nil"/>
            </w:tcBorders>
            <w:noWrap w:val="0"/>
            <w:vAlign w:val="center"/>
          </w:tcPr>
          <w:p w14:paraId="559179E0">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本项目符合遂宁市总体准入要求-工业重点管控单元；厂区现状环境风险潜势等级Ⅳ级，但厂区距城区500m范围外。</w:t>
            </w:r>
          </w:p>
        </w:tc>
        <w:tc>
          <w:tcPr>
            <w:tcW w:w="255" w:type="pct"/>
            <w:tcBorders>
              <w:tl2br w:val="nil"/>
              <w:tr2bl w:val="nil"/>
            </w:tcBorders>
            <w:noWrap w:val="0"/>
            <w:vAlign w:val="center"/>
          </w:tcPr>
          <w:p w14:paraId="584B7F65">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Style w:val="29"/>
                <w:rFonts w:hint="eastAsia" w:ascii="Times New Roman" w:hAnsi="Times New Roman" w:eastAsia="宋体" w:cs="Times New Roman"/>
                <w:color w:val="auto"/>
                <w:kern w:val="2"/>
                <w:sz w:val="21"/>
                <w:szCs w:val="21"/>
                <w:highlight w:val="none"/>
                <w:lang w:val="en-US" w:eastAsia="zh-CN" w:bidi="ar-SA"/>
              </w:rPr>
              <w:t>符合</w:t>
            </w:r>
          </w:p>
        </w:tc>
      </w:tr>
      <w:tr w14:paraId="314F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2" w:type="pct"/>
            <w:vMerge w:val="continue"/>
            <w:tcBorders>
              <w:tl2br w:val="nil"/>
              <w:tr2bl w:val="nil"/>
            </w:tcBorders>
            <w:noWrap w:val="0"/>
            <w:vAlign w:val="center"/>
          </w:tcPr>
          <w:p w14:paraId="53D6B6DF">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47" w:type="pct"/>
            <w:vMerge w:val="continue"/>
            <w:tcBorders>
              <w:tl2br w:val="nil"/>
              <w:tr2bl w:val="nil"/>
            </w:tcBorders>
            <w:noWrap w:val="0"/>
            <w:vAlign w:val="center"/>
          </w:tcPr>
          <w:p w14:paraId="618DBFAD">
            <w:pPr>
              <w:keepNext w:val="0"/>
              <w:keepLines w:val="0"/>
              <w:pageBreakBefore w:val="0"/>
              <w:tabs>
                <w:tab w:val="left" w:pos="7390"/>
              </w:tabs>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238" w:type="pct"/>
            <w:tcBorders>
              <w:tl2br w:val="nil"/>
              <w:tr2bl w:val="nil"/>
            </w:tcBorders>
            <w:noWrap w:val="0"/>
            <w:vAlign w:val="center"/>
          </w:tcPr>
          <w:p w14:paraId="243FAD90">
            <w:pPr>
              <w:pStyle w:val="112"/>
              <w:widowControl/>
              <w:spacing w:line="240" w:lineRule="auto"/>
              <w:ind w:firstLine="0" w:firstLineChars="0"/>
              <w:jc w:val="center"/>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资源开发效率要求</w:t>
            </w:r>
          </w:p>
        </w:tc>
        <w:tc>
          <w:tcPr>
            <w:tcW w:w="2644" w:type="pct"/>
            <w:tcBorders>
              <w:tl2br w:val="nil"/>
              <w:tr2bl w:val="nil"/>
            </w:tcBorders>
            <w:noWrap w:val="0"/>
            <w:vAlign w:val="center"/>
          </w:tcPr>
          <w:p w14:paraId="6C6CDE4F">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水资源利用效率要求</w:t>
            </w:r>
          </w:p>
          <w:p w14:paraId="48307339">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648A83C8">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地下水开采要求</w:t>
            </w:r>
          </w:p>
          <w:p w14:paraId="27687FE2">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（1）大英县2030年地下水开采</w:t>
            </w:r>
            <w:r>
              <w:rPr>
                <w:rStyle w:val="29"/>
                <w:rFonts w:hint="eastAsia" w:eastAsia="宋体" w:cs="Times New Roman"/>
                <w:color w:val="auto"/>
                <w:kern w:val="2"/>
                <w:sz w:val="21"/>
                <w:szCs w:val="21"/>
                <w:highlight w:val="none"/>
                <w:lang w:val="en-US" w:eastAsia="zh-CN" w:bidi="ar-SA"/>
              </w:rPr>
              <w:t>控制</w:t>
            </w:r>
            <w:r>
              <w:rPr>
                <w:rStyle w:val="29"/>
                <w:rFonts w:hint="default" w:ascii="Times New Roman" w:hAnsi="Times New Roman" w:eastAsia="宋体" w:cs="Times New Roman"/>
                <w:color w:val="auto"/>
                <w:kern w:val="2"/>
                <w:sz w:val="21"/>
                <w:szCs w:val="21"/>
                <w:highlight w:val="none"/>
                <w:lang w:val="en-US" w:eastAsia="zh-CN" w:bidi="ar-SA"/>
              </w:rPr>
              <w:t>量保持在0.06亿m</w:t>
            </w:r>
            <w:r>
              <w:rPr>
                <w:rStyle w:val="29"/>
                <w:rFonts w:hint="default" w:ascii="Times New Roman" w:hAnsi="Times New Roman" w:eastAsia="宋体" w:cs="Times New Roman"/>
                <w:color w:val="auto"/>
                <w:kern w:val="2"/>
                <w:sz w:val="21"/>
                <w:szCs w:val="21"/>
                <w:highlight w:val="none"/>
                <w:vertAlign w:val="superscript"/>
                <w:lang w:val="en-US" w:eastAsia="zh-CN" w:bidi="ar-SA"/>
              </w:rPr>
              <w:t>3</w:t>
            </w:r>
            <w:r>
              <w:rPr>
                <w:rStyle w:val="29"/>
                <w:rFonts w:hint="default" w:ascii="Times New Roman" w:hAnsi="Times New Roman" w:eastAsia="宋体" w:cs="Times New Roman"/>
                <w:color w:val="auto"/>
                <w:kern w:val="2"/>
                <w:sz w:val="21"/>
                <w:szCs w:val="21"/>
                <w:highlight w:val="none"/>
                <w:lang w:val="en-US" w:eastAsia="zh-CN" w:bidi="ar-SA"/>
              </w:rPr>
              <w:t>以内。（2）全面建设节水型社会，达到合理高效用水。</w:t>
            </w:r>
          </w:p>
          <w:p w14:paraId="7FD9FFD9">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能源利用效率要求</w:t>
            </w:r>
          </w:p>
          <w:p w14:paraId="21023AE6">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1DC25F89">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2"/>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其他资源利用效率要求</w:t>
            </w:r>
          </w:p>
          <w:p w14:paraId="4D8C5134">
            <w:pPr>
              <w:pStyle w:val="112"/>
              <w:widowControl/>
              <w:shd w:val="clear" w:color="auto" w:fill="FFFFFF"/>
              <w:spacing w:line="240" w:lineRule="auto"/>
              <w:ind w:firstLine="0" w:firstLineChars="0"/>
              <w:jc w:val="left"/>
              <w:rPr>
                <w:rStyle w:val="29"/>
                <w:rFonts w:hint="default" w:ascii="Times New Roman" w:hAnsi="Times New Roman" w:eastAsia="宋体" w:cs="Times New Roman"/>
                <w:color w:val="auto"/>
                <w:kern w:val="0"/>
                <w:sz w:val="21"/>
                <w:szCs w:val="21"/>
                <w:highlight w:val="none"/>
                <w:lang w:val="en-US" w:eastAsia="zh-CN" w:bidi="ar-SA"/>
              </w:rPr>
            </w:pPr>
            <w:r>
              <w:rPr>
                <w:rStyle w:val="29"/>
                <w:rFonts w:hint="default" w:ascii="Times New Roman" w:hAnsi="Times New Roman" w:eastAsia="宋体" w:cs="Times New Roman"/>
                <w:color w:val="auto"/>
                <w:kern w:val="2"/>
                <w:sz w:val="21"/>
                <w:szCs w:val="21"/>
                <w:highlight w:val="none"/>
                <w:lang w:val="en-US" w:eastAsia="zh-CN" w:bidi="ar-SA"/>
              </w:rPr>
              <w:t>禁燃区管控要求：参照遂宁市总体准入要求-工业重点管控单元</w:t>
            </w:r>
          </w:p>
        </w:tc>
        <w:tc>
          <w:tcPr>
            <w:tcW w:w="1041" w:type="pct"/>
            <w:tcBorders>
              <w:tl2br w:val="nil"/>
              <w:tr2bl w:val="nil"/>
            </w:tcBorders>
            <w:noWrap w:val="0"/>
            <w:vAlign w:val="center"/>
          </w:tcPr>
          <w:p w14:paraId="6E540579">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本项目不涉及地下水开采，</w:t>
            </w:r>
            <w:r>
              <w:rPr>
                <w:rFonts w:hint="eastAsia" w:ascii="Times New Roman" w:hAnsi="Times New Roman" w:eastAsia="宋体" w:cs="Times New Roman"/>
                <w:color w:val="auto"/>
                <w:sz w:val="21"/>
                <w:szCs w:val="21"/>
                <w:highlight w:val="none"/>
                <w:lang w:val="en-US" w:eastAsia="zh-CN"/>
              </w:rPr>
              <w:t>项目符合遂宁市总体准入要求-工业重点管控单元。</w:t>
            </w:r>
          </w:p>
        </w:tc>
        <w:tc>
          <w:tcPr>
            <w:tcW w:w="255" w:type="pct"/>
            <w:tcBorders>
              <w:tl2br w:val="nil"/>
              <w:tr2bl w:val="nil"/>
            </w:tcBorders>
            <w:noWrap w:val="0"/>
            <w:vAlign w:val="center"/>
          </w:tcPr>
          <w:p w14:paraId="1CA4E8DA">
            <w:pPr>
              <w:pStyle w:val="112"/>
              <w:keepNext w:val="0"/>
              <w:keepLines w:val="0"/>
              <w:pageBreakBefore w:val="0"/>
              <w:widowControl/>
              <w:shd w:val="clear" w:color="auto" w:fill="FFFFFF"/>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Style w:val="29"/>
                <w:rFonts w:hint="default" w:ascii="Times New Roman" w:hAnsi="Times New Roman" w:eastAsia="宋体" w:cs="Times New Roman"/>
                <w:color w:val="auto"/>
                <w:kern w:val="2"/>
                <w:sz w:val="21"/>
                <w:szCs w:val="21"/>
                <w:highlight w:val="none"/>
                <w:lang w:val="en-US" w:eastAsia="zh-CN" w:bidi="ar-SA"/>
              </w:rPr>
              <w:t>符合</w:t>
            </w:r>
          </w:p>
        </w:tc>
      </w:tr>
    </w:tbl>
    <w:p w14:paraId="492481E9">
      <w:pPr>
        <w:pStyle w:val="15"/>
        <w:keepNext w:val="0"/>
        <w:keepLines w:val="0"/>
        <w:pageBreakBefore w:val="0"/>
        <w:widowControl/>
        <w:kinsoku/>
        <w:wordWrap/>
        <w:overflowPunct/>
        <w:topLinePunct w:val="0"/>
        <w:autoSpaceDE/>
        <w:autoSpaceDN/>
        <w:bidi w:val="0"/>
        <w:adjustRightInd w:val="0"/>
        <w:snapToGrid w:val="0"/>
        <w:spacing w:before="164" w:beforeLines="50" w:line="360" w:lineRule="auto"/>
        <w:ind w:firstLine="480" w:firstLineChars="200"/>
        <w:jc w:val="left"/>
        <w:textAlignment w:val="auto"/>
        <w:outlineLvl w:val="1"/>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综上，</w:t>
      </w:r>
      <w:r>
        <w:rPr>
          <w:rFonts w:hint="default" w:ascii="Times New Roman" w:hAnsi="Times New Roman" w:eastAsia="宋体" w:cs="Times New Roman"/>
          <w:color w:val="auto"/>
          <w:kern w:val="2"/>
          <w:sz w:val="24"/>
          <w:szCs w:val="24"/>
          <w:highlight w:val="none"/>
          <w:vertAlign w:val="baseline"/>
          <w:lang w:val="en-US" w:eastAsia="zh-CN" w:bidi="ar-SA"/>
        </w:rPr>
        <w:t>由上表可知，本项目满足</w:t>
      </w:r>
      <w:r>
        <w:rPr>
          <w:rFonts w:hint="eastAsia" w:ascii="Times New Roman" w:hAnsi="Times New Roman" w:eastAsia="宋体" w:cs="Times New Roman"/>
          <w:color w:val="auto"/>
          <w:kern w:val="2"/>
          <w:sz w:val="24"/>
          <w:szCs w:val="24"/>
          <w:highlight w:val="none"/>
          <w:vertAlign w:val="baseline"/>
          <w:lang w:val="en-US" w:eastAsia="zh-CN" w:bidi="ar-SA"/>
        </w:rPr>
        <w:t>生态环境分区管控</w:t>
      </w:r>
      <w:r>
        <w:rPr>
          <w:rFonts w:hint="default" w:ascii="Times New Roman" w:hAnsi="Times New Roman" w:eastAsia="宋体" w:cs="Times New Roman"/>
          <w:color w:val="auto"/>
          <w:kern w:val="2"/>
          <w:sz w:val="24"/>
          <w:szCs w:val="24"/>
          <w:highlight w:val="none"/>
          <w:vertAlign w:val="baseline"/>
          <w:lang w:val="en-US" w:eastAsia="zh-CN" w:bidi="ar-SA"/>
        </w:rPr>
        <w:t>要求。</w:t>
      </w:r>
    </w:p>
    <w:p w14:paraId="20888EBD">
      <w:pPr>
        <w:spacing w:line="360" w:lineRule="auto"/>
        <w:outlineLvl w:val="0"/>
        <w:rPr>
          <w:color w:val="auto"/>
          <w:sz w:val="30"/>
          <w:highlight w:val="none"/>
        </w:rPr>
        <w:sectPr>
          <w:footerReference r:id="rId8" w:type="default"/>
          <w:pgSz w:w="16838" w:h="11906" w:orient="landscape"/>
          <w:pgMar w:top="1531" w:right="1701" w:bottom="1531" w:left="1701" w:header="851" w:footer="1077" w:gutter="0"/>
          <w:pgNumType w:fmt="decimal"/>
          <w:cols w:space="720" w:num="1"/>
          <w:docGrid w:linePitch="312" w:charSpace="0"/>
        </w:sectPr>
      </w:pPr>
    </w:p>
    <w:tbl>
      <w:tblPr>
        <w:tblStyle w:val="27"/>
        <w:tblW w:w="531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8797"/>
      </w:tblGrid>
      <w:tr w14:paraId="4B4D5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5" w:hRule="atLeast"/>
          <w:jc w:val="center"/>
        </w:trPr>
        <w:tc>
          <w:tcPr>
            <w:tcW w:w="430" w:type="pct"/>
            <w:vAlign w:val="center"/>
          </w:tcPr>
          <w:p w14:paraId="7360892E">
            <w:pPr>
              <w:autoSpaceDE w:val="0"/>
              <w:autoSpaceDN w:val="0"/>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其他符合性分析</w:t>
            </w:r>
          </w:p>
        </w:tc>
        <w:tc>
          <w:tcPr>
            <w:tcW w:w="4569" w:type="pct"/>
            <w:vAlign w:val="center"/>
          </w:tcPr>
          <w:p w14:paraId="51B8107C">
            <w:pPr>
              <w:numPr>
                <w:ilvl w:val="0"/>
                <w:numId w:val="19"/>
              </w:numPr>
              <w:spacing w:line="360" w:lineRule="auto"/>
              <w:ind w:firstLine="482" w:firstLineChars="200"/>
              <w:rPr>
                <w:rFonts w:ascii="Times New Roman" w:hAnsi="Times New Roman" w:eastAsia="宋体" w:cs="Times New Roman"/>
                <w:b/>
                <w:bCs/>
                <w:color w:val="auto"/>
                <w:sz w:val="24"/>
                <w:highlight w:val="none"/>
                <w:lang w:val="zh-CN"/>
              </w:rPr>
            </w:pPr>
            <w:r>
              <w:rPr>
                <w:rFonts w:ascii="Times New Roman" w:hAnsi="Times New Roman" w:eastAsia="宋体" w:cs="Times New Roman"/>
                <w:b/>
                <w:bCs/>
                <w:color w:val="auto"/>
                <w:sz w:val="24"/>
                <w:highlight w:val="none"/>
                <w:lang w:val="zh-CN"/>
              </w:rPr>
              <w:t>与</w:t>
            </w:r>
            <w:r>
              <w:rPr>
                <w:rFonts w:ascii="Times New Roman" w:hAnsi="Times New Roman" w:cs="Times New Roman"/>
                <w:b/>
                <w:bCs/>
                <w:color w:val="auto"/>
                <w:sz w:val="24"/>
                <w:szCs w:val="24"/>
                <w:highlight w:val="none"/>
                <w:lang w:val="zh-CN"/>
              </w:rPr>
              <w:t>长江经济带发展负面</w:t>
            </w:r>
            <w:r>
              <w:rPr>
                <w:rFonts w:ascii="Times New Roman" w:hAnsi="Times New Roman" w:cs="Times New Roman"/>
                <w:b/>
                <w:bCs/>
                <w:color w:val="auto"/>
                <w:sz w:val="24"/>
                <w:szCs w:val="24"/>
                <w:highlight w:val="none"/>
                <w:lang w:val="en-US" w:eastAsia="zh-CN"/>
              </w:rPr>
              <w:t>清单</w:t>
            </w:r>
            <w:r>
              <w:rPr>
                <w:rFonts w:ascii="Times New Roman" w:hAnsi="Times New Roman" w:eastAsia="宋体" w:cs="Times New Roman"/>
                <w:b/>
                <w:bCs/>
                <w:color w:val="auto"/>
                <w:sz w:val="24"/>
                <w:szCs w:val="24"/>
                <w:highlight w:val="none"/>
                <w:lang w:val="zh-CN"/>
              </w:rPr>
              <w:t>符合</w:t>
            </w:r>
            <w:r>
              <w:rPr>
                <w:rFonts w:ascii="Times New Roman" w:hAnsi="Times New Roman" w:eastAsia="宋体" w:cs="Times New Roman"/>
                <w:b/>
                <w:bCs/>
                <w:color w:val="auto"/>
                <w:sz w:val="24"/>
                <w:highlight w:val="none"/>
                <w:lang w:val="zh-CN"/>
              </w:rPr>
              <w:t>性分析</w:t>
            </w:r>
          </w:p>
          <w:p w14:paraId="2BC48B93">
            <w:pPr>
              <w:pStyle w:val="146"/>
              <w:keepNext w:val="0"/>
              <w:keepLines w:val="0"/>
              <w:pageBreakBefore w:val="0"/>
              <w:widowControl w:val="0"/>
              <w:kinsoku/>
              <w:wordWrap/>
              <w:overflowPunct/>
              <w:topLinePunct w:val="0"/>
              <w:autoSpaceDE/>
              <w:autoSpaceDN/>
              <w:bidi w:val="0"/>
              <w:adjustRightInd/>
              <w:snapToGrid/>
              <w:ind w:left="0" w:firstLine="480" w:firstLineChars="200"/>
              <w:jc w:val="both"/>
              <w:textAlignment w:val="auto"/>
              <w:rPr>
                <w:rFonts w:ascii="Times New Roman" w:hAnsi="Times New Roman" w:eastAsia="宋体" w:cs="Times New Roman"/>
                <w:b w:val="0"/>
                <w:bCs/>
                <w:color w:val="auto"/>
                <w:sz w:val="24"/>
                <w:szCs w:val="24"/>
                <w:highlight w:val="none"/>
                <w:lang w:val="zh-CN"/>
              </w:rPr>
            </w:pPr>
            <w:r>
              <w:rPr>
                <w:rFonts w:ascii="Times New Roman" w:hAnsi="Times New Roman" w:eastAsia="宋体" w:cs="Times New Roman"/>
                <w:b w:val="0"/>
                <w:bCs/>
                <w:color w:val="auto"/>
                <w:sz w:val="24"/>
                <w:szCs w:val="24"/>
                <w:highlight w:val="none"/>
                <w:lang w:val="en-US" w:eastAsia="zh-CN"/>
              </w:rPr>
              <w:t>2</w:t>
            </w:r>
            <w:r>
              <w:rPr>
                <w:rFonts w:ascii="Times New Roman" w:hAnsi="Times New Roman" w:eastAsia="宋体" w:cs="Times New Roman"/>
                <w:b w:val="0"/>
                <w:bCs/>
                <w:color w:val="auto"/>
                <w:sz w:val="24"/>
                <w:szCs w:val="24"/>
                <w:highlight w:val="none"/>
              </w:rPr>
              <w:t>022年1月29日推动长江经济带发展领导小组办公室发布了</w:t>
            </w:r>
            <w:r>
              <w:rPr>
                <w:rFonts w:ascii="Times New Roman" w:hAnsi="Times New Roman" w:eastAsia="宋体" w:cs="Times New Roman"/>
                <w:b w:val="0"/>
                <w:bCs/>
                <w:color w:val="auto"/>
                <w:sz w:val="24"/>
                <w:szCs w:val="24"/>
                <w:highlight w:val="none"/>
                <w:lang w:val="zh-CN"/>
              </w:rPr>
              <w:t>《长江经济带发展负面</w:t>
            </w:r>
            <w:r>
              <w:rPr>
                <w:rFonts w:ascii="Times New Roman" w:hAnsi="Times New Roman" w:cs="Times New Roman"/>
                <w:b w:val="0"/>
                <w:bCs/>
                <w:color w:val="auto"/>
                <w:sz w:val="24"/>
                <w:szCs w:val="24"/>
                <w:highlight w:val="none"/>
                <w:lang w:val="zh-CN"/>
              </w:rPr>
              <w:t>清单</w:t>
            </w:r>
            <w:r>
              <w:rPr>
                <w:rFonts w:ascii="Times New Roman" w:hAnsi="Times New Roman" w:eastAsia="宋体" w:cs="Times New Roman"/>
                <w:b w:val="0"/>
                <w:bCs/>
                <w:color w:val="auto"/>
                <w:sz w:val="24"/>
                <w:szCs w:val="24"/>
                <w:highlight w:val="none"/>
                <w:lang w:val="zh-CN"/>
              </w:rPr>
              <w:t>指南试行（</w:t>
            </w:r>
            <w:r>
              <w:rPr>
                <w:rFonts w:ascii="Times New Roman" w:hAnsi="Times New Roman" w:eastAsia="宋体" w:cs="Times New Roman"/>
                <w:b w:val="0"/>
                <w:bCs/>
                <w:color w:val="auto"/>
                <w:sz w:val="24"/>
                <w:szCs w:val="24"/>
                <w:highlight w:val="none"/>
              </w:rPr>
              <w:t>2022版</w:t>
            </w:r>
            <w:r>
              <w:rPr>
                <w:rFonts w:ascii="Times New Roman" w:hAnsi="Times New Roman" w:eastAsia="宋体" w:cs="Times New Roman"/>
                <w:b w:val="0"/>
                <w:bCs/>
                <w:color w:val="auto"/>
                <w:sz w:val="24"/>
                <w:szCs w:val="24"/>
                <w:highlight w:val="none"/>
                <w:lang w:val="zh-CN"/>
              </w:rPr>
              <w:t>）》（长江办〔</w:t>
            </w:r>
            <w:r>
              <w:rPr>
                <w:rFonts w:ascii="Times New Roman" w:hAnsi="Times New Roman" w:eastAsia="宋体" w:cs="Times New Roman"/>
                <w:b w:val="0"/>
                <w:bCs/>
                <w:color w:val="auto"/>
                <w:sz w:val="24"/>
                <w:szCs w:val="24"/>
                <w:highlight w:val="none"/>
              </w:rPr>
              <w:t>2022</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rPr>
              <w:t>7号</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，2022年8月25日四川省及重庆市推动长江经济带发展领导小组办公室发布了</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四川省、重庆市</w:t>
            </w:r>
            <w:r>
              <w:rPr>
                <w:rFonts w:ascii="Times New Roman" w:hAnsi="Times New Roman" w:eastAsia="宋体" w:cs="Times New Roman"/>
                <w:b w:val="0"/>
                <w:bCs/>
                <w:color w:val="auto"/>
                <w:sz w:val="24"/>
                <w:szCs w:val="24"/>
                <w:highlight w:val="none"/>
                <w:lang w:val="zh-CN"/>
              </w:rPr>
              <w:t>长江经济带发展负面</w:t>
            </w:r>
            <w:r>
              <w:rPr>
                <w:rFonts w:ascii="Times New Roman" w:hAnsi="Times New Roman" w:eastAsia="宋体" w:cs="Times New Roman"/>
                <w:b w:val="0"/>
                <w:bCs/>
                <w:color w:val="auto"/>
                <w:sz w:val="24"/>
                <w:szCs w:val="24"/>
                <w:highlight w:val="none"/>
                <w:lang w:val="en-US" w:eastAsia="zh-CN"/>
              </w:rPr>
              <w:t>清单实施细则</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试行，</w:t>
            </w:r>
            <w:r>
              <w:rPr>
                <w:rFonts w:ascii="Times New Roman" w:hAnsi="Times New Roman" w:eastAsia="宋体" w:cs="Times New Roman"/>
                <w:b w:val="0"/>
                <w:bCs/>
                <w:color w:val="auto"/>
                <w:sz w:val="24"/>
                <w:szCs w:val="24"/>
                <w:highlight w:val="none"/>
              </w:rPr>
              <w:t>2022版</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川长江办</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rPr>
              <w:t>2022</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1</w:t>
            </w:r>
            <w:r>
              <w:rPr>
                <w:rFonts w:ascii="Times New Roman" w:hAnsi="Times New Roman" w:eastAsia="宋体" w:cs="Times New Roman"/>
                <w:b w:val="0"/>
                <w:bCs/>
                <w:color w:val="auto"/>
                <w:sz w:val="24"/>
                <w:szCs w:val="24"/>
                <w:highlight w:val="none"/>
              </w:rPr>
              <w:t>7号</w:t>
            </w:r>
            <w:r>
              <w:rPr>
                <w:rFonts w:ascii="Times New Roman" w:hAnsi="Times New Roman" w:eastAsia="宋体" w:cs="Times New Roman"/>
                <w:b w:val="0"/>
                <w:bCs/>
                <w:color w:val="auto"/>
                <w:sz w:val="24"/>
                <w:szCs w:val="24"/>
                <w:highlight w:val="none"/>
                <w:lang w:val="zh-CN"/>
              </w:rPr>
              <w:t>）。根据文件精神，本项目符合性分析如下：</w:t>
            </w:r>
          </w:p>
          <w:p w14:paraId="1C39545C">
            <w:pPr>
              <w:pStyle w:val="43"/>
              <w:bidi w:val="0"/>
              <w:rPr>
                <w:color w:val="auto"/>
                <w:highlight w:val="none"/>
                <w:lang w:val="zh-CN"/>
              </w:rPr>
            </w:pPr>
            <w:r>
              <w:rPr>
                <w:color w:val="auto"/>
                <w:highlight w:val="none"/>
                <w:lang w:val="zh-CN"/>
              </w:rPr>
              <w:t>项目与长江办〔2022〕7号符合性分析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5"/>
              <w:gridCol w:w="1372"/>
              <w:gridCol w:w="894"/>
            </w:tblGrid>
            <w:tr w14:paraId="740B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5C0F67D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zh-CN"/>
                    </w:rPr>
                    <w:t>长江办〔2022〕7号</w:t>
                  </w:r>
                  <w:r>
                    <w:rPr>
                      <w:rFonts w:hint="default" w:ascii="Times New Roman" w:hAnsi="Times New Roman" w:eastAsia="宋体" w:cs="Times New Roman"/>
                      <w:b/>
                      <w:bCs/>
                      <w:color w:val="auto"/>
                      <w:sz w:val="21"/>
                      <w:szCs w:val="21"/>
                      <w:highlight w:val="none"/>
                      <w:lang w:val="en-US" w:eastAsia="zh-CN"/>
                    </w:rPr>
                    <w:t>文件</w:t>
                  </w:r>
                  <w:r>
                    <w:rPr>
                      <w:rFonts w:hint="default" w:ascii="Times New Roman" w:hAnsi="Times New Roman" w:eastAsia="宋体" w:cs="Times New Roman"/>
                      <w:b/>
                      <w:bCs/>
                      <w:color w:val="auto"/>
                      <w:sz w:val="21"/>
                      <w:szCs w:val="21"/>
                      <w:highlight w:val="none"/>
                    </w:rPr>
                    <w:t>要求</w:t>
                  </w:r>
                </w:p>
              </w:tc>
              <w:tc>
                <w:tcPr>
                  <w:tcW w:w="1372" w:type="dxa"/>
                  <w:vAlign w:val="center"/>
                </w:tcPr>
                <w:p w14:paraId="7C7212C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本项目</w:t>
                  </w:r>
                  <w:r>
                    <w:rPr>
                      <w:rFonts w:hint="default" w:ascii="Times New Roman" w:hAnsi="Times New Roman" w:eastAsia="宋体" w:cs="Times New Roman"/>
                      <w:b/>
                      <w:bCs/>
                      <w:color w:val="auto"/>
                      <w:sz w:val="21"/>
                      <w:szCs w:val="21"/>
                      <w:highlight w:val="none"/>
                      <w:lang w:val="en-US" w:eastAsia="zh-CN"/>
                    </w:rPr>
                    <w:t>情况</w:t>
                  </w:r>
                </w:p>
              </w:tc>
              <w:tc>
                <w:tcPr>
                  <w:tcW w:w="894" w:type="dxa"/>
                  <w:vAlign w:val="center"/>
                </w:tcPr>
                <w:p w14:paraId="2986C37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7FE7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37279510">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禁止建设不符合全国和省级港口布局规划以及港口总体规划的码头项目，禁止建设不符合《长江干线过江通道布局规划》的过长江通道项目。</w:t>
                  </w:r>
                </w:p>
              </w:tc>
              <w:tc>
                <w:tcPr>
                  <w:tcW w:w="1372" w:type="dxa"/>
                  <w:vAlign w:val="center"/>
                </w:tcPr>
                <w:p w14:paraId="4776427D">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本项目不涉及</w:t>
                  </w:r>
                </w:p>
              </w:tc>
              <w:tc>
                <w:tcPr>
                  <w:tcW w:w="894" w:type="dxa"/>
                  <w:vAlign w:val="center"/>
                </w:tcPr>
                <w:p w14:paraId="3F18EE46">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0956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362E3B20">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372" w:type="dxa"/>
                  <w:vAlign w:val="center"/>
                </w:tcPr>
                <w:p w14:paraId="4E23B25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本项目不涉及</w:t>
                  </w:r>
                </w:p>
              </w:tc>
              <w:tc>
                <w:tcPr>
                  <w:tcW w:w="894" w:type="dxa"/>
                  <w:vAlign w:val="center"/>
                </w:tcPr>
                <w:p w14:paraId="74825EC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1B29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43355AFC">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72" w:type="dxa"/>
                  <w:vAlign w:val="center"/>
                </w:tcPr>
                <w:p w14:paraId="6FE5D05C">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本项目不涉及</w:t>
                  </w:r>
                </w:p>
              </w:tc>
              <w:tc>
                <w:tcPr>
                  <w:tcW w:w="894" w:type="dxa"/>
                  <w:vAlign w:val="center"/>
                </w:tcPr>
                <w:p w14:paraId="7259455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6EF7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0FB9F20A">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372" w:type="dxa"/>
                  <w:vAlign w:val="center"/>
                </w:tcPr>
                <w:p w14:paraId="3E9ADFC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本项目不涉及</w:t>
                  </w:r>
                </w:p>
              </w:tc>
              <w:tc>
                <w:tcPr>
                  <w:tcW w:w="894" w:type="dxa"/>
                  <w:vAlign w:val="center"/>
                </w:tcPr>
                <w:p w14:paraId="189DB31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0B15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71204B3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72" w:type="dxa"/>
                  <w:vAlign w:val="center"/>
                </w:tcPr>
                <w:p w14:paraId="7462CB3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本项目不涉及</w:t>
                  </w:r>
                </w:p>
              </w:tc>
              <w:tc>
                <w:tcPr>
                  <w:tcW w:w="894" w:type="dxa"/>
                  <w:vAlign w:val="center"/>
                </w:tcPr>
                <w:p w14:paraId="782C4363">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4819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71CC102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禁止未经许可在长江</w:t>
                  </w:r>
                  <w:r>
                    <w:rPr>
                      <w:rFonts w:hint="default" w:ascii="Times New Roman" w:hAnsi="Times New Roman" w:eastAsia="宋体" w:cs="Times New Roman"/>
                      <w:color w:val="auto"/>
                      <w:sz w:val="21"/>
                      <w:szCs w:val="21"/>
                      <w:highlight w:val="none"/>
                      <w:lang w:eastAsia="zh-CN"/>
                    </w:rPr>
                    <w:t>干支流</w:t>
                  </w:r>
                  <w:r>
                    <w:rPr>
                      <w:rFonts w:hint="default" w:ascii="Times New Roman" w:hAnsi="Times New Roman" w:eastAsia="宋体" w:cs="Times New Roman"/>
                      <w:color w:val="auto"/>
                      <w:sz w:val="21"/>
                      <w:szCs w:val="21"/>
                      <w:highlight w:val="none"/>
                    </w:rPr>
                    <w:t>及湖泊新设、改设或扩大排污口。</w:t>
                  </w:r>
                </w:p>
              </w:tc>
              <w:tc>
                <w:tcPr>
                  <w:tcW w:w="1372" w:type="dxa"/>
                  <w:vAlign w:val="center"/>
                </w:tcPr>
                <w:p w14:paraId="296081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本项目不涉及</w:t>
                  </w:r>
                </w:p>
              </w:tc>
              <w:tc>
                <w:tcPr>
                  <w:tcW w:w="894" w:type="dxa"/>
                  <w:vAlign w:val="center"/>
                </w:tcPr>
                <w:p w14:paraId="5D903686">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0E62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59CE1256">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禁止在“一江一口两湖七河”和332个水生生物保护区开展生产性捕捞。</w:t>
                  </w:r>
                </w:p>
              </w:tc>
              <w:tc>
                <w:tcPr>
                  <w:tcW w:w="1372" w:type="dxa"/>
                  <w:vAlign w:val="center"/>
                </w:tcPr>
                <w:p w14:paraId="101E55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本项目不涉及</w:t>
                  </w:r>
                </w:p>
              </w:tc>
              <w:tc>
                <w:tcPr>
                  <w:tcW w:w="894" w:type="dxa"/>
                  <w:vAlign w:val="center"/>
                </w:tcPr>
                <w:p w14:paraId="1F2E3425">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10DC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0EE0F36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禁止在长江</w:t>
                  </w:r>
                  <w:r>
                    <w:rPr>
                      <w:rFonts w:hint="default" w:ascii="Times New Roman" w:hAnsi="Times New Roman" w:eastAsia="宋体" w:cs="Times New Roman"/>
                      <w:color w:val="auto"/>
                      <w:sz w:val="21"/>
                      <w:szCs w:val="21"/>
                      <w:highlight w:val="none"/>
                      <w:lang w:eastAsia="zh-CN"/>
                    </w:rPr>
                    <w:t>干支流</w:t>
                  </w:r>
                  <w:r>
                    <w:rPr>
                      <w:rFonts w:hint="default" w:ascii="Times New Roman" w:hAnsi="Times New Roman" w:eastAsia="宋体" w:cs="Times New Roman"/>
                      <w:color w:val="auto"/>
                      <w:sz w:val="21"/>
                      <w:szCs w:val="21"/>
                      <w:highlight w:val="none"/>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372" w:type="dxa"/>
                  <w:vAlign w:val="center"/>
                </w:tcPr>
                <w:p w14:paraId="2CBE66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新建、扩建化工项目</w:t>
                  </w:r>
                  <w:r>
                    <w:rPr>
                      <w:rFonts w:hint="eastAsia" w:ascii="Times New Roman" w:hAnsi="Times New Roman" w:eastAsia="宋体" w:cs="Times New Roman"/>
                      <w:color w:val="auto"/>
                      <w:sz w:val="21"/>
                      <w:szCs w:val="21"/>
                      <w:highlight w:val="none"/>
                      <w:lang w:eastAsia="zh-CN"/>
                    </w:rPr>
                    <w:t>。</w:t>
                  </w:r>
                </w:p>
              </w:tc>
              <w:tc>
                <w:tcPr>
                  <w:tcW w:w="894" w:type="dxa"/>
                  <w:vAlign w:val="center"/>
                </w:tcPr>
                <w:p w14:paraId="11D9868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52C7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5" w:type="dxa"/>
                  <w:vAlign w:val="center"/>
                </w:tcPr>
                <w:p w14:paraId="2CA6DE9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禁止在合规园区外新建、扩建钢铁、石化、化工、焦化、建材、有色、制浆造纸等高污染项目。</w:t>
                  </w:r>
                </w:p>
              </w:tc>
              <w:tc>
                <w:tcPr>
                  <w:tcW w:w="1372" w:type="dxa"/>
                  <w:vAlign w:val="center"/>
                </w:tcPr>
                <w:p w14:paraId="770A64F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位于四川大英经济开发区，属合规园区</w:t>
                  </w:r>
                </w:p>
              </w:tc>
              <w:tc>
                <w:tcPr>
                  <w:tcW w:w="894" w:type="dxa"/>
                  <w:vAlign w:val="center"/>
                </w:tcPr>
                <w:p w14:paraId="28DDF130">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78A4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32027DD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禁止新建、扩建不符合国家石化、现代煤化工等产业布局规划的项目。</w:t>
                  </w:r>
                </w:p>
              </w:tc>
              <w:tc>
                <w:tcPr>
                  <w:tcW w:w="1372" w:type="dxa"/>
                  <w:vMerge w:val="restart"/>
                  <w:vAlign w:val="center"/>
                </w:tcPr>
                <w:p w14:paraId="4D5F490D">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本项目不属于禁止产业，不属于高耗能项目</w:t>
                  </w:r>
                </w:p>
              </w:tc>
              <w:tc>
                <w:tcPr>
                  <w:tcW w:w="894" w:type="dxa"/>
                  <w:vAlign w:val="center"/>
                </w:tcPr>
                <w:p w14:paraId="4A0AF3EA">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626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679EF41B">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372" w:type="dxa"/>
                  <w:vMerge w:val="continue"/>
                  <w:vAlign w:val="center"/>
                </w:tcPr>
                <w:p w14:paraId="4362BF2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p>
              </w:tc>
              <w:tc>
                <w:tcPr>
                  <w:tcW w:w="894" w:type="dxa"/>
                  <w:vAlign w:val="center"/>
                </w:tcPr>
                <w:p w14:paraId="05449F9A">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2C21B30D">
            <w:pPr>
              <w:pStyle w:val="43"/>
              <w:bidi w:val="0"/>
              <w:rPr>
                <w:rFonts w:ascii="Times New Roman" w:hAnsi="Times New Roman" w:eastAsia="宋体" w:cs="Times New Roman"/>
                <w:b w:val="0"/>
                <w:bCs/>
                <w:color w:val="auto"/>
                <w:sz w:val="24"/>
                <w:szCs w:val="24"/>
                <w:highlight w:val="none"/>
                <w:lang w:val="zh-CN"/>
              </w:rPr>
            </w:pPr>
            <w:r>
              <w:rPr>
                <w:rFonts w:ascii="Times New Roman" w:hAnsi="Times New Roman" w:cs="Times New Roman"/>
                <w:b/>
                <w:bCs/>
                <w:color w:val="auto"/>
                <w:sz w:val="21"/>
                <w:szCs w:val="21"/>
                <w:highlight w:val="none"/>
                <w:lang w:val="zh-CN"/>
              </w:rPr>
              <w:t>项目与</w:t>
            </w:r>
            <w:r>
              <w:rPr>
                <w:rFonts w:ascii="Times New Roman" w:hAnsi="Times New Roman" w:cs="Times New Roman"/>
                <w:b/>
                <w:bCs/>
                <w:color w:val="auto"/>
                <w:sz w:val="21"/>
                <w:szCs w:val="21"/>
                <w:highlight w:val="none"/>
                <w:lang w:val="en-US" w:eastAsia="zh-CN"/>
              </w:rPr>
              <w:t>川</w:t>
            </w:r>
            <w:r>
              <w:rPr>
                <w:rFonts w:ascii="Times New Roman" w:hAnsi="Times New Roman" w:cs="Times New Roman"/>
                <w:b/>
                <w:bCs/>
                <w:color w:val="auto"/>
                <w:sz w:val="21"/>
                <w:szCs w:val="21"/>
                <w:highlight w:val="none"/>
                <w:lang w:val="zh-CN"/>
              </w:rPr>
              <w:t>长江办〔2022〕</w:t>
            </w:r>
            <w:r>
              <w:rPr>
                <w:rFonts w:ascii="Times New Roman" w:hAnsi="Times New Roman" w:cs="Times New Roman"/>
                <w:b/>
                <w:bCs/>
                <w:color w:val="auto"/>
                <w:sz w:val="21"/>
                <w:szCs w:val="21"/>
                <w:highlight w:val="none"/>
                <w:lang w:val="en-US" w:eastAsia="zh-CN"/>
              </w:rPr>
              <w:t>1</w:t>
            </w:r>
            <w:r>
              <w:rPr>
                <w:rFonts w:ascii="Times New Roman" w:hAnsi="Times New Roman" w:cs="Times New Roman"/>
                <w:b/>
                <w:bCs/>
                <w:color w:val="auto"/>
                <w:sz w:val="21"/>
                <w:szCs w:val="21"/>
                <w:highlight w:val="none"/>
                <w:lang w:val="zh-CN"/>
              </w:rPr>
              <w:t>7号符合性分析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5"/>
              <w:gridCol w:w="1400"/>
              <w:gridCol w:w="866"/>
            </w:tblGrid>
            <w:tr w14:paraId="7050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5A6103C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川</w:t>
                  </w:r>
                  <w:r>
                    <w:rPr>
                      <w:rFonts w:hint="default" w:ascii="Times New Roman" w:hAnsi="Times New Roman" w:eastAsia="宋体" w:cs="Times New Roman"/>
                      <w:b/>
                      <w:bCs/>
                      <w:color w:val="auto"/>
                      <w:sz w:val="21"/>
                      <w:szCs w:val="21"/>
                      <w:highlight w:val="none"/>
                      <w:lang w:val="zh-CN"/>
                    </w:rPr>
                    <w:t>长江办〔2022〕</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zh-CN"/>
                    </w:rPr>
                    <w:t>7号</w:t>
                  </w:r>
                  <w:r>
                    <w:rPr>
                      <w:rFonts w:hint="default" w:ascii="Times New Roman" w:hAnsi="Times New Roman" w:eastAsia="宋体" w:cs="Times New Roman"/>
                      <w:b/>
                      <w:bCs/>
                      <w:color w:val="auto"/>
                      <w:sz w:val="21"/>
                      <w:szCs w:val="21"/>
                      <w:highlight w:val="none"/>
                      <w:lang w:val="en-US" w:eastAsia="zh-CN"/>
                    </w:rPr>
                    <w:t>文件</w:t>
                  </w:r>
                  <w:r>
                    <w:rPr>
                      <w:rFonts w:hint="default" w:ascii="Times New Roman" w:hAnsi="Times New Roman" w:eastAsia="宋体" w:cs="Times New Roman"/>
                      <w:b/>
                      <w:bCs/>
                      <w:color w:val="auto"/>
                      <w:sz w:val="21"/>
                      <w:szCs w:val="21"/>
                      <w:highlight w:val="none"/>
                    </w:rPr>
                    <w:t>要求</w:t>
                  </w:r>
                </w:p>
              </w:tc>
              <w:tc>
                <w:tcPr>
                  <w:tcW w:w="1400" w:type="dxa"/>
                  <w:vAlign w:val="center"/>
                </w:tcPr>
                <w:p w14:paraId="3036D430">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本项目</w:t>
                  </w:r>
                  <w:r>
                    <w:rPr>
                      <w:rFonts w:hint="default" w:ascii="Times New Roman" w:hAnsi="Times New Roman" w:eastAsia="宋体" w:cs="Times New Roman"/>
                      <w:b/>
                      <w:bCs/>
                      <w:color w:val="auto"/>
                      <w:sz w:val="21"/>
                      <w:szCs w:val="21"/>
                      <w:highlight w:val="none"/>
                      <w:lang w:val="en-US" w:eastAsia="zh-CN"/>
                    </w:rPr>
                    <w:t>情况</w:t>
                  </w:r>
                </w:p>
              </w:tc>
              <w:tc>
                <w:tcPr>
                  <w:tcW w:w="866" w:type="dxa"/>
                  <w:vAlign w:val="center"/>
                </w:tcPr>
                <w:p w14:paraId="3DDC220D">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296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0BE0FAD8">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第五条</w:t>
                  </w:r>
                  <w:r>
                    <w:rPr>
                      <w:rFonts w:hint="default" w:ascii="Times New Roman" w:hAnsi="Times New Roman" w:eastAsia="宋体" w:cs="Times New Roman"/>
                      <w:color w:val="auto"/>
                      <w:sz w:val="21"/>
                      <w:szCs w:val="21"/>
                      <w:highlight w:val="none"/>
                    </w:rPr>
                    <w:t>禁止新建、改建和扩建不符合全国港口布局规划，以及《四川省内河水运发展规划》《泸州—宜宾—乐山港口群布局规划》《重庆港总体规划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2035年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》等省级港口布局规划及市级港口总体规划的码头项目。</w:t>
                  </w:r>
                </w:p>
              </w:tc>
              <w:tc>
                <w:tcPr>
                  <w:tcW w:w="1400" w:type="dxa"/>
                  <w:vAlign w:val="center"/>
                </w:tcPr>
                <w:p w14:paraId="006B784B">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6633ED4A">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13A3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3A9010EB">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第六条</w:t>
                  </w:r>
                  <w:r>
                    <w:rPr>
                      <w:rFonts w:hint="default" w:ascii="Times New Roman" w:hAnsi="Times New Roman" w:eastAsia="宋体" w:cs="Times New Roman"/>
                      <w:color w:val="auto"/>
                      <w:sz w:val="21"/>
                      <w:szCs w:val="21"/>
                      <w:highlight w:val="none"/>
                    </w:rPr>
                    <w:t>禁止新建、改建和扩建不符合《长江干线过江通道布局规划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2020</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2035年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》的过长江通道项目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含桥梁、隧道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，国家发展改革委同意过长江通道线位调整的除外。</w:t>
                  </w:r>
                </w:p>
              </w:tc>
              <w:tc>
                <w:tcPr>
                  <w:tcW w:w="1400" w:type="dxa"/>
                  <w:vAlign w:val="center"/>
                </w:tcPr>
                <w:p w14:paraId="31EBEB3F">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52F1D409">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7566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6F7593E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第七条禁止在自然保护区核心区、缓冲区的岸线和河段范围内投资建设旅游和生产经营项目。自然保护区的内部未分区的，依照核心区和缓冲区的规定管控。</w:t>
                  </w:r>
                </w:p>
              </w:tc>
              <w:tc>
                <w:tcPr>
                  <w:tcW w:w="1400" w:type="dxa"/>
                  <w:vAlign w:val="center"/>
                </w:tcPr>
                <w:p w14:paraId="4F7CF7DC">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5D9F1B1A">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7FB9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7F43455E">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第八条禁止违反风景名胜区规划，在风景名胜区内设立各类开发区。禁止在风景名胜区核心景区的岸线和河段范围内建设宾馆、招待所、培训中心、疗养院以及与风景名胜资源保护无关的项目。</w:t>
                  </w:r>
                </w:p>
              </w:tc>
              <w:tc>
                <w:tcPr>
                  <w:tcW w:w="1400" w:type="dxa"/>
                  <w:vAlign w:val="center"/>
                </w:tcPr>
                <w:p w14:paraId="31F3B299">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15C04DDA">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095C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0392008F">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第九条禁止在饮用水水源</w:t>
                  </w:r>
                  <w:r>
                    <w:rPr>
                      <w:rFonts w:hint="default" w:ascii="Times New Roman" w:hAnsi="Times New Roman" w:eastAsia="宋体" w:cs="Times New Roman"/>
                      <w:color w:val="auto"/>
                      <w:sz w:val="21"/>
                      <w:szCs w:val="21"/>
                      <w:highlight w:val="none"/>
                      <w:lang w:eastAsia="zh-CN"/>
                    </w:rPr>
                    <w:t>标</w:t>
                  </w:r>
                  <w:r>
                    <w:rPr>
                      <w:rFonts w:hint="default" w:ascii="Times New Roman" w:hAnsi="Times New Roman" w:eastAsia="宋体" w:cs="Times New Roman"/>
                      <w:color w:val="auto"/>
                      <w:sz w:val="21"/>
                      <w:szCs w:val="21"/>
                      <w:highlight w:val="none"/>
                    </w:rPr>
                    <w:t>准保护区的岸线和河段范围内新建、扩建对水体污染严重的建设项目，禁止改建增加排污量的建设项目。</w:t>
                  </w:r>
                </w:p>
              </w:tc>
              <w:tc>
                <w:tcPr>
                  <w:tcW w:w="1400" w:type="dxa"/>
                  <w:vAlign w:val="center"/>
                </w:tcPr>
                <w:p w14:paraId="455CC550">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45AEC599">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415E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76925CAE">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第十条饮用水水源二级保护区的岸线和河段范围内，除遵守准保护区规定外，禁止新建、改建、扩建排放污染物的投资建设项目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禁止从事对水体有污染的水产养殖等活动。</w:t>
                  </w:r>
                </w:p>
              </w:tc>
              <w:tc>
                <w:tcPr>
                  <w:tcW w:w="1400" w:type="dxa"/>
                  <w:vAlign w:val="center"/>
                </w:tcPr>
                <w:p w14:paraId="5CCC251F">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10F4DDE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25E8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74C025A5">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400" w:type="dxa"/>
                  <w:vAlign w:val="center"/>
                </w:tcPr>
                <w:p w14:paraId="4679998C">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27995EC2">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4FF0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7DF6E2D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第十二条禁止在水产种质资源保护区岸线和河段范围内新建围湖造田、围湖造地或挖沙采石等投资建设项目。</w:t>
                  </w:r>
                </w:p>
              </w:tc>
              <w:tc>
                <w:tcPr>
                  <w:tcW w:w="1400" w:type="dxa"/>
                  <w:vAlign w:val="center"/>
                </w:tcPr>
                <w:p w14:paraId="0D1590EC">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01E7A446">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7397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5" w:type="dxa"/>
                  <w:vAlign w:val="top"/>
                </w:tcPr>
                <w:p w14:paraId="6951A91C">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第十三条禁止在国家湿地公园的岸线和河段范围内开</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default" w:ascii="Times New Roman" w:hAnsi="Times New Roman" w:eastAsia="宋体" w:cs="Times New Roman"/>
                      <w:color w:val="auto"/>
                      <w:sz w:val="21"/>
                      <w:szCs w:val="21"/>
                      <w:highlight w:val="none"/>
                      <w:lang w:eastAsia="zh-CN"/>
                    </w:rPr>
                    <w:t>洄游</w:t>
                  </w:r>
                  <w:r>
                    <w:rPr>
                      <w:rFonts w:hint="default" w:ascii="Times New Roman" w:hAnsi="Times New Roman" w:eastAsia="宋体" w:cs="Times New Roman"/>
                      <w:color w:val="auto"/>
                      <w:sz w:val="21"/>
                      <w:szCs w:val="21"/>
                      <w:highlight w:val="none"/>
                    </w:rPr>
                    <w:t>通道。</w:t>
                  </w:r>
                </w:p>
              </w:tc>
              <w:tc>
                <w:tcPr>
                  <w:tcW w:w="1400" w:type="dxa"/>
                  <w:vAlign w:val="center"/>
                </w:tcPr>
                <w:p w14:paraId="67D3363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1A0C5FB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zh-CN"/>
                    </w:rPr>
                  </w:pPr>
                  <w:r>
                    <w:rPr>
                      <w:rFonts w:hint="default" w:ascii="Times New Roman" w:hAnsi="Times New Roman" w:eastAsia="宋体" w:cs="Times New Roman"/>
                      <w:color w:val="auto"/>
                      <w:sz w:val="21"/>
                      <w:szCs w:val="21"/>
                      <w:highlight w:val="none"/>
                      <w:lang w:val="en-US" w:eastAsia="zh-CN"/>
                    </w:rPr>
                    <w:t>符合</w:t>
                  </w:r>
                </w:p>
              </w:tc>
            </w:tr>
            <w:tr w14:paraId="3DCA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6167A1AD">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00" w:type="dxa"/>
                  <w:vAlign w:val="center"/>
                </w:tcPr>
                <w:p w14:paraId="7A5F6CA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29119E13">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8B1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694069B6">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第十五条禁止在《全国重要江河湖泊水功能区划》划定的河段及湖泊保护区、保留区内投资建设不利于水资源及自然生态保护的项目。</w:t>
                  </w:r>
                </w:p>
              </w:tc>
              <w:tc>
                <w:tcPr>
                  <w:tcW w:w="1400" w:type="dxa"/>
                  <w:vAlign w:val="center"/>
                </w:tcPr>
                <w:p w14:paraId="132FDB3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34BC5A80">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B0C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46EEEE95">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第十六条禁止在长江流域江河、湖泊新设、改设或者扩大排污口，经有管辖权的生态环境主管部门或者长江流域生态环境监督管理机构同意的除外。</w:t>
                  </w:r>
                </w:p>
              </w:tc>
              <w:tc>
                <w:tcPr>
                  <w:tcW w:w="1400" w:type="dxa"/>
                  <w:vAlign w:val="center"/>
                </w:tcPr>
                <w:p w14:paraId="392CA31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70BA605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67F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7CBD5432">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第十七条禁止在长江干流、大渡河、岷江、赤水河、沱江、乌江、汉江和51个（四川省45个、重庆市6个）水生生物保护区开展生产性捕捞。</w:t>
                  </w:r>
                </w:p>
              </w:tc>
              <w:tc>
                <w:tcPr>
                  <w:tcW w:w="1400" w:type="dxa"/>
                  <w:vAlign w:val="center"/>
                </w:tcPr>
                <w:p w14:paraId="2D6BC9E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2F3BA81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861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129315E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第十八条禁止在长江干支流、重要湖泊岸线一公里范围内新建、扩建化工园区和化工项目。</w:t>
                  </w:r>
                </w:p>
              </w:tc>
              <w:tc>
                <w:tcPr>
                  <w:tcW w:w="1400" w:type="dxa"/>
                  <w:vAlign w:val="center"/>
                </w:tcPr>
                <w:p w14:paraId="5A879C7B">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rPr>
                    <w:t>新建、扩建化工项目。</w:t>
                  </w:r>
                </w:p>
              </w:tc>
              <w:tc>
                <w:tcPr>
                  <w:tcW w:w="866" w:type="dxa"/>
                  <w:vAlign w:val="center"/>
                </w:tcPr>
                <w:p w14:paraId="0940E4AF">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7D5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388B535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第十九条禁止在长江干流岸线三公里范围内和重要支流岸线一公里范围内新建、改建、扩建尾矿库、冶炼渣库、磷石膏库，以提升安全、生态环境保护水平为</w:t>
                  </w:r>
                  <w:r>
                    <w:rPr>
                      <w:rFonts w:hint="default"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rPr>
                    <w:t>目的的改建除外。</w:t>
                  </w:r>
                </w:p>
              </w:tc>
              <w:tc>
                <w:tcPr>
                  <w:tcW w:w="1400" w:type="dxa"/>
                  <w:vAlign w:val="center"/>
                </w:tcPr>
                <w:p w14:paraId="0C7E634C">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124ED1D5">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25A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7034959D">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第二十条禁止在生态保护红线区域、永久基本农田集中区域和其他需要特别保护的区域内选址建设尾矿库﹑冶炼渣库、磷石膏库。</w:t>
                  </w:r>
                </w:p>
              </w:tc>
              <w:tc>
                <w:tcPr>
                  <w:tcW w:w="1400" w:type="dxa"/>
                  <w:vAlign w:val="center"/>
                </w:tcPr>
                <w:p w14:paraId="2487DB8D">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866" w:type="dxa"/>
                  <w:vAlign w:val="center"/>
                </w:tcPr>
                <w:p w14:paraId="3CDFB81D">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1F1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097C9CF5">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第二十一条禁止在合规园区外新建、扩建钢铁、石化、化工、焦化、建材、有色、制浆造纸等高污染项目。</w:t>
                  </w:r>
                </w:p>
              </w:tc>
              <w:tc>
                <w:tcPr>
                  <w:tcW w:w="1400" w:type="dxa"/>
                  <w:vAlign w:val="center"/>
                </w:tcPr>
                <w:p w14:paraId="468615F3">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本项目位于合规园区内</w:t>
                  </w:r>
                </w:p>
              </w:tc>
              <w:tc>
                <w:tcPr>
                  <w:tcW w:w="866" w:type="dxa"/>
                  <w:vAlign w:val="center"/>
                </w:tcPr>
                <w:p w14:paraId="647B5A62">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E19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top"/>
                </w:tcPr>
                <w:p w14:paraId="415937C7">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第二十二条禁止新建、扩建不符合国家石化、现代煤化工等产业布局规划的项目。</w:t>
                  </w:r>
                </w:p>
                <w:p w14:paraId="016E490A">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严格控制新增炼油产能，未列入《石化产业规划布局方案（修订版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》的新增炼油产能一律不得建设。</w:t>
                  </w:r>
                </w:p>
                <w:p w14:paraId="4E681650">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二）新建煤制烯烃、煤制芳烃项目必须列入《现代煤化工产业创新发展布局方案》，必须符合《现代煤化工建设项目环境准入条件（试行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》要求。</w:t>
                  </w:r>
                </w:p>
              </w:tc>
              <w:tc>
                <w:tcPr>
                  <w:tcW w:w="1400" w:type="dxa"/>
                  <w:vAlign w:val="center"/>
                </w:tcPr>
                <w:p w14:paraId="592B1DE0">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本项目不属于石化及煤化工</w:t>
                  </w:r>
                </w:p>
              </w:tc>
              <w:tc>
                <w:tcPr>
                  <w:tcW w:w="866" w:type="dxa"/>
                  <w:vAlign w:val="center"/>
                </w:tcPr>
                <w:p w14:paraId="00F237CA">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1D1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317D87E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第二十三条禁止新建、扩建法律法规和相关政策明令禁止的落后产能项目。对《产业结构调整指导目录》中淘汰类项目，禁止投资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限制类的新建项目，禁止投资，对属于限制类的现有生产能力，允许企业在一定期限内采取措施改造升级。</w:t>
                  </w:r>
                </w:p>
              </w:tc>
              <w:tc>
                <w:tcPr>
                  <w:tcW w:w="1400" w:type="dxa"/>
                  <w:vAlign w:val="center"/>
                </w:tcPr>
                <w:p w14:paraId="013BBFF6">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根据《产业结构调整指导目录》</w:t>
                  </w:r>
                  <w:r>
                    <w:rPr>
                      <w:rFonts w:hint="eastAsia" w:ascii="Times New Roman" w:hAnsi="Times New Roman" w:eastAsia="宋体" w:cs="Times New Roman"/>
                      <w:color w:val="auto"/>
                      <w:sz w:val="21"/>
                      <w:szCs w:val="21"/>
                      <w:highlight w:val="none"/>
                      <w:lang w:val="en-US" w:eastAsia="zh-CN"/>
                    </w:rPr>
                    <w:t>（2024年本），</w:t>
                  </w:r>
                  <w:r>
                    <w:rPr>
                      <w:rFonts w:hint="default" w:ascii="Times New Roman" w:hAnsi="Times New Roman" w:eastAsia="宋体" w:cs="Times New Roman"/>
                      <w:color w:val="auto"/>
                      <w:sz w:val="21"/>
                      <w:szCs w:val="21"/>
                      <w:highlight w:val="none"/>
                      <w:lang w:val="en-US" w:eastAsia="zh-CN"/>
                    </w:rPr>
                    <w:t>本项目属于</w:t>
                  </w:r>
                  <w:r>
                    <w:rPr>
                      <w:rFonts w:hint="eastAsia" w:ascii="Times New Roman" w:hAnsi="Times New Roman" w:eastAsia="宋体" w:cs="Times New Roman"/>
                      <w:color w:val="auto"/>
                      <w:sz w:val="21"/>
                      <w:szCs w:val="21"/>
                      <w:highlight w:val="none"/>
                      <w:lang w:val="en-US" w:eastAsia="zh-CN"/>
                    </w:rPr>
                    <w:t>允许</w:t>
                  </w:r>
                  <w:r>
                    <w:rPr>
                      <w:rFonts w:hint="default" w:ascii="Times New Roman" w:hAnsi="Times New Roman" w:eastAsia="宋体" w:cs="Times New Roman"/>
                      <w:color w:val="auto"/>
                      <w:sz w:val="21"/>
                      <w:szCs w:val="21"/>
                      <w:highlight w:val="none"/>
                      <w:lang w:val="en-US" w:eastAsia="zh-CN"/>
                    </w:rPr>
                    <w:t>类</w:t>
                  </w:r>
                </w:p>
              </w:tc>
              <w:tc>
                <w:tcPr>
                  <w:tcW w:w="866" w:type="dxa"/>
                  <w:vAlign w:val="center"/>
                </w:tcPr>
                <w:p w14:paraId="41DE17FA">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A7B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1F30596D">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第二十四条禁止新建、扩建不符合国家产能置换要求的严重过剩产能行业的项目。对于不符合国家产能置换要求的严重过剩产能行业，不得以其他任何名义、任何方式备案新增产能项目。</w:t>
                  </w:r>
                </w:p>
              </w:tc>
              <w:tc>
                <w:tcPr>
                  <w:tcW w:w="1400" w:type="dxa"/>
                  <w:vAlign w:val="center"/>
                </w:tcPr>
                <w:p w14:paraId="64C0088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p>
              </w:tc>
              <w:tc>
                <w:tcPr>
                  <w:tcW w:w="866" w:type="dxa"/>
                  <w:vAlign w:val="center"/>
                </w:tcPr>
                <w:p w14:paraId="2F22451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0BC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0BAD5288">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第二十五条禁止建设以下燃油汽车投资项目（不在中国境内销售产品的投资项目除外</w:t>
                  </w:r>
                  <w:r>
                    <w:rPr>
                      <w:rFonts w:hint="default" w:ascii="Times New Roman" w:hAnsi="Times New Roman" w:eastAsia="宋体" w:cs="Times New Roman"/>
                      <w:color w:val="auto"/>
                      <w:sz w:val="21"/>
                      <w:szCs w:val="21"/>
                      <w:highlight w:val="none"/>
                      <w:lang w:eastAsia="zh-CN"/>
                    </w:rPr>
                    <w:t>）：</w:t>
                  </w:r>
                </w:p>
                <w:p w14:paraId="605D076F">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一）新建独立燃油汽车企业</w:t>
                  </w:r>
                  <w:r>
                    <w:rPr>
                      <w:rFonts w:hint="default" w:ascii="Times New Roman" w:hAnsi="Times New Roman" w:eastAsia="宋体" w:cs="Times New Roman"/>
                      <w:color w:val="auto"/>
                      <w:sz w:val="21"/>
                      <w:szCs w:val="21"/>
                      <w:highlight w:val="none"/>
                      <w:lang w:eastAsia="zh-CN"/>
                    </w:rPr>
                    <w:t>；</w:t>
                  </w:r>
                </w:p>
                <w:p w14:paraId="5E0BDCC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二）现有汽车企业跨乘用车、商用车类别建设燃油汽车生产能力</w:t>
                  </w:r>
                  <w:r>
                    <w:rPr>
                      <w:rFonts w:hint="default" w:ascii="Times New Roman" w:hAnsi="Times New Roman" w:eastAsia="宋体" w:cs="Times New Roman"/>
                      <w:color w:val="auto"/>
                      <w:sz w:val="21"/>
                      <w:szCs w:val="21"/>
                      <w:highlight w:val="none"/>
                      <w:lang w:eastAsia="zh-CN"/>
                    </w:rPr>
                    <w:t>；</w:t>
                  </w:r>
                </w:p>
                <w:p w14:paraId="20BB1C16">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三）外省现有燃油汽车企业整体搬迁至本省（列入国家级区域发展规划或不改变企业股权结构的项目除外</w:t>
                  </w:r>
                  <w:r>
                    <w:rPr>
                      <w:rFonts w:hint="default" w:ascii="Times New Roman" w:hAnsi="Times New Roman" w:eastAsia="宋体" w:cs="Times New Roman"/>
                      <w:color w:val="auto"/>
                      <w:sz w:val="21"/>
                      <w:szCs w:val="21"/>
                      <w:highlight w:val="none"/>
                      <w:lang w:eastAsia="zh-CN"/>
                    </w:rPr>
                    <w:t>）；</w:t>
                  </w:r>
                </w:p>
                <w:p w14:paraId="690E43E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四）对行业管理部门特别公示的燃油汽车企业进行投资企业原有股东投资或将该企业转为非独立法人的投资项目除</w:t>
                  </w:r>
                  <w:r>
                    <w:rPr>
                      <w:rFonts w:hint="default" w:ascii="Times New Roman" w:hAnsi="Times New Roman" w:eastAsia="宋体" w:cs="Times New Roman"/>
                      <w:color w:val="auto"/>
                      <w:sz w:val="21"/>
                      <w:szCs w:val="21"/>
                      <w:highlight w:val="none"/>
                      <w:lang w:val="en-US" w:eastAsia="zh-CN"/>
                    </w:rPr>
                    <w:t>外。</w:t>
                  </w:r>
                </w:p>
              </w:tc>
              <w:tc>
                <w:tcPr>
                  <w:tcW w:w="1400" w:type="dxa"/>
                  <w:vAlign w:val="center"/>
                </w:tcPr>
                <w:p w14:paraId="33EEEE48">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p>
              </w:tc>
              <w:tc>
                <w:tcPr>
                  <w:tcW w:w="866" w:type="dxa"/>
                  <w:vAlign w:val="center"/>
                </w:tcPr>
                <w:p w14:paraId="43E7D57E">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19C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5" w:type="dxa"/>
                  <w:vAlign w:val="center"/>
                </w:tcPr>
                <w:p w14:paraId="0AE05184">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第二十六条禁止新建、扩建不符合要求的高耗能、高排放、低水平项目。</w:t>
                  </w:r>
                </w:p>
              </w:tc>
              <w:tc>
                <w:tcPr>
                  <w:tcW w:w="1400" w:type="dxa"/>
                  <w:vAlign w:val="center"/>
                </w:tcPr>
                <w:p w14:paraId="3144B6A0">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p>
              </w:tc>
              <w:tc>
                <w:tcPr>
                  <w:tcW w:w="866" w:type="dxa"/>
                  <w:vAlign w:val="center"/>
                </w:tcPr>
                <w:p w14:paraId="19638481">
                  <w:pPr>
                    <w:pStyle w:val="145"/>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30CB8A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lang w:val="zh-CN"/>
              </w:rPr>
            </w:pPr>
            <w:r>
              <w:rPr>
                <w:rFonts w:ascii="Times New Roman" w:hAnsi="Times New Roman" w:cs="Times New Roman"/>
                <w:color w:val="auto"/>
                <w:sz w:val="24"/>
                <w:szCs w:val="24"/>
                <w:highlight w:val="none"/>
              </w:rPr>
              <w:t>根据以上分析，</w:t>
            </w:r>
            <w:r>
              <w:rPr>
                <w:rFonts w:ascii="Times New Roman" w:hAnsi="Times New Roman" w:cs="Times New Roman"/>
                <w:color w:val="auto"/>
                <w:sz w:val="24"/>
                <w:szCs w:val="24"/>
                <w:highlight w:val="none"/>
                <w:lang w:val="zh-CN"/>
              </w:rPr>
              <w:t>本项目的建设符合《长江经济带发展负面清单指南试行（</w:t>
            </w:r>
            <w:r>
              <w:rPr>
                <w:rFonts w:ascii="Times New Roman" w:hAnsi="Times New Roman" w:cs="Times New Roman"/>
                <w:color w:val="auto"/>
                <w:sz w:val="24"/>
                <w:szCs w:val="24"/>
                <w:highlight w:val="none"/>
              </w:rPr>
              <w:t>2022版</w:t>
            </w:r>
            <w:r>
              <w:rPr>
                <w:rFonts w:ascii="Times New Roman" w:hAnsi="Times New Roman" w:cs="Times New Roman"/>
                <w:color w:val="auto"/>
                <w:sz w:val="24"/>
                <w:szCs w:val="24"/>
                <w:highlight w:val="none"/>
                <w:lang w:val="zh-CN"/>
              </w:rPr>
              <w:t>）》（长江办〔</w:t>
            </w:r>
            <w:r>
              <w:rPr>
                <w:rFonts w:ascii="Times New Roman" w:hAnsi="Times New Roman" w:cs="Times New Roman"/>
                <w:color w:val="auto"/>
                <w:sz w:val="24"/>
                <w:szCs w:val="24"/>
                <w:highlight w:val="none"/>
              </w:rPr>
              <w:t>2022</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rPr>
              <w:t>7号</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及</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四川省、重庆市</w:t>
            </w:r>
            <w:r>
              <w:rPr>
                <w:rFonts w:ascii="Times New Roman" w:hAnsi="Times New Roman" w:cs="Times New Roman"/>
                <w:color w:val="auto"/>
                <w:sz w:val="24"/>
                <w:szCs w:val="24"/>
                <w:highlight w:val="none"/>
                <w:lang w:val="zh-CN"/>
              </w:rPr>
              <w:t>长江经济带发展负面</w:t>
            </w:r>
            <w:r>
              <w:rPr>
                <w:rFonts w:ascii="Times New Roman" w:hAnsi="Times New Roman" w:cs="Times New Roman"/>
                <w:color w:val="auto"/>
                <w:sz w:val="24"/>
                <w:szCs w:val="24"/>
                <w:highlight w:val="none"/>
                <w:lang w:val="en-US" w:eastAsia="zh-CN"/>
              </w:rPr>
              <w:t>清单实施细则</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试行，</w:t>
            </w:r>
            <w:r>
              <w:rPr>
                <w:rFonts w:ascii="Times New Roman" w:hAnsi="Times New Roman" w:cs="Times New Roman"/>
                <w:color w:val="auto"/>
                <w:sz w:val="24"/>
                <w:szCs w:val="24"/>
                <w:highlight w:val="none"/>
              </w:rPr>
              <w:t>2022版</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川长江办</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rPr>
              <w:t>2022</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7号</w:t>
            </w:r>
            <w:r>
              <w:rPr>
                <w:rFonts w:ascii="Times New Roman" w:hAnsi="Times New Roman" w:cs="Times New Roman"/>
                <w:color w:val="auto"/>
                <w:sz w:val="24"/>
                <w:szCs w:val="24"/>
                <w:highlight w:val="none"/>
                <w:lang w:val="zh-CN"/>
              </w:rPr>
              <w:t>）的</w:t>
            </w:r>
            <w:r>
              <w:rPr>
                <w:rFonts w:ascii="Times New Roman" w:hAnsi="Times New Roman" w:cs="Times New Roman"/>
                <w:color w:val="auto"/>
                <w:sz w:val="24"/>
                <w:szCs w:val="24"/>
                <w:highlight w:val="none"/>
                <w:lang w:val="en-US" w:eastAsia="zh-CN"/>
              </w:rPr>
              <w:t>文件</w:t>
            </w:r>
            <w:r>
              <w:rPr>
                <w:rFonts w:ascii="Times New Roman" w:hAnsi="Times New Roman" w:cs="Times New Roman"/>
                <w:color w:val="auto"/>
                <w:sz w:val="24"/>
                <w:szCs w:val="24"/>
                <w:highlight w:val="none"/>
                <w:lang w:val="zh-CN"/>
              </w:rPr>
              <w:t>要求。</w:t>
            </w:r>
            <w:r>
              <w:rPr>
                <w:rFonts w:ascii="Times New Roman" w:hAnsi="Times New Roman" w:cs="Times New Roman"/>
                <w:color w:val="auto"/>
                <w:sz w:val="24"/>
                <w:szCs w:val="24"/>
                <w:highlight w:val="none"/>
              </w:rPr>
              <w:t>2019年8月27日四川省推动长江经济带发展领导小组发布了</w:t>
            </w:r>
            <w:r>
              <w:rPr>
                <w:rFonts w:ascii="Times New Roman" w:hAnsi="Times New Roman" w:cs="Times New Roman"/>
                <w:color w:val="auto"/>
                <w:sz w:val="24"/>
                <w:szCs w:val="24"/>
                <w:highlight w:val="none"/>
                <w:lang w:val="zh-CN"/>
              </w:rPr>
              <w:t>《四川省长江经济带发展负面清单实施细则（试行）》（川长江办〔</w:t>
            </w:r>
            <w:r>
              <w:rPr>
                <w:rFonts w:ascii="Times New Roman" w:hAnsi="Times New Roman" w:cs="Times New Roman"/>
                <w:color w:val="auto"/>
                <w:sz w:val="24"/>
                <w:szCs w:val="24"/>
                <w:highlight w:val="none"/>
              </w:rPr>
              <w:t>2019</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rPr>
              <w:t>8号</w:t>
            </w:r>
            <w:r>
              <w:rPr>
                <w:rFonts w:ascii="Times New Roman" w:hAnsi="Times New Roman" w:cs="Times New Roman"/>
                <w:color w:val="auto"/>
                <w:sz w:val="24"/>
                <w:szCs w:val="24"/>
                <w:highlight w:val="none"/>
                <w:lang w:val="zh-CN"/>
              </w:rPr>
              <w:t>）。根据文件精神，……禁止在长江干流和主要支流（包括：岷江干流、沱江干流、赤水河干流、嘉陵江干流、雅砻江干流）1公里〔指长江干支流岸线边界（即水利部门河道管理范围边界）向陆域纵深</w:t>
            </w:r>
            <w:r>
              <w:rPr>
                <w:rFonts w:ascii="Times New Roman" w:hAnsi="Times New Roman" w:cs="Times New Roman"/>
                <w:color w:val="auto"/>
                <w:sz w:val="24"/>
                <w:szCs w:val="24"/>
                <w:highlight w:val="none"/>
              </w:rPr>
              <w:t>1</w:t>
            </w:r>
            <w:r>
              <w:rPr>
                <w:rFonts w:ascii="Times New Roman" w:hAnsi="Times New Roman" w:cs="Times New Roman"/>
                <w:color w:val="auto"/>
                <w:sz w:val="24"/>
                <w:szCs w:val="24"/>
                <w:highlight w:val="none"/>
                <w:lang w:val="zh-CN"/>
              </w:rPr>
              <w:t>公里〕范围内新建、扩建化工园区和化工项目。……禁止新建、扩建法律法规和相关政策明令禁止的落后产能项目。对《产业结构调整指导目录》</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2024年本</w:t>
            </w:r>
            <w:r>
              <w:rPr>
                <w:rFonts w:hint="eastAsia" w:cs="Times New Roman"/>
                <w:color w:val="auto"/>
                <w:sz w:val="24"/>
                <w:szCs w:val="24"/>
                <w:highlight w:val="none"/>
                <w:lang w:val="zh-CN"/>
              </w:rPr>
              <w:t>）</w:t>
            </w:r>
            <w:r>
              <w:rPr>
                <w:rFonts w:ascii="Times New Roman" w:hAnsi="Times New Roman" w:cs="Times New Roman"/>
                <w:color w:val="auto"/>
                <w:sz w:val="24"/>
                <w:szCs w:val="24"/>
                <w:highlight w:val="none"/>
                <w:lang w:val="zh-CN"/>
              </w:rPr>
              <w:t>中淘汰类项目，禁止投资；限制类的新建项目，禁止投资，对属于限制类的现有生产能力，允许企业在一定期限内采取措施改造升级……。</w:t>
            </w:r>
          </w:p>
          <w:p w14:paraId="2EF934BC">
            <w:pPr>
              <w:bidi w:val="0"/>
              <w:spacing w:line="360" w:lineRule="auto"/>
              <w:ind w:firstLine="482" w:firstLineChars="20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lang w:val="zh-CN"/>
              </w:rPr>
              <w:t>本项目</w:t>
            </w:r>
            <w:r>
              <w:rPr>
                <w:rFonts w:hint="eastAsia" w:cs="Times New Roman"/>
                <w:b/>
                <w:bCs/>
                <w:color w:val="auto"/>
                <w:sz w:val="24"/>
                <w:szCs w:val="24"/>
                <w:highlight w:val="none"/>
                <w:lang w:val="en-US" w:eastAsia="zh-CN"/>
              </w:rPr>
              <w:t>临近</w:t>
            </w:r>
            <w:r>
              <w:rPr>
                <w:rFonts w:ascii="Times New Roman" w:hAnsi="Times New Roman" w:cs="Times New Roman"/>
                <w:b/>
                <w:bCs/>
                <w:color w:val="auto"/>
                <w:sz w:val="24"/>
                <w:szCs w:val="24"/>
                <w:highlight w:val="none"/>
                <w:lang w:val="en-US" w:eastAsia="zh-CN"/>
              </w:rPr>
              <w:t>郪江</w:t>
            </w:r>
            <w:r>
              <w:rPr>
                <w:rFonts w:hint="eastAsia" w:cs="Times New Roman"/>
                <w:b/>
                <w:bCs/>
                <w:color w:val="auto"/>
                <w:sz w:val="24"/>
                <w:szCs w:val="24"/>
                <w:highlight w:val="none"/>
                <w:lang w:val="en-US" w:eastAsia="zh-CN"/>
              </w:rPr>
              <w:t>（长江支流嘉陵江支流涪江的支流，即长江三级支流）</w:t>
            </w:r>
            <w:r>
              <w:rPr>
                <w:rFonts w:ascii="Times New Roman" w:hAnsi="Times New Roman" w:cs="Times New Roman"/>
                <w:b/>
                <w:bCs/>
                <w:color w:val="auto"/>
                <w:sz w:val="24"/>
                <w:szCs w:val="24"/>
                <w:highlight w:val="none"/>
                <w:lang w:val="zh-CN"/>
              </w:rPr>
              <w:t>，不属于落后产能，不属于四川大英经济开发区</w:t>
            </w:r>
            <w:r>
              <w:rPr>
                <w:rFonts w:ascii="Times New Roman" w:hAnsi="Times New Roman" w:cs="Times New Roman"/>
                <w:b/>
                <w:bCs/>
                <w:color w:val="auto"/>
                <w:sz w:val="24"/>
                <w:szCs w:val="24"/>
                <w:highlight w:val="none"/>
              </w:rPr>
              <w:t>中的限制类和禁止类</w:t>
            </w:r>
            <w:r>
              <w:rPr>
                <w:rFonts w:ascii="Times New Roman" w:hAnsi="Times New Roman" w:cs="Times New Roman"/>
                <w:b/>
                <w:bCs/>
                <w:color w:val="auto"/>
                <w:sz w:val="24"/>
                <w:szCs w:val="24"/>
                <w:highlight w:val="none"/>
                <w:lang w:val="zh-CN"/>
              </w:rPr>
              <w:t>，</w:t>
            </w:r>
            <w:r>
              <w:rPr>
                <w:rFonts w:hint="eastAsia" w:cs="Times New Roman"/>
                <w:b/>
                <w:bCs/>
                <w:color w:val="auto"/>
                <w:sz w:val="24"/>
                <w:szCs w:val="24"/>
                <w:highlight w:val="none"/>
                <w:lang w:val="en-US" w:eastAsia="zh-CN"/>
              </w:rPr>
              <w:t>本项目仅对现有10000t/a醇胺产品中的2500t/a三乙醇胺和500t/aN-甲基一乙醇胺产品进行提纯，属于对原项目的技改</w:t>
            </w:r>
            <w:r>
              <w:rPr>
                <w:rFonts w:hint="eastAsia" w:ascii="Times New Roman" w:hAnsi="Times New Roman" w:cs="Times New Roman"/>
                <w:b/>
                <w:bCs/>
                <w:color w:val="auto"/>
                <w:sz w:val="24"/>
                <w:szCs w:val="24"/>
                <w:highlight w:val="none"/>
                <w:lang w:val="zh-CN"/>
              </w:rPr>
              <w:t>。</w:t>
            </w:r>
            <w:r>
              <w:rPr>
                <w:rFonts w:hint="eastAsia" w:cs="Times New Roman"/>
                <w:b/>
                <w:bCs/>
                <w:color w:val="auto"/>
                <w:sz w:val="24"/>
                <w:szCs w:val="24"/>
                <w:highlight w:val="none"/>
                <w:lang w:val="en-US" w:eastAsia="zh-CN"/>
              </w:rPr>
              <w:t>此外，根据2024年12月4日四川省人民代表大会常务委员会关于修改《四川省嘉陵江流域生态环境保护条例》的决定，将《四川省嘉陵江流域生态环境保护条例》中第十七条第二款修改为：“在嘉陵江干支流岸线新建、扩建化工园区和化工项目，应当符合《中华人民共和国长江保护法》和国家有关规定。”本项目为技改项目，且不涉及长江二级及以上支流，符合《中华人民共和国长江保护法》，符合要求。</w:t>
            </w:r>
            <w:r>
              <w:rPr>
                <w:rFonts w:hint="eastAsia" w:ascii="Times New Roman" w:hAnsi="Times New Roman" w:cs="Times New Roman"/>
                <w:b/>
                <w:bCs/>
                <w:color w:val="auto"/>
                <w:sz w:val="24"/>
                <w:szCs w:val="24"/>
                <w:highlight w:val="none"/>
                <w:lang w:val="zh-CN"/>
              </w:rPr>
              <w:t>项目</w:t>
            </w:r>
            <w:r>
              <w:rPr>
                <w:rFonts w:ascii="Times New Roman" w:hAnsi="Times New Roman" w:cs="Times New Roman"/>
                <w:b/>
                <w:bCs/>
                <w:color w:val="auto"/>
                <w:sz w:val="24"/>
                <w:szCs w:val="24"/>
                <w:highlight w:val="none"/>
                <w:lang w:val="en-US" w:eastAsia="zh-CN"/>
              </w:rPr>
              <w:t>属于</w:t>
            </w:r>
            <w:r>
              <w:rPr>
                <w:rFonts w:ascii="Times New Roman" w:hAnsi="Times New Roman" w:cs="Times New Roman"/>
                <w:b/>
                <w:bCs/>
                <w:color w:val="auto"/>
                <w:sz w:val="24"/>
                <w:szCs w:val="24"/>
                <w:highlight w:val="none"/>
              </w:rPr>
              <w:t>《产业结构调整指导目录（20</w:t>
            </w:r>
            <w:r>
              <w:rPr>
                <w:rFonts w:ascii="Times New Roman" w:hAnsi="Times New Roman" w:cs="Times New Roman"/>
                <w:b/>
                <w:bCs/>
                <w:color w:val="auto"/>
                <w:sz w:val="24"/>
                <w:szCs w:val="24"/>
                <w:highlight w:val="none"/>
                <w:lang w:val="en-US" w:eastAsia="zh-CN"/>
              </w:rPr>
              <w:t>24</w:t>
            </w:r>
            <w:r>
              <w:rPr>
                <w:rFonts w:ascii="Times New Roman" w:hAnsi="Times New Roman" w:cs="Times New Roman"/>
                <w:b/>
                <w:bCs/>
                <w:color w:val="auto"/>
                <w:sz w:val="24"/>
                <w:szCs w:val="24"/>
                <w:highlight w:val="none"/>
              </w:rPr>
              <w:t>年本）》</w:t>
            </w:r>
            <w:r>
              <w:rPr>
                <w:rFonts w:ascii="Times New Roman" w:hAnsi="Times New Roman" w:cs="Times New Roman"/>
                <w:b/>
                <w:bCs/>
                <w:color w:val="auto"/>
                <w:sz w:val="24"/>
                <w:szCs w:val="24"/>
                <w:highlight w:val="none"/>
                <w:lang w:val="en-US" w:eastAsia="zh-CN"/>
              </w:rPr>
              <w:t>允许类，</w:t>
            </w:r>
            <w:r>
              <w:rPr>
                <w:rFonts w:ascii="Times New Roman" w:hAnsi="Times New Roman" w:cs="Times New Roman"/>
                <w:b/>
                <w:bCs/>
                <w:color w:val="auto"/>
                <w:sz w:val="24"/>
                <w:szCs w:val="24"/>
                <w:highlight w:val="none"/>
                <w:lang w:val="zh-CN"/>
              </w:rPr>
              <w:t>因此本项目的建设符合《四川省长江经济带发展负面清单实施细则（试行）》（川长江办〔</w:t>
            </w:r>
            <w:r>
              <w:rPr>
                <w:rFonts w:ascii="Times New Roman" w:hAnsi="Times New Roman" w:cs="Times New Roman"/>
                <w:b/>
                <w:bCs/>
                <w:color w:val="auto"/>
                <w:sz w:val="24"/>
                <w:szCs w:val="24"/>
                <w:highlight w:val="none"/>
              </w:rPr>
              <w:t>2019</w:t>
            </w:r>
            <w:r>
              <w:rPr>
                <w:rFonts w:ascii="Times New Roman" w:hAnsi="Times New Roman" w:cs="Times New Roman"/>
                <w:b/>
                <w:bCs/>
                <w:color w:val="auto"/>
                <w:sz w:val="24"/>
                <w:szCs w:val="24"/>
                <w:highlight w:val="none"/>
                <w:lang w:val="zh-CN"/>
              </w:rPr>
              <w:t>〕</w:t>
            </w:r>
            <w:r>
              <w:rPr>
                <w:rFonts w:ascii="Times New Roman" w:hAnsi="Times New Roman" w:cs="Times New Roman"/>
                <w:b/>
                <w:bCs/>
                <w:color w:val="auto"/>
                <w:sz w:val="24"/>
                <w:szCs w:val="24"/>
                <w:highlight w:val="none"/>
              </w:rPr>
              <w:t>8号</w:t>
            </w:r>
            <w:r>
              <w:rPr>
                <w:rFonts w:ascii="Times New Roman" w:hAnsi="Times New Roman" w:cs="Times New Roman"/>
                <w:b/>
                <w:bCs/>
                <w:color w:val="auto"/>
                <w:sz w:val="24"/>
                <w:szCs w:val="24"/>
                <w:highlight w:val="none"/>
                <w:lang w:val="zh-CN"/>
              </w:rPr>
              <w:t>）要求。</w:t>
            </w:r>
          </w:p>
          <w:p w14:paraId="55E100B3">
            <w:pPr>
              <w:numPr>
                <w:ilvl w:val="0"/>
                <w:numId w:val="19"/>
              </w:numPr>
              <w:spacing w:line="360" w:lineRule="auto"/>
              <w:ind w:firstLine="482" w:firstLineChars="200"/>
              <w:rPr>
                <w:rFonts w:ascii="Times New Roman" w:hAnsi="Times New Roman" w:eastAsia="宋体" w:cs="Times New Roman"/>
                <w:b/>
                <w:color w:val="auto"/>
                <w:sz w:val="24"/>
                <w:szCs w:val="24"/>
                <w:highlight w:val="none"/>
                <w:lang w:val="en-US" w:eastAsia="zh-CN"/>
              </w:rPr>
            </w:pPr>
            <w:r>
              <w:rPr>
                <w:rFonts w:ascii="Times New Roman" w:hAnsi="Times New Roman" w:eastAsia="宋体" w:cs="Times New Roman"/>
                <w:b/>
                <w:color w:val="auto"/>
                <w:sz w:val="24"/>
                <w:szCs w:val="24"/>
                <w:highlight w:val="none"/>
                <w:lang w:val="en-US" w:eastAsia="zh-CN"/>
              </w:rPr>
              <w:t>选址与郪江黄颡鱼国家级水产种质资源符合性分析</w:t>
            </w:r>
          </w:p>
          <w:p w14:paraId="70707E2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outlineLvl w:val="9"/>
              <w:rPr>
                <w:rFonts w:ascii="Times New Roman" w:hAnsi="Times New Roman" w:cs="Times New Roman"/>
                <w:color w:val="auto"/>
                <w:sz w:val="24"/>
                <w:szCs w:val="24"/>
                <w:highlight w:val="none"/>
              </w:rPr>
            </w:pPr>
            <w:r>
              <w:rPr>
                <w:rFonts w:ascii="Times New Roman" w:hAnsi="Times New Roman" w:eastAsia="宋体" w:cs="Times New Roman"/>
                <w:color w:val="auto"/>
                <w:sz w:val="24"/>
                <w:szCs w:val="24"/>
                <w:highlight w:val="none"/>
              </w:rPr>
              <w:t>郪江黄颡鱼国家级水产种质资源保护区位于长江流域涪江水系的支流郪江河段，辖4个镇（象山镇、蓬莱镇、隆盛镇、回马镇），根据农业部（农办长渔</w:t>
            </w:r>
            <w:r>
              <w:rPr>
                <w:rFonts w:hint="eastAsia" w:cs="Times New Roman"/>
                <w:color w:val="auto"/>
                <w:sz w:val="24"/>
                <w:szCs w:val="24"/>
                <w:highlight w:val="none"/>
                <w:lang w:eastAsia="zh-CN"/>
              </w:rPr>
              <w:t>〔2015〕2号</w:t>
            </w:r>
            <w:r>
              <w:rPr>
                <w:rFonts w:ascii="Times New Roman" w:hAnsi="Times New Roman" w:eastAsia="宋体" w:cs="Times New Roman"/>
                <w:color w:val="auto"/>
                <w:sz w:val="24"/>
                <w:szCs w:val="24"/>
                <w:highlight w:val="none"/>
              </w:rPr>
              <w:t>）《关于调整郪江黄颡鱼等2处国家级水产种质资源保护区面积范围和功能分区的通知》，</w:t>
            </w:r>
            <w:r>
              <w:rPr>
                <w:rFonts w:ascii="Times New Roman" w:hAnsi="Times New Roman" w:eastAsia="宋体" w:cs="Times New Roman"/>
                <w:b/>
                <w:color w:val="auto"/>
                <w:sz w:val="24"/>
                <w:szCs w:val="24"/>
                <w:highlight w:val="none"/>
              </w:rPr>
              <w:t>调整后的郪江黄颡鱼国家级水产种质资源保护区总面积520公顷，其中核心</w:t>
            </w:r>
            <w:r>
              <w:rPr>
                <w:rFonts w:ascii="Times New Roman" w:hAnsi="Times New Roman" w:eastAsia="宋体" w:cs="Times New Roman"/>
                <w:color w:val="auto"/>
                <w:sz w:val="24"/>
                <w:szCs w:val="24"/>
                <w:highlight w:val="none"/>
              </w:rPr>
              <mc:AlternateContent>
                <mc:Choice Requires="wps">
                  <w:drawing>
                    <wp:anchor distT="0" distB="0" distL="113665" distR="113665" simplePos="0" relativeHeight="251664384" behindDoc="0" locked="0" layoutInCell="1" allowOverlap="1">
                      <wp:simplePos x="0" y="0"/>
                      <wp:positionH relativeFrom="column">
                        <wp:posOffset>4292600</wp:posOffset>
                      </wp:positionH>
                      <wp:positionV relativeFrom="paragraph">
                        <wp:posOffset>2143125</wp:posOffset>
                      </wp:positionV>
                      <wp:extent cx="209550" cy="304800"/>
                      <wp:effectExtent l="0" t="0" r="0" b="0"/>
                      <wp:wrapNone/>
                      <wp:docPr id="16" name="文本框 37"/>
                      <wp:cNvGraphicFramePr/>
                      <a:graphic xmlns:a="http://schemas.openxmlformats.org/drawingml/2006/main">
                        <a:graphicData uri="http://schemas.microsoft.com/office/word/2010/wordprocessingShape">
                          <wps:wsp>
                            <wps:cNvSpPr/>
                            <wps:spPr>
                              <a:xfrm>
                                <a:off x="0" y="0"/>
                                <a:ext cx="209550" cy="304799"/>
                              </a:xfrm>
                              <a:prstGeom prst="rect">
                                <a:avLst/>
                              </a:prstGeom>
                              <a:noFill/>
                              <a:ln w="9525" cap="flat" cmpd="sng">
                                <a:noFill/>
                                <a:prstDash val="solid"/>
                                <a:round/>
                              </a:ln>
                            </wps:spPr>
                            <wps:txbx>
                              <w:txbxContent>
                                <w:p w14:paraId="4895A82D"/>
                              </w:txbxContent>
                            </wps:txbx>
                            <wps:bodyPr vert="horz" wrap="square" lIns="91440" tIns="45720" rIns="91440" bIns="45720" anchor="t" anchorCtr="0" upright="1">
                              <a:noAutofit/>
                            </wps:bodyPr>
                          </wps:wsp>
                        </a:graphicData>
                      </a:graphic>
                    </wp:anchor>
                  </w:drawing>
                </mc:Choice>
                <mc:Fallback>
                  <w:pict>
                    <v:rect id="文本框 37" o:spid="_x0000_s1026" o:spt="1" style="position:absolute;left:0pt;margin-left:338pt;margin-top:168.75pt;height:24pt;width:16.5pt;z-index:251664384;mso-width-relative:page;mso-height-relative:page;" filled="f" stroked="f" coordsize="21600,21600" o:gfxdata="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XjivdwAAAALAQAADwAAAAAA&#10;AAABACAAAAAiAAAAZHJzL2Rvd25yZXYueG1sUEsBAhQAFAAAAAgAh07iQC62urQPAgAACAQAAA4A&#10;AAAAAAAAAQAgAAAAKwEAAGRycy9lMm9Eb2MueG1sUEsFBgAAAAAGAAYAWQEAAKwFAAAAAA==&#10;">
                      <v:fill on="f" focussize="0,0"/>
                      <v:stroke on="f" joinstyle="round"/>
                      <v:imagedata o:title=""/>
                      <o:lock v:ext="edit" aspectratio="f"/>
                      <v:textbox>
                        <w:txbxContent>
                          <w:p w14:paraId="4895A82D"/>
                        </w:txbxContent>
                      </v:textbox>
                    </v:rect>
                  </w:pict>
                </mc:Fallback>
              </mc:AlternateContent>
            </w:r>
            <w:r>
              <w:rPr>
                <w:rFonts w:ascii="Times New Roman" w:hAnsi="Times New Roman" w:eastAsia="宋体" w:cs="Times New Roman"/>
                <w:b/>
                <w:color w:val="auto"/>
                <w:sz w:val="24"/>
                <w:szCs w:val="24"/>
                <w:highlight w:val="none"/>
              </w:rPr>
              <w:t>区面积431.25公顷，实验区面积88.75公顷，范围在</w:t>
            </w:r>
            <w:r>
              <w:rPr>
                <w:rFonts w:ascii="Times New Roman" w:hAnsi="Times New Roman" w:eastAsia="宋体" w:cs="Times New Roman"/>
                <w:b/>
                <w:color w:val="auto"/>
                <w:sz w:val="24"/>
                <w:szCs w:val="24"/>
                <w:highlight w:val="none"/>
                <w:lang w:eastAsia="zh-CN"/>
              </w:rPr>
              <w:t>东经</w:t>
            </w:r>
            <w:r>
              <w:rPr>
                <w:rFonts w:ascii="Times New Roman" w:hAnsi="Times New Roman" w:eastAsia="宋体" w:cs="Times New Roman"/>
                <w:b/>
                <w:color w:val="auto"/>
                <w:sz w:val="24"/>
                <w:szCs w:val="24"/>
                <w:highlight w:val="none"/>
              </w:rPr>
              <w:t>105°04′23.15″~105°16′3.30″，北纬30°33′8.46″~30°45′49.57″之间</w:t>
            </w:r>
            <w:r>
              <w:rPr>
                <w:rFonts w:ascii="Times New Roman" w:hAnsi="Times New Roman" w:eastAsia="宋体" w:cs="Times New Roman"/>
                <w:color w:val="auto"/>
                <w:sz w:val="24"/>
                <w:szCs w:val="24"/>
                <w:highlight w:val="none"/>
              </w:rPr>
              <w:t>，以</w:t>
            </w:r>
            <w:r>
              <w:rPr>
                <w:rFonts w:ascii="Times New Roman" w:hAnsi="Times New Roman" w:cs="Times New Roman"/>
                <w:color w:val="auto"/>
                <w:sz w:val="24"/>
                <w:szCs w:val="24"/>
                <w:highlight w:val="none"/>
              </w:rPr>
              <w:t>涉及场镇河段最高警戒水位线为界。根据分区原则结合郪江具体情况将保护区划分为核心区、实验区二个功能区。保护区位于四川省遂宁市大英县和德阳市中江县郪江干流联合镇会仙桥-蓬莱镇康家咀-蓬莱镇张家堰及其支流寸塘口河蓬莱镇赵家湾-窝窝店-寸塘口河河口全长74km，保护区范围全为水域，不涉及陆域。该保护区主要保护对象为黄颡鱼、鳜鱼、中华鳖，</w:t>
            </w:r>
            <w:r>
              <w:rPr>
                <w:rFonts w:ascii="Times New Roman" w:hAnsi="Times New Roman" w:cs="Times New Roman"/>
                <w:bCs/>
                <w:color w:val="auto"/>
                <w:sz w:val="24"/>
                <w:szCs w:val="24"/>
                <w:highlight w:val="none"/>
              </w:rPr>
              <w:t>其它</w:t>
            </w:r>
            <w:r>
              <w:rPr>
                <w:rFonts w:ascii="Times New Roman" w:hAnsi="Times New Roman" w:cs="Times New Roman"/>
                <w:color w:val="auto"/>
                <w:sz w:val="24"/>
                <w:szCs w:val="24"/>
                <w:highlight w:val="none"/>
              </w:rPr>
              <w:t>保护物种包括南方鲇、鲤、鲫、鲢等经济鱼类。</w:t>
            </w:r>
          </w:p>
          <w:p w14:paraId="28891A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根据《水产种质资源保护区管理暂行办法》第二十一条规定：</w:t>
            </w:r>
            <w:r>
              <w:rPr>
                <w:rFonts w:ascii="Times New Roman" w:hAnsi="Times New Roman" w:cs="Times New Roman"/>
                <w:b/>
                <w:bCs/>
                <w:color w:val="auto"/>
                <w:sz w:val="24"/>
                <w:szCs w:val="24"/>
                <w:highlight w:val="none"/>
                <w:u w:val="none"/>
              </w:rPr>
              <w:t>禁止在水产种质资源保护区内新建排污口。在水产种质资源保护区附近新建、改建、扩建排污口，应当保证保护区水体不受污染。</w:t>
            </w:r>
          </w:p>
          <w:p w14:paraId="1F7BD57E">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ascii="Times New Roman" w:hAnsi="Times New Roman" w:cs="Times New Roman"/>
                <w:color w:val="auto"/>
                <w:highlight w:val="none"/>
              </w:rPr>
            </w:pPr>
            <w:r>
              <w:rPr>
                <w:rFonts w:ascii="Times New Roman" w:hAnsi="Times New Roman" w:cs="Times New Roman"/>
                <w:color w:val="auto"/>
                <w:sz w:val="21"/>
                <w:highlight w:val="none"/>
              </w:rPr>
              <mc:AlternateContent>
                <mc:Choice Requires="wps">
                  <w:drawing>
                    <wp:anchor distT="0" distB="0" distL="113665" distR="113665" simplePos="0" relativeHeight="251665408" behindDoc="0" locked="0" layoutInCell="1" allowOverlap="1">
                      <wp:simplePos x="0" y="0"/>
                      <wp:positionH relativeFrom="column">
                        <wp:posOffset>3254375</wp:posOffset>
                      </wp:positionH>
                      <wp:positionV relativeFrom="paragraph">
                        <wp:posOffset>1871980</wp:posOffset>
                      </wp:positionV>
                      <wp:extent cx="403860" cy="323215"/>
                      <wp:effectExtent l="0" t="0" r="0" b="0"/>
                      <wp:wrapNone/>
                      <wp:docPr id="28" name="文本框 2"/>
                      <wp:cNvGraphicFramePr/>
                      <a:graphic xmlns:a="http://schemas.openxmlformats.org/drawingml/2006/main">
                        <a:graphicData uri="http://schemas.microsoft.com/office/word/2010/wordprocessingShape">
                          <wps:wsp>
                            <wps:cNvSpPr/>
                            <wps:spPr>
                              <a:xfrm>
                                <a:off x="0" y="0"/>
                                <a:ext cx="403860" cy="323215"/>
                              </a:xfrm>
                              <a:prstGeom prst="rect">
                                <a:avLst/>
                              </a:prstGeom>
                              <a:noFill/>
                              <a:ln w="6350" cap="flat" cmpd="sng">
                                <a:noFill/>
                                <a:prstDash val="solid"/>
                                <a:round/>
                              </a:ln>
                            </wps:spPr>
                            <wps:txbx>
                              <w:txbxContent>
                                <w:p w14:paraId="4BE3FC3F">
                                  <w:pPr>
                                    <w:rPr>
                                      <w:sz w:val="28"/>
                                      <w:szCs w:val="28"/>
                                    </w:rPr>
                                  </w:pPr>
                                  <w:r>
                                    <w:rPr>
                                      <w:rFonts w:ascii="Helvetica" w:hAnsi="Helvetica" w:eastAsia="Helvetica"/>
                                      <w:color w:val="E412D8"/>
                                      <w:sz w:val="28"/>
                                      <w:szCs w:val="28"/>
                                    </w:rPr>
                                    <w:t>▼</w:t>
                                  </w:r>
                                </w:p>
                              </w:txbxContent>
                            </wps:txbx>
                            <wps:bodyPr vert="horz" wrap="square" lIns="91440" tIns="45720" rIns="91440" bIns="45720" anchor="t" anchorCtr="0" upright="1">
                              <a:noAutofit/>
                            </wps:bodyPr>
                          </wps:wsp>
                        </a:graphicData>
                      </a:graphic>
                    </wp:anchor>
                  </w:drawing>
                </mc:Choice>
                <mc:Fallback>
                  <w:pict>
                    <v:rect id="文本框 2" o:spid="_x0000_s1026" o:spt="1" style="position:absolute;left:0pt;margin-left:256.25pt;margin-top:147.4pt;height:25.45pt;width:31.8pt;z-index:251665408;mso-width-relative:page;mso-height-relative:page;" filled="f" stroked="f" coordsize="21600,21600" o:gfxdata="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uv2DtwAAAALAQAADwAAAAAAAAAB&#10;ACAAAAAiAAAAZHJzL2Rvd25yZXYueG1sUEsBAhQAFAAAAAgAh07iQExECUoMAgAABwQAAA4AAAAA&#10;AAAAAQAgAAAAKwEAAGRycy9lMm9Eb2MueG1sUEsFBgAAAAAGAAYAWQEAAKkFAAAAAA==&#10;">
                      <v:fill on="f" focussize="0,0"/>
                      <v:stroke on="f" weight="0.5pt" joinstyle="round"/>
                      <v:imagedata o:title=""/>
                      <o:lock v:ext="edit" aspectratio="f"/>
                      <v:textbox>
                        <w:txbxContent>
                          <w:p w14:paraId="4BE3FC3F">
                            <w:pPr>
                              <w:rPr>
                                <w:sz w:val="28"/>
                                <w:szCs w:val="28"/>
                              </w:rPr>
                            </w:pPr>
                            <w:r>
                              <w:rPr>
                                <w:rFonts w:ascii="Helvetica" w:hAnsi="Helvetica" w:eastAsia="Helvetica"/>
                                <w:color w:val="E412D8"/>
                                <w:sz w:val="28"/>
                                <w:szCs w:val="28"/>
                              </w:rPr>
                              <w:t>▼</w:t>
                            </w:r>
                          </w:p>
                        </w:txbxContent>
                      </v:textbox>
                    </v:rect>
                  </w:pict>
                </mc:Fallback>
              </mc:AlternateContent>
            </w:r>
            <w:r>
              <w:rPr>
                <w:rFonts w:ascii="Times New Roman" w:hAnsi="Times New Roman" w:cs="Times New Roman"/>
                <w:color w:val="auto"/>
                <w:highlight w:val="none"/>
              </w:rPr>
              <w:drawing>
                <wp:inline distT="0" distB="0" distL="114300" distR="114300">
                  <wp:extent cx="5405120" cy="3483610"/>
                  <wp:effectExtent l="0" t="0" r="5080" b="254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1"/>
                          <a:stretch>
                            <a:fillRect/>
                          </a:stretch>
                        </pic:blipFill>
                        <pic:spPr>
                          <a:xfrm flipH="1">
                            <a:off x="0" y="0"/>
                            <a:ext cx="5405120" cy="3483610"/>
                          </a:xfrm>
                          <a:prstGeom prst="rect">
                            <a:avLst/>
                          </a:prstGeom>
                          <a:noFill/>
                          <a:ln w="9525" cap="flat" cmpd="sng">
                            <a:noFill/>
                            <a:prstDash val="solid"/>
                            <a:round/>
                          </a:ln>
                        </pic:spPr>
                      </pic:pic>
                    </a:graphicData>
                  </a:graphic>
                </wp:inline>
              </w:drawing>
            </w:r>
          </w:p>
          <w:p w14:paraId="75CD0C74">
            <w:pPr>
              <w:pStyle w:val="44"/>
              <w:bidi w:val="0"/>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b/>
                <w:bCs/>
                <w:color w:val="auto"/>
                <w:sz w:val="21"/>
                <w:szCs w:val="21"/>
                <w:highlight w:val="none"/>
              </w:rPr>
              <w:t>项目与种质资源保护区的位置关系图</w:t>
            </w:r>
            <w:r>
              <w:rPr>
                <w:rFonts w:ascii="Times New Roman" w:hAnsi="Times New Roman" w:eastAsia="宋体" w:cs="Times New Roman"/>
                <w:color w:val="auto"/>
                <w:sz w:val="21"/>
                <w:szCs w:val="21"/>
                <w:highlight w:val="none"/>
                <w:lang w:val="en-US" w:eastAsia="zh-CN"/>
              </w:rPr>
              <w:t>（图中</w:t>
            </w:r>
            <w:r>
              <w:rPr>
                <w:rFonts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lang w:val="en-US" w:eastAsia="zh-CN"/>
              </w:rPr>
              <w:t>表示项目位置）</w:t>
            </w:r>
          </w:p>
          <w:p w14:paraId="378501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lang w:val="en-US" w:eastAsia="zh-CN"/>
              </w:rPr>
              <w:t>本</w:t>
            </w:r>
            <w:r>
              <w:rPr>
                <w:rFonts w:ascii="Times New Roman" w:hAnsi="Times New Roman" w:eastAsia="宋体" w:cs="Times New Roman"/>
                <w:color w:val="auto"/>
                <w:sz w:val="24"/>
                <w:szCs w:val="24"/>
                <w:highlight w:val="none"/>
              </w:rPr>
              <w:t>项目与保护区具体范围关系如</w:t>
            </w:r>
            <w:r>
              <w:rPr>
                <w:rFonts w:ascii="Times New Roman" w:hAnsi="Times New Roman" w:eastAsia="宋体" w:cs="Times New Roman"/>
                <w:color w:val="auto"/>
                <w:sz w:val="24"/>
                <w:szCs w:val="24"/>
                <w:highlight w:val="none"/>
                <w:lang w:val="en-US" w:eastAsia="zh-CN"/>
              </w:rPr>
              <w:t>上</w:t>
            </w:r>
            <w:r>
              <w:rPr>
                <w:rFonts w:ascii="Times New Roman" w:hAnsi="Times New Roman" w:eastAsia="宋体" w:cs="Times New Roman"/>
                <w:color w:val="auto"/>
                <w:sz w:val="24"/>
                <w:szCs w:val="24"/>
                <w:highlight w:val="none"/>
              </w:rPr>
              <w:t>图所示。项目污水经厂区</w:t>
            </w:r>
            <w:r>
              <w:rPr>
                <w:rFonts w:hint="eastAsia" w:eastAsia="宋体" w:cs="Times New Roman"/>
                <w:color w:val="auto"/>
                <w:sz w:val="24"/>
                <w:szCs w:val="24"/>
                <w:highlight w:val="none"/>
                <w:lang w:val="en-US" w:eastAsia="zh-CN"/>
              </w:rPr>
              <w:t>污水处理站</w:t>
            </w:r>
            <w:r>
              <w:rPr>
                <w:rFonts w:ascii="Times New Roman" w:hAnsi="Times New Roman" w:eastAsia="宋体" w:cs="Times New Roman"/>
                <w:color w:val="auto"/>
                <w:sz w:val="24"/>
                <w:szCs w:val="24"/>
                <w:highlight w:val="none"/>
              </w:rPr>
              <w:t>处理后执行《污水综合排放标准》（GB8978-1996）中三级标准后进入</w:t>
            </w:r>
            <w:r>
              <w:rPr>
                <w:rFonts w:hint="eastAsia" w:cs="Times New Roman"/>
                <w:color w:val="auto"/>
                <w:sz w:val="24"/>
                <w:szCs w:val="24"/>
                <w:highlight w:val="none"/>
                <w:lang w:eastAsia="zh-CN"/>
              </w:rPr>
              <w:t>大英经济开发区污水处理厂</w:t>
            </w:r>
            <w:r>
              <w:rPr>
                <w:rFonts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lang w:val="en-US" w:eastAsia="zh-CN"/>
              </w:rPr>
              <w:t>达标后</w:t>
            </w:r>
            <w:r>
              <w:rPr>
                <w:rFonts w:ascii="Times New Roman" w:hAnsi="Times New Roman" w:eastAsia="宋体" w:cs="Times New Roman"/>
                <w:color w:val="auto"/>
                <w:sz w:val="24"/>
                <w:szCs w:val="24"/>
                <w:highlight w:val="none"/>
              </w:rPr>
              <w:t>排入郪江</w:t>
            </w:r>
            <w:r>
              <w:rPr>
                <w:rFonts w:ascii="Times New Roman" w:hAnsi="Times New Roman" w:eastAsia="宋体" w:cs="Times New Roman"/>
                <w:color w:val="auto"/>
                <w:sz w:val="24"/>
                <w:szCs w:val="24"/>
                <w:highlight w:val="none"/>
                <w:lang w:eastAsia="zh-CN"/>
              </w:rPr>
              <w:t>，</w:t>
            </w:r>
            <w:r>
              <w:rPr>
                <w:rFonts w:ascii="Times New Roman" w:hAnsi="Times New Roman" w:eastAsia="宋体" w:cs="Times New Roman"/>
                <w:bCs/>
                <w:color w:val="auto"/>
                <w:sz w:val="24"/>
                <w:szCs w:val="24"/>
                <w:highlight w:val="none"/>
              </w:rPr>
              <w:t>该污水处理厂排口设置在保护区外下游，距保护区下游边界6.0km，不在郪江黄颡鱼国家级水产种质资源保护区范围内，项目所在工业区排水不会对其造成影响。</w:t>
            </w:r>
          </w:p>
          <w:p w14:paraId="7A9AA33F">
            <w:pPr>
              <w:spacing w:line="360" w:lineRule="auto"/>
              <w:ind w:firstLine="482" w:firstLineChars="200"/>
              <w:rPr>
                <w:rFonts w:ascii="Times New Roman" w:hAnsi="Times New Roman" w:cs="Times New Roman"/>
                <w:b/>
                <w:bCs/>
                <w:color w:val="auto"/>
                <w:sz w:val="24"/>
                <w:highlight w:val="none"/>
              </w:rPr>
            </w:pPr>
            <w:r>
              <w:rPr>
                <w:rFonts w:ascii="Times New Roman" w:hAnsi="Times New Roman" w:cs="Times New Roman"/>
                <w:b/>
                <w:bCs/>
                <w:color w:val="auto"/>
                <w:sz w:val="24"/>
                <w:szCs w:val="24"/>
                <w:highlight w:val="none"/>
              </w:rPr>
              <w:t>综上所述，项目的建设与水产种质资源保护区相容</w:t>
            </w:r>
            <w:r>
              <w:rPr>
                <w:rFonts w:ascii="Times New Roman" w:hAnsi="Times New Roman" w:cs="Times New Roman"/>
                <w:b/>
                <w:bCs/>
                <w:color w:val="auto"/>
                <w:sz w:val="24"/>
                <w:szCs w:val="24"/>
                <w:highlight w:val="none"/>
                <w:lang w:eastAsia="zh-CN"/>
              </w:rPr>
              <w:t>。</w:t>
            </w:r>
          </w:p>
          <w:p w14:paraId="397E0D84">
            <w:pPr>
              <w:numPr>
                <w:ilvl w:val="0"/>
                <w:numId w:val="19"/>
              </w:numPr>
              <w:spacing w:line="360" w:lineRule="auto"/>
              <w:ind w:firstLine="482" w:firstLineChars="200"/>
              <w:rPr>
                <w:b/>
                <w:bCs/>
                <w:color w:val="auto"/>
                <w:sz w:val="24"/>
                <w:highlight w:val="none"/>
              </w:rPr>
            </w:pPr>
            <w:r>
              <w:rPr>
                <w:b/>
                <w:bCs/>
                <w:color w:val="auto"/>
                <w:sz w:val="24"/>
                <w:highlight w:val="none"/>
              </w:rPr>
              <w:t>与大气污染防治相关</w:t>
            </w:r>
            <w:r>
              <w:rPr>
                <w:rFonts w:hint="eastAsia"/>
                <w:b/>
                <w:bCs/>
                <w:color w:val="auto"/>
                <w:sz w:val="24"/>
                <w:highlight w:val="none"/>
                <w:lang w:val="en-US" w:eastAsia="zh-CN"/>
              </w:rPr>
              <w:t>政策</w:t>
            </w:r>
            <w:r>
              <w:rPr>
                <w:b/>
                <w:bCs/>
                <w:color w:val="auto"/>
                <w:sz w:val="24"/>
                <w:highlight w:val="none"/>
              </w:rPr>
              <w:t>符合性</w:t>
            </w:r>
            <w:r>
              <w:rPr>
                <w:rFonts w:hint="eastAsia"/>
                <w:b/>
                <w:bCs/>
                <w:color w:val="auto"/>
                <w:sz w:val="24"/>
                <w:highlight w:val="none"/>
                <w:lang w:val="en-US" w:eastAsia="zh-CN"/>
              </w:rPr>
              <w:t>分析</w:t>
            </w:r>
          </w:p>
          <w:p w14:paraId="0EF03A41">
            <w:pPr>
              <w:spacing w:line="360" w:lineRule="auto"/>
              <w:ind w:firstLine="480" w:firstLineChars="200"/>
              <w:rPr>
                <w:color w:val="auto"/>
                <w:sz w:val="24"/>
                <w:highlight w:val="none"/>
              </w:rPr>
            </w:pPr>
            <w:r>
              <w:rPr>
                <w:color w:val="auto"/>
                <w:sz w:val="24"/>
                <w:highlight w:val="none"/>
              </w:rPr>
              <w:t>本项目与</w:t>
            </w:r>
            <w:r>
              <w:rPr>
                <w:rFonts w:hint="eastAsia"/>
                <w:color w:val="auto"/>
                <w:sz w:val="24"/>
                <w:highlight w:val="none"/>
                <w:lang w:val="en-US" w:eastAsia="zh-CN"/>
              </w:rPr>
              <w:t>废气</w:t>
            </w:r>
            <w:r>
              <w:rPr>
                <w:color w:val="auto"/>
                <w:sz w:val="24"/>
                <w:highlight w:val="none"/>
              </w:rPr>
              <w:t>污染防治</w:t>
            </w:r>
            <w:r>
              <w:rPr>
                <w:rFonts w:hint="eastAsia"/>
                <w:color w:val="auto"/>
                <w:sz w:val="24"/>
                <w:highlight w:val="none"/>
                <w:lang w:val="en-US" w:eastAsia="zh-CN"/>
              </w:rPr>
              <w:t>相关政策</w:t>
            </w:r>
            <w:r>
              <w:rPr>
                <w:color w:val="auto"/>
                <w:sz w:val="24"/>
                <w:highlight w:val="none"/>
              </w:rPr>
              <w:t>符合性分析见下表所示。</w:t>
            </w:r>
          </w:p>
          <w:p w14:paraId="56DD10C0">
            <w:pPr>
              <w:pStyle w:val="43"/>
              <w:rPr>
                <w:bCs/>
                <w:color w:val="auto"/>
                <w:kern w:val="0"/>
                <w:szCs w:val="21"/>
                <w:highlight w:val="none"/>
              </w:rPr>
            </w:pPr>
            <w:r>
              <w:rPr>
                <w:rFonts w:hint="eastAsia"/>
                <w:bCs/>
                <w:color w:val="auto"/>
                <w:kern w:val="0"/>
                <w:szCs w:val="21"/>
                <w:highlight w:val="none"/>
              </w:rPr>
              <w:t>本项目与</w:t>
            </w:r>
            <w:r>
              <w:rPr>
                <w:rFonts w:hint="eastAsia"/>
                <w:bCs/>
                <w:color w:val="auto"/>
                <w:kern w:val="0"/>
                <w:szCs w:val="21"/>
                <w:highlight w:val="none"/>
                <w:lang w:val="en-US" w:eastAsia="zh-CN"/>
              </w:rPr>
              <w:t>大气污染防治相关政策</w:t>
            </w:r>
            <w:r>
              <w:rPr>
                <w:rFonts w:hint="eastAsia"/>
                <w:bCs/>
                <w:color w:val="auto"/>
                <w:kern w:val="0"/>
                <w:szCs w:val="21"/>
                <w:highlight w:val="none"/>
              </w:rPr>
              <w:t>符合性分析</w:t>
            </w:r>
          </w:p>
          <w:tbl>
            <w:tblPr>
              <w:tblStyle w:val="2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01"/>
              <w:gridCol w:w="4213"/>
              <w:gridCol w:w="2255"/>
              <w:gridCol w:w="692"/>
            </w:tblGrid>
            <w:tr w14:paraId="0750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18" w:type="pct"/>
                  <w:vAlign w:val="center"/>
                </w:tcPr>
                <w:p w14:paraId="40686474">
                  <w:pPr>
                    <w:autoSpaceDE w:val="0"/>
                    <w:autoSpaceDN w:val="0"/>
                    <w:adjustRightInd w:val="0"/>
                    <w:snapToGrid w:val="0"/>
                    <w:jc w:val="center"/>
                    <w:rPr>
                      <w:b/>
                      <w:bCs/>
                      <w:color w:val="auto"/>
                      <w:szCs w:val="21"/>
                      <w:highlight w:val="none"/>
                    </w:rPr>
                  </w:pPr>
                  <w:r>
                    <w:rPr>
                      <w:b/>
                      <w:bCs/>
                      <w:color w:val="auto"/>
                      <w:szCs w:val="21"/>
                      <w:highlight w:val="none"/>
                    </w:rPr>
                    <w:t>大气污染防治规划文件</w:t>
                  </w:r>
                </w:p>
              </w:tc>
              <w:tc>
                <w:tcPr>
                  <w:tcW w:w="2460" w:type="pct"/>
                  <w:vAlign w:val="center"/>
                </w:tcPr>
                <w:p w14:paraId="48E3488A">
                  <w:pPr>
                    <w:autoSpaceDE w:val="0"/>
                    <w:autoSpaceDN w:val="0"/>
                    <w:adjustRightInd w:val="0"/>
                    <w:snapToGrid w:val="0"/>
                    <w:jc w:val="center"/>
                    <w:rPr>
                      <w:b/>
                      <w:bCs/>
                      <w:color w:val="auto"/>
                      <w:szCs w:val="21"/>
                      <w:highlight w:val="none"/>
                    </w:rPr>
                  </w:pPr>
                  <w:r>
                    <w:rPr>
                      <w:b/>
                      <w:bCs/>
                      <w:color w:val="auto"/>
                      <w:szCs w:val="21"/>
                      <w:highlight w:val="none"/>
                    </w:rPr>
                    <w:t>规划要求</w:t>
                  </w:r>
                </w:p>
              </w:tc>
              <w:tc>
                <w:tcPr>
                  <w:tcW w:w="1317" w:type="pct"/>
                  <w:vAlign w:val="center"/>
                </w:tcPr>
                <w:p w14:paraId="39873C96">
                  <w:pPr>
                    <w:autoSpaceDE w:val="0"/>
                    <w:autoSpaceDN w:val="0"/>
                    <w:adjustRightInd w:val="0"/>
                    <w:snapToGrid w:val="0"/>
                    <w:jc w:val="center"/>
                    <w:rPr>
                      <w:b/>
                      <w:bCs/>
                      <w:color w:val="auto"/>
                      <w:szCs w:val="21"/>
                      <w:highlight w:val="none"/>
                    </w:rPr>
                  </w:pPr>
                  <w:r>
                    <w:rPr>
                      <w:b/>
                      <w:bCs/>
                      <w:color w:val="auto"/>
                      <w:szCs w:val="21"/>
                      <w:highlight w:val="none"/>
                    </w:rPr>
                    <w:t>本项目情况</w:t>
                  </w:r>
                </w:p>
              </w:tc>
              <w:tc>
                <w:tcPr>
                  <w:tcW w:w="404" w:type="pct"/>
                  <w:vAlign w:val="center"/>
                </w:tcPr>
                <w:p w14:paraId="2266388C">
                  <w:pPr>
                    <w:autoSpaceDE w:val="0"/>
                    <w:autoSpaceDN w:val="0"/>
                    <w:adjustRightInd w:val="0"/>
                    <w:snapToGrid w:val="0"/>
                    <w:jc w:val="center"/>
                    <w:rPr>
                      <w:b/>
                      <w:bCs/>
                      <w:color w:val="auto"/>
                      <w:szCs w:val="21"/>
                      <w:highlight w:val="none"/>
                    </w:rPr>
                  </w:pPr>
                  <w:r>
                    <w:rPr>
                      <w:b/>
                      <w:bCs/>
                      <w:color w:val="auto"/>
                      <w:szCs w:val="21"/>
                      <w:highlight w:val="none"/>
                    </w:rPr>
                    <w:t>符合</w:t>
                  </w:r>
                </w:p>
                <w:p w14:paraId="16EF2857">
                  <w:pPr>
                    <w:autoSpaceDE w:val="0"/>
                    <w:autoSpaceDN w:val="0"/>
                    <w:adjustRightInd w:val="0"/>
                    <w:snapToGrid w:val="0"/>
                    <w:jc w:val="center"/>
                    <w:rPr>
                      <w:b/>
                      <w:bCs/>
                      <w:color w:val="auto"/>
                      <w:szCs w:val="21"/>
                      <w:highlight w:val="none"/>
                    </w:rPr>
                  </w:pPr>
                  <w:r>
                    <w:rPr>
                      <w:b/>
                      <w:bCs/>
                      <w:color w:val="auto"/>
                      <w:szCs w:val="21"/>
                      <w:highlight w:val="none"/>
                    </w:rPr>
                    <w:t>性</w:t>
                  </w:r>
                </w:p>
              </w:tc>
            </w:tr>
            <w:tr w14:paraId="09EC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18" w:type="pct"/>
                  <w:vAlign w:val="center"/>
                </w:tcPr>
                <w:p w14:paraId="46450DF1">
                  <w:pPr>
                    <w:adjustRightInd w:val="0"/>
                    <w:snapToGrid w:val="0"/>
                    <w:jc w:val="center"/>
                    <w:rPr>
                      <w:color w:val="auto"/>
                      <w:szCs w:val="21"/>
                      <w:highlight w:val="none"/>
                    </w:rPr>
                  </w:pPr>
                  <w:r>
                    <w:rPr>
                      <w:rFonts w:ascii="Times New Roman" w:hAnsi="Times New Roman" w:cs="Times New Roman"/>
                      <w:color w:val="auto"/>
                      <w:szCs w:val="21"/>
                      <w:highlight w:val="none"/>
                    </w:rPr>
                    <w:t>《大气污染防治行动计划》</w:t>
                  </w:r>
                </w:p>
              </w:tc>
              <w:tc>
                <w:tcPr>
                  <w:tcW w:w="2460" w:type="pct"/>
                  <w:vAlign w:val="center"/>
                </w:tcPr>
                <w:p w14:paraId="562A3703">
                  <w:pPr>
                    <w:adjustRightInd w:val="0"/>
                    <w:snapToGrid w:val="0"/>
                    <w:jc w:val="center"/>
                    <w:rPr>
                      <w:color w:val="auto"/>
                      <w:szCs w:val="21"/>
                      <w:highlight w:val="none"/>
                    </w:rPr>
                  </w:pPr>
                  <w:r>
                    <w:rPr>
                      <w:rFonts w:ascii="Times New Roman" w:hAnsi="Times New Roman" w:cs="Times New Roman"/>
                      <w:color w:val="auto"/>
                      <w:szCs w:val="21"/>
                      <w:highlight w:val="none"/>
                    </w:rPr>
                    <w:t>加强工业企业大气污染综合治</w:t>
                  </w:r>
                  <w:r>
                    <w:rPr>
                      <w:rFonts w:hint="eastAsia" w:ascii="宋体" w:hAnsi="宋体" w:eastAsia="宋体" w:cs="宋体"/>
                      <w:color w:val="auto"/>
                      <w:szCs w:val="21"/>
                      <w:highlight w:val="none"/>
                    </w:rPr>
                    <w:t>理。全面整治燃煤小锅炉。加快推进</w:t>
                  </w:r>
                  <w:r>
                    <w:rPr>
                      <w:rFonts w:hint="eastAsia" w:ascii="宋体" w:hAnsi="宋体" w:eastAsia="宋体" w:cs="宋体"/>
                      <w:b w:val="0"/>
                      <w:bCs w:val="0"/>
                      <w:color w:val="auto"/>
                      <w:szCs w:val="21"/>
                      <w:highlight w:val="none"/>
                    </w:rPr>
                    <w:t>集中供热</w:t>
                  </w:r>
                  <w:r>
                    <w:rPr>
                      <w:rFonts w:hint="eastAsia" w:ascii="宋体" w:hAnsi="宋体" w:eastAsia="宋体" w:cs="宋体"/>
                      <w:color w:val="auto"/>
                      <w:szCs w:val="21"/>
                      <w:highlight w:val="none"/>
                    </w:rPr>
                    <w:t>、“煤改气</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煤改电”工程建设</w:t>
                  </w:r>
                </w:p>
              </w:tc>
              <w:tc>
                <w:tcPr>
                  <w:tcW w:w="1317" w:type="pct"/>
                  <w:vAlign w:val="center"/>
                </w:tcPr>
                <w:p w14:paraId="78C86885">
                  <w:pPr>
                    <w:adjustRightInd w:val="0"/>
                    <w:snapToGrid w:val="0"/>
                    <w:jc w:val="center"/>
                    <w:rPr>
                      <w:color w:val="auto"/>
                      <w:szCs w:val="21"/>
                      <w:highlight w:val="none"/>
                    </w:rPr>
                  </w:pPr>
                  <w:r>
                    <w:rPr>
                      <w:rFonts w:ascii="Times New Roman" w:hAnsi="Times New Roman" w:cs="Times New Roman"/>
                      <w:color w:val="auto"/>
                      <w:szCs w:val="21"/>
                      <w:highlight w:val="none"/>
                    </w:rPr>
                    <w:t>本项目为</w:t>
                  </w:r>
                  <w:r>
                    <w:rPr>
                      <w:rFonts w:hint="eastAsia" w:ascii="Times New Roman" w:hAnsi="Times New Roman" w:cs="Times New Roman"/>
                      <w:color w:val="auto"/>
                      <w:szCs w:val="21"/>
                      <w:highlight w:val="none"/>
                      <w:lang w:val="en-US" w:eastAsia="zh-CN"/>
                    </w:rPr>
                    <w:t>基础化学原料制造，本次为技改，现有锅炉采用天然气清洁能源，技改项目依托现有锅炉</w:t>
                  </w:r>
                  <w:r>
                    <w:rPr>
                      <w:rFonts w:ascii="Times New Roman" w:hAnsi="Times New Roman" w:cs="Times New Roman"/>
                      <w:color w:val="auto"/>
                      <w:szCs w:val="21"/>
                      <w:highlight w:val="none"/>
                    </w:rPr>
                    <w:t>。</w:t>
                  </w:r>
                </w:p>
              </w:tc>
              <w:tc>
                <w:tcPr>
                  <w:tcW w:w="404" w:type="pct"/>
                  <w:vAlign w:val="center"/>
                </w:tcPr>
                <w:p w14:paraId="76DAD6A0">
                  <w:pPr>
                    <w:adjustRightInd w:val="0"/>
                    <w:snapToGrid w:val="0"/>
                    <w:jc w:val="center"/>
                    <w:rPr>
                      <w:color w:val="auto"/>
                      <w:szCs w:val="21"/>
                      <w:highlight w:val="none"/>
                    </w:rPr>
                  </w:pPr>
                  <w:r>
                    <w:rPr>
                      <w:rFonts w:ascii="Times New Roman" w:hAnsi="Times New Roman" w:cs="Times New Roman"/>
                      <w:color w:val="auto"/>
                      <w:szCs w:val="21"/>
                      <w:highlight w:val="none"/>
                    </w:rPr>
                    <w:t>符合</w:t>
                  </w:r>
                </w:p>
              </w:tc>
            </w:tr>
            <w:tr w14:paraId="3583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818" w:type="pct"/>
                  <w:vMerge w:val="restart"/>
                  <w:vAlign w:val="center"/>
                </w:tcPr>
                <w:p w14:paraId="503D8CCA">
                  <w:pPr>
                    <w:adjustRightInd w:val="0"/>
                    <w:snapToGrid w:val="0"/>
                    <w:jc w:val="center"/>
                    <w:rPr>
                      <w:color w:val="auto"/>
                      <w:szCs w:val="21"/>
                      <w:highlight w:val="none"/>
                    </w:rPr>
                  </w:pPr>
                  <w:r>
                    <w:rPr>
                      <w:rFonts w:ascii="Times New Roman" w:hAnsi="Times New Roman" w:eastAsia="宋体" w:cs="Times New Roman"/>
                      <w:color w:val="auto"/>
                      <w:sz w:val="21"/>
                      <w:szCs w:val="21"/>
                      <w:highlight w:val="none"/>
                    </w:rPr>
                    <w:t>四川省蓝天保卫行动方案（2017-2020年）</w:t>
                  </w:r>
                </w:p>
              </w:tc>
              <w:tc>
                <w:tcPr>
                  <w:tcW w:w="2460" w:type="pct"/>
                  <w:vAlign w:val="center"/>
                </w:tcPr>
                <w:p w14:paraId="4BFEB2F7">
                  <w:pPr>
                    <w:adjustRightInd w:val="0"/>
                    <w:snapToGrid w:val="0"/>
                    <w:rPr>
                      <w:color w:val="auto"/>
                      <w:szCs w:val="21"/>
                      <w:highlight w:val="none"/>
                    </w:rPr>
                  </w:pPr>
                  <w:r>
                    <w:rPr>
                      <w:rFonts w:ascii="Times New Roman" w:hAnsi="Times New Roman" w:eastAsia="宋体" w:cs="Times New Roman"/>
                      <w:color w:val="auto"/>
                      <w:sz w:val="21"/>
                      <w:szCs w:val="21"/>
                      <w:highlight w:val="none"/>
                    </w:rPr>
                    <w:t>1.推进挥发性有机物综合整治。开展化工行VOC</w:t>
                  </w:r>
                  <w:r>
                    <w:rPr>
                      <w:rFonts w:hint="eastAsia" w:ascii="Times New Roman" w:hAnsi="Times New Roman" w:eastAsia="宋体" w:cs="Times New Roman"/>
                      <w:color w:val="auto"/>
                      <w:sz w:val="21"/>
                      <w:szCs w:val="21"/>
                      <w:highlight w:val="none"/>
                      <w:lang w:val="en-US" w:eastAsia="zh-CN"/>
                    </w:rPr>
                    <w:t>s</w:t>
                  </w:r>
                  <w:r>
                    <w:rPr>
                      <w:rFonts w:ascii="Times New Roman" w:hAnsi="Times New Roman" w:eastAsia="宋体" w:cs="Times New Roman"/>
                      <w:color w:val="auto"/>
                      <w:sz w:val="21"/>
                      <w:szCs w:val="21"/>
                      <w:highlight w:val="none"/>
                    </w:rPr>
                    <w:t>综合治理。针对有机化学原料制造、农药制造、医药化工、涂料油墨颜料制造、化学纤维制造、橡胶和塑料制品制造、煤化工等化工行业，实施挥发性有机物综合整治。到2020年，化工行业VOCs排放量减少30%以上。</w:t>
                  </w:r>
                </w:p>
              </w:tc>
              <w:tc>
                <w:tcPr>
                  <w:tcW w:w="1317" w:type="pct"/>
                  <w:vAlign w:val="center"/>
                </w:tcPr>
                <w:p w14:paraId="79DC8FA6">
                  <w:pPr>
                    <w:adjustRightInd w:val="0"/>
                    <w:snapToGrid w:val="0"/>
                    <w:rPr>
                      <w:color w:val="auto"/>
                      <w:szCs w:val="21"/>
                      <w:highlight w:val="none"/>
                    </w:rPr>
                  </w:pPr>
                  <w:r>
                    <w:rPr>
                      <w:rFonts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排放的废气为</w:t>
                  </w:r>
                  <w:r>
                    <w:rPr>
                      <w:rFonts w:hint="eastAsia" w:cs="Times New Roman"/>
                      <w:color w:val="auto"/>
                      <w:sz w:val="21"/>
                      <w:szCs w:val="21"/>
                      <w:highlight w:val="none"/>
                      <w:lang w:val="en-US" w:eastAsia="zh-CN"/>
                    </w:rPr>
                    <w:t>VOCs</w:t>
                  </w:r>
                  <w:r>
                    <w:rPr>
                      <w:rFonts w:hint="eastAsia" w:ascii="Times New Roman" w:hAnsi="Times New Roman" w:eastAsia="宋体" w:cs="Times New Roman"/>
                      <w:color w:val="auto"/>
                      <w:sz w:val="21"/>
                      <w:szCs w:val="21"/>
                      <w:highlight w:val="none"/>
                      <w:lang w:val="en-US" w:eastAsia="zh-CN"/>
                    </w:rPr>
                    <w:t>，废气经水洗塔吸收处理后有组织排放</w:t>
                  </w:r>
                  <w:r>
                    <w:rPr>
                      <w:rFonts w:ascii="Times New Roman" w:hAnsi="Times New Roman" w:eastAsia="宋体" w:cs="Times New Roman"/>
                      <w:color w:val="auto"/>
                      <w:sz w:val="21"/>
                      <w:szCs w:val="21"/>
                      <w:highlight w:val="none"/>
                    </w:rPr>
                    <w:t>。</w:t>
                  </w:r>
                </w:p>
              </w:tc>
              <w:tc>
                <w:tcPr>
                  <w:tcW w:w="404" w:type="pct"/>
                  <w:vAlign w:val="center"/>
                </w:tcPr>
                <w:p w14:paraId="4EA1E7B5">
                  <w:pPr>
                    <w:adjustRightInd w:val="0"/>
                    <w:snapToGrid w:val="0"/>
                    <w:jc w:val="center"/>
                    <w:rPr>
                      <w:color w:val="auto"/>
                      <w:szCs w:val="21"/>
                      <w:highlight w:val="none"/>
                    </w:rPr>
                  </w:pPr>
                  <w:r>
                    <w:rPr>
                      <w:rFonts w:ascii="Times New Roman" w:hAnsi="Times New Roman" w:eastAsia="宋体" w:cs="Times New Roman"/>
                      <w:color w:val="auto"/>
                      <w:sz w:val="21"/>
                      <w:szCs w:val="21"/>
                      <w:highlight w:val="none"/>
                    </w:rPr>
                    <w:t>符合</w:t>
                  </w:r>
                </w:p>
              </w:tc>
            </w:tr>
            <w:tr w14:paraId="09D6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18" w:type="pct"/>
                  <w:vMerge w:val="continue"/>
                  <w:vAlign w:val="center"/>
                </w:tcPr>
                <w:p w14:paraId="66659DED">
                  <w:pPr>
                    <w:rPr>
                      <w:color w:val="auto"/>
                      <w:szCs w:val="21"/>
                      <w:highlight w:val="none"/>
                    </w:rPr>
                  </w:pPr>
                </w:p>
              </w:tc>
              <w:tc>
                <w:tcPr>
                  <w:tcW w:w="2460" w:type="pct"/>
                  <w:vAlign w:val="center"/>
                </w:tcPr>
                <w:p w14:paraId="33A56F17">
                  <w:pPr>
                    <w:adjustRightInd w:val="0"/>
                    <w:snapToGrid w:val="0"/>
                    <w:rPr>
                      <w:color w:val="auto"/>
                      <w:szCs w:val="21"/>
                      <w:highlight w:val="none"/>
                    </w:rPr>
                  </w:pPr>
                  <w:r>
                    <w:rPr>
                      <w:rFonts w:ascii="Times New Roman" w:hAnsi="Times New Roman" w:eastAsia="宋体" w:cs="Times New Roman"/>
                      <w:color w:val="auto"/>
                      <w:sz w:val="21"/>
                      <w:szCs w:val="21"/>
                      <w:highlight w:val="none"/>
                    </w:rPr>
                    <w:t>2.加快燃煤锅炉淘汰升级。地级以上城市建成区禁止新建每小时20蒸吨以下燃煤锅炉，成都市禁止新建燃煤、木材、生物质锅炉，新建燃气锅炉氮氧化物采取更严格管控要求。到2017年底20蒸吨以上燃煤锅炉治理达标，到2020年底县城及以上城市建成区全面淘汰每小时10蒸吨以下燃煤锅炉，其他地区原则上不得新建每小时10蒸吨以下燃煤锅炉。在用燃煤锅炉全面达标。</w:t>
                  </w:r>
                </w:p>
              </w:tc>
              <w:tc>
                <w:tcPr>
                  <w:tcW w:w="1317" w:type="pct"/>
                  <w:vAlign w:val="center"/>
                </w:tcPr>
                <w:p w14:paraId="6F878CDD">
                  <w:pPr>
                    <w:adjustRightInd w:val="0"/>
                    <w:snapToGrid w:val="0"/>
                    <w:jc w:val="center"/>
                    <w:rPr>
                      <w:color w:val="auto"/>
                      <w:szCs w:val="21"/>
                      <w:highlight w:val="none"/>
                    </w:rPr>
                  </w:pPr>
                  <w:r>
                    <w:rPr>
                      <w:rFonts w:ascii="Times New Roman" w:hAnsi="Times New Roman" w:eastAsia="宋体" w:cs="Times New Roman"/>
                      <w:color w:val="auto"/>
                      <w:sz w:val="21"/>
                      <w:szCs w:val="21"/>
                      <w:highlight w:val="none"/>
                    </w:rPr>
                    <w:t>本项目不</w:t>
                  </w:r>
                  <w:r>
                    <w:rPr>
                      <w:rFonts w:hint="eastAsia" w:ascii="Times New Roman" w:hAnsi="Times New Roman" w:eastAsia="宋体" w:cs="Times New Roman"/>
                      <w:color w:val="auto"/>
                      <w:sz w:val="21"/>
                      <w:szCs w:val="21"/>
                      <w:highlight w:val="none"/>
                      <w:lang w:val="en-US" w:eastAsia="zh-CN"/>
                    </w:rPr>
                    <w:t>涉及</w:t>
                  </w:r>
                  <w:r>
                    <w:rPr>
                      <w:rFonts w:ascii="Times New Roman" w:hAnsi="Times New Roman" w:eastAsia="宋体" w:cs="Times New Roman"/>
                      <w:color w:val="auto"/>
                      <w:sz w:val="21"/>
                      <w:szCs w:val="21"/>
                      <w:highlight w:val="none"/>
                    </w:rPr>
                    <w:t>燃煤锅炉。</w:t>
                  </w:r>
                </w:p>
              </w:tc>
              <w:tc>
                <w:tcPr>
                  <w:tcW w:w="404" w:type="pct"/>
                  <w:vAlign w:val="center"/>
                </w:tcPr>
                <w:p w14:paraId="6A9001CA">
                  <w:pPr>
                    <w:adjustRightInd w:val="0"/>
                    <w:snapToGrid w:val="0"/>
                    <w:jc w:val="center"/>
                    <w:rPr>
                      <w:color w:val="auto"/>
                      <w:szCs w:val="21"/>
                      <w:highlight w:val="none"/>
                    </w:rPr>
                  </w:pPr>
                  <w:r>
                    <w:rPr>
                      <w:rFonts w:ascii="Times New Roman" w:hAnsi="Times New Roman" w:eastAsia="宋体" w:cs="Times New Roman"/>
                      <w:color w:val="auto"/>
                      <w:sz w:val="21"/>
                      <w:szCs w:val="21"/>
                      <w:highlight w:val="none"/>
                    </w:rPr>
                    <w:t>符合</w:t>
                  </w:r>
                </w:p>
              </w:tc>
            </w:tr>
            <w:tr w14:paraId="5F50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78" w:hRule="atLeast"/>
              </w:trPr>
              <w:tc>
                <w:tcPr>
                  <w:tcW w:w="818" w:type="pct"/>
                  <w:vAlign w:val="center"/>
                </w:tcPr>
                <w:p w14:paraId="227A28CA">
                  <w:pPr>
                    <w:adjustRightInd w:val="0"/>
                    <w:snapToGrid w:val="0"/>
                    <w:jc w:val="center"/>
                    <w:rPr>
                      <w:rFonts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关于加快解决当前挥发性有机物治理突出问题的通知</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环大气</w:t>
                  </w:r>
                  <w:r>
                    <w:rPr>
                      <w:color w:val="auto"/>
                      <w:sz w:val="21"/>
                      <w:highlight w:val="none"/>
                    </w:rPr>
                    <w:t>〔</w:t>
                  </w:r>
                  <w:r>
                    <w:rPr>
                      <w:rFonts w:ascii="Times New Roman" w:eastAsia="Times New Roman"/>
                      <w:color w:val="auto"/>
                      <w:sz w:val="21"/>
                      <w:highlight w:val="none"/>
                    </w:rPr>
                    <w:t>20</w:t>
                  </w:r>
                  <w:r>
                    <w:rPr>
                      <w:rFonts w:hint="eastAsia" w:eastAsia="宋体"/>
                      <w:color w:val="auto"/>
                      <w:sz w:val="21"/>
                      <w:highlight w:val="none"/>
                      <w:lang w:val="en-US" w:eastAsia="zh-CN"/>
                    </w:rPr>
                    <w:t>21</w:t>
                  </w:r>
                  <w:r>
                    <w:rPr>
                      <w:color w:val="auto"/>
                      <w:sz w:val="21"/>
                      <w:highlight w:val="none"/>
                    </w:rPr>
                    <w:t>〕</w:t>
                  </w:r>
                  <w:r>
                    <w:rPr>
                      <w:rFonts w:hint="eastAsia" w:eastAsia="宋体"/>
                      <w:color w:val="auto"/>
                      <w:sz w:val="21"/>
                      <w:highlight w:val="none"/>
                      <w:lang w:val="en-US" w:eastAsia="zh-CN"/>
                    </w:rPr>
                    <w:t>65</w:t>
                  </w:r>
                  <w:r>
                    <w:rPr>
                      <w:color w:val="auto"/>
                      <w:sz w:val="21"/>
                      <w:highlight w:val="none"/>
                    </w:rPr>
                    <w:t>号）</w:t>
                  </w:r>
                  <w:r>
                    <w:rPr>
                      <w:rFonts w:hint="eastAsia" w:cs="Times New Roman"/>
                      <w:color w:val="auto"/>
                      <w:sz w:val="21"/>
                      <w:szCs w:val="21"/>
                      <w:highlight w:val="none"/>
                      <w:lang w:eastAsia="zh-CN"/>
                    </w:rPr>
                    <w:t>）</w:t>
                  </w:r>
                </w:p>
              </w:tc>
              <w:tc>
                <w:tcPr>
                  <w:tcW w:w="2460" w:type="pct"/>
                  <w:vAlign w:val="center"/>
                </w:tcPr>
                <w:p w14:paraId="2FF294D4">
                  <w:pPr>
                    <w:numPr>
                      <w:ilvl w:val="0"/>
                      <w:numId w:val="0"/>
                    </w:numPr>
                    <w:adjustRightInd w:val="0"/>
                    <w:snapToGrid w:val="0"/>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四、</w:t>
                  </w:r>
                  <w:r>
                    <w:rPr>
                      <w:rFonts w:hint="eastAsia" w:ascii="Times New Roman" w:hAnsi="Times New Roman" w:eastAsia="宋体" w:cs="Times New Roman"/>
                      <w:color w:val="auto"/>
                      <w:sz w:val="21"/>
                      <w:szCs w:val="21"/>
                      <w:highlight w:val="none"/>
                      <w:lang w:val="en-US" w:eastAsia="zh-CN"/>
                    </w:rPr>
                    <w:t>强化监督落实，压实VOCs治理责任</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各地要加强组织实施，监测、执法、人员、资金保障等向VOCs治理倾斜；制定细化落实方案，精心组织排查、检查、抽测等工作，完善排查清单和治理台账；积极协调、配合相关部门，加强国家和地方涂料、油墨、胶粘剂、清洗剂等产品VOCs含量限值标准执行情况的监督检查。检查、抽测中发现违法问题的，依法依规进行处罚；重点查处通过旁路直排偷排、治理设施擅自停运、严重超标排放，以及VOCs监测数据、LDAR、运行管理台账造假等行为；涉嫌污染环境犯罪的，及时移交司法机关依法严肃查处；典型案例向社会公开曝光。各省级生态环境部门要加强业务指导，强化统筹调度，对治理任务重、工作进度慢的城市，要加强督促检查，加大帮扶指导力度。</w:t>
                  </w:r>
                </w:p>
                <w:p w14:paraId="4A39EB05">
                  <w:pPr>
                    <w:numPr>
                      <w:ilvl w:val="0"/>
                      <w:numId w:val="0"/>
                    </w:numPr>
                    <w:adjustRightInd w:val="0"/>
                    <w:snapToGrid w:val="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生态环境部组织开展重点区域夏季臭氧污染防治监督帮扶，重点监督各地“回头看”和VOCs治理突出问题排查整治工作开展情况，对发现的问题实行“拉条挂账”式管理，督促整改到位。对2020年监督帮扶反馈问题整改不到位，VOCs治理进度滞后、问题突出的地方和中央企业，生态环境部将视情开展点穴式、机动式专项督查，并通过通报、公开约谈等方式压实责任。　</w:t>
                  </w:r>
                </w:p>
              </w:tc>
              <w:tc>
                <w:tcPr>
                  <w:tcW w:w="1317" w:type="pct"/>
                  <w:vAlign w:val="center"/>
                </w:tcPr>
                <w:p w14:paraId="2025BD2B">
                  <w:pPr>
                    <w:numPr>
                      <w:ilvl w:val="0"/>
                      <w:numId w:val="0"/>
                    </w:numPr>
                    <w:adjustRightInd w:val="0"/>
                    <w:snapToGrid w:val="0"/>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为技改项目，排放的VOCs主要为三乙醇胺、N-甲基一乙醇胺蒸馏尾气以及储罐呼吸废气，技改后新增水洗塔对蒸馏尾气和呼吸废气进行水洗处理达标后依托现有DA001排气筒（28m）排放，并要求项目建成后定期检测；厂区现有排放的VOCs通过洗氨塔+水洗塔处理后再外排，废气委托第三方有资质检测单位定期监测，根据例行检测结果，现有厂区已建VOCs排气筒废气排放浓度能实现稳定达标。</w:t>
                  </w:r>
                </w:p>
              </w:tc>
              <w:tc>
                <w:tcPr>
                  <w:tcW w:w="404" w:type="pct"/>
                  <w:vAlign w:val="center"/>
                </w:tcPr>
                <w:p w14:paraId="56BD9544">
                  <w:pPr>
                    <w:adjustRightInd w:val="0"/>
                    <w:snapToGrid w:val="0"/>
                    <w:jc w:val="center"/>
                    <w:rPr>
                      <w:rFonts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符合</w:t>
                  </w:r>
                </w:p>
              </w:tc>
            </w:tr>
            <w:tr w14:paraId="3E3D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18" w:type="pct"/>
                  <w:vAlign w:val="center"/>
                </w:tcPr>
                <w:p w14:paraId="247CD71E">
                  <w:pPr>
                    <w:pStyle w:val="72"/>
                    <w:spacing w:before="138" w:line="242" w:lineRule="auto"/>
                    <w:ind w:left="105" w:right="55"/>
                    <w:jc w:val="both"/>
                    <w:rPr>
                      <w:color w:val="auto"/>
                      <w:szCs w:val="21"/>
                      <w:highlight w:val="none"/>
                    </w:rPr>
                  </w:pPr>
                  <w:r>
                    <w:rPr>
                      <w:color w:val="auto"/>
                      <w:spacing w:val="-4"/>
                      <w:sz w:val="21"/>
                      <w:highlight w:val="none"/>
                    </w:rPr>
                    <w:t>《遂宁市环境污染防治改革方案》</w:t>
                  </w:r>
                  <w:r>
                    <w:rPr>
                      <w:color w:val="auto"/>
                      <w:sz w:val="21"/>
                      <w:highlight w:val="none"/>
                    </w:rPr>
                    <w:t>（</w:t>
                  </w:r>
                  <w:r>
                    <w:rPr>
                      <w:color w:val="auto"/>
                      <w:spacing w:val="-2"/>
                      <w:sz w:val="21"/>
                      <w:highlight w:val="none"/>
                    </w:rPr>
                    <w:t>遂府办函</w:t>
                  </w:r>
                  <w:r>
                    <w:rPr>
                      <w:color w:val="auto"/>
                      <w:sz w:val="21"/>
                      <w:highlight w:val="none"/>
                    </w:rPr>
                    <w:t>〔</w:t>
                  </w:r>
                  <w:r>
                    <w:rPr>
                      <w:rFonts w:ascii="Times New Roman" w:eastAsia="Times New Roman"/>
                      <w:color w:val="auto"/>
                      <w:sz w:val="21"/>
                      <w:highlight w:val="none"/>
                    </w:rPr>
                    <w:t>2017</w:t>
                  </w:r>
                  <w:r>
                    <w:rPr>
                      <w:color w:val="auto"/>
                      <w:sz w:val="21"/>
                      <w:highlight w:val="none"/>
                    </w:rPr>
                    <w:t>〕</w:t>
                  </w:r>
                  <w:r>
                    <w:rPr>
                      <w:rFonts w:ascii="Times New Roman" w:eastAsia="Times New Roman"/>
                      <w:color w:val="auto"/>
                      <w:sz w:val="21"/>
                      <w:highlight w:val="none"/>
                    </w:rPr>
                    <w:t>191</w:t>
                  </w:r>
                  <w:r>
                    <w:rPr>
                      <w:color w:val="auto"/>
                      <w:sz w:val="21"/>
                      <w:highlight w:val="none"/>
                    </w:rPr>
                    <w:t>号）</w:t>
                  </w:r>
                </w:p>
              </w:tc>
              <w:tc>
                <w:tcPr>
                  <w:tcW w:w="2460" w:type="pct"/>
                  <w:vAlign w:val="center"/>
                </w:tcPr>
                <w:p w14:paraId="1B7CE3BD">
                  <w:pPr>
                    <w:adjustRightInd w:val="0"/>
                    <w:snapToGrid w:val="0"/>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一）加强大气污染防治。一是改革新污染防治监管，控制增量。深化大气污染防治法制建设和环境影响评价管理，实行大气污染防治重点控制区特别排放限值、新上涉气项目总量倍量替代、新增烟粉尘和挥发性有机污染物总量指标前置审批、煤炭消费总量控制和高污染燃料禁燃区制度等新污染控制要求，严控高耗能高污染大气项目建设。二是改革老污染治理监管，削减存量。实行由部分工</w:t>
                  </w:r>
                  <w:r>
                    <w:rPr>
                      <w:rFonts w:hint="eastAsia" w:ascii="Times New Roman" w:hAnsi="Times New Roman" w:eastAsia="宋体" w:cs="Times New Roman"/>
                      <w:color w:val="auto"/>
                      <w:sz w:val="21"/>
                      <w:szCs w:val="21"/>
                      <w:highlight w:val="none"/>
                    </w:rPr>
                    <w:t>业污染点源控制向工业点源、城</w:t>
                  </w:r>
                  <w:r>
                    <w:rPr>
                      <w:rFonts w:hint="eastAsia" w:ascii="Times New Roman" w:hAnsi="Times New Roman" w:eastAsia="宋体" w:cs="Times New Roman"/>
                      <w:color w:val="auto"/>
                      <w:sz w:val="21"/>
                      <w:szCs w:val="21"/>
                      <w:highlight w:val="none"/>
                      <w:lang w:val="en-US" w:eastAsia="zh-CN"/>
                    </w:rPr>
                    <w:t>乡</w:t>
                  </w:r>
                  <w:r>
                    <w:rPr>
                      <w:rFonts w:hint="eastAsia" w:ascii="Times New Roman" w:hAnsi="Times New Roman" w:eastAsia="宋体" w:cs="Times New Roman"/>
                      <w:color w:val="auto"/>
                      <w:sz w:val="21"/>
                      <w:szCs w:val="21"/>
                      <w:highlight w:val="none"/>
                    </w:rPr>
                    <w:t>面源和机动车移动源等多种污染源控制转变，由二氧化硫、氮氧化物等少数污染控制向二氧化硫、氮氧化物、烟粉尘、挥发性有机物等多污染物协同控制转变，推进工业脱硫、脱硝、除尘减排，开展燃煤锅炉治理，2017年底前完成全市建成区范围内10蒸吨及以下燃煤小锅炉淘汰</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置</w:t>
                  </w:r>
                  <w:r>
                    <w:rPr>
                      <w:rFonts w:hint="eastAsia" w:ascii="Times New Roman" w:hAnsi="Times New Roman" w:eastAsia="宋体" w:cs="Times New Roman"/>
                      <w:color w:val="auto"/>
                      <w:sz w:val="21"/>
                      <w:szCs w:val="21"/>
                      <w:highlight w:val="none"/>
                    </w:rPr>
                    <w:t>换</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工作，强化机动车污染防治，加快“黄标车”和老旧车辆淘汰，加强城市扬尘综合治理，强化秸秆禁烧常态化管理。三是创新监管工作机制，强化联防联控。实行由单一区域大气污染控制向重点区域联防联控转变，进一步深化与成都市及周边地区大气污染防治工作联席会议制度，互通共享信息、联合执法监督、开展区域环评会商、协同应急预警联动，形成长效工作机制</w:t>
                  </w:r>
                  <w:r>
                    <w:rPr>
                      <w:rFonts w:hint="eastAsia" w:ascii="Times New Roman" w:hAnsi="Times New Roman" w:eastAsia="宋体" w:cs="Times New Roman"/>
                      <w:color w:val="auto"/>
                      <w:sz w:val="21"/>
                      <w:szCs w:val="21"/>
                      <w:highlight w:val="none"/>
                      <w:lang w:eastAsia="zh-CN"/>
                    </w:rPr>
                    <w:t>。</w:t>
                  </w:r>
                </w:p>
              </w:tc>
              <w:tc>
                <w:tcPr>
                  <w:tcW w:w="1317" w:type="pct"/>
                  <w:vAlign w:val="center"/>
                </w:tcPr>
                <w:p w14:paraId="65E534C6">
                  <w:pPr>
                    <w:adjustRightInd w:val="0"/>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本项目位于大英县工业集中发展区梁家坝项目不属于高耗能高污染大气项目，项目针对所排废气采取针对性的措施，可实现污染物达标排放。本项目</w:t>
                  </w:r>
                  <w:r>
                    <w:rPr>
                      <w:rFonts w:hint="eastAsia" w:ascii="Times New Roman" w:hAnsi="Times New Roman" w:eastAsia="宋体" w:cs="Times New Roman"/>
                      <w:color w:val="auto"/>
                      <w:sz w:val="21"/>
                      <w:szCs w:val="21"/>
                      <w:highlight w:val="none"/>
                      <w:lang w:val="en-US" w:eastAsia="zh-CN"/>
                    </w:rPr>
                    <w:t>现有锅炉为燃气锅炉，不使用</w:t>
                  </w:r>
                  <w:r>
                    <w:rPr>
                      <w:rFonts w:ascii="Times New Roman" w:hAnsi="Times New Roman" w:eastAsia="宋体" w:cs="Times New Roman"/>
                      <w:color w:val="auto"/>
                      <w:sz w:val="21"/>
                      <w:szCs w:val="21"/>
                      <w:highlight w:val="none"/>
                    </w:rPr>
                    <w:t>燃煤锅炉</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技改依托现有锅炉，</w:t>
                  </w:r>
                  <w:r>
                    <w:rPr>
                      <w:rFonts w:ascii="Times New Roman" w:hAnsi="Times New Roman" w:eastAsia="宋体" w:cs="Times New Roman"/>
                      <w:color w:val="auto"/>
                      <w:sz w:val="21"/>
                      <w:szCs w:val="21"/>
                      <w:highlight w:val="none"/>
                    </w:rPr>
                    <w:t>以清洁能源天然气为燃料，可有效减少废气污染物的排放。</w:t>
                  </w:r>
                </w:p>
              </w:tc>
              <w:tc>
                <w:tcPr>
                  <w:tcW w:w="404" w:type="pct"/>
                  <w:vAlign w:val="center"/>
                </w:tcPr>
                <w:p w14:paraId="5C5D71A1">
                  <w:pPr>
                    <w:adjustRightInd w:val="0"/>
                    <w:snapToGrid w:val="0"/>
                    <w:jc w:val="center"/>
                    <w:rPr>
                      <w:rFonts w:ascii="Times New Roman" w:hAnsi="Times New Roman" w:eastAsia="宋体" w:cs="Times New Roman"/>
                      <w:color w:val="auto"/>
                      <w:sz w:val="21"/>
                      <w:szCs w:val="21"/>
                      <w:highlight w:val="none"/>
                    </w:rPr>
                  </w:pPr>
                </w:p>
              </w:tc>
            </w:tr>
          </w:tbl>
          <w:p w14:paraId="1EDCB166">
            <w:pPr>
              <w:numPr>
                <w:ilvl w:val="0"/>
                <w:numId w:val="19"/>
              </w:numPr>
              <w:spacing w:line="360" w:lineRule="auto"/>
              <w:ind w:firstLine="482" w:firstLineChars="200"/>
              <w:rPr>
                <w:b/>
                <w:bCs/>
                <w:color w:val="auto"/>
                <w:sz w:val="24"/>
                <w:highlight w:val="none"/>
              </w:rPr>
            </w:pPr>
            <w:r>
              <w:rPr>
                <w:rFonts w:hint="eastAsia"/>
                <w:b/>
                <w:bCs/>
                <w:color w:val="auto"/>
                <w:sz w:val="24"/>
                <w:highlight w:val="none"/>
                <w:lang w:val="en-US" w:eastAsia="zh-CN"/>
              </w:rPr>
              <w:t>项目</w:t>
            </w:r>
            <w:r>
              <w:rPr>
                <w:b/>
                <w:bCs/>
                <w:color w:val="auto"/>
                <w:sz w:val="24"/>
                <w:highlight w:val="none"/>
              </w:rPr>
              <w:t>与水污染防治相关法规、规范符合性</w:t>
            </w:r>
          </w:p>
          <w:p w14:paraId="4ED91696">
            <w:pPr>
              <w:spacing w:line="360" w:lineRule="auto"/>
              <w:ind w:firstLine="480" w:firstLineChars="200"/>
              <w:rPr>
                <w:color w:val="auto"/>
                <w:sz w:val="24"/>
                <w:highlight w:val="none"/>
              </w:rPr>
            </w:pPr>
            <w:r>
              <w:rPr>
                <w:color w:val="auto"/>
                <w:sz w:val="24"/>
                <w:highlight w:val="none"/>
              </w:rPr>
              <w:t>本项目与水污染防治相关法规、规范符合性分析见下表所示。</w:t>
            </w:r>
          </w:p>
          <w:p w14:paraId="2A024397">
            <w:pPr>
              <w:pStyle w:val="43"/>
              <w:rPr>
                <w:bCs/>
                <w:color w:val="auto"/>
                <w:kern w:val="0"/>
                <w:szCs w:val="21"/>
                <w:highlight w:val="none"/>
              </w:rPr>
            </w:pPr>
            <w:r>
              <w:rPr>
                <w:rFonts w:hint="eastAsia"/>
                <w:bCs/>
                <w:color w:val="auto"/>
                <w:kern w:val="0"/>
                <w:szCs w:val="21"/>
                <w:highlight w:val="none"/>
              </w:rPr>
              <w:t>本项目与水污染防治政策符合性分析</w:t>
            </w:r>
          </w:p>
          <w:tbl>
            <w:tblPr>
              <w:tblStyle w:val="27"/>
              <w:tblW w:w="493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114"/>
              <w:gridCol w:w="4914"/>
              <w:gridCol w:w="1930"/>
              <w:gridCol w:w="499"/>
            </w:tblGrid>
            <w:tr w14:paraId="77BFC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704" w:type="pct"/>
                  <w:tcBorders>
                    <w:top w:val="single" w:color="000000" w:sz="4" w:space="0"/>
                    <w:left w:val="single" w:color="000000" w:sz="4" w:space="0"/>
                    <w:bottom w:val="single" w:color="000000" w:sz="4" w:space="0"/>
                    <w:right w:val="single" w:color="000000" w:sz="4" w:space="0"/>
                  </w:tcBorders>
                  <w:vAlign w:val="center"/>
                </w:tcPr>
                <w:p w14:paraId="1500ADDC">
                  <w:pPr>
                    <w:jc w:val="center"/>
                    <w:rPr>
                      <w:b/>
                      <w:bCs/>
                      <w:color w:val="auto"/>
                      <w:szCs w:val="21"/>
                      <w:highlight w:val="none"/>
                    </w:rPr>
                  </w:pPr>
                  <w:r>
                    <w:rPr>
                      <w:b/>
                      <w:bCs/>
                      <w:color w:val="auto"/>
                      <w:szCs w:val="21"/>
                      <w:highlight w:val="none"/>
                    </w:rPr>
                    <w:t>法律法规政</w:t>
                  </w:r>
                </w:p>
                <w:p w14:paraId="599A75B7">
                  <w:pPr>
                    <w:jc w:val="center"/>
                    <w:rPr>
                      <w:b/>
                      <w:bCs/>
                      <w:color w:val="auto"/>
                      <w:szCs w:val="21"/>
                      <w:highlight w:val="none"/>
                    </w:rPr>
                  </w:pPr>
                  <w:r>
                    <w:rPr>
                      <w:b/>
                      <w:bCs/>
                      <w:color w:val="auto"/>
                      <w:szCs w:val="21"/>
                      <w:highlight w:val="none"/>
                    </w:rPr>
                    <w:t>策及规划</w:t>
                  </w:r>
                </w:p>
              </w:tc>
              <w:tc>
                <w:tcPr>
                  <w:tcW w:w="2950" w:type="pct"/>
                  <w:tcBorders>
                    <w:top w:val="single" w:color="000000" w:sz="4" w:space="0"/>
                    <w:left w:val="single" w:color="000000" w:sz="4" w:space="0"/>
                    <w:bottom w:val="single" w:color="000000" w:sz="4" w:space="0"/>
                    <w:right w:val="single" w:color="000000" w:sz="4" w:space="0"/>
                  </w:tcBorders>
                  <w:vAlign w:val="center"/>
                </w:tcPr>
                <w:p w14:paraId="53078D95">
                  <w:pPr>
                    <w:jc w:val="center"/>
                    <w:rPr>
                      <w:b/>
                      <w:bCs/>
                      <w:color w:val="auto"/>
                      <w:szCs w:val="21"/>
                      <w:highlight w:val="none"/>
                    </w:rPr>
                  </w:pPr>
                  <w:r>
                    <w:rPr>
                      <w:b/>
                      <w:bCs/>
                      <w:color w:val="auto"/>
                      <w:szCs w:val="21"/>
                      <w:highlight w:val="none"/>
                    </w:rPr>
                    <w:t>主要要求</w:t>
                  </w:r>
                </w:p>
              </w:tc>
              <w:tc>
                <w:tcPr>
                  <w:tcW w:w="1004" w:type="pct"/>
                  <w:tcBorders>
                    <w:top w:val="single" w:color="000000" w:sz="4" w:space="0"/>
                    <w:left w:val="single" w:color="000000" w:sz="4" w:space="0"/>
                    <w:bottom w:val="single" w:color="000000" w:sz="4" w:space="0"/>
                    <w:right w:val="single" w:color="000000" w:sz="4" w:space="0"/>
                  </w:tcBorders>
                  <w:vAlign w:val="center"/>
                </w:tcPr>
                <w:p w14:paraId="4AF913D8">
                  <w:pPr>
                    <w:jc w:val="center"/>
                    <w:rPr>
                      <w:b/>
                      <w:bCs/>
                      <w:color w:val="auto"/>
                      <w:szCs w:val="21"/>
                      <w:highlight w:val="none"/>
                    </w:rPr>
                  </w:pPr>
                  <w:r>
                    <w:rPr>
                      <w:b/>
                      <w:bCs/>
                      <w:color w:val="auto"/>
                      <w:spacing w:val="-1"/>
                      <w:szCs w:val="21"/>
                      <w:highlight w:val="none"/>
                    </w:rPr>
                    <w:t>本项目情况</w:t>
                  </w:r>
                </w:p>
              </w:tc>
              <w:tc>
                <w:tcPr>
                  <w:tcW w:w="340" w:type="pct"/>
                  <w:tcBorders>
                    <w:top w:val="single" w:color="000000" w:sz="4" w:space="0"/>
                    <w:left w:val="single" w:color="000000" w:sz="4" w:space="0"/>
                    <w:bottom w:val="single" w:color="000000" w:sz="4" w:space="0"/>
                  </w:tcBorders>
                  <w:vAlign w:val="center"/>
                </w:tcPr>
                <w:p w14:paraId="4B0068F8">
                  <w:pPr>
                    <w:jc w:val="center"/>
                    <w:rPr>
                      <w:rFonts w:hint="eastAsia" w:eastAsia="宋体"/>
                      <w:b/>
                      <w:bCs/>
                      <w:color w:val="auto"/>
                      <w:szCs w:val="21"/>
                      <w:highlight w:val="none"/>
                      <w:lang w:val="en-US" w:eastAsia="zh-CN"/>
                    </w:rPr>
                  </w:pPr>
                  <w:r>
                    <w:rPr>
                      <w:b/>
                      <w:bCs/>
                      <w:color w:val="auto"/>
                      <w:szCs w:val="21"/>
                      <w:highlight w:val="none"/>
                    </w:rPr>
                    <w:t>符合</w:t>
                  </w:r>
                  <w:r>
                    <w:rPr>
                      <w:rFonts w:hint="eastAsia"/>
                      <w:b/>
                      <w:bCs/>
                      <w:color w:val="auto"/>
                      <w:szCs w:val="21"/>
                      <w:highlight w:val="none"/>
                      <w:lang w:val="en-US" w:eastAsia="zh-CN"/>
                    </w:rPr>
                    <w:t>性</w:t>
                  </w:r>
                </w:p>
              </w:tc>
            </w:tr>
            <w:tr w14:paraId="2604D4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704" w:type="pct"/>
                  <w:tcBorders>
                    <w:top w:val="single" w:color="000000" w:sz="4" w:space="0"/>
                    <w:left w:val="single" w:color="000000" w:sz="4" w:space="0"/>
                    <w:bottom w:val="single" w:color="000000" w:sz="4" w:space="0"/>
                    <w:right w:val="single" w:color="000000" w:sz="4" w:space="0"/>
                  </w:tcBorders>
                  <w:vAlign w:val="center"/>
                </w:tcPr>
                <w:p w14:paraId="6E519CF0">
                  <w:pPr>
                    <w:jc w:val="both"/>
                    <w:rPr>
                      <w:b/>
                      <w:color w:val="auto"/>
                      <w:szCs w:val="21"/>
                      <w:highlight w:val="none"/>
                    </w:rPr>
                  </w:pPr>
                  <w:r>
                    <w:rPr>
                      <w:color w:val="auto"/>
                      <w:spacing w:val="-5"/>
                      <w:szCs w:val="21"/>
                      <w:highlight w:val="none"/>
                    </w:rPr>
                    <w:t>《中华人民共和国长江</w:t>
                  </w:r>
                  <w:r>
                    <w:rPr>
                      <w:color w:val="auto"/>
                      <w:spacing w:val="-1"/>
                      <w:szCs w:val="21"/>
                      <w:highlight w:val="none"/>
                    </w:rPr>
                    <w:t>保护法》</w:t>
                  </w:r>
                  <w:r>
                    <w:rPr>
                      <w:color w:val="auto"/>
                      <w:spacing w:val="-17"/>
                      <w:szCs w:val="21"/>
                      <w:highlight w:val="none"/>
                    </w:rPr>
                    <w:t>（</w:t>
                  </w:r>
                  <w:r>
                    <w:rPr>
                      <w:color w:val="auto"/>
                      <w:szCs w:val="21"/>
                      <w:highlight w:val="none"/>
                    </w:rPr>
                    <w:t>2021</w:t>
                  </w:r>
                  <w:r>
                    <w:rPr>
                      <w:color w:val="auto"/>
                      <w:spacing w:val="-3"/>
                      <w:szCs w:val="21"/>
                      <w:highlight w:val="none"/>
                    </w:rPr>
                    <w:t>年</w:t>
                  </w:r>
                  <w:r>
                    <w:rPr>
                      <w:color w:val="auto"/>
                      <w:szCs w:val="21"/>
                      <w:highlight w:val="none"/>
                    </w:rPr>
                    <w:t>3月</w:t>
                  </w:r>
                  <w:r>
                    <w:rPr>
                      <w:color w:val="auto"/>
                      <w:spacing w:val="-17"/>
                      <w:szCs w:val="21"/>
                      <w:highlight w:val="none"/>
                    </w:rPr>
                    <w:t>1</w:t>
                  </w:r>
                  <w:r>
                    <w:rPr>
                      <w:color w:val="auto"/>
                      <w:spacing w:val="-1"/>
                      <w:szCs w:val="21"/>
                      <w:highlight w:val="none"/>
                    </w:rPr>
                    <w:t>日起施行</w:t>
                  </w:r>
                  <w:r>
                    <w:rPr>
                      <w:color w:val="auto"/>
                      <w:spacing w:val="-3"/>
                      <w:szCs w:val="21"/>
                      <w:highlight w:val="none"/>
                    </w:rPr>
                    <w:t>）</w:t>
                  </w:r>
                </w:p>
              </w:tc>
              <w:tc>
                <w:tcPr>
                  <w:tcW w:w="2950" w:type="pct"/>
                  <w:tcBorders>
                    <w:top w:val="single" w:color="000000" w:sz="4" w:space="0"/>
                    <w:left w:val="single" w:color="000000" w:sz="4" w:space="0"/>
                    <w:bottom w:val="single" w:color="000000" w:sz="4" w:space="0"/>
                    <w:right w:val="single" w:color="000000" w:sz="4" w:space="0"/>
                  </w:tcBorders>
                  <w:vAlign w:val="center"/>
                </w:tcPr>
                <w:p w14:paraId="2D28AFEF">
                  <w:pPr>
                    <w:jc w:val="both"/>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380D7A38">
                  <w:pPr>
                    <w:jc w:val="both"/>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2、禁止在长江流域河湖管理范围内倾倒、填埋、堆放、弃置、处理固体废物。长江流域县级以上地方人民政府应当加强对固体废物非法转移和倾倒的联防联控。</w:t>
                  </w:r>
                </w:p>
              </w:tc>
              <w:tc>
                <w:tcPr>
                  <w:tcW w:w="1004" w:type="pct"/>
                  <w:tcBorders>
                    <w:top w:val="single" w:color="000000" w:sz="4" w:space="0"/>
                    <w:left w:val="single" w:color="000000" w:sz="4" w:space="0"/>
                    <w:bottom w:val="single" w:color="000000" w:sz="4" w:space="0"/>
                    <w:right w:val="single" w:color="000000" w:sz="4" w:space="0"/>
                  </w:tcBorders>
                  <w:vAlign w:val="center"/>
                </w:tcPr>
                <w:p w14:paraId="4159437D">
                  <w:pPr>
                    <w:jc w:val="both"/>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1、</w:t>
                  </w:r>
                  <w:r>
                    <w:rPr>
                      <w:rFonts w:ascii="Times New Roman" w:hAnsi="Times New Roman" w:eastAsia="宋体" w:cs="Times New Roman"/>
                      <w:color w:val="auto"/>
                      <w:szCs w:val="21"/>
                      <w:highlight w:val="none"/>
                    </w:rPr>
                    <w:t>本项目不属于新建、扩建化工</w:t>
                  </w:r>
                  <w:r>
                    <w:rPr>
                      <w:rFonts w:hint="eastAsia" w:ascii="Times New Roman" w:hAnsi="Times New Roman" w:eastAsia="宋体" w:cs="Times New Roman"/>
                      <w:color w:val="auto"/>
                      <w:szCs w:val="21"/>
                      <w:highlight w:val="none"/>
                    </w:rPr>
                    <w:t>项目</w:t>
                  </w:r>
                  <w:r>
                    <w:rPr>
                      <w:rFonts w:hint="eastAsia" w:ascii="Times New Roman" w:hAnsi="Times New Roman" w:eastAsia="宋体" w:cs="Times New Roman"/>
                      <w:color w:val="auto"/>
                      <w:szCs w:val="21"/>
                      <w:highlight w:val="none"/>
                      <w:lang w:eastAsia="zh-CN"/>
                    </w:rPr>
                    <w:t>。</w:t>
                  </w:r>
                </w:p>
                <w:p w14:paraId="5A84116C">
                  <w:pPr>
                    <w:jc w:val="both"/>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2、本项目固废均妥善处置，不涉及在长江</w:t>
                  </w:r>
                  <w:r>
                    <w:rPr>
                      <w:rFonts w:ascii="Times New Roman" w:hAnsi="Times New Roman" w:eastAsia="宋体" w:cs="Times New Roman"/>
                      <w:color w:val="auto"/>
                      <w:szCs w:val="21"/>
                      <w:highlight w:val="none"/>
                    </w:rPr>
                    <w:t>流域河湖管理范围内倾倒、填埋、堆放、弃置、处理固体废物</w:t>
                  </w:r>
                  <w:r>
                    <w:rPr>
                      <w:rFonts w:hint="eastAsia" w:ascii="Times New Roman" w:hAnsi="Times New Roman" w:eastAsia="宋体" w:cs="Times New Roman"/>
                      <w:color w:val="auto"/>
                      <w:szCs w:val="21"/>
                      <w:highlight w:val="none"/>
                      <w:lang w:eastAsia="zh-CN"/>
                    </w:rPr>
                    <w:t>。</w:t>
                  </w:r>
                </w:p>
              </w:tc>
              <w:tc>
                <w:tcPr>
                  <w:tcW w:w="340" w:type="pct"/>
                  <w:tcBorders>
                    <w:top w:val="single" w:color="000000" w:sz="4" w:space="0"/>
                    <w:left w:val="single" w:color="000000" w:sz="4" w:space="0"/>
                    <w:bottom w:val="single" w:color="000000" w:sz="4" w:space="0"/>
                  </w:tcBorders>
                  <w:vAlign w:val="center"/>
                </w:tcPr>
                <w:p w14:paraId="0C6AF570">
                  <w:pPr>
                    <w:jc w:val="both"/>
                    <w:rPr>
                      <w:color w:val="auto"/>
                      <w:szCs w:val="21"/>
                      <w:highlight w:val="none"/>
                    </w:rPr>
                  </w:pPr>
                  <w:r>
                    <w:rPr>
                      <w:color w:val="auto"/>
                      <w:szCs w:val="21"/>
                      <w:highlight w:val="none"/>
                    </w:rPr>
                    <w:t>符合</w:t>
                  </w:r>
                </w:p>
              </w:tc>
            </w:tr>
            <w:tr w14:paraId="3ABE8E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0" w:hRule="atLeast"/>
                <w:jc w:val="center"/>
              </w:trPr>
              <w:tc>
                <w:tcPr>
                  <w:tcW w:w="704" w:type="pct"/>
                  <w:tcBorders>
                    <w:top w:val="single" w:color="000000" w:sz="4" w:space="0"/>
                    <w:left w:val="single" w:color="000000" w:sz="4" w:space="0"/>
                    <w:bottom w:val="single" w:color="000000" w:sz="4" w:space="0"/>
                    <w:right w:val="single" w:color="000000" w:sz="4" w:space="0"/>
                  </w:tcBorders>
                  <w:vAlign w:val="center"/>
                </w:tcPr>
                <w:p w14:paraId="188D650E">
                  <w:pPr>
                    <w:jc w:val="both"/>
                    <w:rPr>
                      <w:b/>
                      <w:color w:val="auto"/>
                      <w:szCs w:val="21"/>
                      <w:highlight w:val="none"/>
                    </w:rPr>
                  </w:pPr>
                  <w:r>
                    <w:rPr>
                      <w:color w:val="auto"/>
                      <w:szCs w:val="21"/>
                      <w:highlight w:val="none"/>
                    </w:rPr>
                    <w:t>《中华人民共和国水污染防治法》（2017年修正）</w:t>
                  </w:r>
                </w:p>
              </w:tc>
              <w:tc>
                <w:tcPr>
                  <w:tcW w:w="2950" w:type="pct"/>
                  <w:tcBorders>
                    <w:top w:val="single" w:color="000000" w:sz="4" w:space="0"/>
                    <w:left w:val="single" w:color="000000" w:sz="4" w:space="0"/>
                    <w:bottom w:val="single" w:color="000000" w:sz="4" w:space="0"/>
                    <w:right w:val="single" w:color="000000" w:sz="4" w:space="0"/>
                  </w:tcBorders>
                  <w:vAlign w:val="center"/>
                </w:tcPr>
                <w:p w14:paraId="37C6E434">
                  <w:pPr>
                    <w:jc w:val="both"/>
                    <w:rPr>
                      <w:b/>
                      <w:color w:val="auto"/>
                      <w:szCs w:val="21"/>
                      <w:highlight w:val="none"/>
                    </w:rPr>
                  </w:pPr>
                  <w:r>
                    <w:rPr>
                      <w:color w:val="auto"/>
                      <w:szCs w:val="21"/>
                      <w:highlight w:val="none"/>
                    </w:rPr>
                    <w:t>排放工业废水的企业应当采取有效措施，收集和处理产生的全部废水，防止污染环境。含有毒有害水污染物的工业废水应当分类收集和处理，不得稀释排放。</w:t>
                  </w:r>
                </w:p>
                <w:p w14:paraId="47EA919C">
                  <w:pPr>
                    <w:jc w:val="both"/>
                    <w:rPr>
                      <w:b/>
                      <w:color w:val="auto"/>
                      <w:szCs w:val="21"/>
                      <w:highlight w:val="none"/>
                    </w:rPr>
                  </w:pPr>
                  <w:r>
                    <w:rPr>
                      <w:color w:val="auto"/>
                      <w:szCs w:val="21"/>
                      <w:highlight w:val="none"/>
                    </w:rPr>
                    <w:t>向污水集中处理设施排放工业废水的，应当按照国家有关规定进行预处理，达到集中处理设施处理工艺要求后方可排放。国家禁止新建不符合国家产业政策的小型造纸、制革、印染、染料、炼焦、炼硫、炼砷、炼汞、炼油、电镀、农药、石棉、水泥、玻璃、钢铁、火电以及其他严重污染水环境的生产项目。企业应当采用原材料利用效率高、污染物排放量少的清洁工艺，并加强管理，减少水污染物的产生。</w:t>
                  </w:r>
                </w:p>
              </w:tc>
              <w:tc>
                <w:tcPr>
                  <w:tcW w:w="1004" w:type="pct"/>
                  <w:tcBorders>
                    <w:top w:val="single" w:color="000000" w:sz="4" w:space="0"/>
                    <w:left w:val="single" w:color="000000" w:sz="4" w:space="0"/>
                    <w:bottom w:val="single" w:color="000000" w:sz="4" w:space="0"/>
                    <w:right w:val="single" w:color="000000" w:sz="4" w:space="0"/>
                  </w:tcBorders>
                  <w:vAlign w:val="center"/>
                </w:tcPr>
                <w:p w14:paraId="03382D36">
                  <w:pPr>
                    <w:jc w:val="both"/>
                    <w:rPr>
                      <w:rFonts w:hint="eastAsia" w:eastAsia="宋体"/>
                      <w:b/>
                      <w:color w:val="auto"/>
                      <w:szCs w:val="21"/>
                      <w:highlight w:val="none"/>
                      <w:lang w:eastAsia="zh-CN"/>
                    </w:rPr>
                  </w:pPr>
                  <w:r>
                    <w:rPr>
                      <w:color w:val="auto"/>
                      <w:spacing w:val="-4"/>
                      <w:szCs w:val="21"/>
                      <w:highlight w:val="none"/>
                    </w:rPr>
                    <w:t>本项目废水均经处理后达标排放，属于</w:t>
                  </w:r>
                  <w:r>
                    <w:rPr>
                      <w:rFonts w:hint="eastAsia"/>
                      <w:color w:val="auto"/>
                      <w:spacing w:val="-4"/>
                      <w:szCs w:val="21"/>
                      <w:highlight w:val="none"/>
                      <w:lang w:val="en-US" w:eastAsia="zh-CN"/>
                    </w:rPr>
                    <w:t>基础化学原料制造</w:t>
                  </w:r>
                  <w:r>
                    <w:rPr>
                      <w:color w:val="auto"/>
                      <w:spacing w:val="-4"/>
                      <w:szCs w:val="21"/>
                      <w:highlight w:val="none"/>
                    </w:rPr>
                    <w:t>，不属于</w:t>
                  </w:r>
                  <w:r>
                    <w:rPr>
                      <w:rFonts w:hint="eastAsia"/>
                      <w:color w:val="auto"/>
                      <w:spacing w:val="-4"/>
                      <w:szCs w:val="21"/>
                      <w:highlight w:val="none"/>
                      <w:lang w:val="en-US" w:eastAsia="zh-CN"/>
                    </w:rPr>
                    <w:t>左列行业及</w:t>
                  </w:r>
                  <w:r>
                    <w:rPr>
                      <w:color w:val="auto"/>
                      <w:spacing w:val="-4"/>
                      <w:szCs w:val="21"/>
                      <w:highlight w:val="none"/>
                    </w:rPr>
                    <w:t>严重污染水环境的生</w:t>
                  </w:r>
                  <w:r>
                    <w:rPr>
                      <w:color w:val="auto"/>
                      <w:szCs w:val="21"/>
                      <w:highlight w:val="none"/>
                    </w:rPr>
                    <w:t>产项目</w:t>
                  </w:r>
                  <w:r>
                    <w:rPr>
                      <w:rFonts w:hint="eastAsia"/>
                      <w:color w:val="auto"/>
                      <w:szCs w:val="21"/>
                      <w:highlight w:val="none"/>
                      <w:lang w:eastAsia="zh-CN"/>
                    </w:rPr>
                    <w:t>。</w:t>
                  </w:r>
                </w:p>
              </w:tc>
              <w:tc>
                <w:tcPr>
                  <w:tcW w:w="340" w:type="pct"/>
                  <w:tcBorders>
                    <w:top w:val="single" w:color="000000" w:sz="4" w:space="0"/>
                    <w:left w:val="single" w:color="000000" w:sz="4" w:space="0"/>
                    <w:bottom w:val="single" w:color="000000" w:sz="4" w:space="0"/>
                  </w:tcBorders>
                  <w:vAlign w:val="center"/>
                </w:tcPr>
                <w:p w14:paraId="73166EE7">
                  <w:pPr>
                    <w:jc w:val="both"/>
                    <w:rPr>
                      <w:color w:val="auto"/>
                      <w:szCs w:val="21"/>
                      <w:highlight w:val="none"/>
                    </w:rPr>
                  </w:pPr>
                  <w:r>
                    <w:rPr>
                      <w:color w:val="auto"/>
                      <w:szCs w:val="21"/>
                      <w:highlight w:val="none"/>
                    </w:rPr>
                    <w:t>符合</w:t>
                  </w:r>
                </w:p>
              </w:tc>
            </w:tr>
            <w:tr w14:paraId="69F516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7" w:hRule="atLeast"/>
                <w:jc w:val="center"/>
              </w:trPr>
              <w:tc>
                <w:tcPr>
                  <w:tcW w:w="704" w:type="pct"/>
                  <w:tcBorders>
                    <w:top w:val="single" w:color="000000" w:sz="4" w:space="0"/>
                    <w:left w:val="single" w:color="000000" w:sz="4" w:space="0"/>
                    <w:bottom w:val="single" w:color="000000" w:sz="4" w:space="0"/>
                    <w:right w:val="single" w:color="000000" w:sz="4" w:space="0"/>
                  </w:tcBorders>
                  <w:vAlign w:val="center"/>
                </w:tcPr>
                <w:p w14:paraId="7C8DF275">
                  <w:pPr>
                    <w:jc w:val="both"/>
                    <w:rPr>
                      <w:color w:val="auto"/>
                      <w:szCs w:val="21"/>
                      <w:highlight w:val="none"/>
                    </w:rPr>
                  </w:pPr>
                  <w:r>
                    <w:rPr>
                      <w:rFonts w:hint="eastAsia"/>
                      <w:color w:val="auto"/>
                      <w:szCs w:val="21"/>
                      <w:highlight w:val="none"/>
                      <w:lang w:val="zh-CN"/>
                    </w:rPr>
                    <w:t>《四川省嘉陵江流域生态环境保护条例》（</w:t>
                  </w:r>
                  <w:r>
                    <w:rPr>
                      <w:rFonts w:hint="eastAsia"/>
                      <w:color w:val="auto"/>
                      <w:szCs w:val="21"/>
                      <w:highlight w:val="none"/>
                      <w:lang w:val="en-US" w:eastAsia="zh-CN"/>
                    </w:rPr>
                    <w:t>2024年12月4日修改</w:t>
                  </w:r>
                  <w:r>
                    <w:rPr>
                      <w:rFonts w:hint="eastAsia"/>
                      <w:color w:val="auto"/>
                      <w:szCs w:val="21"/>
                      <w:highlight w:val="none"/>
                      <w:lang w:val="zh-CN"/>
                    </w:rPr>
                    <w:t>）</w:t>
                  </w:r>
                </w:p>
              </w:tc>
              <w:tc>
                <w:tcPr>
                  <w:tcW w:w="2950" w:type="pct"/>
                  <w:tcBorders>
                    <w:top w:val="single" w:color="000000" w:sz="4" w:space="0"/>
                    <w:left w:val="single" w:color="000000" w:sz="4" w:space="0"/>
                    <w:bottom w:val="single" w:color="000000" w:sz="4" w:space="0"/>
                    <w:right w:val="single" w:color="000000" w:sz="4" w:space="0"/>
                  </w:tcBorders>
                  <w:vAlign w:val="center"/>
                </w:tcPr>
                <w:p w14:paraId="19A41E1C">
                  <w:pPr>
                    <w:jc w:val="both"/>
                    <w:rPr>
                      <w:rFonts w:hint="eastAsia"/>
                      <w:color w:val="auto"/>
                      <w:szCs w:val="21"/>
                      <w:highlight w:val="none"/>
                      <w:lang w:val="zh-CN"/>
                    </w:rPr>
                  </w:pPr>
                  <w:r>
                    <w:rPr>
                      <w:rFonts w:hint="eastAsia"/>
                      <w:color w:val="auto"/>
                      <w:szCs w:val="21"/>
                      <w:highlight w:val="none"/>
                      <w:lang w:val="zh-CN"/>
                    </w:rPr>
                    <w:t>在嘉陵江干支流岸线新建、扩建化工园区和化工项目，应当符合《中华人民共和国长江保护法》和国家有关规定。</w:t>
                  </w:r>
                </w:p>
              </w:tc>
              <w:tc>
                <w:tcPr>
                  <w:tcW w:w="1004" w:type="pct"/>
                  <w:tcBorders>
                    <w:top w:val="single" w:color="000000" w:sz="4" w:space="0"/>
                    <w:left w:val="single" w:color="000000" w:sz="4" w:space="0"/>
                    <w:bottom w:val="single" w:color="000000" w:sz="4" w:space="0"/>
                    <w:right w:val="single" w:color="000000" w:sz="4" w:space="0"/>
                  </w:tcBorders>
                  <w:vAlign w:val="center"/>
                </w:tcPr>
                <w:p w14:paraId="7E33D9C9">
                  <w:pPr>
                    <w:jc w:val="both"/>
                    <w:rPr>
                      <w:rFonts w:hint="default" w:eastAsia="宋体"/>
                      <w:color w:val="auto"/>
                      <w:szCs w:val="21"/>
                      <w:highlight w:val="none"/>
                      <w:lang w:val="en-US" w:eastAsia="zh-CN"/>
                    </w:rPr>
                  </w:pPr>
                  <w:r>
                    <w:rPr>
                      <w:rFonts w:hint="eastAsia"/>
                      <w:color w:val="auto"/>
                      <w:szCs w:val="21"/>
                      <w:highlight w:val="none"/>
                      <w:lang w:val="en-US" w:eastAsia="zh-CN"/>
                    </w:rPr>
                    <w:t>本项目位于嘉陵江支流岸线一公里范围内，不涉及长江二级及以上支流，其本项目属于技改项目，不属于新建、扩建化工项目，符合</w:t>
                  </w:r>
                  <w:r>
                    <w:rPr>
                      <w:rFonts w:hint="eastAsia"/>
                      <w:color w:val="auto"/>
                      <w:szCs w:val="21"/>
                      <w:highlight w:val="none"/>
                      <w:lang w:val="zh-CN"/>
                    </w:rPr>
                    <w:t>《中华人民共和国长江保护法》</w:t>
                  </w:r>
                  <w:r>
                    <w:rPr>
                      <w:rFonts w:hint="eastAsia"/>
                      <w:color w:val="auto"/>
                      <w:szCs w:val="21"/>
                      <w:highlight w:val="none"/>
                      <w:lang w:val="en-US" w:eastAsia="zh-CN"/>
                    </w:rPr>
                    <w:t>相关要求。</w:t>
                  </w:r>
                </w:p>
              </w:tc>
              <w:tc>
                <w:tcPr>
                  <w:tcW w:w="340" w:type="pct"/>
                  <w:tcBorders>
                    <w:top w:val="single" w:color="000000" w:sz="4" w:space="0"/>
                    <w:left w:val="single" w:color="000000" w:sz="4" w:space="0"/>
                    <w:bottom w:val="single" w:color="000000" w:sz="4" w:space="0"/>
                  </w:tcBorders>
                  <w:vAlign w:val="center"/>
                </w:tcPr>
                <w:p w14:paraId="227C9E0F">
                  <w:pPr>
                    <w:jc w:val="both"/>
                    <w:rPr>
                      <w:rFonts w:hint="eastAsia" w:eastAsia="宋体"/>
                      <w:color w:val="auto"/>
                      <w:szCs w:val="21"/>
                      <w:highlight w:val="none"/>
                      <w:lang w:val="en-US" w:eastAsia="zh-CN"/>
                    </w:rPr>
                  </w:pPr>
                  <w:r>
                    <w:rPr>
                      <w:rFonts w:hint="eastAsia"/>
                      <w:color w:val="auto"/>
                      <w:szCs w:val="21"/>
                      <w:highlight w:val="none"/>
                      <w:lang w:val="en-US" w:eastAsia="zh-CN"/>
                    </w:rPr>
                    <w:t>符合</w:t>
                  </w:r>
                </w:p>
              </w:tc>
            </w:tr>
            <w:tr w14:paraId="4E3FD2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704" w:type="pct"/>
                  <w:tcBorders>
                    <w:top w:val="single" w:color="000000" w:sz="4" w:space="0"/>
                    <w:left w:val="single" w:color="000000" w:sz="4" w:space="0"/>
                    <w:bottom w:val="single" w:color="000000" w:sz="4" w:space="0"/>
                    <w:right w:val="single" w:color="000000" w:sz="4" w:space="0"/>
                  </w:tcBorders>
                  <w:vAlign w:val="center"/>
                </w:tcPr>
                <w:p w14:paraId="7E889115">
                  <w:pPr>
                    <w:jc w:val="both"/>
                    <w:rPr>
                      <w:color w:val="auto"/>
                      <w:szCs w:val="21"/>
                      <w:highlight w:val="none"/>
                    </w:rPr>
                  </w:pPr>
                  <w:r>
                    <w:rPr>
                      <w:color w:val="auto"/>
                      <w:spacing w:val="-5"/>
                      <w:szCs w:val="21"/>
                      <w:highlight w:val="none"/>
                    </w:rPr>
                    <w:t>《国务院关于印发水污染防治行动计划的通知</w:t>
                  </w:r>
                  <w:r>
                    <w:rPr>
                      <w:color w:val="auto"/>
                      <w:szCs w:val="21"/>
                      <w:highlight w:val="none"/>
                    </w:rPr>
                    <w:t>》（</w:t>
                  </w:r>
                  <w:r>
                    <w:rPr>
                      <w:color w:val="auto"/>
                      <w:spacing w:val="-2"/>
                      <w:szCs w:val="21"/>
                      <w:highlight w:val="none"/>
                    </w:rPr>
                    <w:t>国发</w:t>
                  </w:r>
                  <w:r>
                    <w:rPr>
                      <w:rFonts w:hint="eastAsia"/>
                      <w:color w:val="auto"/>
                      <w:highlight w:val="none"/>
                      <w:lang w:eastAsia="zh-CN"/>
                    </w:rPr>
                    <w:t>〔</w:t>
                  </w:r>
                  <w:r>
                    <w:rPr>
                      <w:color w:val="auto"/>
                      <w:highlight w:val="none"/>
                    </w:rPr>
                    <w:t>201</w:t>
                  </w:r>
                  <w:r>
                    <w:rPr>
                      <w:rFonts w:hint="eastAsia"/>
                      <w:color w:val="auto"/>
                      <w:highlight w:val="none"/>
                      <w:lang w:val="en-US" w:eastAsia="zh-CN"/>
                    </w:rPr>
                    <w:t>5</w:t>
                  </w:r>
                  <w:r>
                    <w:rPr>
                      <w:rFonts w:hint="eastAsia"/>
                      <w:color w:val="auto"/>
                      <w:highlight w:val="none"/>
                      <w:lang w:eastAsia="zh-CN"/>
                    </w:rPr>
                    <w:t>〕</w:t>
                  </w:r>
                  <w:r>
                    <w:rPr>
                      <w:color w:val="auto"/>
                      <w:szCs w:val="21"/>
                      <w:highlight w:val="none"/>
                    </w:rPr>
                    <w:t>17号）</w:t>
                  </w:r>
                </w:p>
              </w:tc>
              <w:tc>
                <w:tcPr>
                  <w:tcW w:w="2950" w:type="pct"/>
                  <w:tcBorders>
                    <w:top w:val="single" w:color="000000" w:sz="4" w:space="0"/>
                    <w:left w:val="single" w:color="000000" w:sz="4" w:space="0"/>
                    <w:bottom w:val="single" w:color="000000" w:sz="4" w:space="0"/>
                    <w:right w:val="single" w:color="000000" w:sz="4" w:space="0"/>
                  </w:tcBorders>
                  <w:vAlign w:val="center"/>
                </w:tcPr>
                <w:p w14:paraId="55053002">
                  <w:pPr>
                    <w:jc w:val="both"/>
                    <w:rPr>
                      <w:b/>
                      <w:color w:val="auto"/>
                      <w:szCs w:val="21"/>
                      <w:highlight w:val="none"/>
                    </w:rPr>
                  </w:pPr>
                  <w:r>
                    <w:rPr>
                      <w:color w:val="auto"/>
                      <w:szCs w:val="21"/>
                      <w:highlight w:val="none"/>
                    </w:rPr>
                    <w:t>（一）狠抓工业污染防治</w:t>
                  </w:r>
                </w:p>
                <w:p w14:paraId="184218C7">
                  <w:pPr>
                    <w:jc w:val="both"/>
                    <w:rPr>
                      <w:b/>
                      <w:color w:val="auto"/>
                      <w:w w:val="99"/>
                      <w:szCs w:val="21"/>
                      <w:highlight w:val="none"/>
                    </w:rPr>
                  </w:pPr>
                  <w:r>
                    <w:rPr>
                      <w:color w:val="auto"/>
                      <w:spacing w:val="-3"/>
                      <w:szCs w:val="21"/>
                      <w:highlight w:val="none"/>
                    </w:rPr>
                    <w:t>专项整治十大重点行业。制定造纸、焦化、氮肥、有色金属、印染、农副食品加工、原料药制造</w:t>
                  </w:r>
                  <w:r>
                    <w:rPr>
                      <w:color w:val="auto"/>
                      <w:spacing w:val="-4"/>
                      <w:szCs w:val="21"/>
                      <w:highlight w:val="none"/>
                    </w:rPr>
                    <w:t>、制革、农药、电镀等行业专项治理方案，实施清洁化改造。新建、改建、扩建上述行业建设项</w:t>
                  </w:r>
                  <w:r>
                    <w:rPr>
                      <w:color w:val="auto"/>
                      <w:szCs w:val="21"/>
                      <w:highlight w:val="none"/>
                    </w:rPr>
                    <w:t>目实行主要污染物排放等量或减量置换。</w:t>
                  </w:r>
                </w:p>
                <w:p w14:paraId="593AA6FB">
                  <w:pPr>
                    <w:jc w:val="both"/>
                    <w:rPr>
                      <w:b/>
                      <w:color w:val="auto"/>
                      <w:szCs w:val="21"/>
                      <w:highlight w:val="none"/>
                    </w:rPr>
                  </w:pPr>
                  <w:r>
                    <w:rPr>
                      <w:color w:val="auto"/>
                      <w:szCs w:val="21"/>
                      <w:highlight w:val="none"/>
                    </w:rPr>
                    <w:t>（五）调整产业结构</w:t>
                  </w:r>
                </w:p>
                <w:p w14:paraId="474E333B">
                  <w:pPr>
                    <w:jc w:val="both"/>
                    <w:rPr>
                      <w:b/>
                      <w:color w:val="auto"/>
                      <w:w w:val="99"/>
                      <w:szCs w:val="21"/>
                      <w:highlight w:val="none"/>
                    </w:rPr>
                  </w:pPr>
                  <w:r>
                    <w:rPr>
                      <w:color w:val="auto"/>
                      <w:szCs w:val="21"/>
                      <w:highlight w:val="none"/>
                    </w:rPr>
                    <w:t>严格环境准入。根据流域水质目标和主体功能区规划要求，明确区域环境准入条件，细化功能分区，实施差别化环境准入政策。建立水资源、水环境承载能力监测评价体系，实行承载能力监测预警，已超过承载能力的地区要实施水污染物削减方案，加快调整发展规划和产业结构。</w:t>
                  </w:r>
                </w:p>
              </w:tc>
              <w:tc>
                <w:tcPr>
                  <w:tcW w:w="1004" w:type="pct"/>
                  <w:vMerge w:val="restart"/>
                  <w:tcBorders>
                    <w:top w:val="single" w:color="000000" w:sz="4" w:space="0"/>
                    <w:left w:val="single" w:color="000000" w:sz="4" w:space="0"/>
                    <w:right w:val="single" w:color="000000" w:sz="4" w:space="0"/>
                  </w:tcBorders>
                  <w:vAlign w:val="center"/>
                </w:tcPr>
                <w:p w14:paraId="1127DB26">
                  <w:pPr>
                    <w:jc w:val="both"/>
                    <w:rPr>
                      <w:color w:val="auto"/>
                      <w:szCs w:val="21"/>
                      <w:highlight w:val="none"/>
                    </w:rPr>
                  </w:pPr>
                  <w:r>
                    <w:rPr>
                      <w:rFonts w:hint="eastAsia" w:ascii="宋体" w:hAnsi="宋体" w:eastAsia="宋体" w:cs="宋体"/>
                      <w:color w:val="auto"/>
                      <w:spacing w:val="-4"/>
                      <w:szCs w:val="21"/>
                      <w:highlight w:val="none"/>
                    </w:rPr>
                    <w:t>本项目属于化学药品制剂制造，不属于“十大重点行业”，所在区域地表水环境达标，且项目废水均经处理后达标排放。</w:t>
                  </w:r>
                </w:p>
              </w:tc>
              <w:tc>
                <w:tcPr>
                  <w:tcW w:w="340" w:type="pct"/>
                  <w:vMerge w:val="restart"/>
                  <w:tcBorders>
                    <w:top w:val="single" w:color="000000" w:sz="4" w:space="0"/>
                    <w:left w:val="single" w:color="000000" w:sz="4" w:space="0"/>
                  </w:tcBorders>
                  <w:vAlign w:val="center"/>
                </w:tcPr>
                <w:p w14:paraId="672DF224">
                  <w:pPr>
                    <w:jc w:val="both"/>
                    <w:rPr>
                      <w:color w:val="auto"/>
                      <w:szCs w:val="21"/>
                      <w:highlight w:val="none"/>
                    </w:rPr>
                  </w:pPr>
                  <w:r>
                    <w:rPr>
                      <w:color w:val="auto"/>
                      <w:szCs w:val="21"/>
                      <w:highlight w:val="none"/>
                    </w:rPr>
                    <w:t>符合</w:t>
                  </w:r>
                </w:p>
              </w:tc>
            </w:tr>
            <w:tr w14:paraId="24C7B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704" w:type="pct"/>
                  <w:tcBorders>
                    <w:top w:val="single" w:color="000000" w:sz="4" w:space="0"/>
                    <w:left w:val="single" w:color="000000" w:sz="4" w:space="0"/>
                    <w:bottom w:val="single" w:color="000000" w:sz="4" w:space="0"/>
                    <w:right w:val="single" w:color="000000" w:sz="4" w:space="0"/>
                  </w:tcBorders>
                  <w:vAlign w:val="center"/>
                </w:tcPr>
                <w:p w14:paraId="2AB761B7">
                  <w:pPr>
                    <w:jc w:val="both"/>
                    <w:rPr>
                      <w:color w:val="auto"/>
                      <w:szCs w:val="21"/>
                      <w:highlight w:val="none"/>
                    </w:rPr>
                  </w:pPr>
                  <w:r>
                    <w:rPr>
                      <w:color w:val="auto"/>
                      <w:szCs w:val="21"/>
                      <w:highlight w:val="none"/>
                    </w:rPr>
                    <w:t>《&lt;水污染防治行动计划&gt;四川省工作方案》（川府发59号）</w:t>
                  </w:r>
                </w:p>
              </w:tc>
              <w:tc>
                <w:tcPr>
                  <w:tcW w:w="2950" w:type="pct"/>
                  <w:tcBorders>
                    <w:top w:val="single" w:color="000000" w:sz="4" w:space="0"/>
                    <w:left w:val="single" w:color="000000" w:sz="4" w:space="0"/>
                    <w:bottom w:val="single" w:color="000000" w:sz="4" w:space="0"/>
                    <w:right w:val="single" w:color="000000" w:sz="4" w:space="0"/>
                  </w:tcBorders>
                  <w:vAlign w:val="center"/>
                </w:tcPr>
                <w:p w14:paraId="32C36CF5">
                  <w:pPr>
                    <w:jc w:val="both"/>
                    <w:rPr>
                      <w:b/>
                      <w:color w:val="auto"/>
                      <w:szCs w:val="21"/>
                      <w:highlight w:val="none"/>
                    </w:rPr>
                  </w:pPr>
                  <w:r>
                    <w:rPr>
                      <w:color w:val="auto"/>
                      <w:szCs w:val="21"/>
                      <w:highlight w:val="none"/>
                    </w:rPr>
                    <w:t>（一）狠抓工业污染防治</w:t>
                  </w:r>
                </w:p>
                <w:p w14:paraId="29FDEAA9">
                  <w:pPr>
                    <w:jc w:val="both"/>
                    <w:rPr>
                      <w:b/>
                      <w:color w:val="auto"/>
                      <w:szCs w:val="21"/>
                      <w:highlight w:val="none"/>
                    </w:rPr>
                  </w:pPr>
                  <w:r>
                    <w:rPr>
                      <w:color w:val="auto"/>
                      <w:szCs w:val="21"/>
                      <w:highlight w:val="none"/>
                    </w:rPr>
                    <w:t>2.</w:t>
                  </w:r>
                  <w:r>
                    <w:rPr>
                      <w:color w:val="auto"/>
                      <w:spacing w:val="-6"/>
                      <w:szCs w:val="21"/>
                      <w:highlight w:val="none"/>
                    </w:rPr>
                    <w:t>专项整治“</w:t>
                  </w:r>
                  <w:r>
                    <w:rPr>
                      <w:color w:val="auto"/>
                      <w:spacing w:val="-4"/>
                      <w:szCs w:val="21"/>
                      <w:highlight w:val="none"/>
                    </w:rPr>
                    <w:t>10+1</w:t>
                  </w:r>
                  <w:r>
                    <w:rPr>
                      <w:color w:val="auto"/>
                      <w:spacing w:val="-7"/>
                      <w:szCs w:val="21"/>
                      <w:highlight w:val="none"/>
                    </w:rPr>
                    <w:t>”重点行业。环境保护、经济和</w:t>
                  </w:r>
                  <w:r>
                    <w:rPr>
                      <w:color w:val="auto"/>
                      <w:spacing w:val="-5"/>
                      <w:szCs w:val="21"/>
                      <w:highlight w:val="none"/>
                    </w:rPr>
                    <w:t>信息化部门联合制定造纸、焦化、氮肥、有色金</w:t>
                  </w:r>
                  <w:r>
                    <w:rPr>
                      <w:color w:val="auto"/>
                      <w:spacing w:val="-4"/>
                      <w:szCs w:val="21"/>
                      <w:highlight w:val="none"/>
                    </w:rPr>
                    <w:t>属、印染、农副食品加工、原料药制造、制革、</w:t>
                  </w:r>
                  <w:r>
                    <w:rPr>
                      <w:color w:val="auto"/>
                      <w:spacing w:val="-3"/>
                      <w:szCs w:val="21"/>
                      <w:highlight w:val="none"/>
                    </w:rPr>
                    <w:t>农药、电镀和磷化工等行业专项治理方案并组织实施；新建、改建、扩建上述行业的建设项目执行氨氮、化学需氧量等量或减量置换。</w:t>
                  </w:r>
                </w:p>
                <w:p w14:paraId="410541A3">
                  <w:pPr>
                    <w:jc w:val="both"/>
                    <w:rPr>
                      <w:b/>
                      <w:color w:val="auto"/>
                      <w:szCs w:val="21"/>
                      <w:highlight w:val="none"/>
                    </w:rPr>
                  </w:pPr>
                  <w:r>
                    <w:rPr>
                      <w:color w:val="auto"/>
                      <w:szCs w:val="21"/>
                      <w:highlight w:val="none"/>
                    </w:rPr>
                    <w:t>（五）调整产业结构</w:t>
                  </w:r>
                </w:p>
                <w:p w14:paraId="0EB37309">
                  <w:pPr>
                    <w:jc w:val="both"/>
                    <w:rPr>
                      <w:color w:val="auto"/>
                      <w:szCs w:val="21"/>
                      <w:highlight w:val="none"/>
                    </w:rPr>
                  </w:pPr>
                  <w:r>
                    <w:rPr>
                      <w:color w:val="auto"/>
                      <w:szCs w:val="21"/>
                      <w:highlight w:val="none"/>
                    </w:rPr>
                    <w:t>17.</w:t>
                  </w:r>
                  <w:r>
                    <w:rPr>
                      <w:color w:val="auto"/>
                      <w:spacing w:val="-10"/>
                      <w:szCs w:val="21"/>
                      <w:highlight w:val="none"/>
                    </w:rPr>
                    <w:t>严格环境准入。环境保护部门按照流域水质目标、区域功能划分、容量总量核定的“三位一体”</w:t>
                  </w:r>
                  <w:r>
                    <w:rPr>
                      <w:color w:val="auto"/>
                      <w:spacing w:val="-5"/>
                      <w:szCs w:val="21"/>
                      <w:highlight w:val="none"/>
                    </w:rPr>
                    <w:t>环境准入要求，进一步细化准入条件，严格准入</w:t>
                  </w:r>
                  <w:r>
                    <w:rPr>
                      <w:color w:val="auto"/>
                      <w:spacing w:val="-4"/>
                      <w:szCs w:val="21"/>
                      <w:highlight w:val="none"/>
                    </w:rPr>
                    <w:t>标准，强化分类指导；执行规划环境影响评价、</w:t>
                  </w:r>
                  <w:r>
                    <w:rPr>
                      <w:color w:val="auto"/>
                      <w:spacing w:val="-3"/>
                      <w:szCs w:val="21"/>
                      <w:highlight w:val="none"/>
                    </w:rPr>
                    <w:t>项目环境影响评价以及流域、区域水环境质量和水污染物减排绩效挂钩制度；逐步建立水环境承载能力监测评价体系，对已超过水环境承载能力的地方，由各地制定并组织实施水环境质量达标</w:t>
                  </w:r>
                  <w:r>
                    <w:rPr>
                      <w:color w:val="auto"/>
                      <w:szCs w:val="21"/>
                      <w:highlight w:val="none"/>
                    </w:rPr>
                    <w:t>方案。</w:t>
                  </w:r>
                </w:p>
              </w:tc>
              <w:tc>
                <w:tcPr>
                  <w:tcW w:w="1004" w:type="pct"/>
                  <w:vMerge w:val="continue"/>
                  <w:tcBorders>
                    <w:left w:val="single" w:color="000000" w:sz="4" w:space="0"/>
                    <w:right w:val="single" w:color="000000" w:sz="4" w:space="0"/>
                  </w:tcBorders>
                  <w:vAlign w:val="center"/>
                </w:tcPr>
                <w:p w14:paraId="0DC25300">
                  <w:pPr>
                    <w:jc w:val="both"/>
                    <w:rPr>
                      <w:color w:val="auto"/>
                      <w:szCs w:val="21"/>
                      <w:highlight w:val="none"/>
                    </w:rPr>
                  </w:pPr>
                </w:p>
              </w:tc>
              <w:tc>
                <w:tcPr>
                  <w:tcW w:w="340" w:type="pct"/>
                  <w:vMerge w:val="continue"/>
                  <w:tcBorders>
                    <w:left w:val="single" w:color="000000" w:sz="4" w:space="0"/>
                  </w:tcBorders>
                  <w:vAlign w:val="center"/>
                </w:tcPr>
                <w:p w14:paraId="1ED8C522">
                  <w:pPr>
                    <w:jc w:val="both"/>
                    <w:rPr>
                      <w:color w:val="auto"/>
                      <w:szCs w:val="21"/>
                      <w:highlight w:val="none"/>
                    </w:rPr>
                  </w:pPr>
                </w:p>
              </w:tc>
            </w:tr>
            <w:tr w14:paraId="109F26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9" w:hRule="atLeast"/>
                <w:jc w:val="center"/>
              </w:trPr>
              <w:tc>
                <w:tcPr>
                  <w:tcW w:w="704" w:type="pct"/>
                  <w:tcBorders>
                    <w:top w:val="single" w:color="000000" w:sz="4" w:space="0"/>
                    <w:left w:val="single" w:color="000000" w:sz="4" w:space="0"/>
                    <w:right w:val="single" w:color="000000" w:sz="4" w:space="0"/>
                  </w:tcBorders>
                  <w:vAlign w:val="center"/>
                </w:tcPr>
                <w:p w14:paraId="131E699F">
                  <w:pPr>
                    <w:jc w:val="both"/>
                    <w:rPr>
                      <w:color w:val="auto"/>
                      <w:szCs w:val="21"/>
                      <w:highlight w:val="none"/>
                    </w:rPr>
                  </w:pPr>
                  <w:r>
                    <w:rPr>
                      <w:color w:val="auto"/>
                      <w:sz w:val="21"/>
                      <w:highlight w:val="none"/>
                    </w:rPr>
                    <w:t>《遂宁市环境污染防治改革方案》（遂府办函〔</w:t>
                  </w:r>
                  <w:r>
                    <w:rPr>
                      <w:rFonts w:ascii="Times New Roman" w:eastAsia="Times New Roman"/>
                      <w:color w:val="auto"/>
                      <w:sz w:val="21"/>
                      <w:highlight w:val="none"/>
                    </w:rPr>
                    <w:t>2017</w:t>
                  </w:r>
                  <w:r>
                    <w:rPr>
                      <w:color w:val="auto"/>
                      <w:sz w:val="21"/>
                      <w:highlight w:val="none"/>
                    </w:rPr>
                    <w:t>〕</w:t>
                  </w:r>
                  <w:r>
                    <w:rPr>
                      <w:rFonts w:ascii="Times New Roman" w:eastAsia="Times New Roman"/>
                      <w:color w:val="auto"/>
                      <w:sz w:val="21"/>
                      <w:highlight w:val="none"/>
                    </w:rPr>
                    <w:t>191</w:t>
                  </w:r>
                  <w:r>
                    <w:rPr>
                      <w:color w:val="auto"/>
                      <w:sz w:val="21"/>
                      <w:highlight w:val="none"/>
                    </w:rPr>
                    <w:t>号）</w:t>
                  </w:r>
                </w:p>
              </w:tc>
              <w:tc>
                <w:tcPr>
                  <w:tcW w:w="2950" w:type="pct"/>
                  <w:tcBorders>
                    <w:top w:val="single" w:color="000000" w:sz="4" w:space="0"/>
                    <w:left w:val="single" w:color="000000" w:sz="4" w:space="0"/>
                    <w:right w:val="single" w:color="000000" w:sz="4" w:space="0"/>
                  </w:tcBorders>
                  <w:vAlign w:val="center"/>
                </w:tcPr>
                <w:p w14:paraId="161079FE">
                  <w:pPr>
                    <w:jc w:val="both"/>
                    <w:rPr>
                      <w:color w:val="auto"/>
                      <w:szCs w:val="21"/>
                      <w:highlight w:val="none"/>
                      <w:lang w:val="en-US" w:eastAsia="zh-CN"/>
                    </w:rPr>
                  </w:pPr>
                  <w:r>
                    <w:rPr>
                      <w:color w:val="auto"/>
                      <w:szCs w:val="21"/>
                      <w:highlight w:val="none"/>
                    </w:rPr>
                    <w:t>展重污染河流和城镇黑臭水体整治，“一头”大力保护优良水质河流，推动水质一般的河流保持水质稳定并逐步改善，到2020年基本消除市、县（区）城市建成区黑臭水体。三是探索水污染防治市场化机制。积极推进污水处理设施建设和运行管理专业化、市场化、社会化改革，加强污水处理设施和管网配套，加快污水处理等环保基础设施建设，逐步形成良好的运行机制。四是深化流域性污染风险防控。强化污染防治应急处置体系改革，开展水环境监测预警系统建设，加大环境污染风险管理和应急处置能力建设力度，建立健全市、县（区）、镇（乡）三级环境应急管理指挥平台和处理机制，构建政府主导、部门协调、分级负责、属地管理、全社会共同参与的流域污染防控体系。</w:t>
                  </w:r>
                </w:p>
              </w:tc>
              <w:tc>
                <w:tcPr>
                  <w:tcW w:w="1004" w:type="pct"/>
                  <w:tcBorders>
                    <w:left w:val="single" w:color="000000" w:sz="4" w:space="0"/>
                    <w:right w:val="single" w:color="000000" w:sz="4" w:space="0"/>
                  </w:tcBorders>
                  <w:vAlign w:val="center"/>
                </w:tcPr>
                <w:p w14:paraId="7595FCF2">
                  <w:pPr>
                    <w:pStyle w:val="72"/>
                    <w:spacing w:before="1" w:line="242" w:lineRule="auto"/>
                    <w:ind w:left="37" w:right="-29"/>
                    <w:jc w:val="both"/>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项目位于大英县工业集中发展区梁家坝，废水经过厂区</w:t>
                  </w:r>
                  <w:r>
                    <w:rPr>
                      <w:rFonts w:hint="eastAsia" w:cs="Times New Roman"/>
                      <w:color w:val="auto"/>
                      <w:kern w:val="2"/>
                      <w:sz w:val="21"/>
                      <w:szCs w:val="21"/>
                      <w:highlight w:val="none"/>
                      <w:lang w:val="en-US" w:eastAsia="zh-CN" w:bidi="ar-SA"/>
                    </w:rPr>
                    <w:t>污</w:t>
                  </w:r>
                  <w:r>
                    <w:rPr>
                      <w:rFonts w:ascii="Times New Roman" w:hAnsi="Times New Roman" w:eastAsia="宋体" w:cs="Times New Roman"/>
                      <w:color w:val="auto"/>
                      <w:kern w:val="2"/>
                      <w:sz w:val="21"/>
                      <w:szCs w:val="21"/>
                      <w:highlight w:val="none"/>
                      <w:lang w:val="en-US" w:eastAsia="zh-CN" w:bidi="ar-SA"/>
                    </w:rPr>
                    <w:t>水处理站预处理后由管网进入园区污水处理厂处理，处理达《地表水环境质量标准》（GB3838-2002）Ⅲ类标准（总氮按照《四川省岷江、沱江流域水污染物排放标准》</w:t>
                  </w:r>
                </w:p>
                <w:p w14:paraId="3F2BDF91">
                  <w:pPr>
                    <w:pStyle w:val="72"/>
                    <w:ind w:left="37"/>
                    <w:jc w:val="both"/>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（DB51/2311-2016）“工业园区集中式污水处理厂排放”标准控制）的要求后排入郪江，可起到改善郪江流域环境质量的作用。</w:t>
                  </w:r>
                </w:p>
              </w:tc>
              <w:tc>
                <w:tcPr>
                  <w:tcW w:w="340" w:type="pct"/>
                  <w:tcBorders>
                    <w:left w:val="single" w:color="000000" w:sz="4" w:space="0"/>
                  </w:tcBorders>
                  <w:vAlign w:val="center"/>
                </w:tcPr>
                <w:p w14:paraId="6D7D85AA">
                  <w:pPr>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bl>
          <w:p w14:paraId="6D198076">
            <w:pPr>
              <w:spacing w:line="360" w:lineRule="auto"/>
              <w:ind w:firstLine="480" w:firstLineChars="200"/>
              <w:rPr>
                <w:color w:val="auto"/>
                <w:sz w:val="24"/>
                <w:highlight w:val="none"/>
              </w:rPr>
            </w:pPr>
            <w:r>
              <w:rPr>
                <w:color w:val="auto"/>
                <w:sz w:val="24"/>
                <w:highlight w:val="none"/>
              </w:rPr>
              <w:t>由上表可知，本项目符合水污染防治相关的法规、规范。</w:t>
            </w:r>
          </w:p>
          <w:p w14:paraId="0F066579">
            <w:pPr>
              <w:numPr>
                <w:ilvl w:val="0"/>
                <w:numId w:val="19"/>
              </w:numPr>
              <w:spacing w:line="360" w:lineRule="auto"/>
              <w:ind w:firstLine="482" w:firstLineChars="200"/>
              <w:rPr>
                <w:b/>
                <w:bCs/>
                <w:color w:val="auto"/>
                <w:kern w:val="0"/>
                <w:sz w:val="24"/>
                <w:highlight w:val="none"/>
              </w:rPr>
            </w:pPr>
            <w:r>
              <w:rPr>
                <w:b/>
                <w:bCs/>
                <w:color w:val="auto"/>
                <w:kern w:val="0"/>
                <w:sz w:val="24"/>
                <w:highlight w:val="none"/>
              </w:rPr>
              <w:t>与土壤污染防治相关法规、规范符合性</w:t>
            </w:r>
          </w:p>
          <w:p w14:paraId="57AF48FD">
            <w:pPr>
              <w:spacing w:line="360" w:lineRule="auto"/>
              <w:ind w:firstLine="480" w:firstLineChars="200"/>
              <w:rPr>
                <w:color w:val="auto"/>
                <w:sz w:val="24"/>
                <w:highlight w:val="none"/>
              </w:rPr>
            </w:pPr>
            <w:r>
              <w:rPr>
                <w:color w:val="auto"/>
                <w:sz w:val="24"/>
                <w:highlight w:val="none"/>
              </w:rPr>
              <w:t>本项目与土壤污染防治相关法规、规范符合性分析见下表所示。</w:t>
            </w:r>
          </w:p>
          <w:p w14:paraId="698F5A87">
            <w:pPr>
              <w:pStyle w:val="43"/>
              <w:rPr>
                <w:bCs/>
                <w:color w:val="auto"/>
                <w:kern w:val="0"/>
                <w:szCs w:val="21"/>
                <w:highlight w:val="none"/>
              </w:rPr>
            </w:pPr>
            <w:r>
              <w:rPr>
                <w:rFonts w:hint="eastAsia"/>
                <w:bCs/>
                <w:color w:val="auto"/>
                <w:kern w:val="0"/>
                <w:szCs w:val="21"/>
                <w:highlight w:val="none"/>
              </w:rPr>
              <w:t>本项目与土壤污染防治政策符合性分析</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686"/>
              <w:gridCol w:w="4184"/>
              <w:gridCol w:w="1815"/>
              <w:gridCol w:w="883"/>
            </w:tblGrid>
            <w:tr w14:paraId="13E814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984" w:type="pct"/>
                  <w:vAlign w:val="center"/>
                </w:tcPr>
                <w:p w14:paraId="77B373A9">
                  <w:pPr>
                    <w:adjustRightInd w:val="0"/>
                    <w:snapToGrid w:val="0"/>
                    <w:jc w:val="center"/>
                    <w:rPr>
                      <w:b/>
                      <w:bCs/>
                      <w:color w:val="auto"/>
                      <w:highlight w:val="none"/>
                    </w:rPr>
                  </w:pPr>
                  <w:r>
                    <w:rPr>
                      <w:b/>
                      <w:bCs/>
                      <w:color w:val="auto"/>
                      <w:highlight w:val="none"/>
                    </w:rPr>
                    <w:t>土壤污染防治规划文件</w:t>
                  </w:r>
                </w:p>
              </w:tc>
              <w:tc>
                <w:tcPr>
                  <w:tcW w:w="2441" w:type="pct"/>
                  <w:vAlign w:val="center"/>
                </w:tcPr>
                <w:p w14:paraId="54106B8F">
                  <w:pPr>
                    <w:adjustRightInd w:val="0"/>
                    <w:snapToGrid w:val="0"/>
                    <w:jc w:val="center"/>
                    <w:rPr>
                      <w:b/>
                      <w:bCs/>
                      <w:color w:val="auto"/>
                      <w:highlight w:val="none"/>
                    </w:rPr>
                  </w:pPr>
                  <w:r>
                    <w:rPr>
                      <w:b/>
                      <w:bCs/>
                      <w:color w:val="auto"/>
                      <w:highlight w:val="none"/>
                    </w:rPr>
                    <w:t>规划要求</w:t>
                  </w:r>
                </w:p>
              </w:tc>
              <w:tc>
                <w:tcPr>
                  <w:tcW w:w="1059" w:type="pct"/>
                  <w:vAlign w:val="center"/>
                </w:tcPr>
                <w:p w14:paraId="5273257C">
                  <w:pPr>
                    <w:adjustRightInd w:val="0"/>
                    <w:snapToGrid w:val="0"/>
                    <w:jc w:val="center"/>
                    <w:rPr>
                      <w:b/>
                      <w:bCs/>
                      <w:color w:val="auto"/>
                      <w:highlight w:val="none"/>
                    </w:rPr>
                  </w:pPr>
                  <w:r>
                    <w:rPr>
                      <w:b/>
                      <w:bCs/>
                      <w:color w:val="auto"/>
                      <w:highlight w:val="none"/>
                    </w:rPr>
                    <w:t>本项目情况</w:t>
                  </w:r>
                </w:p>
              </w:tc>
              <w:tc>
                <w:tcPr>
                  <w:tcW w:w="515" w:type="pct"/>
                  <w:vAlign w:val="center"/>
                </w:tcPr>
                <w:p w14:paraId="334E31D9">
                  <w:pPr>
                    <w:adjustRightInd w:val="0"/>
                    <w:snapToGrid w:val="0"/>
                    <w:jc w:val="center"/>
                    <w:rPr>
                      <w:b/>
                      <w:bCs/>
                      <w:color w:val="auto"/>
                      <w:highlight w:val="none"/>
                    </w:rPr>
                  </w:pPr>
                  <w:r>
                    <w:rPr>
                      <w:b/>
                      <w:bCs/>
                      <w:color w:val="auto"/>
                      <w:highlight w:val="none"/>
                    </w:rPr>
                    <w:t>符合性</w:t>
                  </w:r>
                </w:p>
              </w:tc>
            </w:tr>
            <w:tr w14:paraId="6D74C4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984" w:type="pct"/>
                  <w:vAlign w:val="center"/>
                </w:tcPr>
                <w:p w14:paraId="03166989">
                  <w:pPr>
                    <w:adjustRightInd w:val="0"/>
                    <w:snapToGrid w:val="0"/>
                    <w:jc w:val="center"/>
                    <w:rPr>
                      <w:bCs/>
                      <w:color w:val="auto"/>
                      <w:highlight w:val="none"/>
                    </w:rPr>
                  </w:pPr>
                  <w:r>
                    <w:rPr>
                      <w:bCs/>
                      <w:color w:val="auto"/>
                      <w:highlight w:val="none"/>
                    </w:rPr>
                    <w:t>《中华人民共和国土壤污染防治法》</w:t>
                  </w:r>
                </w:p>
              </w:tc>
              <w:tc>
                <w:tcPr>
                  <w:tcW w:w="2441" w:type="pct"/>
                  <w:vAlign w:val="center"/>
                </w:tcPr>
                <w:p w14:paraId="03F458E5">
                  <w:pPr>
                    <w:adjustRightInd w:val="0"/>
                    <w:snapToGrid w:val="0"/>
                    <w:jc w:val="left"/>
                    <w:rPr>
                      <w:bCs/>
                      <w:color w:val="auto"/>
                      <w:highlight w:val="none"/>
                    </w:rPr>
                  </w:pPr>
                  <w:r>
                    <w:rPr>
                      <w:bCs/>
                      <w:color w:val="auto"/>
                      <w:highlight w:val="none"/>
                    </w:rPr>
                    <w:t>生产、使用、贮存、运输、回收、处置、排放有毒有害物质的单位和个人，应当采取有效措施，防止有毒有害物质渗漏、流失、扬散，避免土壤受到污染。</w:t>
                  </w:r>
                </w:p>
              </w:tc>
              <w:tc>
                <w:tcPr>
                  <w:tcW w:w="1059" w:type="pct"/>
                  <w:vMerge w:val="restart"/>
                  <w:vAlign w:val="center"/>
                </w:tcPr>
                <w:p w14:paraId="30433275">
                  <w:pPr>
                    <w:adjustRightInd w:val="0"/>
                    <w:snapToGrid w:val="0"/>
                    <w:jc w:val="center"/>
                    <w:rPr>
                      <w:color w:val="auto"/>
                      <w:highlight w:val="none"/>
                    </w:rPr>
                  </w:pPr>
                  <w:r>
                    <w:rPr>
                      <w:color w:val="auto"/>
                      <w:highlight w:val="none"/>
                    </w:rPr>
                    <w:t>本项目生产车间</w:t>
                  </w:r>
                  <w:r>
                    <w:rPr>
                      <w:rFonts w:hint="eastAsia"/>
                      <w:color w:val="auto"/>
                      <w:highlight w:val="none"/>
                    </w:rPr>
                    <w:t>采取相应</w:t>
                  </w:r>
                  <w:r>
                    <w:rPr>
                      <w:color w:val="auto"/>
                      <w:highlight w:val="none"/>
                    </w:rPr>
                    <w:t>防渗</w:t>
                  </w:r>
                  <w:r>
                    <w:rPr>
                      <w:rFonts w:hint="eastAsia"/>
                      <w:color w:val="auto"/>
                      <w:highlight w:val="none"/>
                    </w:rPr>
                    <w:t>处理</w:t>
                  </w:r>
                  <w:r>
                    <w:rPr>
                      <w:color w:val="auto"/>
                      <w:highlight w:val="none"/>
                    </w:rPr>
                    <w:t>，厂区已建用地已进行相应分区防渗措施，防止污染物经</w:t>
                  </w:r>
                  <w:r>
                    <w:rPr>
                      <w:rFonts w:hint="eastAsia"/>
                      <w:color w:val="auto"/>
                      <w:highlight w:val="none"/>
                      <w:lang w:eastAsia="zh-CN"/>
                    </w:rPr>
                    <w:t>泄漏</w:t>
                  </w:r>
                  <w:r>
                    <w:rPr>
                      <w:color w:val="auto"/>
                      <w:highlight w:val="none"/>
                    </w:rPr>
                    <w:t>进入土壤环境</w:t>
                  </w:r>
                </w:p>
              </w:tc>
              <w:tc>
                <w:tcPr>
                  <w:tcW w:w="515" w:type="pct"/>
                  <w:vMerge w:val="restart"/>
                  <w:vAlign w:val="center"/>
                </w:tcPr>
                <w:p w14:paraId="3404B387">
                  <w:pPr>
                    <w:adjustRightInd w:val="0"/>
                    <w:snapToGrid w:val="0"/>
                    <w:jc w:val="center"/>
                    <w:rPr>
                      <w:color w:val="auto"/>
                      <w:highlight w:val="none"/>
                    </w:rPr>
                  </w:pPr>
                  <w:r>
                    <w:rPr>
                      <w:bCs/>
                      <w:color w:val="auto"/>
                      <w:highlight w:val="none"/>
                    </w:rPr>
                    <w:t>符合</w:t>
                  </w:r>
                </w:p>
              </w:tc>
            </w:tr>
            <w:tr w14:paraId="7F7E9C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984" w:type="pct"/>
                  <w:vAlign w:val="center"/>
                </w:tcPr>
                <w:p w14:paraId="11DAE020">
                  <w:pPr>
                    <w:adjustRightInd w:val="0"/>
                    <w:snapToGrid w:val="0"/>
                    <w:jc w:val="center"/>
                    <w:rPr>
                      <w:bCs/>
                      <w:color w:val="auto"/>
                      <w:highlight w:val="none"/>
                    </w:rPr>
                  </w:pPr>
                  <w:r>
                    <w:rPr>
                      <w:bCs/>
                      <w:color w:val="auto"/>
                      <w:highlight w:val="none"/>
                    </w:rPr>
                    <w:t>《土壤污染防治行动计划》（即“土十条”）</w:t>
                  </w:r>
                </w:p>
              </w:tc>
              <w:tc>
                <w:tcPr>
                  <w:tcW w:w="2441" w:type="pct"/>
                  <w:vAlign w:val="center"/>
                </w:tcPr>
                <w:p w14:paraId="2C712A4E">
                  <w:pPr>
                    <w:adjustRightInd w:val="0"/>
                    <w:snapToGrid w:val="0"/>
                    <w:jc w:val="left"/>
                    <w:rPr>
                      <w:bCs/>
                      <w:color w:val="auto"/>
                      <w:highlight w:val="none"/>
                    </w:rPr>
                  </w:pPr>
                  <w:r>
                    <w:rPr>
                      <w:bCs/>
                      <w:color w:val="auto"/>
                      <w:highlight w:val="none"/>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059" w:type="pct"/>
                  <w:vMerge w:val="continue"/>
                  <w:vAlign w:val="center"/>
                </w:tcPr>
                <w:p w14:paraId="76A1EE96">
                  <w:pPr>
                    <w:adjustRightInd w:val="0"/>
                    <w:snapToGrid w:val="0"/>
                    <w:jc w:val="center"/>
                    <w:rPr>
                      <w:color w:val="auto"/>
                      <w:highlight w:val="none"/>
                    </w:rPr>
                  </w:pPr>
                </w:p>
              </w:tc>
              <w:tc>
                <w:tcPr>
                  <w:tcW w:w="515" w:type="pct"/>
                  <w:vMerge w:val="continue"/>
                  <w:vAlign w:val="center"/>
                </w:tcPr>
                <w:p w14:paraId="4CF02F59">
                  <w:pPr>
                    <w:adjustRightInd w:val="0"/>
                    <w:snapToGrid w:val="0"/>
                    <w:jc w:val="center"/>
                    <w:rPr>
                      <w:color w:val="auto"/>
                      <w:highlight w:val="none"/>
                    </w:rPr>
                  </w:pPr>
                </w:p>
              </w:tc>
            </w:tr>
            <w:tr w14:paraId="0D85BD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984" w:type="pct"/>
                  <w:vAlign w:val="center"/>
                </w:tcPr>
                <w:p w14:paraId="39391C7B">
                  <w:pPr>
                    <w:adjustRightInd w:val="0"/>
                    <w:snapToGrid w:val="0"/>
                    <w:jc w:val="center"/>
                    <w:rPr>
                      <w:bCs/>
                      <w:color w:val="auto"/>
                      <w:highlight w:val="none"/>
                    </w:rPr>
                  </w:pPr>
                  <w:r>
                    <w:rPr>
                      <w:bCs/>
                      <w:color w:val="auto"/>
                      <w:highlight w:val="none"/>
                    </w:rPr>
                    <w:t>《遂宁市环境污染防治改革方案》（遂府办函</w:t>
                  </w:r>
                </w:p>
                <w:p w14:paraId="598FC939">
                  <w:pPr>
                    <w:adjustRightInd w:val="0"/>
                    <w:snapToGrid w:val="0"/>
                    <w:jc w:val="center"/>
                    <w:rPr>
                      <w:bCs/>
                      <w:color w:val="auto"/>
                      <w:highlight w:val="none"/>
                    </w:rPr>
                  </w:pPr>
                  <w:r>
                    <w:rPr>
                      <w:bCs/>
                      <w:color w:val="auto"/>
                      <w:highlight w:val="none"/>
                    </w:rPr>
                    <w:t>〔2017〕191号）</w:t>
                  </w:r>
                </w:p>
              </w:tc>
              <w:tc>
                <w:tcPr>
                  <w:tcW w:w="2441" w:type="pct"/>
                  <w:vAlign w:val="center"/>
                </w:tcPr>
                <w:p w14:paraId="26935F5D">
                  <w:pPr>
                    <w:adjustRightInd w:val="0"/>
                    <w:snapToGrid w:val="0"/>
                    <w:jc w:val="left"/>
                    <w:rPr>
                      <w:bCs/>
                      <w:color w:val="auto"/>
                      <w:highlight w:val="none"/>
                    </w:rPr>
                  </w:pPr>
                  <w:r>
                    <w:rPr>
                      <w:bCs/>
                      <w:color w:val="auto"/>
                      <w:highlight w:val="none"/>
                    </w:rPr>
                    <w:t>（三）加强土壤污染防治。一是创新重金属污染控源减排统筹工业和农村土壤重金属污染防治，由点源分散治理向重点区域、重点行业集中治理转变，大力推进铅蓄电池、化学原料及化学制品制造、电镀等行业综合整治，实行重点行业强制性清洁生产审核和环保核查。二是探索固废危废精细化管理。创新固废危废对土壤污染的监管控制，严格化学品环境管理制度，进一步由末端控制向全过程监管转变，健全和落实固体废物、危险废物的产生、运输、贮存、处理处置等关键环节管理制度。三是完善土壤污染防治基础制度。健全土壤环境监测制度，以重要农产区、工业企业周边、城市郊区为重点，开展农产品产地土壤及农产品重金属污染调查及动态监测，为土壤污染防治调查、风险评估和修复试点示范等奠定基础。</w:t>
                  </w:r>
                </w:p>
              </w:tc>
              <w:tc>
                <w:tcPr>
                  <w:tcW w:w="1059" w:type="pct"/>
                  <w:vAlign w:val="center"/>
                </w:tcPr>
                <w:p w14:paraId="128AD27F">
                  <w:pPr>
                    <w:adjustRightInd w:val="0"/>
                    <w:snapToGrid w:val="0"/>
                    <w:jc w:val="left"/>
                    <w:rPr>
                      <w:bCs/>
                      <w:color w:val="auto"/>
                      <w:highlight w:val="none"/>
                    </w:rPr>
                  </w:pPr>
                  <w:r>
                    <w:rPr>
                      <w:bCs/>
                      <w:color w:val="auto"/>
                      <w:highlight w:val="none"/>
                    </w:rPr>
                    <w:t>项目</w:t>
                  </w:r>
                  <w:r>
                    <w:rPr>
                      <w:rFonts w:hint="eastAsia"/>
                      <w:bCs/>
                      <w:color w:val="auto"/>
                      <w:highlight w:val="none"/>
                      <w:lang w:val="en-US" w:eastAsia="zh-CN"/>
                    </w:rPr>
                    <w:t>不涉及且</w:t>
                  </w:r>
                  <w:r>
                    <w:rPr>
                      <w:bCs/>
                      <w:color w:val="auto"/>
                      <w:highlight w:val="none"/>
                    </w:rPr>
                    <w:t>不排放重金属污染物。本项目拟建危废</w:t>
                  </w:r>
                  <w:r>
                    <w:rPr>
                      <w:rFonts w:hint="eastAsia"/>
                      <w:bCs/>
                      <w:color w:val="auto"/>
                      <w:highlight w:val="none"/>
                      <w:lang w:val="en-US" w:eastAsia="zh-CN"/>
                    </w:rPr>
                    <w:t>贮存库</w:t>
                  </w:r>
                  <w:r>
                    <w:rPr>
                      <w:bCs/>
                      <w:color w:val="auto"/>
                      <w:highlight w:val="none"/>
                    </w:rPr>
                    <w:t>，</w:t>
                  </w:r>
                  <w:r>
                    <w:rPr>
                      <w:rFonts w:hint="eastAsia"/>
                      <w:bCs/>
                      <w:color w:val="auto"/>
                      <w:highlight w:val="none"/>
                      <w:lang w:val="en-US" w:eastAsia="zh-CN"/>
                    </w:rPr>
                    <w:t>并</w:t>
                  </w:r>
                  <w:r>
                    <w:rPr>
                      <w:bCs/>
                      <w:color w:val="auto"/>
                      <w:highlight w:val="none"/>
                    </w:rPr>
                    <w:t>对危废</w:t>
                  </w:r>
                  <w:r>
                    <w:rPr>
                      <w:rFonts w:hint="eastAsia"/>
                      <w:bCs/>
                      <w:color w:val="auto"/>
                      <w:highlight w:val="none"/>
                      <w:lang w:val="en-US" w:eastAsia="zh-CN"/>
                    </w:rPr>
                    <w:t>贮存库</w:t>
                  </w:r>
                  <w:r>
                    <w:rPr>
                      <w:bCs/>
                      <w:color w:val="auto"/>
                      <w:highlight w:val="none"/>
                    </w:rPr>
                    <w:t>进行重点防渗处理，同时与资质单位签订危废处置协议。</w:t>
                  </w:r>
                </w:p>
              </w:tc>
              <w:tc>
                <w:tcPr>
                  <w:tcW w:w="515" w:type="pct"/>
                  <w:vAlign w:val="center"/>
                </w:tcPr>
                <w:p w14:paraId="3C07BE78">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符合</w:t>
                  </w:r>
                </w:p>
              </w:tc>
            </w:tr>
          </w:tbl>
          <w:p w14:paraId="3A3D1757">
            <w:pPr>
              <w:spacing w:line="360" w:lineRule="auto"/>
              <w:ind w:firstLine="480" w:firstLineChars="200"/>
              <w:rPr>
                <w:color w:val="auto"/>
                <w:sz w:val="24"/>
                <w:highlight w:val="none"/>
              </w:rPr>
            </w:pPr>
            <w:r>
              <w:rPr>
                <w:color w:val="auto"/>
                <w:sz w:val="24"/>
                <w:highlight w:val="none"/>
              </w:rPr>
              <w:t>由上表可知，本项目符合土壤污染防治相关的法规、规范。</w:t>
            </w:r>
          </w:p>
          <w:p w14:paraId="53339EBF">
            <w:pPr>
              <w:numPr>
                <w:ilvl w:val="0"/>
                <w:numId w:val="19"/>
              </w:numPr>
              <w:spacing w:line="360" w:lineRule="auto"/>
              <w:ind w:firstLine="482" w:firstLineChars="200"/>
              <w:rPr>
                <w:b/>
                <w:bCs/>
                <w:color w:val="auto"/>
                <w:sz w:val="24"/>
                <w:szCs w:val="18"/>
                <w:highlight w:val="none"/>
              </w:rPr>
            </w:pPr>
            <w:r>
              <w:rPr>
                <w:b/>
                <w:bCs/>
                <w:color w:val="auto"/>
                <w:sz w:val="24"/>
                <w:szCs w:val="18"/>
                <w:highlight w:val="none"/>
              </w:rPr>
              <w:t>与固体废物污染防治法律法规政策及生态环境保护规划的符合性分析</w:t>
            </w:r>
          </w:p>
          <w:p w14:paraId="6646C550">
            <w:pPr>
              <w:adjustRightInd w:val="0"/>
              <w:snapToGrid w:val="0"/>
              <w:spacing w:line="360" w:lineRule="auto"/>
              <w:ind w:firstLine="480" w:firstLineChars="200"/>
              <w:rPr>
                <w:color w:val="auto"/>
                <w:sz w:val="24"/>
                <w:szCs w:val="18"/>
                <w:highlight w:val="none"/>
              </w:rPr>
            </w:pPr>
            <w:r>
              <w:rPr>
                <w:color w:val="auto"/>
                <w:sz w:val="24"/>
                <w:szCs w:val="18"/>
                <w:highlight w:val="none"/>
              </w:rPr>
              <w:t>本项目与固体废物污染防治相关法律法规政策及生态环境保护规划的符合性分析详见下表：</w:t>
            </w:r>
          </w:p>
          <w:p w14:paraId="3E9942CF">
            <w:pPr>
              <w:pStyle w:val="43"/>
              <w:rPr>
                <w:bCs/>
                <w:color w:val="auto"/>
                <w:kern w:val="0"/>
                <w:szCs w:val="21"/>
                <w:highlight w:val="none"/>
              </w:rPr>
            </w:pPr>
            <w:r>
              <w:rPr>
                <w:rFonts w:hint="eastAsia"/>
                <w:bCs/>
                <w:color w:val="auto"/>
                <w:kern w:val="0"/>
                <w:szCs w:val="21"/>
                <w:highlight w:val="none"/>
              </w:rPr>
              <w:t>本项目与固体废物污染防治相关法律法规及生态环境保护规划符合性</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6"/>
              <w:gridCol w:w="5540"/>
              <w:gridCol w:w="1142"/>
              <w:gridCol w:w="770"/>
            </w:tblGrid>
            <w:tr w14:paraId="2511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1" w:type="pct"/>
                  <w:vAlign w:val="center"/>
                </w:tcPr>
                <w:p w14:paraId="0351B6BB">
                  <w:pPr>
                    <w:adjustRightInd w:val="0"/>
                    <w:snapToGrid w:val="0"/>
                    <w:jc w:val="center"/>
                    <w:rPr>
                      <w:b/>
                      <w:bCs/>
                      <w:color w:val="auto"/>
                      <w:szCs w:val="21"/>
                      <w:highlight w:val="none"/>
                    </w:rPr>
                  </w:pPr>
                  <w:r>
                    <w:rPr>
                      <w:b/>
                      <w:bCs/>
                      <w:color w:val="auto"/>
                      <w:spacing w:val="-7"/>
                      <w:szCs w:val="21"/>
                      <w:highlight w:val="none"/>
                    </w:rPr>
                    <w:t>法律法规政策</w:t>
                  </w:r>
                  <w:r>
                    <w:rPr>
                      <w:b/>
                      <w:bCs/>
                      <w:color w:val="auto"/>
                      <w:spacing w:val="-1"/>
                      <w:szCs w:val="21"/>
                      <w:highlight w:val="none"/>
                    </w:rPr>
                    <w:t>及规划</w:t>
                  </w:r>
                </w:p>
              </w:tc>
              <w:tc>
                <w:tcPr>
                  <w:tcW w:w="3232" w:type="pct"/>
                  <w:vAlign w:val="center"/>
                </w:tcPr>
                <w:p w14:paraId="6DF90D90">
                  <w:pPr>
                    <w:adjustRightInd w:val="0"/>
                    <w:snapToGrid w:val="0"/>
                    <w:jc w:val="center"/>
                    <w:rPr>
                      <w:b/>
                      <w:bCs/>
                      <w:color w:val="auto"/>
                      <w:szCs w:val="21"/>
                      <w:highlight w:val="none"/>
                    </w:rPr>
                  </w:pPr>
                  <w:r>
                    <w:rPr>
                      <w:b/>
                      <w:bCs/>
                      <w:color w:val="auto"/>
                      <w:szCs w:val="21"/>
                      <w:highlight w:val="none"/>
                    </w:rPr>
                    <w:t>主要要求</w:t>
                  </w:r>
                </w:p>
              </w:tc>
              <w:tc>
                <w:tcPr>
                  <w:tcW w:w="666" w:type="pct"/>
                  <w:vAlign w:val="center"/>
                </w:tcPr>
                <w:p w14:paraId="3C36F542">
                  <w:pPr>
                    <w:adjustRightInd w:val="0"/>
                    <w:snapToGrid w:val="0"/>
                    <w:jc w:val="center"/>
                    <w:rPr>
                      <w:b/>
                      <w:bCs/>
                      <w:color w:val="auto"/>
                      <w:szCs w:val="21"/>
                      <w:highlight w:val="none"/>
                    </w:rPr>
                  </w:pPr>
                  <w:r>
                    <w:rPr>
                      <w:b/>
                      <w:bCs/>
                      <w:color w:val="auto"/>
                      <w:szCs w:val="21"/>
                      <w:highlight w:val="none"/>
                    </w:rPr>
                    <w:t>本项目情况</w:t>
                  </w:r>
                </w:p>
              </w:tc>
              <w:tc>
                <w:tcPr>
                  <w:tcW w:w="449" w:type="pct"/>
                  <w:vAlign w:val="center"/>
                </w:tcPr>
                <w:p w14:paraId="251A6883">
                  <w:pPr>
                    <w:adjustRightInd w:val="0"/>
                    <w:snapToGrid w:val="0"/>
                    <w:jc w:val="center"/>
                    <w:rPr>
                      <w:b/>
                      <w:bCs/>
                      <w:color w:val="auto"/>
                      <w:szCs w:val="21"/>
                      <w:highlight w:val="none"/>
                    </w:rPr>
                  </w:pPr>
                  <w:r>
                    <w:rPr>
                      <w:b/>
                      <w:bCs/>
                      <w:color w:val="auto"/>
                      <w:szCs w:val="21"/>
                      <w:highlight w:val="none"/>
                    </w:rPr>
                    <w:t>是否</w:t>
                  </w:r>
                </w:p>
                <w:p w14:paraId="15345529">
                  <w:pPr>
                    <w:adjustRightInd w:val="0"/>
                    <w:snapToGrid w:val="0"/>
                    <w:jc w:val="center"/>
                    <w:rPr>
                      <w:b/>
                      <w:bCs/>
                      <w:color w:val="auto"/>
                      <w:szCs w:val="21"/>
                      <w:highlight w:val="none"/>
                    </w:rPr>
                  </w:pPr>
                  <w:r>
                    <w:rPr>
                      <w:b/>
                      <w:bCs/>
                      <w:color w:val="auto"/>
                      <w:szCs w:val="21"/>
                      <w:highlight w:val="none"/>
                    </w:rPr>
                    <w:t>符合</w:t>
                  </w:r>
                </w:p>
              </w:tc>
            </w:tr>
            <w:tr w14:paraId="081A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1" w:type="pct"/>
                  <w:vAlign w:val="center"/>
                </w:tcPr>
                <w:p w14:paraId="7F5D66A3">
                  <w:pPr>
                    <w:adjustRightInd w:val="0"/>
                    <w:snapToGrid w:val="0"/>
                    <w:jc w:val="center"/>
                    <w:rPr>
                      <w:b/>
                      <w:color w:val="auto"/>
                      <w:szCs w:val="21"/>
                      <w:highlight w:val="none"/>
                    </w:rPr>
                  </w:pPr>
                  <w:r>
                    <w:rPr>
                      <w:color w:val="auto"/>
                      <w:szCs w:val="21"/>
                      <w:highlight w:val="none"/>
                    </w:rPr>
                    <w:t>《中华人民共和国固体废物污染环境防治法》</w:t>
                  </w:r>
                  <w:r>
                    <w:rPr>
                      <w:color w:val="auto"/>
                      <w:spacing w:val="-11"/>
                      <w:szCs w:val="21"/>
                      <w:highlight w:val="none"/>
                    </w:rPr>
                    <w:t>（2</w:t>
                  </w:r>
                  <w:r>
                    <w:rPr>
                      <w:color w:val="auto"/>
                      <w:szCs w:val="21"/>
                      <w:highlight w:val="none"/>
                    </w:rPr>
                    <w:t>020年4月29日第二次修订</w:t>
                  </w:r>
                  <w:r>
                    <w:rPr>
                      <w:color w:val="auto"/>
                      <w:spacing w:val="-3"/>
                      <w:szCs w:val="21"/>
                      <w:highlight w:val="none"/>
                    </w:rPr>
                    <w:t>）</w:t>
                  </w:r>
                </w:p>
              </w:tc>
              <w:tc>
                <w:tcPr>
                  <w:tcW w:w="3232" w:type="pct"/>
                </w:tcPr>
                <w:p w14:paraId="0080206A">
                  <w:pPr>
                    <w:adjustRightInd w:val="0"/>
                    <w:snapToGrid w:val="0"/>
                    <w:jc w:val="left"/>
                    <w:rPr>
                      <w:color w:val="auto"/>
                      <w:szCs w:val="21"/>
                      <w:highlight w:val="none"/>
                    </w:rPr>
                  </w:pPr>
                  <w:r>
                    <w:rPr>
                      <w:color w:val="auto"/>
                      <w:spacing w:val="-2"/>
                      <w:szCs w:val="21"/>
                      <w:highlight w:val="none"/>
                    </w:rPr>
                    <w:t>第三十六条</w:t>
                  </w:r>
                </w:p>
                <w:p w14:paraId="45533923">
                  <w:pPr>
                    <w:adjustRightInd w:val="0"/>
                    <w:snapToGrid w:val="0"/>
                    <w:jc w:val="left"/>
                    <w:rPr>
                      <w:color w:val="auto"/>
                      <w:spacing w:val="-3"/>
                      <w:szCs w:val="21"/>
                      <w:highlight w:val="none"/>
                    </w:rPr>
                  </w:pPr>
                  <w:r>
                    <w:rPr>
                      <w:color w:val="auto"/>
                      <w:spacing w:val="-4"/>
                      <w:szCs w:val="21"/>
                      <w:highlight w:val="none"/>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w:t>
                  </w:r>
                  <w:r>
                    <w:rPr>
                      <w:color w:val="auto"/>
                      <w:spacing w:val="-2"/>
                      <w:szCs w:val="21"/>
                      <w:highlight w:val="none"/>
                    </w:rPr>
                    <w:t>境的措施。</w:t>
                  </w:r>
                  <w:r>
                    <w:rPr>
                      <w:color w:val="auto"/>
                      <w:spacing w:val="-3"/>
                      <w:szCs w:val="21"/>
                      <w:highlight w:val="none"/>
                    </w:rPr>
                    <w:t>禁止向生活垃圾收集设施中投放工业固体废物。</w:t>
                  </w:r>
                </w:p>
                <w:p w14:paraId="55293C1B">
                  <w:pPr>
                    <w:adjustRightInd w:val="0"/>
                    <w:snapToGrid w:val="0"/>
                    <w:jc w:val="left"/>
                    <w:rPr>
                      <w:color w:val="auto"/>
                      <w:szCs w:val="21"/>
                      <w:highlight w:val="none"/>
                    </w:rPr>
                  </w:pPr>
                  <w:r>
                    <w:rPr>
                      <w:color w:val="auto"/>
                      <w:spacing w:val="-2"/>
                      <w:szCs w:val="21"/>
                      <w:highlight w:val="none"/>
                    </w:rPr>
                    <w:t>第三十七条</w:t>
                  </w:r>
                </w:p>
                <w:p w14:paraId="33C86928">
                  <w:pPr>
                    <w:adjustRightInd w:val="0"/>
                    <w:snapToGrid w:val="0"/>
                    <w:jc w:val="left"/>
                    <w:rPr>
                      <w:color w:val="auto"/>
                      <w:spacing w:val="-4"/>
                      <w:szCs w:val="21"/>
                      <w:highlight w:val="none"/>
                    </w:rPr>
                  </w:pPr>
                  <w:r>
                    <w:rPr>
                      <w:color w:val="auto"/>
                      <w:spacing w:val="-3"/>
                      <w:szCs w:val="21"/>
                      <w:highlight w:val="none"/>
                    </w:rPr>
                    <w:t>产生工业固体废物的单位委托他人运输、利用、处</w:t>
                  </w:r>
                  <w:r>
                    <w:rPr>
                      <w:color w:val="auto"/>
                      <w:spacing w:val="-4"/>
                      <w:szCs w:val="21"/>
                      <w:highlight w:val="none"/>
                    </w:rPr>
                    <w:t>置工业固体废物的，应当对受托方的主体资格和技术能力进行核实，依法签订书面合同，在合同中约定污染防治要求。</w:t>
                  </w:r>
                </w:p>
                <w:p w14:paraId="1F98237D">
                  <w:pPr>
                    <w:adjustRightInd w:val="0"/>
                    <w:snapToGrid w:val="0"/>
                    <w:jc w:val="left"/>
                    <w:rPr>
                      <w:color w:val="auto"/>
                      <w:spacing w:val="-4"/>
                      <w:szCs w:val="21"/>
                      <w:highlight w:val="none"/>
                    </w:rPr>
                  </w:pPr>
                  <w:r>
                    <w:rPr>
                      <w:color w:val="auto"/>
                      <w:spacing w:val="-4"/>
                      <w:szCs w:val="21"/>
                      <w:highlight w:val="none"/>
                    </w:rPr>
                    <w:t>第四十条</w:t>
                  </w:r>
                </w:p>
                <w:p w14:paraId="3C7C9440">
                  <w:pPr>
                    <w:adjustRightInd w:val="0"/>
                    <w:snapToGrid w:val="0"/>
                    <w:jc w:val="left"/>
                    <w:rPr>
                      <w:color w:val="auto"/>
                      <w:spacing w:val="-4"/>
                      <w:szCs w:val="21"/>
                      <w:highlight w:val="none"/>
                    </w:rPr>
                  </w:pPr>
                  <w:r>
                    <w:rPr>
                      <w:color w:val="auto"/>
                      <w:spacing w:val="-4"/>
                      <w:szCs w:val="21"/>
                      <w:highlight w:val="none"/>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7CCBFA48">
                  <w:pPr>
                    <w:adjustRightInd w:val="0"/>
                    <w:snapToGrid w:val="0"/>
                    <w:jc w:val="left"/>
                    <w:rPr>
                      <w:color w:val="auto"/>
                      <w:spacing w:val="-4"/>
                      <w:szCs w:val="21"/>
                      <w:highlight w:val="none"/>
                    </w:rPr>
                  </w:pPr>
                  <w:r>
                    <w:rPr>
                      <w:color w:val="auto"/>
                      <w:spacing w:val="-4"/>
                      <w:szCs w:val="21"/>
                      <w:highlight w:val="none"/>
                    </w:rPr>
                    <w:t>第七十八条</w:t>
                  </w:r>
                </w:p>
                <w:p w14:paraId="4E1EFC95">
                  <w:pPr>
                    <w:adjustRightInd w:val="0"/>
                    <w:snapToGrid w:val="0"/>
                    <w:jc w:val="left"/>
                    <w:rPr>
                      <w:color w:val="auto"/>
                      <w:spacing w:val="-4"/>
                      <w:szCs w:val="21"/>
                      <w:highlight w:val="none"/>
                    </w:rPr>
                  </w:pPr>
                  <w:r>
                    <w:rPr>
                      <w:color w:val="auto"/>
                      <w:spacing w:val="-4"/>
                      <w:szCs w:val="21"/>
                      <w:highlight w:val="none"/>
                    </w:rPr>
                    <w:t>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77C9CE9C">
                  <w:pPr>
                    <w:adjustRightInd w:val="0"/>
                    <w:snapToGrid w:val="0"/>
                    <w:jc w:val="left"/>
                    <w:rPr>
                      <w:color w:val="auto"/>
                      <w:spacing w:val="-4"/>
                      <w:szCs w:val="21"/>
                      <w:highlight w:val="none"/>
                    </w:rPr>
                  </w:pPr>
                  <w:r>
                    <w:rPr>
                      <w:color w:val="auto"/>
                      <w:spacing w:val="-4"/>
                      <w:szCs w:val="21"/>
                      <w:highlight w:val="none"/>
                    </w:rPr>
                    <w:t>第七十九条</w:t>
                  </w:r>
                </w:p>
                <w:p w14:paraId="7D33F82F">
                  <w:pPr>
                    <w:adjustRightInd w:val="0"/>
                    <w:snapToGrid w:val="0"/>
                    <w:jc w:val="left"/>
                    <w:rPr>
                      <w:color w:val="auto"/>
                      <w:spacing w:val="-4"/>
                      <w:szCs w:val="21"/>
                      <w:highlight w:val="none"/>
                    </w:rPr>
                  </w:pPr>
                  <w:r>
                    <w:rPr>
                      <w:color w:val="auto"/>
                      <w:spacing w:val="-4"/>
                      <w:szCs w:val="21"/>
                      <w:highlight w:val="none"/>
                    </w:rPr>
                    <w:t>产生危险废物的单位，应当按照国家有关规定和环境保护标准要求贮存、利用、处置危险废物，不得擅自倾倒、堆放。禁止将危险废物提供或者委托给无许可证的单位或者其他生产经营者从事收集、贮存、利用、处置活动。</w:t>
                  </w:r>
                </w:p>
                <w:p w14:paraId="2FF1E9E6">
                  <w:pPr>
                    <w:adjustRightInd w:val="0"/>
                    <w:snapToGrid w:val="0"/>
                    <w:jc w:val="left"/>
                    <w:rPr>
                      <w:color w:val="auto"/>
                      <w:spacing w:val="-4"/>
                      <w:szCs w:val="21"/>
                      <w:highlight w:val="none"/>
                    </w:rPr>
                  </w:pPr>
                  <w:r>
                    <w:rPr>
                      <w:color w:val="auto"/>
                      <w:spacing w:val="-4"/>
                      <w:szCs w:val="21"/>
                      <w:highlight w:val="none"/>
                    </w:rPr>
                    <w:t>第八十五条</w:t>
                  </w:r>
                </w:p>
                <w:p w14:paraId="4994C728">
                  <w:pPr>
                    <w:adjustRightInd w:val="0"/>
                    <w:snapToGrid w:val="0"/>
                    <w:jc w:val="left"/>
                    <w:rPr>
                      <w:color w:val="auto"/>
                      <w:szCs w:val="21"/>
                      <w:highlight w:val="none"/>
                    </w:rPr>
                  </w:pPr>
                  <w:r>
                    <w:rPr>
                      <w:color w:val="auto"/>
                      <w:spacing w:val="-4"/>
                      <w:szCs w:val="21"/>
                      <w:highlight w:val="none"/>
                    </w:rPr>
                    <w:t>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w:t>
                  </w:r>
                </w:p>
              </w:tc>
              <w:tc>
                <w:tcPr>
                  <w:tcW w:w="666" w:type="pct"/>
                  <w:vAlign w:val="center"/>
                </w:tcPr>
                <w:p w14:paraId="165A7867">
                  <w:pPr>
                    <w:adjustRightInd w:val="0"/>
                    <w:snapToGrid w:val="0"/>
                    <w:jc w:val="center"/>
                    <w:rPr>
                      <w:color w:val="auto"/>
                      <w:szCs w:val="21"/>
                      <w:highlight w:val="none"/>
                    </w:rPr>
                  </w:pPr>
                  <w:r>
                    <w:rPr>
                      <w:color w:val="auto"/>
                      <w:spacing w:val="-6"/>
                      <w:szCs w:val="21"/>
                      <w:highlight w:val="none"/>
                    </w:rPr>
                    <w:t>厂区设置有</w:t>
                  </w:r>
                  <w:r>
                    <w:rPr>
                      <w:rFonts w:hint="eastAsia"/>
                      <w:color w:val="auto"/>
                      <w:spacing w:val="-6"/>
                      <w:szCs w:val="21"/>
                      <w:highlight w:val="none"/>
                      <w:lang w:val="en-US" w:eastAsia="zh-CN"/>
                    </w:rPr>
                    <w:t>安环</w:t>
                  </w:r>
                  <w:r>
                    <w:rPr>
                      <w:color w:val="auto"/>
                      <w:spacing w:val="-6"/>
                      <w:szCs w:val="21"/>
                      <w:highlight w:val="none"/>
                    </w:rPr>
                    <w:t>部门，负责项目的环境保护工作</w:t>
                  </w:r>
                  <w:r>
                    <w:rPr>
                      <w:color w:val="auto"/>
                      <w:szCs w:val="21"/>
                      <w:highlight w:val="none"/>
                    </w:rPr>
                    <w:t>，包括</w:t>
                  </w:r>
                  <w:r>
                    <w:rPr>
                      <w:color w:val="auto"/>
                      <w:spacing w:val="-6"/>
                      <w:szCs w:val="21"/>
                      <w:highlight w:val="none"/>
                    </w:rPr>
                    <w:t>：建立工业固体废物</w:t>
                  </w:r>
                  <w:r>
                    <w:rPr>
                      <w:color w:val="auto"/>
                      <w:szCs w:val="21"/>
                      <w:highlight w:val="none"/>
                    </w:rPr>
                    <w:t>管理台账、签订固废处置协议等，项目建设的工业固废暂存场所，符合国家环境保护标准的防护措施；项目危险废物暂存于</w:t>
                  </w:r>
                  <w:r>
                    <w:rPr>
                      <w:rFonts w:hint="eastAsia"/>
                      <w:color w:val="auto"/>
                      <w:szCs w:val="21"/>
                      <w:highlight w:val="none"/>
                      <w:lang w:eastAsia="zh-CN"/>
                    </w:rPr>
                    <w:t>危废贮存库</w:t>
                  </w:r>
                  <w:r>
                    <w:rPr>
                      <w:color w:val="auto"/>
                      <w:szCs w:val="21"/>
                      <w:highlight w:val="none"/>
                    </w:rPr>
                    <w:t>内，定期交有资质单位处理处置，并建立危险废物管理台账</w:t>
                  </w:r>
                </w:p>
              </w:tc>
              <w:tc>
                <w:tcPr>
                  <w:tcW w:w="449" w:type="pct"/>
                  <w:vAlign w:val="center"/>
                </w:tcPr>
                <w:p w14:paraId="0FA81B74">
                  <w:pPr>
                    <w:adjustRightInd w:val="0"/>
                    <w:snapToGrid w:val="0"/>
                    <w:jc w:val="center"/>
                    <w:rPr>
                      <w:b/>
                      <w:color w:val="auto"/>
                      <w:szCs w:val="21"/>
                      <w:highlight w:val="none"/>
                    </w:rPr>
                  </w:pPr>
                  <w:r>
                    <w:rPr>
                      <w:color w:val="auto"/>
                      <w:szCs w:val="21"/>
                      <w:highlight w:val="none"/>
                    </w:rPr>
                    <w:t>符合</w:t>
                  </w:r>
                </w:p>
              </w:tc>
            </w:tr>
          </w:tbl>
          <w:p w14:paraId="0928AE49">
            <w:pPr>
              <w:adjustRightInd w:val="0"/>
              <w:spacing w:line="360" w:lineRule="auto"/>
              <w:ind w:firstLine="420" w:firstLineChars="200"/>
              <w:rPr>
                <w:color w:val="auto"/>
                <w:kern w:val="0"/>
                <w:szCs w:val="21"/>
                <w:highlight w:val="none"/>
              </w:rPr>
            </w:pPr>
          </w:p>
        </w:tc>
      </w:tr>
    </w:tbl>
    <w:p w14:paraId="527B5409">
      <w:pPr>
        <w:spacing w:line="360" w:lineRule="auto"/>
        <w:outlineLvl w:val="0"/>
        <w:rPr>
          <w:color w:val="auto"/>
          <w:sz w:val="30"/>
          <w:highlight w:val="none"/>
        </w:rPr>
        <w:sectPr>
          <w:pgSz w:w="11906" w:h="16838"/>
          <w:pgMar w:top="1701" w:right="1531" w:bottom="1701" w:left="1531" w:header="851" w:footer="1077" w:gutter="0"/>
          <w:pgNumType w:fmt="decimal"/>
          <w:cols w:space="720" w:num="1"/>
          <w:docGrid w:linePitch="312" w:charSpace="0"/>
        </w:sectPr>
      </w:pPr>
    </w:p>
    <w:p w14:paraId="067050F1">
      <w:pPr>
        <w:widowControl/>
        <w:spacing w:before="100" w:beforeAutospacing="1" w:after="100" w:afterAutospacing="1"/>
        <w:jc w:val="center"/>
        <w:outlineLvl w:val="0"/>
        <w:rPr>
          <w:b/>
          <w:bCs/>
          <w:snapToGrid w:val="0"/>
          <w:color w:val="auto"/>
          <w:kern w:val="0"/>
          <w:sz w:val="30"/>
          <w:szCs w:val="30"/>
          <w:highlight w:val="none"/>
        </w:rPr>
      </w:pPr>
      <w:bookmarkStart w:id="11" w:name="_Toc70265309"/>
      <w:r>
        <w:rPr>
          <w:b/>
          <w:bCs/>
          <w:snapToGrid w:val="0"/>
          <w:color w:val="auto"/>
          <w:kern w:val="0"/>
          <w:sz w:val="30"/>
          <w:szCs w:val="30"/>
          <w:highlight w:val="none"/>
        </w:rPr>
        <w:t>二、建设项目工程分析</w:t>
      </w:r>
      <w:bookmarkEnd w:id="11"/>
    </w:p>
    <w:tbl>
      <w:tblPr>
        <w:tblStyle w:val="2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1"/>
        <w:gridCol w:w="8684"/>
      </w:tblGrid>
      <w:tr w14:paraId="21CED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 w:type="pct"/>
            <w:vAlign w:val="center"/>
          </w:tcPr>
          <w:p w14:paraId="1B10312E">
            <w:pPr>
              <w:widowControl/>
              <w:adjustRightInd w:val="0"/>
              <w:snapToGrid w:val="0"/>
              <w:jc w:val="center"/>
              <w:rPr>
                <w:color w:val="auto"/>
                <w:kern w:val="0"/>
                <w:szCs w:val="21"/>
                <w:highlight w:val="none"/>
              </w:rPr>
            </w:pPr>
            <w:r>
              <w:rPr>
                <w:color w:val="auto"/>
                <w:kern w:val="0"/>
                <w:sz w:val="24"/>
                <w:szCs w:val="24"/>
                <w:highlight w:val="none"/>
              </w:rPr>
              <w:t>建设内容</w:t>
            </w:r>
          </w:p>
        </w:tc>
        <w:tc>
          <w:tcPr>
            <w:tcW w:w="4795" w:type="pct"/>
          </w:tcPr>
          <w:p w14:paraId="1E38810C">
            <w:pPr>
              <w:numPr>
                <w:ilvl w:val="0"/>
                <w:numId w:val="20"/>
              </w:numPr>
              <w:spacing w:line="360" w:lineRule="auto"/>
              <w:ind w:left="480" w:leftChars="0" w:hanging="480" w:firstLineChars="0"/>
              <w:rPr>
                <w:b/>
                <w:bCs/>
                <w:color w:val="auto"/>
                <w:sz w:val="24"/>
                <w:highlight w:val="none"/>
              </w:rPr>
            </w:pPr>
            <w:r>
              <w:rPr>
                <w:rFonts w:hint="eastAsia"/>
                <w:b/>
                <w:bCs/>
                <w:color w:val="auto"/>
                <w:sz w:val="24"/>
                <w:highlight w:val="none"/>
              </w:rPr>
              <w:t>项目由来</w:t>
            </w:r>
          </w:p>
          <w:p w14:paraId="2E2BA99E">
            <w:pPr>
              <w:pStyle w:val="17"/>
              <w:spacing w:after="0" w:line="360" w:lineRule="auto"/>
              <w:ind w:left="0" w:leftChars="0" w:firstLine="480" w:firstLineChars="200"/>
              <w:rPr>
                <w:rFonts w:hint="eastAsia"/>
                <w:color w:val="auto"/>
                <w:sz w:val="24"/>
                <w:highlight w:val="none"/>
                <w:lang w:val="en-US" w:eastAsia="zh-CN"/>
              </w:rPr>
            </w:pPr>
            <w:r>
              <w:rPr>
                <w:rFonts w:hint="eastAsia"/>
                <w:color w:val="auto"/>
                <w:sz w:val="24"/>
                <w:highlight w:val="none"/>
                <w:lang w:val="en-US" w:eastAsia="zh-CN"/>
              </w:rPr>
              <w:t>四川屹光新材料制造有限公司成立于2018年9月，注册资金壹</w:t>
            </w:r>
            <w:r>
              <w:rPr>
                <w:rFonts w:hint="eastAsia" w:eastAsia="宋体"/>
                <w:color w:val="auto"/>
                <w:sz w:val="24"/>
                <w:highlight w:val="none"/>
                <w:lang w:val="en-US" w:eastAsia="zh-CN"/>
              </w:rPr>
              <w:t>亿贰仟万元</w:t>
            </w:r>
            <w:r>
              <w:rPr>
                <w:rFonts w:hint="eastAsia"/>
                <w:color w:val="auto"/>
                <w:sz w:val="24"/>
                <w:highlight w:val="none"/>
                <w:lang w:val="en-US" w:eastAsia="zh-CN"/>
              </w:rPr>
              <w:t>，是一家以中石油四川石化生产的环氧乙烷为原料进行深加工的综合性化工企业，主要从事精细化工原料、化学助剂、高分子化学产品、N-甲基-乙醇胺系列、乙醇胺系列的生产、销售等。</w:t>
            </w:r>
          </w:p>
          <w:p w14:paraId="06249F28">
            <w:pPr>
              <w:pStyle w:val="17"/>
              <w:spacing w:after="0" w:line="360" w:lineRule="auto"/>
              <w:ind w:left="0" w:leftChars="0" w:firstLine="480" w:firstLineChars="200"/>
              <w:rPr>
                <w:color w:val="auto"/>
                <w:sz w:val="24"/>
                <w:highlight w:val="none"/>
              </w:rPr>
            </w:pPr>
            <w:r>
              <w:rPr>
                <w:rFonts w:hint="eastAsia"/>
                <w:color w:val="auto"/>
                <w:sz w:val="24"/>
                <w:highlight w:val="none"/>
                <w:lang w:val="en-US" w:eastAsia="zh-CN"/>
              </w:rPr>
              <w:t>2019年，四川屹光新材料制造有限公司在遂宁市大英县工业集中发展区梁家坝新建“1万吨/年醇胺项目”（以下统称“现有工程”），建设环氧乙烷胺基化生产线及相关配套辅助工程、环保工程及办公生活设施，并于2021年11月通过自主竣工环保验收。</w:t>
            </w:r>
            <w:r>
              <w:rPr>
                <w:rFonts w:hint="eastAsia"/>
                <w:color w:val="auto"/>
                <w:sz w:val="24"/>
                <w:highlight w:val="none"/>
              </w:rPr>
              <w:t>厂区</w:t>
            </w:r>
            <w:r>
              <w:rPr>
                <w:rFonts w:hint="eastAsia"/>
                <w:color w:val="auto"/>
                <w:sz w:val="24"/>
                <w:highlight w:val="none"/>
                <w:lang w:val="en-US" w:eastAsia="zh-CN"/>
              </w:rPr>
              <w:t>现有工程</w:t>
            </w:r>
            <w:r>
              <w:rPr>
                <w:rFonts w:hint="eastAsia"/>
                <w:color w:val="auto"/>
                <w:sz w:val="24"/>
                <w:highlight w:val="none"/>
              </w:rPr>
              <w:t>环评手续情况如下：</w:t>
            </w:r>
          </w:p>
          <w:p w14:paraId="02076F94">
            <w:pPr>
              <w:pStyle w:val="42"/>
              <w:rPr>
                <w:color w:val="auto"/>
                <w:highlight w:val="none"/>
              </w:rPr>
            </w:pPr>
            <w:r>
              <w:rPr>
                <w:color w:val="auto"/>
                <w:highlight w:val="none"/>
              </w:rPr>
              <w:t>公司环保手续履行情况</w:t>
            </w:r>
          </w:p>
          <w:tbl>
            <w:tblPr>
              <w:tblStyle w:val="27"/>
              <w:tblW w:w="846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340"/>
              <w:gridCol w:w="928"/>
              <w:gridCol w:w="1515"/>
              <w:gridCol w:w="1169"/>
              <w:gridCol w:w="1366"/>
              <w:gridCol w:w="1321"/>
            </w:tblGrid>
            <w:tr w14:paraId="09FC31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tcBorders>
                    <w:left w:val="single" w:color="auto" w:sz="4" w:space="0"/>
                  </w:tcBorders>
                  <w:vAlign w:val="center"/>
                </w:tcPr>
                <w:p w14:paraId="0E8C3BDB">
                  <w:pPr>
                    <w:jc w:val="center"/>
                    <w:rPr>
                      <w:b/>
                      <w:color w:val="auto"/>
                      <w:szCs w:val="21"/>
                      <w:highlight w:val="none"/>
                    </w:rPr>
                  </w:pPr>
                  <w:r>
                    <w:rPr>
                      <w:b/>
                      <w:color w:val="auto"/>
                      <w:szCs w:val="21"/>
                      <w:highlight w:val="none"/>
                    </w:rPr>
                    <w:t>时间</w:t>
                  </w:r>
                </w:p>
              </w:tc>
              <w:tc>
                <w:tcPr>
                  <w:tcW w:w="791" w:type="pct"/>
                  <w:vAlign w:val="center"/>
                </w:tcPr>
                <w:p w14:paraId="183E46CE">
                  <w:pPr>
                    <w:jc w:val="center"/>
                    <w:rPr>
                      <w:b/>
                      <w:color w:val="auto"/>
                      <w:szCs w:val="21"/>
                      <w:highlight w:val="none"/>
                    </w:rPr>
                  </w:pPr>
                  <w:r>
                    <w:rPr>
                      <w:b/>
                      <w:color w:val="auto"/>
                      <w:szCs w:val="21"/>
                      <w:highlight w:val="none"/>
                    </w:rPr>
                    <w:t>工程名称</w:t>
                  </w:r>
                </w:p>
              </w:tc>
              <w:tc>
                <w:tcPr>
                  <w:tcW w:w="548" w:type="pct"/>
                  <w:vAlign w:val="center"/>
                </w:tcPr>
                <w:p w14:paraId="3BA04090">
                  <w:pPr>
                    <w:jc w:val="center"/>
                    <w:rPr>
                      <w:b/>
                      <w:color w:val="auto"/>
                      <w:szCs w:val="21"/>
                      <w:highlight w:val="none"/>
                    </w:rPr>
                  </w:pPr>
                  <w:r>
                    <w:rPr>
                      <w:b/>
                      <w:color w:val="auto"/>
                      <w:szCs w:val="21"/>
                      <w:highlight w:val="none"/>
                    </w:rPr>
                    <w:t>环评批复部门</w:t>
                  </w:r>
                </w:p>
              </w:tc>
              <w:tc>
                <w:tcPr>
                  <w:tcW w:w="894" w:type="pct"/>
                  <w:vAlign w:val="center"/>
                </w:tcPr>
                <w:p w14:paraId="22A0BE96">
                  <w:pPr>
                    <w:jc w:val="center"/>
                    <w:rPr>
                      <w:b/>
                      <w:color w:val="auto"/>
                      <w:szCs w:val="21"/>
                      <w:highlight w:val="none"/>
                    </w:rPr>
                  </w:pPr>
                  <w:r>
                    <w:rPr>
                      <w:b/>
                      <w:color w:val="auto"/>
                      <w:szCs w:val="21"/>
                      <w:highlight w:val="none"/>
                    </w:rPr>
                    <w:t>批复文号</w:t>
                  </w:r>
                </w:p>
              </w:tc>
              <w:tc>
                <w:tcPr>
                  <w:tcW w:w="690" w:type="pct"/>
                  <w:vAlign w:val="center"/>
                </w:tcPr>
                <w:p w14:paraId="418D2045">
                  <w:pPr>
                    <w:jc w:val="center"/>
                    <w:rPr>
                      <w:b/>
                      <w:color w:val="auto"/>
                      <w:szCs w:val="21"/>
                      <w:highlight w:val="none"/>
                    </w:rPr>
                  </w:pPr>
                  <w:r>
                    <w:rPr>
                      <w:b/>
                      <w:color w:val="auto"/>
                      <w:szCs w:val="21"/>
                      <w:highlight w:val="none"/>
                    </w:rPr>
                    <w:t>建设情况</w:t>
                  </w:r>
                </w:p>
              </w:tc>
              <w:tc>
                <w:tcPr>
                  <w:tcW w:w="806" w:type="pct"/>
                  <w:tcBorders>
                    <w:right w:val="single" w:color="auto" w:sz="4" w:space="0"/>
                  </w:tcBorders>
                  <w:vAlign w:val="center"/>
                </w:tcPr>
                <w:p w14:paraId="33579F78">
                  <w:pPr>
                    <w:jc w:val="center"/>
                    <w:rPr>
                      <w:b/>
                      <w:color w:val="auto"/>
                      <w:szCs w:val="21"/>
                      <w:highlight w:val="none"/>
                    </w:rPr>
                  </w:pPr>
                  <w:r>
                    <w:rPr>
                      <w:rFonts w:hint="eastAsia"/>
                      <w:b/>
                      <w:color w:val="auto"/>
                      <w:szCs w:val="21"/>
                      <w:highlight w:val="none"/>
                    </w:rPr>
                    <w:t>建设规模</w:t>
                  </w:r>
                </w:p>
              </w:tc>
              <w:tc>
                <w:tcPr>
                  <w:tcW w:w="780" w:type="pct"/>
                  <w:tcBorders>
                    <w:right w:val="single" w:color="auto" w:sz="4" w:space="0"/>
                  </w:tcBorders>
                  <w:vAlign w:val="center"/>
                </w:tcPr>
                <w:p w14:paraId="7C1DD8E2">
                  <w:pPr>
                    <w:jc w:val="center"/>
                    <w:rPr>
                      <w:b/>
                      <w:color w:val="auto"/>
                      <w:szCs w:val="21"/>
                      <w:highlight w:val="none"/>
                    </w:rPr>
                  </w:pPr>
                  <w:r>
                    <w:rPr>
                      <w:b/>
                      <w:color w:val="auto"/>
                      <w:szCs w:val="21"/>
                      <w:highlight w:val="none"/>
                    </w:rPr>
                    <w:t>验收情况</w:t>
                  </w:r>
                </w:p>
              </w:tc>
            </w:tr>
            <w:tr w14:paraId="315802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88" w:type="pct"/>
                  <w:tcBorders>
                    <w:left w:val="single" w:color="auto" w:sz="4" w:space="0"/>
                  </w:tcBorders>
                  <w:vAlign w:val="center"/>
                </w:tcPr>
                <w:p w14:paraId="51EDE93C">
                  <w:pPr>
                    <w:jc w:val="center"/>
                    <w:rPr>
                      <w:color w:val="auto"/>
                      <w:szCs w:val="21"/>
                      <w:highlight w:val="none"/>
                    </w:rPr>
                  </w:pPr>
                  <w:r>
                    <w:rPr>
                      <w:bCs/>
                      <w:color w:val="auto"/>
                      <w:szCs w:val="21"/>
                      <w:highlight w:val="none"/>
                    </w:rPr>
                    <w:t>201</w:t>
                  </w:r>
                  <w:r>
                    <w:rPr>
                      <w:rFonts w:hint="eastAsia"/>
                      <w:bCs/>
                      <w:color w:val="auto"/>
                      <w:szCs w:val="21"/>
                      <w:highlight w:val="none"/>
                      <w:lang w:val="en-US" w:eastAsia="zh-CN"/>
                    </w:rPr>
                    <w:t>9</w:t>
                  </w:r>
                  <w:r>
                    <w:rPr>
                      <w:bCs/>
                      <w:color w:val="auto"/>
                      <w:szCs w:val="21"/>
                      <w:highlight w:val="none"/>
                    </w:rPr>
                    <w:t>年</w:t>
                  </w:r>
                  <w:r>
                    <w:rPr>
                      <w:rFonts w:hint="eastAsia"/>
                      <w:bCs/>
                      <w:color w:val="auto"/>
                      <w:szCs w:val="21"/>
                      <w:highlight w:val="none"/>
                      <w:lang w:val="en-US" w:eastAsia="zh-CN"/>
                    </w:rPr>
                    <w:t>7</w:t>
                  </w:r>
                  <w:r>
                    <w:rPr>
                      <w:bCs/>
                      <w:color w:val="auto"/>
                      <w:szCs w:val="21"/>
                      <w:highlight w:val="none"/>
                    </w:rPr>
                    <w:t>月</w:t>
                  </w:r>
                  <w:r>
                    <w:rPr>
                      <w:rFonts w:hint="eastAsia"/>
                      <w:bCs/>
                      <w:color w:val="auto"/>
                      <w:szCs w:val="21"/>
                      <w:highlight w:val="none"/>
                      <w:lang w:val="en-US" w:eastAsia="zh-CN"/>
                    </w:rPr>
                    <w:t>16</w:t>
                  </w:r>
                  <w:r>
                    <w:rPr>
                      <w:rFonts w:hint="eastAsia"/>
                      <w:bCs/>
                      <w:color w:val="auto"/>
                      <w:szCs w:val="21"/>
                      <w:highlight w:val="none"/>
                    </w:rPr>
                    <w:t>日</w:t>
                  </w:r>
                </w:p>
              </w:tc>
              <w:tc>
                <w:tcPr>
                  <w:tcW w:w="791" w:type="pct"/>
                  <w:vAlign w:val="center"/>
                </w:tcPr>
                <w:p w14:paraId="4B2006D2">
                  <w:pPr>
                    <w:jc w:val="center"/>
                    <w:rPr>
                      <w:color w:val="auto"/>
                      <w:szCs w:val="21"/>
                      <w:highlight w:val="none"/>
                    </w:rPr>
                  </w:pPr>
                  <w:r>
                    <w:rPr>
                      <w:rFonts w:hint="eastAsia"/>
                      <w:color w:val="auto"/>
                      <w:sz w:val="24"/>
                      <w:highlight w:val="none"/>
                      <w:lang w:val="en-US" w:eastAsia="zh-CN"/>
                    </w:rPr>
                    <w:t>1万吨/年醇胺项目</w:t>
                  </w:r>
                </w:p>
              </w:tc>
              <w:tc>
                <w:tcPr>
                  <w:tcW w:w="548" w:type="pct"/>
                  <w:vAlign w:val="center"/>
                </w:tcPr>
                <w:p w14:paraId="4E7AA63D">
                  <w:pPr>
                    <w:jc w:val="center"/>
                    <w:rPr>
                      <w:color w:val="auto"/>
                      <w:szCs w:val="21"/>
                      <w:highlight w:val="none"/>
                    </w:rPr>
                  </w:pPr>
                  <w:r>
                    <w:rPr>
                      <w:rFonts w:hint="eastAsia"/>
                      <w:color w:val="auto"/>
                      <w:szCs w:val="21"/>
                      <w:highlight w:val="none"/>
                      <w:lang w:eastAsia="zh-CN"/>
                    </w:rPr>
                    <w:t>遂宁</w:t>
                  </w:r>
                  <w:r>
                    <w:rPr>
                      <w:rFonts w:hint="eastAsia"/>
                      <w:color w:val="auto"/>
                      <w:szCs w:val="21"/>
                      <w:highlight w:val="none"/>
                      <w:lang w:val="en-US" w:eastAsia="zh-CN"/>
                    </w:rPr>
                    <w:t>市生态环境</w:t>
                  </w:r>
                  <w:r>
                    <w:rPr>
                      <w:rFonts w:hint="eastAsia"/>
                      <w:color w:val="auto"/>
                      <w:szCs w:val="21"/>
                      <w:highlight w:val="none"/>
                    </w:rPr>
                    <w:t>局</w:t>
                  </w:r>
                </w:p>
              </w:tc>
              <w:tc>
                <w:tcPr>
                  <w:tcW w:w="894" w:type="pct"/>
                  <w:vAlign w:val="center"/>
                </w:tcPr>
                <w:p w14:paraId="041676C3">
                  <w:pPr>
                    <w:jc w:val="center"/>
                    <w:rPr>
                      <w:color w:val="auto"/>
                      <w:szCs w:val="21"/>
                      <w:highlight w:val="none"/>
                    </w:rPr>
                  </w:pPr>
                  <w:r>
                    <w:rPr>
                      <w:rFonts w:hint="eastAsia"/>
                      <w:color w:val="auto"/>
                      <w:szCs w:val="21"/>
                      <w:highlight w:val="none"/>
                      <w:lang w:val="en-US" w:eastAsia="zh-CN"/>
                    </w:rPr>
                    <w:t>遂环评函</w:t>
                  </w:r>
                  <w:r>
                    <w:rPr>
                      <w:rFonts w:hint="eastAsia"/>
                      <w:color w:val="auto"/>
                      <w:szCs w:val="21"/>
                      <w:highlight w:val="none"/>
                      <w:lang w:eastAsia="zh-CN"/>
                    </w:rPr>
                    <w:t>〔</w:t>
                  </w:r>
                  <w:r>
                    <w:rPr>
                      <w:color w:val="auto"/>
                      <w:szCs w:val="21"/>
                      <w:highlight w:val="none"/>
                    </w:rPr>
                    <w:t>201</w:t>
                  </w:r>
                  <w:r>
                    <w:rPr>
                      <w:rFonts w:hint="eastAsia"/>
                      <w:color w:val="auto"/>
                      <w:szCs w:val="21"/>
                      <w:highlight w:val="none"/>
                      <w:lang w:val="en-US" w:eastAsia="zh-CN"/>
                    </w:rPr>
                    <w:t>9</w:t>
                  </w:r>
                  <w:r>
                    <w:rPr>
                      <w:rFonts w:hint="eastAsia"/>
                      <w:color w:val="auto"/>
                      <w:szCs w:val="21"/>
                      <w:highlight w:val="none"/>
                      <w:lang w:eastAsia="zh-CN"/>
                    </w:rPr>
                    <w:t>〕</w:t>
                  </w:r>
                  <w:r>
                    <w:rPr>
                      <w:rFonts w:hint="eastAsia"/>
                      <w:color w:val="auto"/>
                      <w:szCs w:val="21"/>
                      <w:highlight w:val="none"/>
                      <w:lang w:val="en-US" w:eastAsia="zh-CN"/>
                    </w:rPr>
                    <w:t>65</w:t>
                  </w:r>
                  <w:r>
                    <w:rPr>
                      <w:color w:val="auto"/>
                      <w:szCs w:val="21"/>
                      <w:highlight w:val="none"/>
                    </w:rPr>
                    <w:t>号</w:t>
                  </w:r>
                </w:p>
              </w:tc>
              <w:tc>
                <w:tcPr>
                  <w:tcW w:w="690" w:type="pct"/>
                  <w:vAlign w:val="center"/>
                </w:tcPr>
                <w:p w14:paraId="2D67A9CF">
                  <w:pPr>
                    <w:jc w:val="center"/>
                    <w:rPr>
                      <w:rFonts w:hint="default" w:eastAsia="宋体"/>
                      <w:color w:val="auto"/>
                      <w:szCs w:val="21"/>
                      <w:highlight w:val="none"/>
                      <w:lang w:val="en-US" w:eastAsia="zh-CN"/>
                    </w:rPr>
                  </w:pPr>
                  <w:r>
                    <w:rPr>
                      <w:rFonts w:hint="eastAsia"/>
                      <w:color w:val="auto"/>
                      <w:szCs w:val="21"/>
                      <w:highlight w:val="none"/>
                      <w:lang w:val="en-US" w:eastAsia="zh-CN"/>
                    </w:rPr>
                    <w:t>已建成</w:t>
                  </w:r>
                </w:p>
              </w:tc>
              <w:tc>
                <w:tcPr>
                  <w:tcW w:w="806" w:type="pct"/>
                  <w:tcBorders>
                    <w:right w:val="single" w:color="auto" w:sz="4" w:space="0"/>
                  </w:tcBorders>
                  <w:vAlign w:val="center"/>
                </w:tcPr>
                <w:p w14:paraId="7D5CF6B2">
                  <w:pPr>
                    <w:jc w:val="center"/>
                    <w:rPr>
                      <w:color w:val="auto"/>
                      <w:szCs w:val="21"/>
                      <w:highlight w:val="none"/>
                    </w:rPr>
                  </w:pPr>
                  <w:r>
                    <w:rPr>
                      <w:rFonts w:hint="eastAsia"/>
                      <w:color w:val="auto"/>
                      <w:sz w:val="24"/>
                      <w:highlight w:val="none"/>
                      <w:lang w:val="en-US" w:eastAsia="zh-CN"/>
                    </w:rPr>
                    <w:t>年产1万吨/年醇胺</w:t>
                  </w:r>
                </w:p>
              </w:tc>
              <w:tc>
                <w:tcPr>
                  <w:tcW w:w="780" w:type="pct"/>
                  <w:tcBorders>
                    <w:right w:val="single" w:color="auto" w:sz="4" w:space="0"/>
                  </w:tcBorders>
                  <w:vAlign w:val="center"/>
                </w:tcPr>
                <w:p w14:paraId="20B3C0C0">
                  <w:pPr>
                    <w:jc w:val="center"/>
                    <w:rPr>
                      <w:rFonts w:hint="default" w:eastAsia="宋体"/>
                      <w:color w:val="auto"/>
                      <w:szCs w:val="21"/>
                      <w:highlight w:val="none"/>
                      <w:lang w:val="en-US" w:eastAsia="zh-CN"/>
                    </w:rPr>
                  </w:pPr>
                  <w:r>
                    <w:rPr>
                      <w:rFonts w:hint="eastAsia"/>
                      <w:color w:val="auto"/>
                      <w:szCs w:val="21"/>
                      <w:highlight w:val="none"/>
                      <w:lang w:val="en-US" w:eastAsia="zh-CN"/>
                    </w:rPr>
                    <w:t>2021年11月27日完成自主验收</w:t>
                  </w:r>
                </w:p>
              </w:tc>
            </w:tr>
          </w:tbl>
          <w:p w14:paraId="49ED6A00">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目前，厂区现有工程设计产能为1万吨/年，产品为：一乙醇胺（≥99.5%）、二乙醇胺（99.5%）、三乙醇胺（≥99.5%）、N-甲基一乙醇胺（≥99.3%）、N-甲基二乙醇胺（≥99%），乙醇胺和N-甲基乙醇胺可轮换生产，但由于市场纯度需求变化，现下游客户需求三乙醇胺（≥99.9%）及N-甲基一乙醇胺（≥99.9%），导致现有三乙醇胺及N-甲基一乙醇胺产品品质已无法满足部分下游客户的需求，迫使企业对此两类产品进行提质升级。因此，四川屹光新材料制造有限公司拟投资2000万建设“3000t/a醇胺技改项目”（以下简称“本项目”），利用厂区预留用地，对现有工程进行技改，即通过采用短程分子蒸馏技术（物理过程）来对现有三乙醇胺及部分N-甲基一乙醇胺产品进行提质升级，同时配套建设其他因提质需要的辅助设施。技改后原项目设计产能及产品种类不变，仅提升三乙醇胺及部分N-甲基一乙醇胺产品质量。</w:t>
            </w:r>
          </w:p>
          <w:p w14:paraId="64FE4381">
            <w:p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根据2024年12月4日四川省人民代表大会常务委员会关于修改《四川省嘉陵江流域生态环境保护条例》的决定，将《四川省嘉陵江流域生态环境保护条例》中第十七条第二款修改为：“在嘉陵江干支流岸线新建、扩建化工园区和化工项目，应当符合《中华人民共和国长江保护法》和国家有关规定。”本项目临近郪江（长江三级支流），为技改项目，符合《中华人民共和国长江保护法》的要求。</w:t>
            </w:r>
          </w:p>
          <w:p w14:paraId="70E1BE31">
            <w:pPr>
              <w:spacing w:line="360" w:lineRule="auto"/>
              <w:ind w:firstLine="480" w:firstLineChars="200"/>
              <w:jc w:val="left"/>
              <w:rPr>
                <w:color w:val="auto"/>
                <w:sz w:val="24"/>
                <w:highlight w:val="none"/>
              </w:rPr>
            </w:pPr>
            <w:r>
              <w:rPr>
                <w:rFonts w:hint="eastAsia"/>
                <w:color w:val="auto"/>
                <w:sz w:val="24"/>
                <w:highlight w:val="none"/>
                <w:lang w:val="en-US" w:eastAsia="zh-CN"/>
              </w:rPr>
              <w:t>2024年9月5日，四川屹光新材料制造有限公司</w:t>
            </w:r>
            <w:r>
              <w:rPr>
                <w:rFonts w:hint="default"/>
                <w:color w:val="auto"/>
                <w:sz w:val="24"/>
                <w:highlight w:val="none"/>
              </w:rPr>
              <w:t>取得</w:t>
            </w:r>
            <w:r>
              <w:rPr>
                <w:rFonts w:hint="eastAsia"/>
                <w:color w:val="auto"/>
                <w:sz w:val="24"/>
                <w:highlight w:val="none"/>
                <w:lang w:eastAsia="zh-CN"/>
              </w:rPr>
              <w:t>大英县经济信息化和</w:t>
            </w:r>
            <w:r>
              <w:rPr>
                <w:rFonts w:hint="eastAsia"/>
                <w:color w:val="auto"/>
                <w:sz w:val="24"/>
                <w:highlight w:val="none"/>
                <w:lang w:val="en-US" w:eastAsia="zh-CN"/>
              </w:rPr>
              <w:t>科学技术</w:t>
            </w:r>
            <w:r>
              <w:rPr>
                <w:rFonts w:hint="eastAsia"/>
                <w:color w:val="auto"/>
                <w:sz w:val="24"/>
                <w:highlight w:val="none"/>
                <w:lang w:eastAsia="zh-CN"/>
              </w:rPr>
              <w:t>局</w:t>
            </w:r>
            <w:r>
              <w:rPr>
                <w:rFonts w:hint="default"/>
                <w:color w:val="auto"/>
                <w:sz w:val="24"/>
                <w:highlight w:val="none"/>
              </w:rPr>
              <w:t>出具的四川省固定资产投资项目备案表（备案号：</w:t>
            </w:r>
            <w:r>
              <w:rPr>
                <w:rFonts w:hint="eastAsia"/>
                <w:color w:val="auto"/>
                <w:sz w:val="24"/>
                <w:highlight w:val="none"/>
                <w:lang w:eastAsia="zh-CN"/>
              </w:rPr>
              <w:t>川投资备【2412-510923-07-02-377760】JXQB-0465</w:t>
            </w:r>
            <w:r>
              <w:rPr>
                <w:rFonts w:hint="default"/>
                <w:color w:val="auto"/>
                <w:sz w:val="24"/>
                <w:highlight w:val="none"/>
              </w:rPr>
              <w:t>号），</w:t>
            </w:r>
            <w:r>
              <w:rPr>
                <w:rFonts w:hint="eastAsia"/>
                <w:color w:val="auto"/>
                <w:sz w:val="24"/>
                <w:highlight w:val="none"/>
              </w:rPr>
              <w:t>根据《建设项目环境影响评价分类管理名录（2021年版）》（生态环境部令第16号），本项目属于该目录中“</w:t>
            </w:r>
            <w:r>
              <w:rPr>
                <w:rFonts w:hint="eastAsia"/>
                <w:color w:val="auto"/>
                <w:sz w:val="24"/>
                <w:szCs w:val="24"/>
                <w:highlight w:val="none"/>
              </w:rPr>
              <w:t>二十</w:t>
            </w:r>
            <w:r>
              <w:rPr>
                <w:rFonts w:hint="eastAsia"/>
                <w:color w:val="auto"/>
                <w:sz w:val="24"/>
                <w:szCs w:val="24"/>
                <w:highlight w:val="none"/>
                <w:lang w:val="en-US" w:eastAsia="zh-CN"/>
              </w:rPr>
              <w:t>三</w:t>
            </w:r>
            <w:r>
              <w:rPr>
                <w:rFonts w:hint="eastAsia"/>
                <w:color w:val="auto"/>
                <w:sz w:val="24"/>
                <w:szCs w:val="24"/>
                <w:highlight w:val="none"/>
              </w:rPr>
              <w:t>、</w:t>
            </w:r>
            <w:r>
              <w:rPr>
                <w:rFonts w:hint="eastAsia"/>
                <w:color w:val="auto"/>
                <w:sz w:val="24"/>
                <w:szCs w:val="24"/>
                <w:highlight w:val="none"/>
                <w:lang w:val="en-US" w:eastAsia="zh-CN"/>
              </w:rPr>
              <w:t>化学原料和化学制品制造业——</w:t>
            </w:r>
            <w:r>
              <w:rPr>
                <w:rFonts w:hint="eastAsia"/>
                <w:color w:val="auto"/>
                <w:sz w:val="24"/>
                <w:szCs w:val="24"/>
                <w:highlight w:val="none"/>
              </w:rPr>
              <w:t>4</w:t>
            </w:r>
            <w:r>
              <w:rPr>
                <w:rFonts w:hint="eastAsia"/>
                <w:color w:val="auto"/>
                <w:sz w:val="24"/>
                <w:szCs w:val="24"/>
                <w:highlight w:val="none"/>
                <w:lang w:val="en-US" w:eastAsia="zh-CN"/>
              </w:rPr>
              <w:t>4基础化学原料制造261；农药制造263；涂料、油墨、颜料及类似产品制造264；合成材料制造265；专用化学产品制造266；炸药、火工及焰火产品制造267-</w:t>
            </w:r>
            <w:r>
              <w:rPr>
                <w:rFonts w:hint="eastAsia"/>
                <w:b/>
                <w:bCs/>
                <w:color w:val="auto"/>
                <w:sz w:val="24"/>
                <w:szCs w:val="24"/>
                <w:highlight w:val="none"/>
                <w:lang w:val="en-US" w:eastAsia="zh-CN"/>
              </w:rPr>
              <w:t>基础化学原料制造261——</w:t>
            </w:r>
            <w:r>
              <w:rPr>
                <w:rFonts w:hint="eastAsia"/>
                <w:color w:val="auto"/>
                <w:sz w:val="24"/>
                <w:szCs w:val="24"/>
                <w:highlight w:val="none"/>
                <w:lang w:val="en-US" w:eastAsia="zh-CN"/>
              </w:rPr>
              <w:t>单纯物理分离、物理提纯、混合、分装的（不产生废水或挥发性有机物的除外）</w:t>
            </w:r>
            <w:r>
              <w:rPr>
                <w:rFonts w:hint="eastAsia"/>
                <w:color w:val="auto"/>
                <w:sz w:val="24"/>
                <w:highlight w:val="none"/>
              </w:rPr>
              <w:t>”，应编制环境影响报告表。</w:t>
            </w:r>
          </w:p>
          <w:p w14:paraId="5CFC7261">
            <w:pPr>
              <w:spacing w:line="360" w:lineRule="auto"/>
              <w:ind w:firstLine="480" w:firstLineChars="200"/>
              <w:rPr>
                <w:color w:val="auto"/>
                <w:sz w:val="24"/>
                <w:highlight w:val="none"/>
              </w:rPr>
            </w:pPr>
            <w:r>
              <w:rPr>
                <w:rFonts w:hint="eastAsia"/>
                <w:color w:val="auto"/>
                <w:sz w:val="24"/>
                <w:highlight w:val="none"/>
              </w:rPr>
              <w:t>为此，建设单位委托四川</w:t>
            </w:r>
            <w:r>
              <w:rPr>
                <w:rFonts w:hint="eastAsia"/>
                <w:color w:val="auto"/>
                <w:sz w:val="24"/>
                <w:highlight w:val="none"/>
                <w:lang w:val="en-US" w:eastAsia="zh-CN"/>
              </w:rPr>
              <w:t>鑫百润环保科技</w:t>
            </w:r>
            <w:r>
              <w:rPr>
                <w:rFonts w:hint="eastAsia"/>
                <w:color w:val="auto"/>
                <w:sz w:val="24"/>
                <w:highlight w:val="none"/>
              </w:rPr>
              <w:t>有限公司对本项目开展环境影响评价工作，我公司接受委托后，即对该项目进行了现场踏勘和资料收集，在工程分析基础上，依据国家有关环保法规和环评技术规范要求，编制了该项目的环境影响报告表，待审批后作为项目环境管理依据。</w:t>
            </w:r>
          </w:p>
          <w:p w14:paraId="1F6CB1CD">
            <w:pPr>
              <w:numPr>
                <w:ilvl w:val="0"/>
                <w:numId w:val="20"/>
              </w:numPr>
              <w:spacing w:line="360" w:lineRule="auto"/>
              <w:ind w:left="480" w:leftChars="0" w:hanging="480" w:firstLineChars="0"/>
              <w:rPr>
                <w:b/>
                <w:bCs/>
                <w:color w:val="auto"/>
                <w:sz w:val="24"/>
                <w:highlight w:val="none"/>
              </w:rPr>
            </w:pPr>
            <w:r>
              <w:rPr>
                <w:b/>
                <w:bCs/>
                <w:color w:val="auto"/>
                <w:sz w:val="24"/>
                <w:highlight w:val="none"/>
              </w:rPr>
              <w:t>建设内容</w:t>
            </w:r>
          </w:p>
          <w:p w14:paraId="1906EB09">
            <w:pPr>
              <w:adjustRightInd w:val="0"/>
              <w:snapToGrid w:val="0"/>
              <w:spacing w:line="360" w:lineRule="auto"/>
              <w:ind w:firstLine="472" w:firstLineChars="196"/>
              <w:jc w:val="left"/>
              <w:rPr>
                <w:b/>
                <w:bCs/>
                <w:color w:val="auto"/>
                <w:sz w:val="24"/>
                <w:highlight w:val="none"/>
              </w:rPr>
            </w:pPr>
            <w:r>
              <w:rPr>
                <w:b/>
                <w:bCs/>
                <w:color w:val="auto"/>
                <w:sz w:val="24"/>
                <w:highlight w:val="none"/>
              </w:rPr>
              <w:t>1、项目概况</w:t>
            </w:r>
          </w:p>
          <w:p w14:paraId="0C3D379D">
            <w:pPr>
              <w:adjustRightInd w:val="0"/>
              <w:snapToGrid w:val="0"/>
              <w:spacing w:line="360" w:lineRule="auto"/>
              <w:ind w:firstLine="482" w:firstLineChars="200"/>
              <w:jc w:val="left"/>
              <w:rPr>
                <w:bCs/>
                <w:color w:val="auto"/>
                <w:sz w:val="24"/>
                <w:highlight w:val="none"/>
              </w:rPr>
            </w:pPr>
            <w:r>
              <w:rPr>
                <w:b/>
                <w:bCs/>
                <w:color w:val="auto"/>
                <w:sz w:val="24"/>
                <w:highlight w:val="none"/>
              </w:rPr>
              <w:t>（1）项目名称、建设性质、建设地点</w:t>
            </w:r>
          </w:p>
          <w:p w14:paraId="037A65BE">
            <w:pPr>
              <w:adjustRightInd w:val="0"/>
              <w:snapToGrid w:val="0"/>
              <w:spacing w:line="360" w:lineRule="auto"/>
              <w:ind w:firstLine="480" w:firstLineChars="200"/>
              <w:jc w:val="left"/>
              <w:rPr>
                <w:rFonts w:hint="eastAsia" w:eastAsia="宋体"/>
                <w:bCs/>
                <w:color w:val="auto"/>
                <w:sz w:val="24"/>
                <w:highlight w:val="none"/>
                <w:lang w:eastAsia="zh-CN"/>
              </w:rPr>
            </w:pPr>
            <w:r>
              <w:rPr>
                <w:bCs/>
                <w:color w:val="auto"/>
                <w:sz w:val="24"/>
                <w:highlight w:val="none"/>
              </w:rPr>
              <w:t>项目名称：</w:t>
            </w:r>
            <w:r>
              <w:rPr>
                <w:rFonts w:hint="eastAsia"/>
                <w:bCs/>
                <w:color w:val="auto"/>
                <w:sz w:val="24"/>
                <w:highlight w:val="none"/>
                <w:lang w:eastAsia="zh-CN"/>
              </w:rPr>
              <w:t>3000t/a醇胺技改项目</w:t>
            </w:r>
          </w:p>
          <w:p w14:paraId="43592AC9">
            <w:pPr>
              <w:adjustRightInd w:val="0"/>
              <w:snapToGrid w:val="0"/>
              <w:spacing w:line="360" w:lineRule="auto"/>
              <w:ind w:firstLine="480" w:firstLineChars="200"/>
              <w:jc w:val="left"/>
              <w:rPr>
                <w:rFonts w:hint="eastAsia" w:eastAsia="宋体"/>
                <w:bCs/>
                <w:color w:val="auto"/>
                <w:sz w:val="24"/>
                <w:highlight w:val="none"/>
                <w:lang w:eastAsia="zh-CN"/>
              </w:rPr>
            </w:pPr>
            <w:r>
              <w:rPr>
                <w:bCs/>
                <w:color w:val="auto"/>
                <w:sz w:val="24"/>
                <w:highlight w:val="none"/>
              </w:rPr>
              <w:t>建设单位：</w:t>
            </w:r>
            <w:r>
              <w:rPr>
                <w:rFonts w:hint="eastAsia"/>
                <w:bCs/>
                <w:color w:val="auto"/>
                <w:sz w:val="24"/>
                <w:highlight w:val="none"/>
                <w:lang w:eastAsia="zh-CN"/>
              </w:rPr>
              <w:t>四川屹光新材料制造有限公司</w:t>
            </w:r>
          </w:p>
          <w:p w14:paraId="578BC33D">
            <w:pPr>
              <w:adjustRightInd w:val="0"/>
              <w:snapToGrid w:val="0"/>
              <w:spacing w:line="360" w:lineRule="auto"/>
              <w:ind w:firstLine="480" w:firstLineChars="200"/>
              <w:jc w:val="left"/>
              <w:rPr>
                <w:rFonts w:hint="eastAsia" w:eastAsia="宋体"/>
                <w:bCs/>
                <w:color w:val="auto"/>
                <w:sz w:val="24"/>
                <w:highlight w:val="none"/>
                <w:lang w:eastAsia="zh-CN"/>
              </w:rPr>
            </w:pPr>
            <w:r>
              <w:rPr>
                <w:bCs/>
                <w:color w:val="auto"/>
                <w:sz w:val="24"/>
                <w:highlight w:val="none"/>
              </w:rPr>
              <w:t>建设地点：</w:t>
            </w:r>
            <w:r>
              <w:rPr>
                <w:rFonts w:hint="eastAsia"/>
                <w:bCs/>
                <w:color w:val="auto"/>
                <w:sz w:val="24"/>
                <w:highlight w:val="none"/>
                <w:lang w:eastAsia="zh-CN"/>
              </w:rPr>
              <w:t>遂宁市大英县工业集中发展区梁家坝（</w:t>
            </w:r>
            <w:r>
              <w:rPr>
                <w:rFonts w:hint="eastAsia"/>
                <w:bCs/>
                <w:color w:val="auto"/>
                <w:sz w:val="24"/>
                <w:highlight w:val="none"/>
                <w:lang w:val="en-US" w:eastAsia="zh-CN"/>
              </w:rPr>
              <w:t>现有厂区内</w:t>
            </w:r>
            <w:r>
              <w:rPr>
                <w:rFonts w:hint="eastAsia"/>
                <w:bCs/>
                <w:color w:val="auto"/>
                <w:sz w:val="24"/>
                <w:highlight w:val="none"/>
                <w:lang w:eastAsia="zh-CN"/>
              </w:rPr>
              <w:t>）</w:t>
            </w:r>
          </w:p>
          <w:p w14:paraId="0CEDD4B6">
            <w:pPr>
              <w:adjustRightInd w:val="0"/>
              <w:snapToGrid w:val="0"/>
              <w:spacing w:line="360" w:lineRule="auto"/>
              <w:ind w:firstLine="480" w:firstLineChars="200"/>
              <w:jc w:val="left"/>
              <w:rPr>
                <w:bCs/>
                <w:color w:val="auto"/>
                <w:sz w:val="24"/>
                <w:highlight w:val="none"/>
              </w:rPr>
            </w:pPr>
            <w:r>
              <w:rPr>
                <w:bCs/>
                <w:color w:val="auto"/>
                <w:sz w:val="24"/>
                <w:highlight w:val="none"/>
              </w:rPr>
              <w:t>建设性质：</w:t>
            </w:r>
            <w:r>
              <w:rPr>
                <w:rFonts w:hint="eastAsia"/>
                <w:bCs/>
                <w:color w:val="auto"/>
                <w:sz w:val="24"/>
                <w:highlight w:val="none"/>
                <w:lang w:val="en-US" w:eastAsia="zh-CN"/>
              </w:rPr>
              <w:t>技</w:t>
            </w:r>
            <w:r>
              <w:rPr>
                <w:rFonts w:hint="eastAsia"/>
                <w:bCs/>
                <w:color w:val="auto"/>
                <w:sz w:val="24"/>
                <w:highlight w:val="none"/>
              </w:rPr>
              <w:t>改</w:t>
            </w:r>
          </w:p>
          <w:p w14:paraId="27B13AA8">
            <w:pPr>
              <w:adjustRightInd w:val="0"/>
              <w:snapToGrid w:val="0"/>
              <w:spacing w:line="360" w:lineRule="auto"/>
              <w:ind w:firstLine="480" w:firstLineChars="200"/>
              <w:jc w:val="left"/>
              <w:rPr>
                <w:bCs/>
                <w:color w:val="auto"/>
                <w:sz w:val="24"/>
                <w:highlight w:val="none"/>
              </w:rPr>
            </w:pPr>
            <w:r>
              <w:rPr>
                <w:bCs/>
                <w:color w:val="auto"/>
                <w:sz w:val="24"/>
                <w:highlight w:val="none"/>
              </w:rPr>
              <w:t>总投资额：</w:t>
            </w:r>
            <w:r>
              <w:rPr>
                <w:rFonts w:hint="eastAsia"/>
                <w:bCs/>
                <w:color w:val="auto"/>
                <w:sz w:val="24"/>
                <w:highlight w:val="none"/>
                <w:lang w:val="en-US" w:eastAsia="zh-CN"/>
              </w:rPr>
              <w:t>2000万</w:t>
            </w:r>
            <w:r>
              <w:rPr>
                <w:bCs/>
                <w:color w:val="auto"/>
                <w:sz w:val="24"/>
                <w:highlight w:val="none"/>
              </w:rPr>
              <w:t>元，全部由企业自筹。</w:t>
            </w:r>
          </w:p>
          <w:p w14:paraId="6DB268B7">
            <w:pPr>
              <w:adjustRightInd w:val="0"/>
              <w:snapToGrid w:val="0"/>
              <w:spacing w:line="360" w:lineRule="auto"/>
              <w:ind w:firstLine="480" w:firstLineChars="200"/>
              <w:jc w:val="left"/>
              <w:rPr>
                <w:bCs/>
                <w:color w:val="auto"/>
                <w:sz w:val="24"/>
                <w:highlight w:val="none"/>
              </w:rPr>
            </w:pPr>
            <w:r>
              <w:rPr>
                <w:bCs/>
                <w:color w:val="auto"/>
                <w:sz w:val="24"/>
                <w:highlight w:val="none"/>
              </w:rPr>
              <w:t>劳动定员：</w:t>
            </w:r>
            <w:r>
              <w:rPr>
                <w:color w:val="auto"/>
                <w:sz w:val="24"/>
                <w:highlight w:val="none"/>
              </w:rPr>
              <w:t>本</w:t>
            </w:r>
            <w:r>
              <w:rPr>
                <w:rFonts w:hint="eastAsia"/>
                <w:color w:val="auto"/>
                <w:sz w:val="24"/>
                <w:highlight w:val="none"/>
              </w:rPr>
              <w:t>项目新增</w:t>
            </w:r>
            <w:r>
              <w:rPr>
                <w:rFonts w:hint="eastAsia"/>
                <w:color w:val="auto"/>
                <w:sz w:val="24"/>
                <w:highlight w:val="none"/>
                <w:lang w:val="en-US" w:eastAsia="zh-CN"/>
              </w:rPr>
              <w:t>劳动定员24人</w:t>
            </w:r>
            <w:r>
              <w:rPr>
                <w:rFonts w:hint="eastAsia"/>
                <w:color w:val="auto"/>
                <w:sz w:val="24"/>
                <w:highlight w:val="none"/>
              </w:rPr>
              <w:t>。</w:t>
            </w:r>
          </w:p>
          <w:p w14:paraId="5F5466F7">
            <w:pPr>
              <w:adjustRightInd w:val="0"/>
              <w:snapToGrid w:val="0"/>
              <w:spacing w:line="360" w:lineRule="auto"/>
              <w:ind w:firstLine="480" w:firstLineChars="200"/>
              <w:jc w:val="left"/>
              <w:rPr>
                <w:rFonts w:hint="default" w:eastAsia="宋体"/>
                <w:bCs/>
                <w:color w:val="auto"/>
                <w:sz w:val="24"/>
                <w:highlight w:val="none"/>
                <w:lang w:val="en-US" w:eastAsia="zh-CN"/>
              </w:rPr>
            </w:pPr>
            <w:r>
              <w:rPr>
                <w:bCs/>
                <w:color w:val="auto"/>
                <w:sz w:val="24"/>
                <w:highlight w:val="none"/>
              </w:rPr>
              <w:t>工作制度：</w:t>
            </w:r>
            <w:r>
              <w:rPr>
                <w:rFonts w:hint="eastAsia"/>
                <w:bCs/>
                <w:color w:val="auto"/>
                <w:sz w:val="24"/>
                <w:highlight w:val="none"/>
              </w:rPr>
              <w:t>本项目工艺生产装置操作按三班制，劳动定员按四班制配备，管理部门</w:t>
            </w:r>
            <w:r>
              <w:rPr>
                <w:rFonts w:hint="eastAsia"/>
                <w:bCs/>
                <w:color w:val="auto"/>
                <w:sz w:val="24"/>
                <w:highlight w:val="none"/>
                <w:lang w:val="en-US" w:eastAsia="zh-CN"/>
              </w:rPr>
              <w:t>及灌装岗</w:t>
            </w:r>
            <w:r>
              <w:rPr>
                <w:rFonts w:hint="eastAsia"/>
                <w:bCs/>
                <w:color w:val="auto"/>
                <w:sz w:val="24"/>
                <w:highlight w:val="none"/>
              </w:rPr>
              <w:t>实行日班制。</w:t>
            </w:r>
            <w:r>
              <w:rPr>
                <w:bCs/>
                <w:color w:val="auto"/>
                <w:sz w:val="24"/>
                <w:highlight w:val="none"/>
              </w:rPr>
              <w:t>一年工作300d</w:t>
            </w:r>
            <w:r>
              <w:rPr>
                <w:rFonts w:hint="eastAsia"/>
                <w:bCs/>
                <w:color w:val="auto"/>
                <w:sz w:val="24"/>
                <w:highlight w:val="none"/>
                <w:lang w:eastAsia="zh-CN"/>
              </w:rPr>
              <w:t>，</w:t>
            </w:r>
            <w:r>
              <w:rPr>
                <w:rFonts w:hint="eastAsia"/>
                <w:bCs/>
                <w:color w:val="auto"/>
                <w:sz w:val="24"/>
                <w:highlight w:val="none"/>
                <w:lang w:val="en-US" w:eastAsia="zh-CN"/>
              </w:rPr>
              <w:t>操作岗员工20人，1天3班，8h工作制，</w:t>
            </w:r>
            <w:r>
              <w:rPr>
                <w:rFonts w:hint="eastAsia"/>
                <w:bCs/>
                <w:color w:val="auto"/>
                <w:sz w:val="24"/>
                <w:highlight w:val="none"/>
              </w:rPr>
              <w:t>年操作时间7200</w:t>
            </w:r>
            <w:r>
              <w:rPr>
                <w:rFonts w:hint="eastAsia"/>
                <w:bCs/>
                <w:color w:val="auto"/>
                <w:sz w:val="24"/>
                <w:highlight w:val="none"/>
                <w:lang w:val="en-US" w:eastAsia="zh-CN"/>
              </w:rPr>
              <w:t>h，管理人员4人，1天1班，</w:t>
            </w:r>
            <w:r>
              <w:rPr>
                <w:bCs/>
                <w:color w:val="auto"/>
                <w:sz w:val="24"/>
                <w:highlight w:val="none"/>
              </w:rPr>
              <w:t>8小时工作制</w:t>
            </w:r>
            <w:r>
              <w:rPr>
                <w:rFonts w:hint="eastAsia"/>
                <w:bCs/>
                <w:color w:val="auto"/>
                <w:sz w:val="24"/>
                <w:highlight w:val="none"/>
              </w:rPr>
              <w:t>。</w:t>
            </w:r>
            <w:r>
              <w:rPr>
                <w:rFonts w:hint="eastAsia"/>
                <w:bCs/>
                <w:color w:val="auto"/>
                <w:sz w:val="24"/>
                <w:highlight w:val="none"/>
                <w:lang w:val="en-US" w:eastAsia="zh-CN"/>
              </w:rPr>
              <w:t>灌装岗员工依托现有厂区人员调配。</w:t>
            </w:r>
          </w:p>
          <w:p w14:paraId="0E54ED07">
            <w:pPr>
              <w:adjustRightInd w:val="0"/>
              <w:snapToGrid w:val="0"/>
              <w:spacing w:line="360" w:lineRule="auto"/>
              <w:ind w:firstLine="480" w:firstLineChars="200"/>
              <w:jc w:val="left"/>
              <w:rPr>
                <w:rFonts w:hint="eastAsia"/>
                <w:color w:val="auto"/>
                <w:sz w:val="24"/>
                <w:highlight w:val="none"/>
                <w:lang w:val="en-US" w:eastAsia="zh-CN"/>
              </w:rPr>
            </w:pPr>
            <w:r>
              <w:rPr>
                <w:rFonts w:hint="eastAsia"/>
                <w:bCs/>
                <w:color w:val="auto"/>
                <w:sz w:val="24"/>
                <w:highlight w:val="none"/>
              </w:rPr>
              <w:t>建设内容和规模：</w:t>
            </w:r>
            <w:r>
              <w:rPr>
                <w:rFonts w:hint="eastAsia"/>
                <w:bCs/>
                <w:color w:val="auto"/>
                <w:sz w:val="24"/>
                <w:highlight w:val="none"/>
                <w:lang w:val="en-US" w:eastAsia="zh-CN"/>
              </w:rPr>
              <w:t>本次技改</w:t>
            </w:r>
            <w:r>
              <w:rPr>
                <w:rFonts w:hint="eastAsia"/>
                <w:bCs/>
                <w:color w:val="auto"/>
                <w:sz w:val="24"/>
                <w:highlight w:val="none"/>
              </w:rPr>
              <w:t>新建1个生产车间约2160m</w:t>
            </w:r>
            <w:r>
              <w:rPr>
                <w:rFonts w:hint="eastAsia"/>
                <w:bCs/>
                <w:color w:val="auto"/>
                <w:sz w:val="24"/>
                <w:highlight w:val="none"/>
                <w:vertAlign w:val="superscript"/>
              </w:rPr>
              <w:t>2</w:t>
            </w:r>
            <w:r>
              <w:rPr>
                <w:rFonts w:hint="eastAsia"/>
                <w:bCs/>
                <w:color w:val="auto"/>
                <w:sz w:val="24"/>
                <w:highlight w:val="none"/>
              </w:rPr>
              <w:t>，增设1000t/a的醇胺蒸馏装置3套（乙醇胺系列与 N-甲基乙醇胺系列共用），采用短程分子蒸馏技术（物理过程）将原醇胺产品中的2500t/a三乙醇胺及500t/aN-甲基一乙醇胺产品进行提纯，同时配套建设相关公辅工程及环保设施</w:t>
            </w:r>
            <w:r>
              <w:rPr>
                <w:rFonts w:hint="eastAsia"/>
                <w:color w:val="auto"/>
                <w:sz w:val="24"/>
                <w:highlight w:val="none"/>
                <w:lang w:val="en-US" w:eastAsia="zh-CN"/>
              </w:rPr>
              <w:t>。本次技改后原有产能不变，仅对原有10000t/a醇胺产品中的2500t/a三乙醇胺和500t/a</w:t>
            </w:r>
            <w:r>
              <w:rPr>
                <w:rFonts w:hint="eastAsia"/>
                <w:bCs/>
                <w:color w:val="auto"/>
                <w:sz w:val="24"/>
                <w:highlight w:val="none"/>
                <w:lang w:val="en-US" w:eastAsia="zh-CN"/>
              </w:rPr>
              <w:t>N-甲基一乙醇胺</w:t>
            </w:r>
            <w:r>
              <w:rPr>
                <w:rFonts w:hint="eastAsia"/>
                <w:color w:val="auto"/>
                <w:sz w:val="24"/>
                <w:highlight w:val="none"/>
                <w:lang w:val="en-US" w:eastAsia="zh-CN"/>
              </w:rPr>
              <w:t>进行提纯，其他产品保持不变。</w:t>
            </w:r>
          </w:p>
          <w:p w14:paraId="33DD7DB3">
            <w:pPr>
              <w:adjustRightInd w:val="0"/>
              <w:snapToGrid w:val="0"/>
              <w:spacing w:line="360" w:lineRule="auto"/>
              <w:ind w:firstLine="482" w:firstLineChars="200"/>
              <w:jc w:val="left"/>
              <w:rPr>
                <w:b/>
                <w:bCs/>
                <w:color w:val="auto"/>
                <w:sz w:val="24"/>
                <w:highlight w:val="none"/>
              </w:rPr>
            </w:pPr>
            <w:r>
              <w:rPr>
                <w:b/>
                <w:bCs/>
                <w:color w:val="auto"/>
                <w:sz w:val="24"/>
                <w:highlight w:val="none"/>
              </w:rPr>
              <w:t>（2）</w:t>
            </w:r>
            <w:r>
              <w:rPr>
                <w:rFonts w:hint="eastAsia"/>
                <w:b/>
                <w:bCs/>
                <w:color w:val="auto"/>
                <w:sz w:val="24"/>
                <w:highlight w:val="none"/>
              </w:rPr>
              <w:t>产品方案</w:t>
            </w:r>
          </w:p>
          <w:p w14:paraId="0DB5CA7D">
            <w:pPr>
              <w:adjustRightInd w:val="0"/>
              <w:snapToGrid w:val="0"/>
              <w:spacing w:line="360" w:lineRule="auto"/>
              <w:ind w:firstLine="480" w:firstLineChars="200"/>
              <w:jc w:val="left"/>
              <w:rPr>
                <w:rFonts w:hint="eastAsia"/>
                <w:bCs/>
                <w:color w:val="auto"/>
                <w:sz w:val="24"/>
                <w:highlight w:val="none"/>
                <w:lang w:val="en-US" w:eastAsia="zh-CN"/>
              </w:rPr>
            </w:pPr>
            <w:r>
              <w:rPr>
                <w:rFonts w:hint="eastAsia"/>
                <w:bCs/>
                <w:color w:val="auto"/>
                <w:sz w:val="24"/>
                <w:highlight w:val="none"/>
                <w:lang w:val="en-US" w:eastAsia="zh-CN"/>
              </w:rPr>
              <w:t>本项目技改前后不影响原有产能，仍年产10000t/a醇胺，但对原醇胺产品中的三乙醇胺及N-甲基一乙醇胺产品进行提纯，具体产品方案详见下表：</w:t>
            </w:r>
          </w:p>
          <w:p w14:paraId="1EA3441C">
            <w:pPr>
              <w:pStyle w:val="42"/>
              <w:rPr>
                <w:color w:val="auto"/>
                <w:highlight w:val="none"/>
              </w:rPr>
            </w:pPr>
            <w:r>
              <w:rPr>
                <w:rFonts w:hint="eastAsia"/>
                <w:color w:val="auto"/>
                <w:highlight w:val="none"/>
              </w:rPr>
              <w:t>本项目产品方案表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2"/>
              <w:gridCol w:w="1783"/>
              <w:gridCol w:w="1217"/>
              <w:gridCol w:w="1163"/>
              <w:gridCol w:w="2189"/>
              <w:gridCol w:w="1597"/>
            </w:tblGrid>
            <w:tr w14:paraId="6C67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297" w:type="pct"/>
                  <w:noWrap w:val="0"/>
                  <w:tcMar>
                    <w:top w:w="15" w:type="dxa"/>
                    <w:left w:w="15" w:type="dxa"/>
                    <w:bottom w:w="0" w:type="dxa"/>
                    <w:right w:w="15" w:type="dxa"/>
                  </w:tcMar>
                  <w:vAlign w:val="center"/>
                </w:tcPr>
                <w:p w14:paraId="5B1634DC">
                  <w:pPr>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序号</w:t>
                  </w:r>
                </w:p>
              </w:tc>
              <w:tc>
                <w:tcPr>
                  <w:tcW w:w="1054" w:type="pct"/>
                  <w:noWrap w:val="0"/>
                  <w:tcMar>
                    <w:top w:w="15" w:type="dxa"/>
                    <w:left w:w="15" w:type="dxa"/>
                    <w:bottom w:w="0" w:type="dxa"/>
                    <w:right w:w="15" w:type="dxa"/>
                  </w:tcMar>
                  <w:vAlign w:val="center"/>
                </w:tcPr>
                <w:p w14:paraId="67C2AE0A">
                  <w:pPr>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名称</w:t>
                  </w:r>
                </w:p>
              </w:tc>
              <w:tc>
                <w:tcPr>
                  <w:tcW w:w="720" w:type="pct"/>
                  <w:noWrap w:val="0"/>
                  <w:tcMar>
                    <w:top w:w="15" w:type="dxa"/>
                    <w:left w:w="15" w:type="dxa"/>
                    <w:bottom w:w="0" w:type="dxa"/>
                    <w:right w:w="15" w:type="dxa"/>
                  </w:tcMar>
                  <w:vAlign w:val="center"/>
                </w:tcPr>
                <w:p w14:paraId="311514AA">
                  <w:pPr>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数量（t/a）</w:t>
                  </w:r>
                </w:p>
              </w:tc>
              <w:tc>
                <w:tcPr>
                  <w:tcW w:w="688" w:type="pct"/>
                  <w:noWrap w:val="0"/>
                  <w:tcMar>
                    <w:top w:w="15" w:type="dxa"/>
                    <w:left w:w="15" w:type="dxa"/>
                    <w:bottom w:w="0" w:type="dxa"/>
                    <w:right w:w="15" w:type="dxa"/>
                  </w:tcMar>
                  <w:vAlign w:val="center"/>
                </w:tcPr>
                <w:p w14:paraId="15D6BBF4">
                  <w:pPr>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rPr>
                    <w:t>规格</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w:t>
                  </w:r>
                </w:p>
              </w:tc>
              <w:tc>
                <w:tcPr>
                  <w:tcW w:w="1295" w:type="pct"/>
                  <w:noWrap w:val="0"/>
                  <w:tcMar>
                    <w:top w:w="15" w:type="dxa"/>
                    <w:left w:w="15" w:type="dxa"/>
                    <w:bottom w:w="0" w:type="dxa"/>
                    <w:right w:w="15" w:type="dxa"/>
                  </w:tcMar>
                  <w:vAlign w:val="center"/>
                </w:tcPr>
                <w:p w14:paraId="67DA6C7E">
                  <w:pPr>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储存地点</w:t>
                  </w:r>
                </w:p>
              </w:tc>
              <w:tc>
                <w:tcPr>
                  <w:tcW w:w="943" w:type="pct"/>
                  <w:noWrap w:val="0"/>
                  <w:tcMar>
                    <w:top w:w="15" w:type="dxa"/>
                    <w:left w:w="15" w:type="dxa"/>
                    <w:bottom w:w="0" w:type="dxa"/>
                    <w:right w:w="15" w:type="dxa"/>
                  </w:tcMar>
                  <w:vAlign w:val="center"/>
                </w:tcPr>
                <w:p w14:paraId="4CA1E048">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备注</w:t>
                  </w:r>
                </w:p>
              </w:tc>
            </w:tr>
            <w:tr w14:paraId="1063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5000" w:type="pct"/>
                  <w:gridSpan w:val="6"/>
                  <w:noWrap w:val="0"/>
                  <w:tcMar>
                    <w:top w:w="15" w:type="dxa"/>
                    <w:left w:w="15" w:type="dxa"/>
                    <w:bottom w:w="0" w:type="dxa"/>
                    <w:right w:w="15" w:type="dxa"/>
                  </w:tcMar>
                  <w:vAlign w:val="center"/>
                </w:tcPr>
                <w:p w14:paraId="0C4A6D2A">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技改前</w:t>
                  </w:r>
                </w:p>
              </w:tc>
            </w:tr>
            <w:tr w14:paraId="0FF6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noWrap w:val="0"/>
                  <w:tcMar>
                    <w:top w:w="15" w:type="dxa"/>
                    <w:left w:w="15" w:type="dxa"/>
                    <w:bottom w:w="0" w:type="dxa"/>
                    <w:right w:w="15" w:type="dxa"/>
                  </w:tcMar>
                  <w:vAlign w:val="center"/>
                </w:tcPr>
                <w:p w14:paraId="3554A18C">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1054" w:type="pct"/>
                  <w:noWrap w:val="0"/>
                  <w:tcMar>
                    <w:top w:w="15" w:type="dxa"/>
                    <w:left w:w="15" w:type="dxa"/>
                    <w:bottom w:w="0" w:type="dxa"/>
                    <w:right w:w="15" w:type="dxa"/>
                  </w:tcMar>
                  <w:vAlign w:val="center"/>
                </w:tcPr>
                <w:p w14:paraId="504E65D8">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三乙醇胺</w:t>
                  </w:r>
                </w:p>
              </w:tc>
              <w:tc>
                <w:tcPr>
                  <w:tcW w:w="720" w:type="pct"/>
                  <w:noWrap w:val="0"/>
                  <w:tcMar>
                    <w:top w:w="15" w:type="dxa"/>
                    <w:left w:w="15" w:type="dxa"/>
                    <w:bottom w:w="0" w:type="dxa"/>
                    <w:right w:w="15" w:type="dxa"/>
                  </w:tcMar>
                  <w:vAlign w:val="center"/>
                </w:tcPr>
                <w:p w14:paraId="3E77C22F">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2500</w:t>
                  </w:r>
                </w:p>
              </w:tc>
              <w:tc>
                <w:tcPr>
                  <w:tcW w:w="688" w:type="pct"/>
                  <w:noWrap w:val="0"/>
                  <w:tcMar>
                    <w:top w:w="15" w:type="dxa"/>
                    <w:left w:w="15" w:type="dxa"/>
                    <w:bottom w:w="0" w:type="dxa"/>
                    <w:right w:w="15" w:type="dxa"/>
                  </w:tcMar>
                  <w:vAlign w:val="center"/>
                </w:tcPr>
                <w:p w14:paraId="4572EE02">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≥99.</w:t>
                  </w:r>
                  <w:r>
                    <w:rPr>
                      <w:rFonts w:hint="eastAsia" w:ascii="Times New Roman" w:hAnsi="Times New Roman" w:eastAsia="宋体" w:cs="Times New Roman"/>
                      <w:b w:val="0"/>
                      <w:bCs w:val="0"/>
                      <w:color w:val="auto"/>
                      <w:sz w:val="21"/>
                      <w:szCs w:val="21"/>
                      <w:highlight w:val="none"/>
                      <w:lang w:val="en-US" w:eastAsia="zh-CN"/>
                    </w:rPr>
                    <w:t>5</w:t>
                  </w:r>
                </w:p>
              </w:tc>
              <w:tc>
                <w:tcPr>
                  <w:tcW w:w="1295" w:type="pct"/>
                  <w:noWrap w:val="0"/>
                  <w:tcMar>
                    <w:top w:w="15" w:type="dxa"/>
                    <w:left w:w="15" w:type="dxa"/>
                    <w:bottom w:w="0" w:type="dxa"/>
                    <w:right w:w="15" w:type="dxa"/>
                  </w:tcMar>
                  <w:vAlign w:val="center"/>
                </w:tcPr>
                <w:p w14:paraId="17BCA6E0">
                  <w:pPr>
                    <w:jc w:val="center"/>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产品储罐、</w:t>
                  </w:r>
                  <w:r>
                    <w:rPr>
                      <w:rFonts w:hint="eastAsia" w:ascii="Times New Roman" w:hAnsi="Times New Roman" w:eastAsia="宋体" w:cs="Times New Roman"/>
                      <w:b w:val="0"/>
                      <w:bCs w:val="0"/>
                      <w:color w:val="auto"/>
                      <w:sz w:val="21"/>
                      <w:szCs w:val="21"/>
                      <w:highlight w:val="none"/>
                    </w:rPr>
                    <w:t>丙类仓库</w:t>
                  </w:r>
                </w:p>
              </w:tc>
              <w:tc>
                <w:tcPr>
                  <w:tcW w:w="943" w:type="pct"/>
                  <w:noWrap w:val="0"/>
                  <w:tcMar>
                    <w:top w:w="15" w:type="dxa"/>
                    <w:left w:w="15" w:type="dxa"/>
                    <w:bottom w:w="0" w:type="dxa"/>
                    <w:right w:w="15" w:type="dxa"/>
                  </w:tcMar>
                  <w:vAlign w:val="center"/>
                </w:tcPr>
                <w:p w14:paraId="6CF29D3C">
                  <w:pPr>
                    <w:jc w:val="center"/>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产品，</w:t>
                  </w:r>
                  <w:r>
                    <w:rPr>
                      <w:rFonts w:hint="eastAsia" w:ascii="Times New Roman" w:hAnsi="Times New Roman" w:eastAsia="宋体" w:cs="Times New Roman"/>
                      <w:b w:val="0"/>
                      <w:bCs w:val="0"/>
                      <w:color w:val="auto"/>
                      <w:sz w:val="21"/>
                      <w:szCs w:val="21"/>
                      <w:highlight w:val="none"/>
                      <w:lang w:val="en-US" w:eastAsia="zh-CN"/>
                    </w:rPr>
                    <w:t>外售</w:t>
                  </w:r>
                </w:p>
              </w:tc>
            </w:tr>
            <w:tr w14:paraId="321B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noWrap w:val="0"/>
                  <w:tcMar>
                    <w:top w:w="15" w:type="dxa"/>
                    <w:left w:w="15" w:type="dxa"/>
                    <w:bottom w:w="0" w:type="dxa"/>
                    <w:right w:w="15" w:type="dxa"/>
                  </w:tcMar>
                  <w:vAlign w:val="center"/>
                </w:tcPr>
                <w:p w14:paraId="71D2660F">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1054" w:type="pct"/>
                  <w:noWrap w:val="0"/>
                  <w:tcMar>
                    <w:top w:w="15" w:type="dxa"/>
                    <w:left w:w="15" w:type="dxa"/>
                    <w:bottom w:w="0" w:type="dxa"/>
                    <w:right w:w="15" w:type="dxa"/>
                  </w:tcMar>
                  <w:vAlign w:val="center"/>
                </w:tcPr>
                <w:p w14:paraId="27C6E6C6">
                  <w:pPr>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N-甲基一乙醇胺</w:t>
                  </w:r>
                </w:p>
              </w:tc>
              <w:tc>
                <w:tcPr>
                  <w:tcW w:w="720" w:type="pct"/>
                  <w:noWrap w:val="0"/>
                  <w:tcMar>
                    <w:top w:w="15" w:type="dxa"/>
                    <w:left w:w="15" w:type="dxa"/>
                    <w:bottom w:w="0" w:type="dxa"/>
                    <w:right w:w="15" w:type="dxa"/>
                  </w:tcMar>
                  <w:vAlign w:val="center"/>
                </w:tcPr>
                <w:p w14:paraId="52CFD715">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500</w:t>
                  </w:r>
                </w:p>
              </w:tc>
              <w:tc>
                <w:tcPr>
                  <w:tcW w:w="688" w:type="pct"/>
                  <w:noWrap w:val="0"/>
                  <w:tcMar>
                    <w:top w:w="15" w:type="dxa"/>
                    <w:left w:w="15" w:type="dxa"/>
                    <w:bottom w:w="0" w:type="dxa"/>
                    <w:right w:w="15" w:type="dxa"/>
                  </w:tcMar>
                  <w:vAlign w:val="center"/>
                </w:tcPr>
                <w:p w14:paraId="3F251170">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≥99.</w:t>
                  </w:r>
                  <w:r>
                    <w:rPr>
                      <w:rFonts w:hint="eastAsia" w:ascii="Times New Roman" w:hAnsi="Times New Roman" w:eastAsia="宋体" w:cs="Times New Roman"/>
                      <w:b w:val="0"/>
                      <w:bCs w:val="0"/>
                      <w:color w:val="auto"/>
                      <w:sz w:val="21"/>
                      <w:szCs w:val="21"/>
                      <w:highlight w:val="none"/>
                      <w:lang w:val="en-US" w:eastAsia="zh-CN"/>
                    </w:rPr>
                    <w:t>3</w:t>
                  </w:r>
                </w:p>
              </w:tc>
              <w:tc>
                <w:tcPr>
                  <w:tcW w:w="1295" w:type="pct"/>
                  <w:noWrap w:val="0"/>
                  <w:tcMar>
                    <w:top w:w="15" w:type="dxa"/>
                    <w:left w:w="15" w:type="dxa"/>
                    <w:bottom w:w="0" w:type="dxa"/>
                    <w:right w:w="15" w:type="dxa"/>
                  </w:tcMar>
                  <w:vAlign w:val="center"/>
                </w:tcPr>
                <w:p w14:paraId="1C2150E7">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产品储罐、</w:t>
                  </w:r>
                  <w:r>
                    <w:rPr>
                      <w:rFonts w:hint="eastAsia" w:ascii="Times New Roman" w:hAnsi="Times New Roman" w:eastAsia="宋体" w:cs="Times New Roman"/>
                      <w:b w:val="0"/>
                      <w:bCs w:val="0"/>
                      <w:color w:val="auto"/>
                      <w:sz w:val="21"/>
                      <w:szCs w:val="21"/>
                      <w:highlight w:val="none"/>
                    </w:rPr>
                    <w:t>丙类仓库</w:t>
                  </w:r>
                </w:p>
              </w:tc>
              <w:tc>
                <w:tcPr>
                  <w:tcW w:w="943" w:type="pct"/>
                  <w:noWrap w:val="0"/>
                  <w:tcMar>
                    <w:top w:w="15" w:type="dxa"/>
                    <w:left w:w="15" w:type="dxa"/>
                    <w:bottom w:w="0" w:type="dxa"/>
                    <w:right w:w="15" w:type="dxa"/>
                  </w:tcMar>
                  <w:vAlign w:val="center"/>
                </w:tcPr>
                <w:p w14:paraId="020A35B6">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产品，</w:t>
                  </w:r>
                  <w:r>
                    <w:rPr>
                      <w:rFonts w:hint="eastAsia" w:ascii="Times New Roman" w:hAnsi="Times New Roman" w:eastAsia="宋体" w:cs="Times New Roman"/>
                      <w:b w:val="0"/>
                      <w:bCs w:val="0"/>
                      <w:color w:val="auto"/>
                      <w:sz w:val="21"/>
                      <w:szCs w:val="21"/>
                      <w:highlight w:val="none"/>
                      <w:lang w:val="en-US" w:eastAsia="zh-CN"/>
                    </w:rPr>
                    <w:t>外售</w:t>
                  </w:r>
                </w:p>
              </w:tc>
            </w:tr>
            <w:tr w14:paraId="2205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1352" w:type="pct"/>
                  <w:gridSpan w:val="2"/>
                  <w:noWrap w:val="0"/>
                  <w:tcMar>
                    <w:top w:w="15" w:type="dxa"/>
                    <w:left w:w="15" w:type="dxa"/>
                    <w:bottom w:w="0" w:type="dxa"/>
                    <w:right w:w="15" w:type="dxa"/>
                  </w:tcMar>
                  <w:vAlign w:val="center"/>
                </w:tcPr>
                <w:p w14:paraId="6D10CE88">
                  <w:pPr>
                    <w:jc w:val="center"/>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小计</w:t>
                  </w:r>
                </w:p>
              </w:tc>
              <w:tc>
                <w:tcPr>
                  <w:tcW w:w="3647" w:type="pct"/>
                  <w:gridSpan w:val="4"/>
                  <w:noWrap w:val="0"/>
                  <w:tcMar>
                    <w:top w:w="15" w:type="dxa"/>
                    <w:left w:w="15" w:type="dxa"/>
                    <w:bottom w:w="0" w:type="dxa"/>
                    <w:right w:w="15" w:type="dxa"/>
                  </w:tcMar>
                  <w:vAlign w:val="center"/>
                </w:tcPr>
                <w:p w14:paraId="004E52FB">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3000t/a</w:t>
                  </w:r>
                </w:p>
              </w:tc>
            </w:tr>
            <w:tr w14:paraId="7EC0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gridSpan w:val="6"/>
                  <w:noWrap w:val="0"/>
                  <w:tcMar>
                    <w:top w:w="15" w:type="dxa"/>
                    <w:left w:w="15" w:type="dxa"/>
                    <w:bottom w:w="0" w:type="dxa"/>
                    <w:right w:w="15" w:type="dxa"/>
                  </w:tcMar>
                  <w:vAlign w:val="center"/>
                </w:tcPr>
                <w:p w14:paraId="09CA0C50">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技改后</w:t>
                  </w:r>
                </w:p>
              </w:tc>
            </w:tr>
            <w:tr w14:paraId="39D5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noWrap w:val="0"/>
                  <w:tcMar>
                    <w:top w:w="15" w:type="dxa"/>
                    <w:left w:w="15" w:type="dxa"/>
                    <w:bottom w:w="0" w:type="dxa"/>
                    <w:right w:w="15" w:type="dxa"/>
                  </w:tcMar>
                  <w:vAlign w:val="center"/>
                </w:tcPr>
                <w:p w14:paraId="40068271">
                  <w:pPr>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1054" w:type="pct"/>
                  <w:noWrap w:val="0"/>
                  <w:tcMar>
                    <w:top w:w="15" w:type="dxa"/>
                    <w:left w:w="15" w:type="dxa"/>
                    <w:bottom w:w="0" w:type="dxa"/>
                    <w:right w:w="15" w:type="dxa"/>
                  </w:tcMar>
                  <w:vAlign w:val="center"/>
                </w:tcPr>
                <w:p w14:paraId="0490F8CB">
                  <w:pPr>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三乙醇胺</w:t>
                  </w:r>
                </w:p>
              </w:tc>
              <w:tc>
                <w:tcPr>
                  <w:tcW w:w="720" w:type="pct"/>
                  <w:noWrap w:val="0"/>
                  <w:tcMar>
                    <w:top w:w="15" w:type="dxa"/>
                    <w:left w:w="15" w:type="dxa"/>
                    <w:bottom w:w="0" w:type="dxa"/>
                    <w:right w:w="15" w:type="dxa"/>
                  </w:tcMar>
                  <w:vAlign w:val="center"/>
                </w:tcPr>
                <w:p w14:paraId="7D8A343E">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2</w:t>
                  </w:r>
                  <w:r>
                    <w:rPr>
                      <w:rFonts w:hint="eastAsia" w:ascii="Times New Roman" w:hAnsi="Times New Roman" w:eastAsia="宋体" w:cs="Times New Roman"/>
                      <w:b w:val="0"/>
                      <w:bCs w:val="0"/>
                      <w:color w:val="auto"/>
                      <w:sz w:val="21"/>
                      <w:szCs w:val="21"/>
                      <w:highlight w:val="none"/>
                      <w:lang w:val="en-US" w:eastAsia="zh-CN"/>
                    </w:rPr>
                    <w:t>250</w:t>
                  </w:r>
                </w:p>
              </w:tc>
              <w:tc>
                <w:tcPr>
                  <w:tcW w:w="688" w:type="pct"/>
                  <w:noWrap w:val="0"/>
                  <w:tcMar>
                    <w:top w:w="15" w:type="dxa"/>
                    <w:left w:w="15" w:type="dxa"/>
                    <w:bottom w:w="0" w:type="dxa"/>
                    <w:right w:w="15" w:type="dxa"/>
                  </w:tcMar>
                  <w:vAlign w:val="center"/>
                </w:tcPr>
                <w:p w14:paraId="0DFFDBD6">
                  <w:pPr>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≥99.9</w:t>
                  </w:r>
                </w:p>
              </w:tc>
              <w:tc>
                <w:tcPr>
                  <w:tcW w:w="1295" w:type="pct"/>
                  <w:noWrap w:val="0"/>
                  <w:tcMar>
                    <w:top w:w="15" w:type="dxa"/>
                    <w:left w:w="15" w:type="dxa"/>
                    <w:bottom w:w="0" w:type="dxa"/>
                    <w:right w:w="15" w:type="dxa"/>
                  </w:tcMar>
                  <w:vAlign w:val="center"/>
                </w:tcPr>
                <w:p w14:paraId="5DB8762A">
                  <w:pPr>
                    <w:jc w:val="center"/>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产品储罐、</w:t>
                  </w:r>
                  <w:r>
                    <w:rPr>
                      <w:rFonts w:hint="eastAsia" w:ascii="Times New Roman" w:hAnsi="Times New Roman" w:eastAsia="宋体" w:cs="Times New Roman"/>
                      <w:b w:val="0"/>
                      <w:bCs w:val="0"/>
                      <w:color w:val="auto"/>
                      <w:sz w:val="21"/>
                      <w:szCs w:val="21"/>
                      <w:highlight w:val="none"/>
                    </w:rPr>
                    <w:t>丙类仓库</w:t>
                  </w:r>
                </w:p>
              </w:tc>
              <w:tc>
                <w:tcPr>
                  <w:tcW w:w="943" w:type="pct"/>
                  <w:noWrap w:val="0"/>
                  <w:tcMar>
                    <w:top w:w="15" w:type="dxa"/>
                    <w:left w:w="15" w:type="dxa"/>
                    <w:bottom w:w="0" w:type="dxa"/>
                    <w:right w:w="15" w:type="dxa"/>
                  </w:tcMar>
                  <w:vAlign w:val="center"/>
                </w:tcPr>
                <w:p w14:paraId="2F909BF6">
                  <w:pPr>
                    <w:jc w:val="center"/>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产品，</w:t>
                  </w:r>
                  <w:r>
                    <w:rPr>
                      <w:rFonts w:hint="eastAsia" w:ascii="Times New Roman" w:hAnsi="Times New Roman" w:eastAsia="宋体" w:cs="Times New Roman"/>
                      <w:b w:val="0"/>
                      <w:bCs w:val="0"/>
                      <w:color w:val="auto"/>
                      <w:sz w:val="21"/>
                      <w:szCs w:val="21"/>
                      <w:highlight w:val="none"/>
                      <w:lang w:val="en-US" w:eastAsia="zh-CN"/>
                    </w:rPr>
                    <w:t>外售</w:t>
                  </w:r>
                </w:p>
              </w:tc>
            </w:tr>
            <w:tr w14:paraId="1C01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97" w:type="pct"/>
                  <w:noWrap w:val="0"/>
                  <w:tcMar>
                    <w:top w:w="15" w:type="dxa"/>
                    <w:left w:w="15" w:type="dxa"/>
                    <w:bottom w:w="0" w:type="dxa"/>
                    <w:right w:w="15" w:type="dxa"/>
                  </w:tcMar>
                  <w:vAlign w:val="center"/>
                </w:tcPr>
                <w:p w14:paraId="75A679EB">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1054" w:type="pct"/>
                  <w:noWrap w:val="0"/>
                  <w:tcMar>
                    <w:top w:w="15" w:type="dxa"/>
                    <w:left w:w="15" w:type="dxa"/>
                    <w:bottom w:w="0" w:type="dxa"/>
                    <w:right w:w="15" w:type="dxa"/>
                  </w:tcMar>
                  <w:vAlign w:val="center"/>
                </w:tcPr>
                <w:p w14:paraId="23C8B6E6">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N-甲基一乙醇胺</w:t>
                  </w:r>
                </w:p>
              </w:tc>
              <w:tc>
                <w:tcPr>
                  <w:tcW w:w="720" w:type="pct"/>
                  <w:noWrap w:val="0"/>
                  <w:tcMar>
                    <w:top w:w="15" w:type="dxa"/>
                    <w:left w:w="15" w:type="dxa"/>
                    <w:bottom w:w="0" w:type="dxa"/>
                    <w:right w:w="15" w:type="dxa"/>
                  </w:tcMar>
                  <w:vAlign w:val="center"/>
                </w:tcPr>
                <w:p w14:paraId="52115028">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450</w:t>
                  </w:r>
                </w:p>
              </w:tc>
              <w:tc>
                <w:tcPr>
                  <w:tcW w:w="688" w:type="pct"/>
                  <w:noWrap w:val="0"/>
                  <w:tcMar>
                    <w:top w:w="15" w:type="dxa"/>
                    <w:left w:w="15" w:type="dxa"/>
                    <w:bottom w:w="0" w:type="dxa"/>
                    <w:right w:w="15" w:type="dxa"/>
                  </w:tcMar>
                  <w:vAlign w:val="center"/>
                </w:tcPr>
                <w:p w14:paraId="1A845471">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≥99.</w:t>
                  </w:r>
                  <w:r>
                    <w:rPr>
                      <w:rFonts w:hint="eastAsia" w:ascii="Times New Roman" w:hAnsi="Times New Roman" w:eastAsia="宋体" w:cs="Times New Roman"/>
                      <w:b w:val="0"/>
                      <w:bCs w:val="0"/>
                      <w:color w:val="auto"/>
                      <w:sz w:val="21"/>
                      <w:szCs w:val="21"/>
                      <w:highlight w:val="none"/>
                      <w:lang w:val="en-US" w:eastAsia="zh-CN"/>
                    </w:rPr>
                    <w:t>9</w:t>
                  </w:r>
                </w:p>
              </w:tc>
              <w:tc>
                <w:tcPr>
                  <w:tcW w:w="1295" w:type="pct"/>
                  <w:noWrap w:val="0"/>
                  <w:tcMar>
                    <w:top w:w="15" w:type="dxa"/>
                    <w:left w:w="15" w:type="dxa"/>
                    <w:bottom w:w="0" w:type="dxa"/>
                    <w:right w:w="15" w:type="dxa"/>
                  </w:tcMar>
                  <w:vAlign w:val="center"/>
                </w:tcPr>
                <w:p w14:paraId="36F369AE">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产品储罐、</w:t>
                  </w:r>
                  <w:r>
                    <w:rPr>
                      <w:rFonts w:hint="eastAsia" w:ascii="Times New Roman" w:hAnsi="Times New Roman" w:eastAsia="宋体" w:cs="Times New Roman"/>
                      <w:b w:val="0"/>
                      <w:bCs w:val="0"/>
                      <w:color w:val="auto"/>
                      <w:sz w:val="21"/>
                      <w:szCs w:val="21"/>
                      <w:highlight w:val="none"/>
                    </w:rPr>
                    <w:t>丙类仓库</w:t>
                  </w:r>
                </w:p>
              </w:tc>
              <w:tc>
                <w:tcPr>
                  <w:tcW w:w="943" w:type="pct"/>
                  <w:noWrap w:val="0"/>
                  <w:tcMar>
                    <w:top w:w="15" w:type="dxa"/>
                    <w:left w:w="15" w:type="dxa"/>
                    <w:bottom w:w="0" w:type="dxa"/>
                    <w:right w:w="15" w:type="dxa"/>
                  </w:tcMar>
                  <w:vAlign w:val="center"/>
                </w:tcPr>
                <w:p w14:paraId="17D82D48">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产品，</w:t>
                  </w:r>
                  <w:r>
                    <w:rPr>
                      <w:rFonts w:hint="eastAsia" w:ascii="Times New Roman" w:hAnsi="Times New Roman" w:eastAsia="宋体" w:cs="Times New Roman"/>
                      <w:b w:val="0"/>
                      <w:bCs w:val="0"/>
                      <w:color w:val="auto"/>
                      <w:sz w:val="21"/>
                      <w:szCs w:val="21"/>
                      <w:highlight w:val="none"/>
                      <w:lang w:val="en-US" w:eastAsia="zh-CN"/>
                    </w:rPr>
                    <w:t>外售</w:t>
                  </w:r>
                </w:p>
              </w:tc>
            </w:tr>
            <w:tr w14:paraId="7456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97" w:type="pct"/>
                  <w:noWrap w:val="0"/>
                  <w:tcMar>
                    <w:top w:w="15" w:type="dxa"/>
                    <w:left w:w="15" w:type="dxa"/>
                    <w:bottom w:w="0" w:type="dxa"/>
                    <w:right w:w="15" w:type="dxa"/>
                  </w:tcMar>
                  <w:vAlign w:val="center"/>
                </w:tcPr>
                <w:p w14:paraId="0396A5CD">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054" w:type="pct"/>
                  <w:noWrap w:val="0"/>
                  <w:tcMar>
                    <w:top w:w="15" w:type="dxa"/>
                    <w:left w:w="15" w:type="dxa"/>
                    <w:bottom w:w="0" w:type="dxa"/>
                    <w:right w:w="15" w:type="dxa"/>
                  </w:tcMar>
                  <w:vAlign w:val="center"/>
                </w:tcPr>
                <w:p w14:paraId="6864EADE">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三乙醇胺</w:t>
                  </w:r>
                </w:p>
              </w:tc>
              <w:tc>
                <w:tcPr>
                  <w:tcW w:w="720" w:type="pct"/>
                  <w:noWrap w:val="0"/>
                  <w:tcMar>
                    <w:top w:w="15" w:type="dxa"/>
                    <w:left w:w="15" w:type="dxa"/>
                    <w:bottom w:w="0" w:type="dxa"/>
                    <w:right w:w="15" w:type="dxa"/>
                  </w:tcMar>
                  <w:vAlign w:val="center"/>
                </w:tcPr>
                <w:p w14:paraId="0CA3DF39">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249.5</w:t>
                  </w:r>
                </w:p>
              </w:tc>
              <w:tc>
                <w:tcPr>
                  <w:tcW w:w="688" w:type="pct"/>
                  <w:noWrap w:val="0"/>
                  <w:tcMar>
                    <w:top w:w="15" w:type="dxa"/>
                    <w:left w:w="15" w:type="dxa"/>
                    <w:bottom w:w="0" w:type="dxa"/>
                    <w:right w:w="15" w:type="dxa"/>
                  </w:tcMar>
                  <w:vAlign w:val="center"/>
                </w:tcPr>
                <w:p w14:paraId="7E676B79">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≥99</w:t>
                  </w:r>
                </w:p>
              </w:tc>
              <w:tc>
                <w:tcPr>
                  <w:tcW w:w="1295" w:type="pct"/>
                  <w:noWrap w:val="0"/>
                  <w:tcMar>
                    <w:top w:w="15" w:type="dxa"/>
                    <w:left w:w="15" w:type="dxa"/>
                    <w:bottom w:w="0" w:type="dxa"/>
                    <w:right w:w="15" w:type="dxa"/>
                  </w:tcMar>
                  <w:vAlign w:val="center"/>
                </w:tcPr>
                <w:p w14:paraId="4E7526F3">
                  <w:pPr>
                    <w:jc w:val="center"/>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产品储罐、</w:t>
                  </w:r>
                  <w:r>
                    <w:rPr>
                      <w:rFonts w:hint="eastAsia" w:ascii="Times New Roman" w:hAnsi="Times New Roman" w:eastAsia="宋体" w:cs="Times New Roman"/>
                      <w:b w:val="0"/>
                      <w:bCs w:val="0"/>
                      <w:color w:val="auto"/>
                      <w:sz w:val="21"/>
                      <w:szCs w:val="21"/>
                      <w:highlight w:val="none"/>
                    </w:rPr>
                    <w:t>丙类仓库</w:t>
                  </w:r>
                </w:p>
              </w:tc>
              <w:tc>
                <w:tcPr>
                  <w:tcW w:w="943" w:type="pct"/>
                  <w:noWrap w:val="0"/>
                  <w:tcMar>
                    <w:top w:w="15" w:type="dxa"/>
                    <w:left w:w="15" w:type="dxa"/>
                    <w:bottom w:w="0" w:type="dxa"/>
                    <w:right w:w="15" w:type="dxa"/>
                  </w:tcMar>
                  <w:vAlign w:val="center"/>
                </w:tcPr>
                <w:p w14:paraId="51928B26">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副产品，</w:t>
                  </w:r>
                  <w:r>
                    <w:rPr>
                      <w:rFonts w:hint="eastAsia" w:ascii="Times New Roman" w:hAnsi="Times New Roman" w:eastAsia="宋体" w:cs="Times New Roman"/>
                      <w:b w:val="0"/>
                      <w:bCs w:val="0"/>
                      <w:color w:val="auto"/>
                      <w:sz w:val="21"/>
                      <w:szCs w:val="21"/>
                      <w:highlight w:val="none"/>
                      <w:lang w:val="en-US" w:eastAsia="zh-CN"/>
                    </w:rPr>
                    <w:t>外售</w:t>
                  </w:r>
                </w:p>
              </w:tc>
            </w:tr>
            <w:tr w14:paraId="3553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297" w:type="pct"/>
                  <w:noWrap w:val="0"/>
                  <w:tcMar>
                    <w:top w:w="15" w:type="dxa"/>
                    <w:left w:w="15" w:type="dxa"/>
                    <w:bottom w:w="0" w:type="dxa"/>
                    <w:right w:w="15" w:type="dxa"/>
                  </w:tcMar>
                  <w:vAlign w:val="center"/>
                </w:tcPr>
                <w:p w14:paraId="700E019B">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054" w:type="pct"/>
                  <w:noWrap w:val="0"/>
                  <w:tcMar>
                    <w:top w:w="15" w:type="dxa"/>
                    <w:left w:w="15" w:type="dxa"/>
                    <w:bottom w:w="0" w:type="dxa"/>
                    <w:right w:w="15" w:type="dxa"/>
                  </w:tcMar>
                  <w:vAlign w:val="center"/>
                </w:tcPr>
                <w:p w14:paraId="4BF2E2A3">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N-甲基一乙醇胺</w:t>
                  </w:r>
                </w:p>
              </w:tc>
              <w:tc>
                <w:tcPr>
                  <w:tcW w:w="720" w:type="pct"/>
                  <w:noWrap w:val="0"/>
                  <w:tcMar>
                    <w:top w:w="15" w:type="dxa"/>
                    <w:left w:w="15" w:type="dxa"/>
                    <w:bottom w:w="0" w:type="dxa"/>
                    <w:right w:w="15" w:type="dxa"/>
                  </w:tcMar>
                  <w:vAlign w:val="center"/>
                </w:tcPr>
                <w:p w14:paraId="67AF2810">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49.9</w:t>
                  </w:r>
                </w:p>
              </w:tc>
              <w:tc>
                <w:tcPr>
                  <w:tcW w:w="688" w:type="pct"/>
                  <w:noWrap w:val="0"/>
                  <w:tcMar>
                    <w:top w:w="15" w:type="dxa"/>
                    <w:left w:w="15" w:type="dxa"/>
                    <w:bottom w:w="0" w:type="dxa"/>
                    <w:right w:w="15" w:type="dxa"/>
                  </w:tcMar>
                  <w:vAlign w:val="center"/>
                </w:tcPr>
                <w:p w14:paraId="1E1DA0BD">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≥99</w:t>
                  </w:r>
                </w:p>
              </w:tc>
              <w:tc>
                <w:tcPr>
                  <w:tcW w:w="1295" w:type="pct"/>
                  <w:noWrap w:val="0"/>
                  <w:tcMar>
                    <w:top w:w="15" w:type="dxa"/>
                    <w:left w:w="15" w:type="dxa"/>
                    <w:bottom w:w="0" w:type="dxa"/>
                    <w:right w:w="15" w:type="dxa"/>
                  </w:tcMar>
                  <w:vAlign w:val="center"/>
                </w:tcPr>
                <w:p w14:paraId="0F38C993">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产品储罐、</w:t>
                  </w:r>
                  <w:r>
                    <w:rPr>
                      <w:rFonts w:hint="eastAsia" w:ascii="Times New Roman" w:hAnsi="Times New Roman" w:eastAsia="宋体" w:cs="Times New Roman"/>
                      <w:b w:val="0"/>
                      <w:bCs w:val="0"/>
                      <w:color w:val="auto"/>
                      <w:sz w:val="21"/>
                      <w:szCs w:val="21"/>
                      <w:highlight w:val="none"/>
                    </w:rPr>
                    <w:t>丙类仓库</w:t>
                  </w:r>
                </w:p>
              </w:tc>
              <w:tc>
                <w:tcPr>
                  <w:tcW w:w="943" w:type="pct"/>
                  <w:noWrap w:val="0"/>
                  <w:tcMar>
                    <w:top w:w="15" w:type="dxa"/>
                    <w:left w:w="15" w:type="dxa"/>
                    <w:bottom w:w="0" w:type="dxa"/>
                    <w:right w:w="15" w:type="dxa"/>
                  </w:tcMar>
                  <w:vAlign w:val="center"/>
                </w:tcPr>
                <w:p w14:paraId="2579C2C6">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副产品，</w:t>
                  </w:r>
                  <w:r>
                    <w:rPr>
                      <w:rFonts w:hint="eastAsia" w:ascii="Times New Roman" w:hAnsi="Times New Roman" w:eastAsia="宋体" w:cs="Times New Roman"/>
                      <w:b w:val="0"/>
                      <w:bCs w:val="0"/>
                      <w:color w:val="auto"/>
                      <w:sz w:val="21"/>
                      <w:szCs w:val="21"/>
                      <w:highlight w:val="none"/>
                      <w:lang w:val="en-US" w:eastAsia="zh-CN"/>
                    </w:rPr>
                    <w:t>外售</w:t>
                  </w:r>
                </w:p>
              </w:tc>
            </w:tr>
            <w:tr w14:paraId="147C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352" w:type="pct"/>
                  <w:gridSpan w:val="2"/>
                  <w:noWrap w:val="0"/>
                  <w:tcMar>
                    <w:top w:w="15" w:type="dxa"/>
                    <w:left w:w="15" w:type="dxa"/>
                    <w:bottom w:w="0" w:type="dxa"/>
                    <w:right w:w="15" w:type="dxa"/>
                  </w:tcMar>
                  <w:vAlign w:val="center"/>
                </w:tcPr>
                <w:p w14:paraId="521134E8">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小计</w:t>
                  </w:r>
                </w:p>
              </w:tc>
              <w:tc>
                <w:tcPr>
                  <w:tcW w:w="3647" w:type="pct"/>
                  <w:gridSpan w:val="4"/>
                  <w:noWrap w:val="0"/>
                  <w:tcMar>
                    <w:top w:w="15" w:type="dxa"/>
                    <w:left w:w="15" w:type="dxa"/>
                    <w:bottom w:w="0" w:type="dxa"/>
                    <w:right w:w="15" w:type="dxa"/>
                  </w:tcMar>
                  <w:vAlign w:val="center"/>
                </w:tcPr>
                <w:p w14:paraId="62ED7B48">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2999.415t/a</w:t>
                  </w:r>
                </w:p>
              </w:tc>
            </w:tr>
          </w:tbl>
          <w:p w14:paraId="02E54B83">
            <w:pPr>
              <w:adjustRightInd w:val="0"/>
              <w:snapToGrid w:val="0"/>
              <w:spacing w:line="360" w:lineRule="auto"/>
              <w:ind w:firstLine="480" w:firstLineChars="200"/>
              <w:jc w:val="left"/>
              <w:rPr>
                <w:rFonts w:hint="eastAsia"/>
                <w:bCs/>
                <w:color w:val="auto"/>
                <w:sz w:val="24"/>
                <w:highlight w:val="none"/>
                <w:lang w:val="en-US" w:eastAsia="zh-CN"/>
              </w:rPr>
            </w:pPr>
            <w:r>
              <w:rPr>
                <w:rFonts w:hint="eastAsia"/>
                <w:bCs/>
                <w:color w:val="auto"/>
                <w:sz w:val="24"/>
                <w:highlight w:val="none"/>
                <w:lang w:val="en-US" w:eastAsia="zh-CN"/>
              </w:rPr>
              <w:t>产品质量标准如下表所示：</w:t>
            </w:r>
          </w:p>
          <w:p w14:paraId="6F2CDD78">
            <w:pPr>
              <w:pStyle w:val="42"/>
              <w:bidi w:val="0"/>
              <w:rPr>
                <w:rFonts w:hint="default"/>
                <w:color w:val="auto"/>
                <w:highlight w:val="none"/>
                <w:lang w:val="en-US" w:eastAsia="zh-CN"/>
              </w:rPr>
            </w:pPr>
            <w:r>
              <w:rPr>
                <w:rFonts w:hint="eastAsia"/>
                <w:color w:val="auto"/>
                <w:highlight w:val="none"/>
                <w:lang w:val="en-US" w:eastAsia="zh-CN"/>
              </w:rPr>
              <w:t>三乙</w:t>
            </w:r>
            <w:r>
              <w:rPr>
                <w:rFonts w:hint="eastAsia"/>
                <w:color w:val="auto"/>
                <w:highlight w:val="none"/>
              </w:rPr>
              <w:t>醇胺产品质量</w:t>
            </w:r>
            <w:r>
              <w:rPr>
                <w:rFonts w:hint="eastAsia"/>
                <w:color w:val="auto"/>
                <w:highlight w:val="none"/>
                <w:lang w:val="en-US" w:eastAsia="zh-CN"/>
              </w:rPr>
              <w:t>指标</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3776"/>
              <w:gridCol w:w="2314"/>
            </w:tblGrid>
            <w:tr w14:paraId="30F1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1399" w:type="pct"/>
                  <w:vMerge w:val="restart"/>
                  <w:tcBorders>
                    <w:right w:val="single" w:color="auto" w:sz="4" w:space="0"/>
                  </w:tcBorders>
                  <w:noWrap/>
                  <w:vAlign w:val="center"/>
                </w:tcPr>
                <w:p w14:paraId="3818877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指标名称</w:t>
                  </w:r>
                </w:p>
              </w:tc>
              <w:tc>
                <w:tcPr>
                  <w:tcW w:w="3600" w:type="pct"/>
                  <w:gridSpan w:val="2"/>
                  <w:tcBorders>
                    <w:right w:val="single" w:color="auto" w:sz="4" w:space="0"/>
                  </w:tcBorders>
                  <w:noWrap/>
                  <w:vAlign w:val="center"/>
                </w:tcPr>
                <w:p w14:paraId="1D2615A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三乙醇胺</w:t>
                  </w:r>
                </w:p>
              </w:tc>
            </w:tr>
            <w:tr w14:paraId="1605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399" w:type="pct"/>
                  <w:vMerge w:val="continue"/>
                  <w:tcBorders>
                    <w:right w:val="single" w:color="auto" w:sz="4" w:space="0"/>
                  </w:tcBorders>
                  <w:noWrap/>
                  <w:vAlign w:val="center"/>
                </w:tcPr>
                <w:p w14:paraId="03161259">
                  <w:pPr>
                    <w:jc w:val="center"/>
                    <w:rPr>
                      <w:rFonts w:hint="default" w:ascii="Times New Roman" w:hAnsi="Times New Roman" w:eastAsia="宋体" w:cs="Times New Roman"/>
                      <w:b/>
                      <w:bCs/>
                      <w:color w:val="auto"/>
                      <w:sz w:val="21"/>
                      <w:szCs w:val="21"/>
                      <w:highlight w:val="none"/>
                    </w:rPr>
                  </w:pPr>
                </w:p>
              </w:tc>
              <w:tc>
                <w:tcPr>
                  <w:tcW w:w="2232" w:type="pct"/>
                  <w:tcBorders>
                    <w:right w:val="single" w:color="auto" w:sz="4" w:space="0"/>
                  </w:tcBorders>
                  <w:noWrap/>
                  <w:vAlign w:val="center"/>
                </w:tcPr>
                <w:p w14:paraId="0E4C2E2D">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技改</w:t>
                  </w:r>
                  <w:r>
                    <w:rPr>
                      <w:rFonts w:hint="default" w:ascii="Times New Roman" w:hAnsi="Times New Roman" w:eastAsia="宋体" w:cs="Times New Roman"/>
                      <w:b/>
                      <w:bCs/>
                      <w:color w:val="auto"/>
                      <w:sz w:val="21"/>
                      <w:szCs w:val="21"/>
                      <w:highlight w:val="none"/>
                    </w:rPr>
                    <w:t>前</w:t>
                  </w:r>
                </w:p>
              </w:tc>
              <w:tc>
                <w:tcPr>
                  <w:tcW w:w="1368" w:type="pct"/>
                  <w:tcBorders>
                    <w:right w:val="single" w:color="auto" w:sz="4" w:space="0"/>
                  </w:tcBorders>
                  <w:noWrap/>
                  <w:vAlign w:val="center"/>
                </w:tcPr>
                <w:p w14:paraId="6BD405F7">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技改</w:t>
                  </w:r>
                  <w:r>
                    <w:rPr>
                      <w:rFonts w:hint="default" w:ascii="Times New Roman" w:hAnsi="Times New Roman" w:eastAsia="宋体" w:cs="Times New Roman"/>
                      <w:b/>
                      <w:bCs/>
                      <w:color w:val="auto"/>
                      <w:sz w:val="21"/>
                      <w:szCs w:val="21"/>
                      <w:highlight w:val="none"/>
                    </w:rPr>
                    <w:t>后</w:t>
                  </w:r>
                </w:p>
              </w:tc>
            </w:tr>
            <w:tr w14:paraId="4BA7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pct"/>
                  <w:tcBorders>
                    <w:top w:val="single" w:color="auto" w:sz="4" w:space="0"/>
                    <w:left w:val="single" w:color="auto" w:sz="4" w:space="0"/>
                    <w:bottom w:val="single" w:color="auto" w:sz="4" w:space="0"/>
                    <w:right w:val="single" w:color="auto" w:sz="4" w:space="0"/>
                  </w:tcBorders>
                  <w:noWrap/>
                  <w:vAlign w:val="center"/>
                </w:tcPr>
                <w:p w14:paraId="49539E3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w:t>
                  </w:r>
                </w:p>
              </w:tc>
              <w:tc>
                <w:tcPr>
                  <w:tcW w:w="3600" w:type="pct"/>
                  <w:gridSpan w:val="2"/>
                  <w:tcBorders>
                    <w:top w:val="single" w:color="auto" w:sz="4" w:space="0"/>
                    <w:left w:val="single" w:color="auto" w:sz="4" w:space="0"/>
                    <w:bottom w:val="single" w:color="auto" w:sz="4" w:space="0"/>
                    <w:right w:val="single" w:color="auto" w:sz="4" w:space="0"/>
                  </w:tcBorders>
                  <w:noWrap/>
                  <w:vAlign w:val="center"/>
                </w:tcPr>
                <w:p w14:paraId="191D6C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透明、无实质性悬浮物</w:t>
                  </w:r>
                </w:p>
              </w:tc>
            </w:tr>
            <w:tr w14:paraId="4755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pct"/>
                  <w:tcBorders>
                    <w:top w:val="single" w:color="auto" w:sz="4" w:space="0"/>
                    <w:left w:val="single" w:color="auto" w:sz="4" w:space="0"/>
                    <w:bottom w:val="single" w:color="auto" w:sz="4" w:space="0"/>
                    <w:right w:val="single" w:color="auto" w:sz="4" w:space="0"/>
                  </w:tcBorders>
                  <w:noWrap/>
                  <w:vAlign w:val="center"/>
                </w:tcPr>
                <w:p w14:paraId="64B3B1FD">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纯度（wt%）</w:t>
                  </w:r>
                </w:p>
              </w:tc>
              <w:tc>
                <w:tcPr>
                  <w:tcW w:w="2232" w:type="pct"/>
                  <w:tcBorders>
                    <w:top w:val="single" w:color="auto" w:sz="4" w:space="0"/>
                    <w:left w:val="single" w:color="auto" w:sz="4" w:space="0"/>
                    <w:bottom w:val="single" w:color="auto" w:sz="4" w:space="0"/>
                    <w:right w:val="single" w:color="auto" w:sz="4" w:space="0"/>
                  </w:tcBorders>
                  <w:noWrap/>
                  <w:vAlign w:val="center"/>
                </w:tcPr>
                <w:p w14:paraId="0E4870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≥99.5</w:t>
                  </w:r>
                </w:p>
              </w:tc>
              <w:tc>
                <w:tcPr>
                  <w:tcW w:w="1368" w:type="pct"/>
                  <w:tcBorders>
                    <w:top w:val="single" w:color="auto" w:sz="4" w:space="0"/>
                    <w:left w:val="single" w:color="auto" w:sz="4" w:space="0"/>
                    <w:bottom w:val="single" w:color="auto" w:sz="4" w:space="0"/>
                    <w:right w:val="single" w:color="auto" w:sz="4" w:space="0"/>
                  </w:tcBorders>
                  <w:noWrap/>
                  <w:vAlign w:val="center"/>
                </w:tcPr>
                <w:p w14:paraId="3A7BCD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≥99.9</w:t>
                  </w:r>
                </w:p>
              </w:tc>
            </w:tr>
            <w:tr w14:paraId="4DFB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pct"/>
                  <w:tcBorders>
                    <w:top w:val="single" w:color="auto" w:sz="4" w:space="0"/>
                    <w:left w:val="single" w:color="auto" w:sz="4" w:space="0"/>
                    <w:bottom w:val="single" w:color="auto" w:sz="4" w:space="0"/>
                    <w:right w:val="single" w:color="auto" w:sz="4" w:space="0"/>
                  </w:tcBorders>
                  <w:noWrap/>
                  <w:vAlign w:val="center"/>
                </w:tcPr>
                <w:p w14:paraId="727619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比重（20/20℃）</w:t>
                  </w:r>
                </w:p>
              </w:tc>
              <w:tc>
                <w:tcPr>
                  <w:tcW w:w="3600" w:type="pct"/>
                  <w:gridSpan w:val="2"/>
                  <w:tcBorders>
                    <w:top w:val="single" w:color="auto" w:sz="4" w:space="0"/>
                    <w:left w:val="single" w:color="auto" w:sz="4" w:space="0"/>
                    <w:bottom w:val="single" w:color="auto" w:sz="4" w:space="0"/>
                    <w:right w:val="single" w:color="auto" w:sz="4" w:space="0"/>
                  </w:tcBorders>
                  <w:noWrap/>
                  <w:vAlign w:val="center"/>
                </w:tcPr>
                <w:p w14:paraId="3D1EF0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1.122⁓1.126</w:t>
                  </w:r>
                </w:p>
              </w:tc>
            </w:tr>
            <w:tr w14:paraId="1AFC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pct"/>
                  <w:tcBorders>
                    <w:top w:val="single" w:color="auto" w:sz="4" w:space="0"/>
                    <w:left w:val="single" w:color="auto" w:sz="4" w:space="0"/>
                    <w:bottom w:val="single" w:color="auto" w:sz="4" w:space="0"/>
                    <w:right w:val="single" w:color="auto" w:sz="4" w:space="0"/>
                  </w:tcBorders>
                  <w:noWrap/>
                  <w:vAlign w:val="center"/>
                </w:tcPr>
                <w:p w14:paraId="3DDD0C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w:t>
                  </w:r>
                </w:p>
              </w:tc>
              <w:tc>
                <w:tcPr>
                  <w:tcW w:w="3600" w:type="pct"/>
                  <w:gridSpan w:val="2"/>
                  <w:tcBorders>
                    <w:top w:val="single" w:color="auto" w:sz="4" w:space="0"/>
                    <w:left w:val="single" w:color="auto" w:sz="4" w:space="0"/>
                    <w:bottom w:val="single" w:color="auto" w:sz="4" w:space="0"/>
                    <w:right w:val="single" w:color="auto" w:sz="4" w:space="0"/>
                  </w:tcBorders>
                  <w:noWrap/>
                  <w:vAlign w:val="center"/>
                </w:tcPr>
                <w:p w14:paraId="4C897F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w:t>
                  </w:r>
                </w:p>
              </w:tc>
            </w:tr>
            <w:tr w14:paraId="5DC4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pct"/>
                  <w:tcBorders>
                    <w:top w:val="single" w:color="auto" w:sz="4" w:space="0"/>
                    <w:left w:val="single" w:color="auto" w:sz="4" w:space="0"/>
                    <w:bottom w:val="single" w:color="auto" w:sz="4" w:space="0"/>
                    <w:right w:val="single" w:color="auto" w:sz="4" w:space="0"/>
                  </w:tcBorders>
                  <w:noWrap/>
                  <w:vAlign w:val="center"/>
                </w:tcPr>
                <w:p w14:paraId="073A6C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DEA</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w:t>
                  </w:r>
                  <w:r>
                    <w:rPr>
                      <w:rFonts w:hint="eastAsia" w:cs="Times New Roman"/>
                      <w:color w:val="auto"/>
                      <w:sz w:val="21"/>
                      <w:szCs w:val="21"/>
                      <w:highlight w:val="none"/>
                      <w:lang w:eastAsia="zh-CN"/>
                    </w:rPr>
                    <w:t>）</w:t>
                  </w:r>
                </w:p>
              </w:tc>
              <w:tc>
                <w:tcPr>
                  <w:tcW w:w="3600" w:type="pct"/>
                  <w:gridSpan w:val="2"/>
                  <w:tcBorders>
                    <w:top w:val="single" w:color="auto" w:sz="4" w:space="0"/>
                    <w:left w:val="single" w:color="auto" w:sz="4" w:space="0"/>
                    <w:bottom w:val="single" w:color="auto" w:sz="4" w:space="0"/>
                    <w:right w:val="single" w:color="auto" w:sz="4" w:space="0"/>
                  </w:tcBorders>
                  <w:noWrap/>
                  <w:vAlign w:val="center"/>
                </w:tcPr>
                <w:p w14:paraId="62DCE5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≤0.30</w:t>
                  </w:r>
                </w:p>
              </w:tc>
            </w:tr>
            <w:tr w14:paraId="6DCD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99" w:type="pct"/>
                  <w:tcBorders>
                    <w:top w:val="single" w:color="auto" w:sz="4" w:space="0"/>
                    <w:left w:val="single" w:color="auto" w:sz="4" w:space="0"/>
                    <w:bottom w:val="single" w:color="auto" w:sz="4" w:space="0"/>
                    <w:right w:val="single" w:color="auto" w:sz="4" w:space="0"/>
                  </w:tcBorders>
                  <w:noWrap/>
                  <w:vAlign w:val="center"/>
                </w:tcPr>
                <w:p w14:paraId="6DCCF5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色度（Pt-Co值）</w:t>
                  </w:r>
                </w:p>
              </w:tc>
              <w:tc>
                <w:tcPr>
                  <w:tcW w:w="3600" w:type="pct"/>
                  <w:gridSpan w:val="2"/>
                  <w:tcBorders>
                    <w:top w:val="single" w:color="auto" w:sz="4" w:space="0"/>
                    <w:left w:val="single" w:color="auto" w:sz="4" w:space="0"/>
                    <w:bottom w:val="single" w:color="auto" w:sz="4" w:space="0"/>
                    <w:right w:val="single" w:color="auto" w:sz="4" w:space="0"/>
                  </w:tcBorders>
                  <w:noWrap/>
                  <w:vAlign w:val="center"/>
                </w:tcPr>
                <w:p w14:paraId="105AAFA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r>
            <w:tr w14:paraId="2AD8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pct"/>
                  <w:tcBorders>
                    <w:top w:val="single" w:color="auto" w:sz="4" w:space="0"/>
                    <w:left w:val="single" w:color="auto" w:sz="4" w:space="0"/>
                    <w:bottom w:val="single" w:color="auto" w:sz="4" w:space="0"/>
                    <w:right w:val="single" w:color="auto" w:sz="4" w:space="0"/>
                  </w:tcBorders>
                  <w:noWrap/>
                  <w:vAlign w:val="center"/>
                </w:tcPr>
                <w:p w14:paraId="748BEA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馏程（760mmHg）</w:t>
                  </w:r>
                </w:p>
              </w:tc>
              <w:tc>
                <w:tcPr>
                  <w:tcW w:w="2232" w:type="pct"/>
                  <w:tcBorders>
                    <w:top w:val="single" w:color="auto" w:sz="4" w:space="0"/>
                    <w:left w:val="single" w:color="auto" w:sz="4" w:space="0"/>
                    <w:bottom w:val="single" w:color="auto" w:sz="4" w:space="0"/>
                    <w:right w:val="single" w:color="auto" w:sz="4" w:space="0"/>
                  </w:tcBorders>
                  <w:noWrap/>
                  <w:vAlign w:val="center"/>
                </w:tcPr>
                <w:p w14:paraId="04136A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1368" w:type="pct"/>
                  <w:tcBorders>
                    <w:top w:val="single" w:color="auto" w:sz="4" w:space="0"/>
                    <w:left w:val="single" w:color="auto" w:sz="4" w:space="0"/>
                    <w:bottom w:val="single" w:color="auto" w:sz="4" w:space="0"/>
                    <w:right w:val="single" w:color="auto" w:sz="4" w:space="0"/>
                  </w:tcBorders>
                  <w:noWrap/>
                  <w:vAlign w:val="center"/>
                </w:tcPr>
                <w:p w14:paraId="454D1B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2B0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pct"/>
                  <w:tcBorders>
                    <w:top w:val="single" w:color="auto" w:sz="4" w:space="0"/>
                    <w:left w:val="single" w:color="auto" w:sz="4" w:space="0"/>
                    <w:bottom w:val="single" w:color="auto" w:sz="4" w:space="0"/>
                    <w:right w:val="single" w:color="auto" w:sz="4" w:space="0"/>
                  </w:tcBorders>
                  <w:noWrap/>
                  <w:vAlign w:val="center"/>
                </w:tcPr>
                <w:p w14:paraId="310A47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分子量当量</w:t>
                  </w:r>
                </w:p>
              </w:tc>
              <w:tc>
                <w:tcPr>
                  <w:tcW w:w="3600" w:type="pct"/>
                  <w:gridSpan w:val="2"/>
                  <w:tcBorders>
                    <w:top w:val="single" w:color="auto" w:sz="4" w:space="0"/>
                    <w:left w:val="single" w:color="auto" w:sz="4" w:space="0"/>
                    <w:bottom w:val="single" w:color="auto" w:sz="4" w:space="0"/>
                    <w:right w:val="single" w:color="auto" w:sz="4" w:space="0"/>
                  </w:tcBorders>
                  <w:noWrap/>
                  <w:vAlign w:val="center"/>
                </w:tcPr>
                <w:p w14:paraId="19CC81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148⁓155</w:t>
                  </w:r>
                </w:p>
              </w:tc>
            </w:tr>
          </w:tbl>
          <w:p w14:paraId="79E5FCC5">
            <w:pPr>
              <w:pStyle w:val="42"/>
              <w:bidi w:val="0"/>
              <w:rPr>
                <w:rFonts w:hint="eastAsia"/>
                <w:color w:val="auto"/>
                <w:highlight w:val="none"/>
                <w:lang w:val="en-US" w:eastAsia="zh-CN"/>
              </w:rPr>
            </w:pPr>
            <w:r>
              <w:rPr>
                <w:rFonts w:hint="eastAsia"/>
                <w:color w:val="auto"/>
                <w:highlight w:val="none"/>
                <w:lang w:val="en-US" w:eastAsia="zh-CN"/>
              </w:rPr>
              <w:t>N-</w:t>
            </w:r>
            <w:r>
              <w:rPr>
                <w:rFonts w:hint="eastAsia"/>
                <w:color w:val="auto"/>
                <w:highlight w:val="none"/>
              </w:rPr>
              <w:t>甲基</w:t>
            </w:r>
            <w:r>
              <w:rPr>
                <w:rFonts w:hint="eastAsia"/>
                <w:color w:val="auto"/>
                <w:highlight w:val="none"/>
                <w:lang w:val="en-US" w:eastAsia="zh-CN"/>
              </w:rPr>
              <w:t>一乙</w:t>
            </w:r>
            <w:r>
              <w:rPr>
                <w:rFonts w:hint="eastAsia"/>
                <w:color w:val="auto"/>
                <w:highlight w:val="none"/>
              </w:rPr>
              <w:t>醇胺产品质量</w:t>
            </w:r>
            <w:r>
              <w:rPr>
                <w:rFonts w:hint="eastAsia"/>
                <w:color w:val="auto"/>
                <w:highlight w:val="none"/>
                <w:lang w:val="en-US" w:eastAsia="zh-CN"/>
              </w:rPr>
              <w:t>指标</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0"/>
              <w:gridCol w:w="1956"/>
              <w:gridCol w:w="2561"/>
            </w:tblGrid>
            <w:tr w14:paraId="1636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329" w:type="pct"/>
                  <w:vMerge w:val="restart"/>
                  <w:tcBorders>
                    <w:right w:val="single" w:color="auto" w:sz="4" w:space="0"/>
                  </w:tcBorders>
                  <w:noWrap/>
                  <w:vAlign w:val="center"/>
                </w:tcPr>
                <w:p w14:paraId="517BE69E">
                  <w:pPr>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指标名称</w:t>
                  </w:r>
                </w:p>
              </w:tc>
              <w:tc>
                <w:tcPr>
                  <w:tcW w:w="2670" w:type="pct"/>
                  <w:gridSpan w:val="2"/>
                  <w:tcBorders>
                    <w:right w:val="single" w:color="auto" w:sz="4" w:space="0"/>
                  </w:tcBorders>
                  <w:noWrap/>
                  <w:vAlign w:val="center"/>
                </w:tcPr>
                <w:p w14:paraId="39FABF21">
                  <w:pPr>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N-甲基一乙醇胺</w:t>
                  </w:r>
                </w:p>
              </w:tc>
            </w:tr>
            <w:tr w14:paraId="539F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329" w:type="pct"/>
                  <w:vMerge w:val="continue"/>
                  <w:tcBorders>
                    <w:right w:val="single" w:color="auto" w:sz="4" w:space="0"/>
                  </w:tcBorders>
                  <w:noWrap/>
                  <w:vAlign w:val="center"/>
                </w:tcPr>
                <w:p w14:paraId="781ADDEC">
                  <w:pPr>
                    <w:jc w:val="center"/>
                    <w:rPr>
                      <w:rFonts w:hint="default" w:ascii="Times New Roman" w:hAnsi="Times New Roman" w:eastAsia="宋体" w:cs="Times New Roman"/>
                      <w:b/>
                      <w:bCs/>
                      <w:color w:val="auto"/>
                      <w:sz w:val="21"/>
                      <w:szCs w:val="21"/>
                      <w:highlight w:val="none"/>
                    </w:rPr>
                  </w:pPr>
                </w:p>
              </w:tc>
              <w:tc>
                <w:tcPr>
                  <w:tcW w:w="1156" w:type="pct"/>
                  <w:tcBorders>
                    <w:right w:val="single" w:color="auto" w:sz="4" w:space="0"/>
                  </w:tcBorders>
                  <w:noWrap/>
                  <w:vAlign w:val="center"/>
                </w:tcPr>
                <w:p w14:paraId="5A675DFE">
                  <w:pPr>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技改</w:t>
                  </w:r>
                  <w:r>
                    <w:rPr>
                      <w:rFonts w:hint="eastAsia" w:ascii="Times New Roman" w:hAnsi="Times New Roman" w:eastAsia="宋体" w:cs="Times New Roman"/>
                      <w:b/>
                      <w:bCs/>
                      <w:color w:val="auto"/>
                      <w:sz w:val="21"/>
                      <w:szCs w:val="21"/>
                      <w:highlight w:val="none"/>
                    </w:rPr>
                    <w:t>前</w:t>
                  </w:r>
                </w:p>
              </w:tc>
              <w:tc>
                <w:tcPr>
                  <w:tcW w:w="1513" w:type="pct"/>
                  <w:tcBorders>
                    <w:top w:val="single" w:color="auto" w:sz="4" w:space="0"/>
                    <w:left w:val="single" w:color="auto" w:sz="4" w:space="0"/>
                    <w:right w:val="single" w:color="auto" w:sz="4" w:space="0"/>
                  </w:tcBorders>
                  <w:noWrap/>
                  <w:vAlign w:val="center"/>
                </w:tcPr>
                <w:p w14:paraId="362250B9">
                  <w:pPr>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技改</w:t>
                  </w:r>
                  <w:r>
                    <w:rPr>
                      <w:rFonts w:hint="eastAsia" w:ascii="Times New Roman" w:hAnsi="Times New Roman" w:eastAsia="宋体" w:cs="Times New Roman"/>
                      <w:b/>
                      <w:bCs/>
                      <w:color w:val="auto"/>
                      <w:sz w:val="21"/>
                      <w:szCs w:val="21"/>
                      <w:highlight w:val="none"/>
                    </w:rPr>
                    <w:t>后</w:t>
                  </w:r>
                </w:p>
              </w:tc>
            </w:tr>
            <w:tr w14:paraId="4A1A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329" w:type="pct"/>
                  <w:tcBorders>
                    <w:right w:val="single" w:color="auto" w:sz="4" w:space="0"/>
                  </w:tcBorders>
                  <w:noWrap/>
                  <w:vAlign w:val="center"/>
                </w:tcPr>
                <w:p w14:paraId="213C182A">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外观</w:t>
                  </w:r>
                </w:p>
              </w:tc>
              <w:tc>
                <w:tcPr>
                  <w:tcW w:w="2670" w:type="pct"/>
                  <w:gridSpan w:val="2"/>
                  <w:tcBorders>
                    <w:right w:val="single" w:color="auto" w:sz="4" w:space="0"/>
                  </w:tcBorders>
                  <w:noWrap/>
                  <w:vAlign w:val="center"/>
                </w:tcPr>
                <w:p w14:paraId="6207CFDF">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无色或浅黄色</w:t>
                  </w:r>
                </w:p>
              </w:tc>
            </w:tr>
            <w:tr w14:paraId="2F22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tcBorders>
                    <w:top w:val="single" w:color="auto" w:sz="4" w:space="0"/>
                    <w:left w:val="single" w:color="auto" w:sz="4" w:space="0"/>
                    <w:bottom w:val="single" w:color="auto" w:sz="4" w:space="0"/>
                    <w:right w:val="single" w:color="auto" w:sz="4" w:space="0"/>
                  </w:tcBorders>
                  <w:noWrap/>
                  <w:vAlign w:val="center"/>
                </w:tcPr>
                <w:p w14:paraId="7B82A258">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纯度，%</w:t>
                  </w:r>
                </w:p>
              </w:tc>
              <w:tc>
                <w:tcPr>
                  <w:tcW w:w="1156" w:type="pct"/>
                  <w:tcBorders>
                    <w:top w:val="single" w:color="auto" w:sz="4" w:space="0"/>
                    <w:left w:val="single" w:color="auto" w:sz="4" w:space="0"/>
                    <w:bottom w:val="single" w:color="auto" w:sz="4" w:space="0"/>
                    <w:right w:val="single" w:color="auto" w:sz="4" w:space="0"/>
                  </w:tcBorders>
                  <w:noWrap/>
                  <w:vAlign w:val="center"/>
                </w:tcPr>
                <w:p w14:paraId="44A0BB3E">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≥99.3</w:t>
                  </w:r>
                </w:p>
              </w:tc>
              <w:tc>
                <w:tcPr>
                  <w:tcW w:w="1513" w:type="pct"/>
                  <w:tcBorders>
                    <w:top w:val="single" w:color="auto" w:sz="4" w:space="0"/>
                    <w:left w:val="single" w:color="auto" w:sz="4" w:space="0"/>
                    <w:bottom w:val="single" w:color="auto" w:sz="4" w:space="0"/>
                    <w:right w:val="single" w:color="auto" w:sz="4" w:space="0"/>
                  </w:tcBorders>
                  <w:noWrap/>
                  <w:vAlign w:val="center"/>
                </w:tcPr>
                <w:p w14:paraId="028B0CD2">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≥99.9</w:t>
                  </w:r>
                </w:p>
              </w:tc>
            </w:tr>
            <w:tr w14:paraId="39AB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tcBorders>
                    <w:top w:val="single" w:color="auto" w:sz="4" w:space="0"/>
                    <w:left w:val="single" w:color="auto" w:sz="4" w:space="0"/>
                    <w:bottom w:val="single" w:color="auto" w:sz="4" w:space="0"/>
                    <w:right w:val="single" w:color="auto" w:sz="4" w:space="0"/>
                  </w:tcBorders>
                  <w:noWrap/>
                  <w:vAlign w:val="center"/>
                </w:tcPr>
                <w:p w14:paraId="33800437">
                  <w:pPr>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密度（20℃），</w:t>
                  </w:r>
                  <w:r>
                    <w:rPr>
                      <w:rFonts w:hint="default" w:ascii="Times New Roman" w:hAnsi="Times New Roman" w:eastAsia="宋体" w:cs="Times New Roman"/>
                      <w:b w:val="0"/>
                      <w:bCs w:val="0"/>
                      <w:color w:val="auto"/>
                      <w:sz w:val="21"/>
                      <w:szCs w:val="21"/>
                      <w:highlight w:val="none"/>
                    </w:rPr>
                    <w:t>g/c</w:t>
                  </w:r>
                  <w:r>
                    <w:rPr>
                      <w:rFonts w:hint="eastAsia"/>
                      <w:color w:val="auto"/>
                      <w:sz w:val="24"/>
                      <w:highlight w:val="none"/>
                    </w:rPr>
                    <w:t>m</w:t>
                  </w:r>
                  <w:r>
                    <w:rPr>
                      <w:rFonts w:hint="eastAsia"/>
                      <w:color w:val="auto"/>
                      <w:sz w:val="24"/>
                      <w:highlight w:val="none"/>
                      <w:vertAlign w:val="superscript"/>
                      <w:lang w:val="en-US" w:eastAsia="zh-CN"/>
                    </w:rPr>
                    <w:t>3</w:t>
                  </w:r>
                </w:p>
              </w:tc>
              <w:tc>
                <w:tcPr>
                  <w:tcW w:w="2670" w:type="pct"/>
                  <w:gridSpan w:val="2"/>
                  <w:tcBorders>
                    <w:top w:val="single" w:color="auto" w:sz="4" w:space="0"/>
                    <w:left w:val="single" w:color="auto" w:sz="4" w:space="0"/>
                    <w:bottom w:val="single" w:color="auto" w:sz="4" w:space="0"/>
                    <w:right w:val="single" w:color="auto" w:sz="4" w:space="0"/>
                  </w:tcBorders>
                  <w:noWrap/>
                  <w:vAlign w:val="center"/>
                </w:tcPr>
                <w:p w14:paraId="44FF81DF">
                  <w:pPr>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0.93</w:t>
                  </w:r>
                </w:p>
              </w:tc>
            </w:tr>
            <w:tr w14:paraId="7D46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9" w:type="pct"/>
                  <w:tcBorders>
                    <w:top w:val="single" w:color="auto" w:sz="4" w:space="0"/>
                    <w:left w:val="single" w:color="auto" w:sz="4" w:space="0"/>
                    <w:bottom w:val="single" w:color="auto" w:sz="4" w:space="0"/>
                    <w:right w:val="single" w:color="auto" w:sz="4" w:space="0"/>
                  </w:tcBorders>
                  <w:noWrap/>
                  <w:vAlign w:val="center"/>
                </w:tcPr>
                <w:p w14:paraId="67BD83F0">
                  <w:pPr>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rPr>
                    <w:t>水分，%</w:t>
                  </w:r>
                </w:p>
              </w:tc>
              <w:tc>
                <w:tcPr>
                  <w:tcW w:w="2670" w:type="pct"/>
                  <w:gridSpan w:val="2"/>
                  <w:tcBorders>
                    <w:top w:val="single" w:color="auto" w:sz="4" w:space="0"/>
                    <w:left w:val="single" w:color="auto" w:sz="4" w:space="0"/>
                    <w:bottom w:val="single" w:color="auto" w:sz="4" w:space="0"/>
                    <w:right w:val="single" w:color="auto" w:sz="4" w:space="0"/>
                  </w:tcBorders>
                  <w:noWrap/>
                  <w:vAlign w:val="center"/>
                </w:tcPr>
                <w:p w14:paraId="67568C38">
                  <w:pPr>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≤0.5</w:t>
                  </w:r>
                </w:p>
              </w:tc>
            </w:tr>
          </w:tbl>
          <w:p w14:paraId="5AFD634E">
            <w:pPr>
              <w:snapToGrid w:val="0"/>
              <w:spacing w:line="360" w:lineRule="auto"/>
              <w:ind w:firstLine="482" w:firstLineChars="200"/>
              <w:rPr>
                <w:b/>
                <w:color w:val="auto"/>
                <w:sz w:val="24"/>
                <w:highlight w:val="none"/>
              </w:rPr>
            </w:pPr>
            <w:r>
              <w:rPr>
                <w:b/>
                <w:color w:val="auto"/>
                <w:sz w:val="24"/>
                <w:highlight w:val="none"/>
              </w:rPr>
              <w:t>（3）项目组成及主要环境问题</w:t>
            </w:r>
          </w:p>
          <w:p w14:paraId="25D55692">
            <w:pPr>
              <w:spacing w:line="360" w:lineRule="auto"/>
              <w:ind w:firstLine="480" w:firstLineChars="200"/>
              <w:rPr>
                <w:rFonts w:hint="eastAsia"/>
                <w:color w:val="auto"/>
                <w:sz w:val="24"/>
                <w:highlight w:val="none"/>
              </w:rPr>
            </w:pPr>
            <w:r>
              <w:rPr>
                <w:rFonts w:hint="eastAsia"/>
                <w:color w:val="auto"/>
                <w:sz w:val="24"/>
                <w:highlight w:val="none"/>
                <w:lang w:val="en-US" w:eastAsia="zh-CN"/>
              </w:rPr>
              <w:t>本项目为技改项目，增加工艺装置对现有三乙醇胺及</w:t>
            </w:r>
            <w:r>
              <w:rPr>
                <w:rFonts w:hint="eastAsia" w:cs="Times New Roman"/>
                <w:color w:val="auto"/>
                <w:kern w:val="0"/>
                <w:sz w:val="24"/>
                <w:szCs w:val="24"/>
                <w:highlight w:val="none"/>
                <w:lang w:val="en-US" w:eastAsia="zh-CN" w:bidi="ar"/>
              </w:rPr>
              <w:t>N-甲基一乙醇胺</w:t>
            </w:r>
            <w:r>
              <w:rPr>
                <w:rFonts w:hint="eastAsia"/>
                <w:color w:val="auto"/>
                <w:sz w:val="24"/>
                <w:highlight w:val="none"/>
                <w:lang w:val="en-US" w:eastAsia="zh-CN"/>
              </w:rPr>
              <w:t>产品进行品质升级，同时配套建设产品升级所需的辅助、公用设施，项目</w:t>
            </w:r>
            <w:r>
              <w:rPr>
                <w:color w:val="auto"/>
                <w:sz w:val="24"/>
                <w:highlight w:val="none"/>
              </w:rPr>
              <w:t>组成及主要环境问题</w:t>
            </w:r>
            <w:r>
              <w:rPr>
                <w:rFonts w:hint="eastAsia"/>
                <w:color w:val="auto"/>
                <w:sz w:val="24"/>
                <w:highlight w:val="none"/>
                <w:lang w:val="en-US" w:eastAsia="zh-CN"/>
              </w:rPr>
              <w:t>详</w:t>
            </w:r>
            <w:r>
              <w:rPr>
                <w:color w:val="auto"/>
                <w:sz w:val="24"/>
                <w:highlight w:val="none"/>
              </w:rPr>
              <w:t>见</w:t>
            </w:r>
            <w:r>
              <w:rPr>
                <w:rFonts w:hint="eastAsia"/>
                <w:color w:val="auto"/>
                <w:sz w:val="24"/>
                <w:highlight w:val="none"/>
                <w:lang w:val="en-US" w:eastAsia="zh-CN"/>
              </w:rPr>
              <w:t>下表</w:t>
            </w:r>
            <w:r>
              <w:rPr>
                <w:rFonts w:hint="eastAsia"/>
                <w:color w:val="auto"/>
                <w:sz w:val="24"/>
                <w:highlight w:val="none"/>
              </w:rPr>
              <w:t>。</w:t>
            </w:r>
          </w:p>
          <w:p w14:paraId="47E2E0F1">
            <w:pPr>
              <w:pStyle w:val="42"/>
              <w:rPr>
                <w:color w:val="auto"/>
                <w:highlight w:val="none"/>
              </w:rPr>
            </w:pPr>
            <w:r>
              <w:rPr>
                <w:rFonts w:hint="eastAsia"/>
                <w:color w:val="auto"/>
                <w:highlight w:val="none"/>
              </w:rPr>
              <w:t>本</w:t>
            </w:r>
            <w:r>
              <w:rPr>
                <w:color w:val="auto"/>
                <w:highlight w:val="none"/>
              </w:rPr>
              <w:t>项目组成及主要环境问题</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57"/>
              <w:gridCol w:w="771"/>
              <w:gridCol w:w="3377"/>
              <w:gridCol w:w="1147"/>
              <w:gridCol w:w="1083"/>
              <w:gridCol w:w="817"/>
            </w:tblGrid>
            <w:tr w14:paraId="23B7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16" w:type="pct"/>
                  <w:vMerge w:val="restart"/>
                  <w:vAlign w:val="center"/>
                </w:tcPr>
                <w:p w14:paraId="1BF067DF">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工程</w:t>
                  </w:r>
                </w:p>
                <w:p w14:paraId="21C23477">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分类</w:t>
                  </w:r>
                </w:p>
              </w:tc>
              <w:tc>
                <w:tcPr>
                  <w:tcW w:w="785" w:type="pct"/>
                  <w:gridSpan w:val="2"/>
                  <w:vMerge w:val="restart"/>
                  <w:vAlign w:val="center"/>
                </w:tcPr>
                <w:p w14:paraId="05B99678">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项目名称</w:t>
                  </w:r>
                </w:p>
              </w:tc>
              <w:tc>
                <w:tcPr>
                  <w:tcW w:w="1996" w:type="pct"/>
                  <w:vMerge w:val="restart"/>
                  <w:vAlign w:val="center"/>
                </w:tcPr>
                <w:p w14:paraId="2FA95701">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建设内容</w:t>
                  </w:r>
                </w:p>
              </w:tc>
              <w:tc>
                <w:tcPr>
                  <w:tcW w:w="1318" w:type="pct"/>
                  <w:gridSpan w:val="2"/>
                  <w:vAlign w:val="center"/>
                </w:tcPr>
                <w:p w14:paraId="317D07BE">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可能产生的环境问题</w:t>
                  </w:r>
                </w:p>
              </w:tc>
              <w:tc>
                <w:tcPr>
                  <w:tcW w:w="483" w:type="pct"/>
                  <w:vMerge w:val="restart"/>
                  <w:vAlign w:val="center"/>
                </w:tcPr>
                <w:p w14:paraId="72584210">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备注</w:t>
                  </w:r>
                </w:p>
              </w:tc>
            </w:tr>
            <w:tr w14:paraId="38EB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505B65A2">
                  <w:pPr>
                    <w:jc w:val="center"/>
                    <w:rPr>
                      <w:rFonts w:ascii="Times New Roman" w:hAnsi="Times New Roman" w:eastAsia="宋体" w:cs="Times New Roman"/>
                      <w:b/>
                      <w:color w:val="auto"/>
                      <w:sz w:val="21"/>
                      <w:szCs w:val="21"/>
                      <w:highlight w:val="none"/>
                    </w:rPr>
                  </w:pPr>
                </w:p>
              </w:tc>
              <w:tc>
                <w:tcPr>
                  <w:tcW w:w="785" w:type="pct"/>
                  <w:gridSpan w:val="2"/>
                  <w:vMerge w:val="continue"/>
                  <w:vAlign w:val="center"/>
                </w:tcPr>
                <w:p w14:paraId="254344C3">
                  <w:pPr>
                    <w:rPr>
                      <w:rFonts w:ascii="Times New Roman" w:hAnsi="Times New Roman" w:eastAsia="宋体" w:cs="Times New Roman"/>
                      <w:b/>
                      <w:color w:val="auto"/>
                      <w:sz w:val="21"/>
                      <w:szCs w:val="21"/>
                      <w:highlight w:val="none"/>
                    </w:rPr>
                  </w:pPr>
                </w:p>
              </w:tc>
              <w:tc>
                <w:tcPr>
                  <w:tcW w:w="1996" w:type="pct"/>
                  <w:vMerge w:val="continue"/>
                  <w:vAlign w:val="center"/>
                </w:tcPr>
                <w:p w14:paraId="1BCC0743">
                  <w:pPr>
                    <w:jc w:val="center"/>
                    <w:rPr>
                      <w:rFonts w:hint="eastAsia" w:ascii="Times New Roman" w:hAnsi="Times New Roman" w:eastAsia="宋体" w:cs="Times New Roman"/>
                      <w:b/>
                      <w:color w:val="auto"/>
                      <w:sz w:val="21"/>
                      <w:szCs w:val="21"/>
                      <w:highlight w:val="none"/>
                      <w:lang w:val="en-US" w:eastAsia="zh-CN"/>
                    </w:rPr>
                  </w:pPr>
                </w:p>
              </w:tc>
              <w:tc>
                <w:tcPr>
                  <w:tcW w:w="678" w:type="pct"/>
                  <w:vAlign w:val="center"/>
                </w:tcPr>
                <w:p w14:paraId="7CDDF85D">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施工期</w:t>
                  </w:r>
                </w:p>
              </w:tc>
              <w:tc>
                <w:tcPr>
                  <w:tcW w:w="640" w:type="pct"/>
                  <w:vAlign w:val="center"/>
                </w:tcPr>
                <w:p w14:paraId="5F770F6C">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营运期</w:t>
                  </w:r>
                </w:p>
              </w:tc>
              <w:tc>
                <w:tcPr>
                  <w:tcW w:w="483" w:type="pct"/>
                  <w:vMerge w:val="continue"/>
                  <w:vAlign w:val="center"/>
                </w:tcPr>
                <w:p w14:paraId="6A91AF45">
                  <w:pPr>
                    <w:jc w:val="center"/>
                    <w:rPr>
                      <w:rFonts w:ascii="Times New Roman" w:hAnsi="Times New Roman" w:eastAsia="宋体" w:cs="Times New Roman"/>
                      <w:b/>
                      <w:color w:val="auto"/>
                      <w:sz w:val="21"/>
                      <w:szCs w:val="21"/>
                      <w:highlight w:val="none"/>
                    </w:rPr>
                  </w:pPr>
                </w:p>
              </w:tc>
            </w:tr>
            <w:tr w14:paraId="34FB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Align w:val="center"/>
                </w:tcPr>
                <w:p w14:paraId="48350186">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主体工程</w:t>
                  </w:r>
                </w:p>
              </w:tc>
              <w:tc>
                <w:tcPr>
                  <w:tcW w:w="785" w:type="pct"/>
                  <w:gridSpan w:val="2"/>
                  <w:vAlign w:val="center"/>
                </w:tcPr>
                <w:p w14:paraId="275DF2B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生产车间</w:t>
                  </w:r>
                </w:p>
              </w:tc>
              <w:tc>
                <w:tcPr>
                  <w:tcW w:w="1996" w:type="pct"/>
                  <w:vAlign w:val="center"/>
                </w:tcPr>
                <w:p w14:paraId="11F04374">
                  <w:pPr>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新建一个生产车间，</w:t>
                  </w:r>
                  <w:r>
                    <w:rPr>
                      <w:rFonts w:hint="default" w:ascii="Times New Roman" w:hAnsi="Times New Roman" w:eastAsia="宋体" w:cs="Times New Roman"/>
                      <w:color w:val="auto"/>
                      <w:sz w:val="21"/>
                      <w:szCs w:val="21"/>
                      <w:highlight w:val="none"/>
                      <w:lang w:val="en-US" w:eastAsia="zh-CN"/>
                    </w:rPr>
                    <w:t>位于</w:t>
                  </w:r>
                  <w:r>
                    <w:rPr>
                      <w:rFonts w:hint="default" w:ascii="Times New Roman" w:hAnsi="Times New Roman" w:eastAsia="宋体" w:cs="Times New Roman"/>
                      <w:color w:val="auto"/>
                      <w:kern w:val="0"/>
                      <w:sz w:val="21"/>
                      <w:szCs w:val="21"/>
                      <w:highlight w:val="none"/>
                      <w:lang w:bidi="ar"/>
                    </w:rPr>
                    <w:t>厂区</w:t>
                  </w:r>
                  <w:r>
                    <w:rPr>
                      <w:rFonts w:hint="default" w:ascii="Times New Roman" w:hAnsi="Times New Roman" w:eastAsia="宋体" w:cs="Times New Roman"/>
                      <w:color w:val="auto"/>
                      <w:kern w:val="0"/>
                      <w:sz w:val="21"/>
                      <w:szCs w:val="21"/>
                      <w:highlight w:val="none"/>
                      <w:lang w:val="en-US" w:eastAsia="zh-CN" w:bidi="ar"/>
                    </w:rPr>
                    <w:t>南</w:t>
                  </w:r>
                  <w:r>
                    <w:rPr>
                      <w:rFonts w:hint="default" w:ascii="Times New Roman" w:hAnsi="Times New Roman" w:eastAsia="宋体" w:cs="Times New Roman"/>
                      <w:color w:val="auto"/>
                      <w:kern w:val="0"/>
                      <w:sz w:val="21"/>
                      <w:szCs w:val="21"/>
                      <w:highlight w:val="none"/>
                      <w:lang w:bidi="ar"/>
                    </w:rPr>
                    <w:t>侧，占地2</w:t>
                  </w: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bidi="ar"/>
                    </w:rPr>
                    <w:t>60</w:t>
                  </w:r>
                  <w:r>
                    <w:rPr>
                      <w:rFonts w:hint="eastAsia" w:ascii="Times New Roman" w:hAnsi="Times New Roman" w:eastAsia="宋体" w:cs="Times New Roman"/>
                      <w:color w:val="auto"/>
                      <w:kern w:val="0"/>
                      <w:sz w:val="21"/>
                      <w:szCs w:val="21"/>
                      <w:highlight w:val="none"/>
                      <w:lang w:val="en-US" w:eastAsia="zh-CN" w:bidi="ar"/>
                    </w:rPr>
                    <w:t>m</w:t>
                  </w:r>
                  <w:r>
                    <w:rPr>
                      <w:rFonts w:hint="eastAsia"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bidi="ar"/>
                    </w:rPr>
                    <w:t>，</w:t>
                  </w:r>
                  <w:r>
                    <w:rPr>
                      <w:rFonts w:hint="eastAsia" w:cs="Times New Roman"/>
                      <w:color w:val="auto"/>
                      <w:sz w:val="21"/>
                      <w:szCs w:val="21"/>
                      <w:highlight w:val="none"/>
                      <w:lang w:val="en-US" w:eastAsia="zh-CN"/>
                    </w:rPr>
                    <w:t>内设生产装置区、灌装间、成品暂存间、真空泵房、尾气处理设备区等。生产装置区共</w:t>
                  </w:r>
                  <w:r>
                    <w:rPr>
                      <w:rFonts w:hint="eastAsia" w:cs="Times New Roman"/>
                      <w:color w:val="auto"/>
                      <w:kern w:val="0"/>
                      <w:sz w:val="21"/>
                      <w:szCs w:val="21"/>
                      <w:highlight w:val="none"/>
                      <w:lang w:val="en-US" w:eastAsia="zh-CN" w:bidi="ar"/>
                    </w:rPr>
                    <w:t>增设3套1000t/a的醇胺蒸馏装置，将现有醇胺产品中的2500t/a的低浓度三乙醇胺产品和500t/a的低浓度N-甲基一乙醇胺产品蒸馏提纯产出高浓度醇胺产品，提纯后年产2250t高浓度三</w:t>
                  </w:r>
                  <w:r>
                    <w:rPr>
                      <w:rFonts w:hint="default" w:ascii="Times New Roman" w:hAnsi="Times New Roman" w:eastAsia="宋体" w:cs="Times New Roman"/>
                      <w:color w:val="auto"/>
                      <w:kern w:val="0"/>
                      <w:sz w:val="21"/>
                      <w:szCs w:val="21"/>
                      <w:highlight w:val="none"/>
                      <w:lang w:bidi="ar"/>
                    </w:rPr>
                    <w:t>乙醇胺</w:t>
                  </w:r>
                  <w:r>
                    <w:rPr>
                      <w:rFonts w:hint="eastAsia" w:cs="Times New Roman"/>
                      <w:color w:val="auto"/>
                      <w:kern w:val="0"/>
                      <w:sz w:val="21"/>
                      <w:szCs w:val="21"/>
                      <w:highlight w:val="none"/>
                      <w:lang w:val="en-US" w:eastAsia="zh-CN" w:bidi="ar"/>
                    </w:rPr>
                    <w:t>产品及249.5t低浓度三</w:t>
                  </w:r>
                  <w:r>
                    <w:rPr>
                      <w:rFonts w:hint="default" w:ascii="Times New Roman" w:hAnsi="Times New Roman" w:eastAsia="宋体" w:cs="Times New Roman"/>
                      <w:color w:val="auto"/>
                      <w:kern w:val="0"/>
                      <w:sz w:val="21"/>
                      <w:szCs w:val="21"/>
                      <w:highlight w:val="none"/>
                      <w:lang w:bidi="ar"/>
                    </w:rPr>
                    <w:t>乙醇胺</w:t>
                  </w:r>
                  <w:r>
                    <w:rPr>
                      <w:rFonts w:hint="eastAsia" w:cs="Times New Roman"/>
                      <w:color w:val="auto"/>
                      <w:kern w:val="0"/>
                      <w:sz w:val="21"/>
                      <w:szCs w:val="21"/>
                      <w:highlight w:val="none"/>
                      <w:lang w:val="en-US" w:eastAsia="zh-CN" w:bidi="ar"/>
                    </w:rPr>
                    <w:t>副产品，450t高浓度N-甲基一乙醇胺产品及49.915t低浓度N-甲基一乙醇胺副产品。</w:t>
                  </w:r>
                </w:p>
              </w:tc>
              <w:tc>
                <w:tcPr>
                  <w:tcW w:w="678" w:type="pct"/>
                  <w:vMerge w:val="restart"/>
                  <w:vAlign w:val="center"/>
                </w:tcPr>
                <w:p w14:paraId="6B1BF5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施工扬尘、施工废水、生活污水、施工噪声、施工固废</w:t>
                  </w:r>
                </w:p>
              </w:tc>
              <w:tc>
                <w:tcPr>
                  <w:tcW w:w="640" w:type="pct"/>
                  <w:vAlign w:val="center"/>
                </w:tcPr>
                <w:p w14:paraId="6283DE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r>
                    <w:rPr>
                      <w:rFonts w:hint="eastAsia" w:cs="Times New Roman"/>
                      <w:color w:val="auto"/>
                      <w:sz w:val="21"/>
                      <w:szCs w:val="21"/>
                      <w:highlight w:val="none"/>
                      <w:lang w:val="en-US" w:eastAsia="zh-CN"/>
                    </w:rPr>
                    <w:t>废气、</w:t>
                  </w:r>
                  <w:r>
                    <w:rPr>
                      <w:rFonts w:hint="eastAsia" w:ascii="Times New Roman" w:hAnsi="Times New Roman" w:eastAsia="宋体" w:cs="Times New Roman"/>
                      <w:color w:val="auto"/>
                      <w:sz w:val="21"/>
                      <w:szCs w:val="21"/>
                      <w:highlight w:val="none"/>
                      <w:lang w:val="en-US" w:eastAsia="zh-CN"/>
                    </w:rPr>
                    <w:t>噪声</w:t>
                  </w:r>
                </w:p>
              </w:tc>
              <w:tc>
                <w:tcPr>
                  <w:tcW w:w="483" w:type="pct"/>
                  <w:vAlign w:val="center"/>
                </w:tcPr>
                <w:p w14:paraId="5B5CF5EC">
                  <w:pPr>
                    <w:jc w:val="center"/>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none"/>
                      <w:lang w:val="en-US" w:eastAsia="zh-CN"/>
                    </w:rPr>
                    <w:t>新增</w:t>
                  </w:r>
                </w:p>
              </w:tc>
            </w:tr>
            <w:tr w14:paraId="1DD5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restart"/>
                  <w:vAlign w:val="center"/>
                </w:tcPr>
                <w:p w14:paraId="0790E04B">
                  <w:pPr>
                    <w:jc w:val="center"/>
                    <w:rPr>
                      <w:rFonts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公</w:t>
                  </w:r>
                  <w:r>
                    <w:rPr>
                      <w:rFonts w:ascii="Times New Roman" w:hAnsi="Times New Roman" w:eastAsia="宋体" w:cs="Times New Roman"/>
                      <w:color w:val="auto"/>
                      <w:sz w:val="21"/>
                      <w:szCs w:val="21"/>
                      <w:highlight w:val="none"/>
                    </w:rPr>
                    <w:t>辅助工程</w:t>
                  </w:r>
                </w:p>
              </w:tc>
              <w:tc>
                <w:tcPr>
                  <w:tcW w:w="785" w:type="pct"/>
                  <w:gridSpan w:val="2"/>
                  <w:vAlign w:val="center"/>
                </w:tcPr>
                <w:p w14:paraId="10503E5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供配电</w:t>
                  </w:r>
                </w:p>
              </w:tc>
              <w:tc>
                <w:tcPr>
                  <w:tcW w:w="1996" w:type="pct"/>
                  <w:vAlign w:val="center"/>
                </w:tcPr>
                <w:p w14:paraId="2F0BC335">
                  <w:pPr>
                    <w:jc w:val="left"/>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现有厂区已建</w:t>
                  </w:r>
                  <w:r>
                    <w:rPr>
                      <w:rFonts w:hint="eastAsia" w:eastAsia="宋体"/>
                      <w:color w:val="auto"/>
                      <w:spacing w:val="9"/>
                      <w:sz w:val="21"/>
                      <w:szCs w:val="21"/>
                      <w:highlight w:val="none"/>
                      <w:lang w:val="en-US" w:eastAsia="zh-CN"/>
                    </w:rPr>
                    <w:t>一座</w:t>
                  </w:r>
                  <w:r>
                    <w:rPr>
                      <w:rFonts w:ascii="Times New Roman" w:hAnsi="Times New Roman" w:eastAsia="Times New Roman" w:cs="Times New Roman"/>
                      <w:color w:val="auto"/>
                      <w:spacing w:val="9"/>
                      <w:sz w:val="21"/>
                      <w:szCs w:val="21"/>
                      <w:highlight w:val="none"/>
                    </w:rPr>
                    <w:t>10</w:t>
                  </w:r>
                  <w:r>
                    <w:rPr>
                      <w:rFonts w:ascii="Times New Roman" w:hAnsi="Times New Roman" w:eastAsia="Times New Roman" w:cs="Times New Roman"/>
                      <w:color w:val="auto"/>
                      <w:sz w:val="21"/>
                      <w:szCs w:val="21"/>
                      <w:highlight w:val="none"/>
                    </w:rPr>
                    <w:t>kV</w:t>
                  </w:r>
                  <w:r>
                    <w:rPr>
                      <w:color w:val="auto"/>
                      <w:spacing w:val="9"/>
                      <w:sz w:val="21"/>
                      <w:szCs w:val="21"/>
                      <w:highlight w:val="none"/>
                    </w:rPr>
                    <w:t>变配电室（带</w:t>
                  </w:r>
                  <w:r>
                    <w:rPr>
                      <w:rFonts w:ascii="Times New Roman" w:hAnsi="Times New Roman" w:eastAsia="Times New Roman" w:cs="Times New Roman"/>
                      <w:color w:val="auto"/>
                      <w:sz w:val="21"/>
                      <w:szCs w:val="21"/>
                      <w:highlight w:val="none"/>
                    </w:rPr>
                    <w:t>MCC</w:t>
                  </w:r>
                  <w:r>
                    <w:rPr>
                      <w:color w:val="auto"/>
                      <w:spacing w:val="16"/>
                      <w:sz w:val="21"/>
                      <w:szCs w:val="21"/>
                      <w:highlight w:val="none"/>
                    </w:rPr>
                    <w:t>），</w:t>
                  </w:r>
                  <w:r>
                    <w:rPr>
                      <w:color w:val="auto"/>
                      <w:spacing w:val="9"/>
                      <w:sz w:val="21"/>
                      <w:szCs w:val="21"/>
                      <w:highlight w:val="none"/>
                    </w:rPr>
                    <w:t>设</w:t>
                  </w:r>
                  <w:r>
                    <w:rPr>
                      <w:rFonts w:ascii="Times New Roman" w:hAnsi="Times New Roman" w:eastAsia="Times New Roman" w:cs="Times New Roman"/>
                      <w:color w:val="auto"/>
                      <w:spacing w:val="9"/>
                      <w:sz w:val="21"/>
                      <w:szCs w:val="21"/>
                      <w:highlight w:val="none"/>
                    </w:rPr>
                    <w:t>1</w:t>
                  </w:r>
                  <w:r>
                    <w:rPr>
                      <w:color w:val="auto"/>
                      <w:spacing w:val="9"/>
                      <w:sz w:val="21"/>
                      <w:szCs w:val="21"/>
                      <w:highlight w:val="none"/>
                    </w:rPr>
                    <w:t>台</w:t>
                  </w:r>
                  <w:r>
                    <w:rPr>
                      <w:rFonts w:ascii="Times New Roman" w:hAnsi="Times New Roman" w:eastAsia="Times New Roman" w:cs="Times New Roman"/>
                      <w:color w:val="auto"/>
                      <w:spacing w:val="9"/>
                      <w:sz w:val="21"/>
                      <w:szCs w:val="21"/>
                      <w:highlight w:val="none"/>
                    </w:rPr>
                    <w:t>1600</w:t>
                  </w:r>
                  <w:r>
                    <w:rPr>
                      <w:rFonts w:ascii="Times New Roman" w:hAnsi="Times New Roman" w:eastAsia="Times New Roman" w:cs="Times New Roman"/>
                      <w:color w:val="auto"/>
                      <w:sz w:val="21"/>
                      <w:szCs w:val="21"/>
                      <w:highlight w:val="none"/>
                    </w:rPr>
                    <w:t>kVA</w:t>
                  </w:r>
                  <w:r>
                    <w:rPr>
                      <w:color w:val="auto"/>
                      <w:spacing w:val="9"/>
                      <w:sz w:val="21"/>
                      <w:szCs w:val="21"/>
                      <w:highlight w:val="none"/>
                    </w:rPr>
                    <w:t>变压器。</w:t>
                  </w:r>
                  <w:r>
                    <w:rPr>
                      <w:rFonts w:hint="eastAsia"/>
                      <w:color w:val="auto"/>
                      <w:spacing w:val="9"/>
                      <w:sz w:val="21"/>
                      <w:szCs w:val="21"/>
                      <w:highlight w:val="none"/>
                      <w:lang w:val="en-US" w:eastAsia="zh-CN"/>
                    </w:rPr>
                    <w:t>本次技改</w:t>
                  </w:r>
                  <w:r>
                    <w:rPr>
                      <w:rFonts w:hint="eastAsia" w:cs="Times New Roman"/>
                      <w:color w:val="auto"/>
                      <w:kern w:val="0"/>
                      <w:sz w:val="21"/>
                      <w:szCs w:val="21"/>
                      <w:highlight w:val="none"/>
                      <w:lang w:val="en-US" w:eastAsia="zh-CN" w:bidi="ar"/>
                    </w:rPr>
                    <w:t>利用现有</w:t>
                  </w:r>
                  <w:r>
                    <w:rPr>
                      <w:rFonts w:hint="eastAsia" w:ascii="Times New Roman" w:hAnsi="Times New Roman" w:eastAsia="宋体" w:cs="Times New Roman"/>
                      <w:color w:val="auto"/>
                      <w:kern w:val="0"/>
                      <w:sz w:val="21"/>
                      <w:szCs w:val="21"/>
                      <w:highlight w:val="none"/>
                      <w:lang w:bidi="ar"/>
                    </w:rPr>
                    <w:t>配电室预留空间增设变压器及配电柜，</w:t>
                  </w:r>
                  <w:r>
                    <w:rPr>
                      <w:rFonts w:hint="eastAsia" w:cs="Times New Roman"/>
                      <w:color w:val="auto"/>
                      <w:kern w:val="0"/>
                      <w:sz w:val="21"/>
                      <w:szCs w:val="21"/>
                      <w:highlight w:val="none"/>
                      <w:lang w:val="en-US" w:eastAsia="zh-CN" w:bidi="ar"/>
                    </w:rPr>
                    <w:t>以便</w:t>
                  </w:r>
                  <w:r>
                    <w:rPr>
                      <w:rFonts w:hint="eastAsia" w:ascii="Times New Roman" w:hAnsi="Times New Roman" w:eastAsia="宋体" w:cs="Times New Roman"/>
                      <w:color w:val="auto"/>
                      <w:kern w:val="0"/>
                      <w:sz w:val="21"/>
                      <w:szCs w:val="21"/>
                      <w:highlight w:val="none"/>
                      <w:lang w:bidi="ar"/>
                    </w:rPr>
                    <w:t>满足本项目需求。</w:t>
                  </w:r>
                </w:p>
              </w:tc>
              <w:tc>
                <w:tcPr>
                  <w:tcW w:w="678" w:type="pct"/>
                  <w:vMerge w:val="continue"/>
                  <w:vAlign w:val="center"/>
                </w:tcPr>
                <w:p w14:paraId="5F11A032">
                  <w:pPr>
                    <w:jc w:val="center"/>
                    <w:rPr>
                      <w:rFonts w:ascii="Times New Roman" w:hAnsi="Times New Roman" w:eastAsia="宋体" w:cs="Times New Roman"/>
                      <w:color w:val="auto"/>
                      <w:sz w:val="21"/>
                      <w:szCs w:val="21"/>
                      <w:highlight w:val="none"/>
                    </w:rPr>
                  </w:pPr>
                </w:p>
              </w:tc>
              <w:tc>
                <w:tcPr>
                  <w:tcW w:w="640" w:type="pct"/>
                  <w:vAlign w:val="center"/>
                </w:tcPr>
                <w:p w14:paraId="50C1364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噪声</w:t>
                  </w:r>
                </w:p>
              </w:tc>
              <w:tc>
                <w:tcPr>
                  <w:tcW w:w="483" w:type="pct"/>
                  <w:vAlign w:val="center"/>
                </w:tcPr>
                <w:p w14:paraId="669B5706">
                  <w:pPr>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改造</w:t>
                  </w:r>
                </w:p>
              </w:tc>
            </w:tr>
            <w:tr w14:paraId="2150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Merge w:val="continue"/>
                  <w:vAlign w:val="center"/>
                </w:tcPr>
                <w:p w14:paraId="56952998">
                  <w:pPr>
                    <w:jc w:val="center"/>
                    <w:rPr>
                      <w:rFonts w:ascii="Times New Roman" w:hAnsi="Times New Roman" w:eastAsia="宋体" w:cs="Times New Roman"/>
                      <w:color w:val="auto"/>
                      <w:sz w:val="21"/>
                      <w:szCs w:val="21"/>
                      <w:highlight w:val="none"/>
                    </w:rPr>
                  </w:pPr>
                </w:p>
              </w:tc>
              <w:tc>
                <w:tcPr>
                  <w:tcW w:w="785" w:type="pct"/>
                  <w:gridSpan w:val="2"/>
                  <w:vAlign w:val="center"/>
                </w:tcPr>
                <w:p w14:paraId="3AC0EACF">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锅炉房</w:t>
                  </w:r>
                </w:p>
              </w:tc>
              <w:tc>
                <w:tcPr>
                  <w:tcW w:w="1996" w:type="pct"/>
                  <w:vAlign w:val="center"/>
                </w:tcPr>
                <w:p w14:paraId="3EDEE9BC">
                  <w:pPr>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现有厂区已建设1座锅炉房，</w:t>
                  </w:r>
                  <w:r>
                    <w:rPr>
                      <w:rFonts w:hint="eastAsia"/>
                      <w:color w:val="auto"/>
                      <w:spacing w:val="7"/>
                      <w:sz w:val="21"/>
                      <w:szCs w:val="21"/>
                      <w:highlight w:val="none"/>
                      <w:lang w:val="en-US" w:eastAsia="zh-CN"/>
                    </w:rPr>
                    <w:t>内设</w:t>
                  </w:r>
                  <w:r>
                    <w:rPr>
                      <w:color w:val="auto"/>
                      <w:spacing w:val="7"/>
                      <w:sz w:val="21"/>
                      <w:szCs w:val="21"/>
                      <w:highlight w:val="none"/>
                    </w:rPr>
                    <w:t>燃气锅炉</w:t>
                  </w:r>
                  <w:r>
                    <w:rPr>
                      <w:rFonts w:hint="eastAsia"/>
                      <w:color w:val="auto"/>
                      <w:spacing w:val="7"/>
                      <w:sz w:val="21"/>
                      <w:szCs w:val="21"/>
                      <w:highlight w:val="none"/>
                      <w:lang w:val="en-US" w:eastAsia="zh-CN"/>
                    </w:rPr>
                    <w:t>1台</w:t>
                  </w:r>
                  <w:r>
                    <w:rPr>
                      <w:color w:val="auto"/>
                      <w:spacing w:val="7"/>
                      <w:sz w:val="21"/>
                      <w:szCs w:val="21"/>
                      <w:highlight w:val="none"/>
                    </w:rPr>
                    <w:t>（</w:t>
                  </w:r>
                  <w:r>
                    <w:rPr>
                      <w:rFonts w:ascii="Times New Roman" w:hAnsi="Times New Roman" w:eastAsia="Times New Roman" w:cs="Times New Roman"/>
                      <w:color w:val="auto"/>
                      <w:spacing w:val="7"/>
                      <w:sz w:val="21"/>
                      <w:szCs w:val="21"/>
                      <w:highlight w:val="none"/>
                    </w:rPr>
                    <w:t>10t/h</w:t>
                  </w:r>
                  <w:r>
                    <w:rPr>
                      <w:color w:val="auto"/>
                      <w:spacing w:val="16"/>
                      <w:sz w:val="21"/>
                      <w:szCs w:val="21"/>
                      <w:highlight w:val="none"/>
                    </w:rPr>
                    <w:t>），</w:t>
                  </w:r>
                  <w:r>
                    <w:rPr>
                      <w:rFonts w:hint="eastAsia" w:cs="Times New Roman"/>
                      <w:color w:val="auto"/>
                      <w:sz w:val="21"/>
                      <w:szCs w:val="21"/>
                      <w:highlight w:val="none"/>
                      <w:lang w:val="en-US" w:eastAsia="zh-CN"/>
                    </w:rPr>
                    <w:t>燃料采用天然气，饱和蒸汽压</w:t>
                  </w:r>
                  <w:r>
                    <w:rPr>
                      <w:rFonts w:ascii="Times New Roman" w:hAnsi="Times New Roman" w:eastAsia="Times New Roman" w:cs="Times New Roman"/>
                      <w:color w:val="auto"/>
                      <w:spacing w:val="7"/>
                      <w:sz w:val="21"/>
                      <w:szCs w:val="21"/>
                      <w:highlight w:val="none"/>
                    </w:rPr>
                    <w:t>2.0</w:t>
                  </w:r>
                  <w:r>
                    <w:rPr>
                      <w:rFonts w:ascii="Times New Roman" w:hAnsi="Times New Roman" w:eastAsia="Times New Roman" w:cs="Times New Roman"/>
                      <w:color w:val="auto"/>
                      <w:sz w:val="21"/>
                      <w:szCs w:val="21"/>
                      <w:highlight w:val="none"/>
                    </w:rPr>
                    <w:t>Mpa</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目前剩余蒸汽能力3.5t/h。</w:t>
                  </w:r>
                  <w:r>
                    <w:rPr>
                      <w:rFonts w:hint="eastAsia" w:cs="Times New Roman"/>
                      <w:color w:val="auto"/>
                      <w:sz w:val="21"/>
                      <w:szCs w:val="21"/>
                      <w:highlight w:val="none"/>
                      <w:lang w:val="en-US" w:eastAsia="zh-CN"/>
                    </w:rPr>
                    <w:t>本次利旧，依托现有锅炉剩余蒸汽能力供热。</w:t>
                  </w:r>
                </w:p>
              </w:tc>
              <w:tc>
                <w:tcPr>
                  <w:tcW w:w="678" w:type="pct"/>
                  <w:vMerge w:val="continue"/>
                  <w:vAlign w:val="center"/>
                </w:tcPr>
                <w:p w14:paraId="2266F51F">
                  <w:pPr>
                    <w:jc w:val="center"/>
                    <w:rPr>
                      <w:rFonts w:ascii="Times New Roman" w:hAnsi="Times New Roman" w:eastAsia="宋体" w:cs="Times New Roman"/>
                      <w:color w:val="auto"/>
                      <w:sz w:val="21"/>
                      <w:szCs w:val="21"/>
                      <w:highlight w:val="none"/>
                    </w:rPr>
                  </w:pPr>
                </w:p>
              </w:tc>
              <w:tc>
                <w:tcPr>
                  <w:tcW w:w="640" w:type="pct"/>
                  <w:vAlign w:val="center"/>
                </w:tcPr>
                <w:p w14:paraId="4310671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锅炉燃烧废气、</w:t>
                  </w:r>
                  <w:r>
                    <w:rPr>
                      <w:rFonts w:hint="eastAsia" w:ascii="Times New Roman" w:hAnsi="Times New Roman" w:eastAsia="宋体" w:cs="Times New Roman"/>
                      <w:color w:val="auto"/>
                      <w:sz w:val="21"/>
                      <w:szCs w:val="21"/>
                      <w:highlight w:val="none"/>
                    </w:rPr>
                    <w:t>噪声</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锅炉定排水</w:t>
                  </w:r>
                </w:p>
              </w:tc>
              <w:tc>
                <w:tcPr>
                  <w:tcW w:w="483" w:type="pct"/>
                  <w:vAlign w:val="center"/>
                </w:tcPr>
                <w:p w14:paraId="78ECE1AE">
                  <w:pPr>
                    <w:jc w:val="center"/>
                    <w:rPr>
                      <w:rFonts w:hint="eastAsia"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bidi="ar"/>
                    </w:rPr>
                    <w:t>依托</w:t>
                  </w:r>
                </w:p>
              </w:tc>
            </w:tr>
            <w:tr w14:paraId="09E2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Merge w:val="continue"/>
                  <w:vAlign w:val="center"/>
                </w:tcPr>
                <w:p w14:paraId="3408600C">
                  <w:pPr>
                    <w:jc w:val="center"/>
                    <w:rPr>
                      <w:rFonts w:ascii="Times New Roman" w:hAnsi="Times New Roman" w:eastAsia="宋体" w:cs="Times New Roman"/>
                      <w:color w:val="auto"/>
                      <w:sz w:val="21"/>
                      <w:szCs w:val="21"/>
                      <w:highlight w:val="none"/>
                    </w:rPr>
                  </w:pPr>
                </w:p>
              </w:tc>
              <w:tc>
                <w:tcPr>
                  <w:tcW w:w="785" w:type="pct"/>
                  <w:gridSpan w:val="2"/>
                  <w:vAlign w:val="center"/>
                </w:tcPr>
                <w:p w14:paraId="7AC4023C">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锅炉水处理间</w:t>
                  </w:r>
                </w:p>
              </w:tc>
              <w:tc>
                <w:tcPr>
                  <w:tcW w:w="1996" w:type="pct"/>
                  <w:vAlign w:val="center"/>
                </w:tcPr>
                <w:p w14:paraId="1FEF5C2B">
                  <w:pPr>
                    <w:jc w:val="left"/>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本次新建一个锅炉水处理间，位于锅炉房东侧，占地面积84m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lang w:val="en-US" w:eastAsia="zh-CN" w:bidi="ar"/>
                    </w:rPr>
                    <w:t>，内设一套纯（软）水制备装置，对自来水进行净化，最大制备能力为4t/h，制备率为95%，配套输水及泵类设施。该设施建成后将全厂锅炉用水及水洗塔用水替换为净化后纯（软）水。</w:t>
                  </w:r>
                </w:p>
              </w:tc>
              <w:tc>
                <w:tcPr>
                  <w:tcW w:w="678" w:type="pct"/>
                  <w:vMerge w:val="continue"/>
                  <w:vAlign w:val="center"/>
                </w:tcPr>
                <w:p w14:paraId="3019D672">
                  <w:pPr>
                    <w:jc w:val="center"/>
                    <w:rPr>
                      <w:rFonts w:ascii="Times New Roman" w:hAnsi="Times New Roman" w:eastAsia="宋体" w:cs="Times New Roman"/>
                      <w:color w:val="auto"/>
                      <w:sz w:val="21"/>
                      <w:szCs w:val="21"/>
                      <w:highlight w:val="none"/>
                    </w:rPr>
                  </w:pPr>
                </w:p>
              </w:tc>
              <w:tc>
                <w:tcPr>
                  <w:tcW w:w="640" w:type="pct"/>
                  <w:vAlign w:val="center"/>
                </w:tcPr>
                <w:p w14:paraId="38F02256">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纯（软）水制备浓水、噪声</w:t>
                  </w:r>
                </w:p>
              </w:tc>
              <w:tc>
                <w:tcPr>
                  <w:tcW w:w="483" w:type="pct"/>
                  <w:vAlign w:val="center"/>
                </w:tcPr>
                <w:p w14:paraId="11A238DC">
                  <w:pPr>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bCs/>
                      <w:color w:val="auto"/>
                      <w:sz w:val="21"/>
                      <w:szCs w:val="21"/>
                      <w:highlight w:val="none"/>
                      <w:u w:val="none"/>
                      <w:lang w:val="en-US" w:eastAsia="zh-CN"/>
                    </w:rPr>
                    <w:t>新增</w:t>
                  </w:r>
                </w:p>
              </w:tc>
            </w:tr>
            <w:tr w14:paraId="6FAA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46202E31">
                  <w:pPr>
                    <w:jc w:val="center"/>
                    <w:rPr>
                      <w:rFonts w:ascii="Times New Roman" w:hAnsi="Times New Roman" w:eastAsia="宋体" w:cs="Times New Roman"/>
                      <w:color w:val="auto"/>
                      <w:sz w:val="21"/>
                      <w:szCs w:val="21"/>
                      <w:highlight w:val="none"/>
                    </w:rPr>
                  </w:pPr>
                </w:p>
              </w:tc>
              <w:tc>
                <w:tcPr>
                  <w:tcW w:w="785" w:type="pct"/>
                  <w:gridSpan w:val="2"/>
                  <w:vAlign w:val="center"/>
                </w:tcPr>
                <w:p w14:paraId="68D2A01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空压制氮</w:t>
                  </w:r>
                  <w:r>
                    <w:rPr>
                      <w:rFonts w:hint="eastAsia" w:cs="Times New Roman"/>
                      <w:color w:val="auto"/>
                      <w:sz w:val="21"/>
                      <w:szCs w:val="21"/>
                      <w:highlight w:val="none"/>
                      <w:lang w:val="en-US" w:eastAsia="zh-CN"/>
                    </w:rPr>
                    <w:t>站</w:t>
                  </w:r>
                </w:p>
              </w:tc>
              <w:tc>
                <w:tcPr>
                  <w:tcW w:w="1996" w:type="pct"/>
                  <w:vAlign w:val="center"/>
                </w:tcPr>
                <w:p w14:paraId="22C7C461">
                  <w:pPr>
                    <w:jc w:val="left"/>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现有厂区已建1套空压制氮系统，包括一套PSA制氮单元，空压单元一套，并分别设置一个10立方米的储气缓冲罐。现有氮气装置富余量＞100Nm³/h，</w:t>
                  </w:r>
                  <w:r>
                    <w:rPr>
                      <w:rFonts w:hint="eastAsia"/>
                      <w:color w:val="auto"/>
                      <w:spacing w:val="8"/>
                      <w:sz w:val="21"/>
                      <w:szCs w:val="21"/>
                      <w:highlight w:val="none"/>
                      <w:lang w:val="en-US" w:eastAsia="zh-CN"/>
                    </w:rPr>
                    <w:t>本次技改依托现有空压制氮站，但</w:t>
                  </w:r>
                  <w:r>
                    <w:rPr>
                      <w:rFonts w:hint="eastAsia" w:cs="Times New Roman"/>
                      <w:color w:val="auto"/>
                      <w:kern w:val="0"/>
                      <w:sz w:val="21"/>
                      <w:szCs w:val="21"/>
                      <w:highlight w:val="none"/>
                      <w:lang w:val="en-US" w:eastAsia="zh-CN" w:bidi="ar"/>
                    </w:rPr>
                    <w:t>在新建生产车间内增设氮气缓冲罐及配套设施，稳定新建车间氮气压力，满足本项目的需求。</w:t>
                  </w:r>
                </w:p>
              </w:tc>
              <w:tc>
                <w:tcPr>
                  <w:tcW w:w="678" w:type="pct"/>
                  <w:vMerge w:val="continue"/>
                  <w:vAlign w:val="center"/>
                </w:tcPr>
                <w:p w14:paraId="2FD7521F">
                  <w:pPr>
                    <w:jc w:val="center"/>
                    <w:rPr>
                      <w:rFonts w:ascii="Times New Roman" w:hAnsi="Times New Roman" w:eastAsia="宋体" w:cs="Times New Roman"/>
                      <w:color w:val="auto"/>
                      <w:sz w:val="21"/>
                      <w:szCs w:val="21"/>
                      <w:highlight w:val="none"/>
                    </w:rPr>
                  </w:pPr>
                </w:p>
              </w:tc>
              <w:tc>
                <w:tcPr>
                  <w:tcW w:w="640" w:type="pct"/>
                  <w:vAlign w:val="center"/>
                </w:tcPr>
                <w:p w14:paraId="3C2035C0">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噪声</w:t>
                  </w:r>
                </w:p>
              </w:tc>
              <w:tc>
                <w:tcPr>
                  <w:tcW w:w="483" w:type="pct"/>
                  <w:vAlign w:val="center"/>
                </w:tcPr>
                <w:p w14:paraId="1852F9F1">
                  <w:pPr>
                    <w:jc w:val="center"/>
                    <w:rPr>
                      <w:rFonts w:hint="eastAsia"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b/>
                      <w:bCs/>
                      <w:color w:val="auto"/>
                      <w:kern w:val="0"/>
                      <w:sz w:val="21"/>
                      <w:szCs w:val="21"/>
                      <w:highlight w:val="none"/>
                      <w:lang w:bidi="ar"/>
                    </w:rPr>
                    <w:t>依托/改造</w:t>
                  </w:r>
                </w:p>
              </w:tc>
            </w:tr>
            <w:tr w14:paraId="4C78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642665D9">
                  <w:pPr>
                    <w:jc w:val="center"/>
                    <w:rPr>
                      <w:rFonts w:ascii="Times New Roman" w:hAnsi="Times New Roman" w:eastAsia="宋体" w:cs="Times New Roman"/>
                      <w:color w:val="auto"/>
                      <w:sz w:val="21"/>
                      <w:szCs w:val="21"/>
                      <w:highlight w:val="none"/>
                    </w:rPr>
                  </w:pPr>
                </w:p>
              </w:tc>
              <w:tc>
                <w:tcPr>
                  <w:tcW w:w="785" w:type="pct"/>
                  <w:gridSpan w:val="2"/>
                  <w:vAlign w:val="center"/>
                </w:tcPr>
                <w:p w14:paraId="00F802EC">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制冷站</w:t>
                  </w:r>
                </w:p>
              </w:tc>
              <w:tc>
                <w:tcPr>
                  <w:tcW w:w="1996" w:type="pct"/>
                  <w:vAlign w:val="center"/>
                </w:tcPr>
                <w:p w14:paraId="0A0A435B">
                  <w:pPr>
                    <w:jc w:val="left"/>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现有厂区已建制冷站1座，内设2套（1用1备）自动螺杆低温乙二醇机组，内外循环分别装机93m³/h，富余量＞40m³/h。本次利旧。</w:t>
                  </w:r>
                </w:p>
              </w:tc>
              <w:tc>
                <w:tcPr>
                  <w:tcW w:w="678" w:type="pct"/>
                  <w:vMerge w:val="continue"/>
                  <w:vAlign w:val="center"/>
                </w:tcPr>
                <w:p w14:paraId="3C0B9CC7">
                  <w:pPr>
                    <w:jc w:val="center"/>
                    <w:rPr>
                      <w:rFonts w:ascii="Times New Roman" w:hAnsi="Times New Roman" w:eastAsia="宋体" w:cs="Times New Roman"/>
                      <w:color w:val="auto"/>
                      <w:sz w:val="21"/>
                      <w:szCs w:val="21"/>
                      <w:highlight w:val="none"/>
                    </w:rPr>
                  </w:pPr>
                </w:p>
              </w:tc>
              <w:tc>
                <w:tcPr>
                  <w:tcW w:w="640" w:type="pct"/>
                  <w:vAlign w:val="center"/>
                </w:tcPr>
                <w:p w14:paraId="4D158B83">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噪声</w:t>
                  </w:r>
                </w:p>
              </w:tc>
              <w:tc>
                <w:tcPr>
                  <w:tcW w:w="483" w:type="pct"/>
                  <w:vAlign w:val="center"/>
                </w:tcPr>
                <w:p w14:paraId="1493BE71">
                  <w:pPr>
                    <w:jc w:val="center"/>
                    <w:rPr>
                      <w:rFonts w:hint="eastAsia"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bidi="ar"/>
                    </w:rPr>
                    <w:t>依托</w:t>
                  </w:r>
                </w:p>
              </w:tc>
            </w:tr>
            <w:tr w14:paraId="3CD7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2F13D96C">
                  <w:pPr>
                    <w:jc w:val="center"/>
                    <w:rPr>
                      <w:rFonts w:ascii="Times New Roman" w:hAnsi="Times New Roman" w:eastAsia="宋体" w:cs="Times New Roman"/>
                      <w:color w:val="auto"/>
                      <w:sz w:val="21"/>
                      <w:szCs w:val="21"/>
                      <w:highlight w:val="none"/>
                    </w:rPr>
                  </w:pPr>
                </w:p>
              </w:tc>
              <w:tc>
                <w:tcPr>
                  <w:tcW w:w="785" w:type="pct"/>
                  <w:gridSpan w:val="2"/>
                  <w:vAlign w:val="center"/>
                </w:tcPr>
                <w:p w14:paraId="6BEA15E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循环水</w:t>
                  </w:r>
                  <w:r>
                    <w:rPr>
                      <w:rFonts w:hint="eastAsia" w:cs="Times New Roman"/>
                      <w:color w:val="auto"/>
                      <w:sz w:val="21"/>
                      <w:szCs w:val="21"/>
                      <w:highlight w:val="none"/>
                      <w:lang w:val="en-US" w:eastAsia="zh-CN"/>
                    </w:rPr>
                    <w:t>泵房</w:t>
                  </w:r>
                </w:p>
              </w:tc>
              <w:tc>
                <w:tcPr>
                  <w:tcW w:w="1996" w:type="pct"/>
                  <w:vAlign w:val="center"/>
                </w:tcPr>
                <w:p w14:paraId="01521BD7">
                  <w:pPr>
                    <w:jc w:val="left"/>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olor w:val="auto"/>
                      <w:spacing w:val="7"/>
                      <w:sz w:val="21"/>
                      <w:szCs w:val="21"/>
                      <w:highlight w:val="none"/>
                      <w:lang w:val="en-US" w:eastAsia="zh-CN"/>
                    </w:rPr>
                    <w:t>现有厂区已建1座循环水泵房，</w:t>
                  </w:r>
                  <w:r>
                    <w:rPr>
                      <w:color w:val="auto"/>
                      <w:spacing w:val="8"/>
                      <w:sz w:val="21"/>
                      <w:szCs w:val="21"/>
                      <w:highlight w:val="none"/>
                    </w:rPr>
                    <w:t>循环水池容积为</w:t>
                  </w:r>
                  <w:r>
                    <w:rPr>
                      <w:rFonts w:hint="eastAsia" w:eastAsia="宋体" w:cs="Times New Roman"/>
                      <w:color w:val="auto"/>
                      <w:spacing w:val="8"/>
                      <w:sz w:val="21"/>
                      <w:szCs w:val="21"/>
                      <w:highlight w:val="none"/>
                      <w:lang w:val="en-US" w:eastAsia="zh-CN"/>
                    </w:rPr>
                    <w:t>3</w:t>
                  </w:r>
                  <w:r>
                    <w:rPr>
                      <w:rFonts w:ascii="Times New Roman" w:hAnsi="Times New Roman" w:eastAsia="Times New Roman" w:cs="Times New Roman"/>
                      <w:color w:val="auto"/>
                      <w:spacing w:val="8"/>
                      <w:sz w:val="21"/>
                      <w:szCs w:val="21"/>
                      <w:highlight w:val="none"/>
                    </w:rPr>
                    <w:t>00m</w:t>
                  </w:r>
                  <w:r>
                    <w:rPr>
                      <w:rFonts w:hint="eastAsia" w:eastAsia="宋体" w:cs="Times New Roman"/>
                      <w:color w:val="auto"/>
                      <w:spacing w:val="8"/>
                      <w:sz w:val="21"/>
                      <w:szCs w:val="21"/>
                      <w:highlight w:val="none"/>
                      <w:vertAlign w:val="superscript"/>
                      <w:lang w:val="en-US" w:eastAsia="zh-CN"/>
                    </w:rPr>
                    <w:t>3</w:t>
                  </w:r>
                  <w:r>
                    <w:rPr>
                      <w:color w:val="auto"/>
                      <w:spacing w:val="8"/>
                      <w:sz w:val="21"/>
                      <w:szCs w:val="21"/>
                      <w:highlight w:val="none"/>
                    </w:rPr>
                    <w:t>，</w:t>
                  </w:r>
                  <w:r>
                    <w:rPr>
                      <w:rFonts w:hint="eastAsia"/>
                      <w:color w:val="auto"/>
                      <w:spacing w:val="8"/>
                      <w:sz w:val="21"/>
                      <w:szCs w:val="21"/>
                      <w:highlight w:val="none"/>
                      <w:lang w:val="en-US" w:eastAsia="zh-CN"/>
                    </w:rPr>
                    <w:t>设置</w:t>
                  </w:r>
                  <w:r>
                    <w:rPr>
                      <w:rFonts w:ascii="Times New Roman" w:hAnsi="Times New Roman" w:eastAsia="Times New Roman" w:cs="Times New Roman"/>
                      <w:color w:val="auto"/>
                      <w:spacing w:val="8"/>
                      <w:sz w:val="21"/>
                      <w:szCs w:val="21"/>
                      <w:highlight w:val="none"/>
                    </w:rPr>
                    <w:t>2</w:t>
                  </w:r>
                  <w:r>
                    <w:rPr>
                      <w:color w:val="auto"/>
                      <w:spacing w:val="8"/>
                      <w:sz w:val="21"/>
                      <w:szCs w:val="21"/>
                      <w:highlight w:val="none"/>
                    </w:rPr>
                    <w:t>个逆流式钢筋混凝土冷却塔及</w:t>
                  </w:r>
                  <w:r>
                    <w:rPr>
                      <w:color w:val="auto"/>
                      <w:spacing w:val="5"/>
                      <w:sz w:val="21"/>
                      <w:szCs w:val="21"/>
                      <w:highlight w:val="none"/>
                    </w:rPr>
                    <w:t>两台卧式蜗壳双吸离心泵（单台流量</w:t>
                  </w:r>
                  <w:r>
                    <w:rPr>
                      <w:rFonts w:hint="eastAsia" w:eastAsia="宋体" w:cs="Times New Roman"/>
                      <w:color w:val="auto"/>
                      <w:spacing w:val="5"/>
                      <w:sz w:val="21"/>
                      <w:szCs w:val="21"/>
                      <w:highlight w:val="none"/>
                      <w:lang w:val="en-US" w:eastAsia="zh-CN"/>
                    </w:rPr>
                    <w:t>45</w:t>
                  </w:r>
                  <w:r>
                    <w:rPr>
                      <w:rFonts w:ascii="Times New Roman" w:hAnsi="Times New Roman" w:eastAsia="Times New Roman" w:cs="Times New Roman"/>
                      <w:color w:val="auto"/>
                      <w:spacing w:val="5"/>
                      <w:sz w:val="21"/>
                      <w:szCs w:val="21"/>
                      <w:highlight w:val="none"/>
                    </w:rPr>
                    <w:t>0m</w:t>
                  </w:r>
                  <w:r>
                    <w:rPr>
                      <w:rFonts w:hint="eastAsia" w:eastAsia="宋体" w:cs="Times New Roman"/>
                      <w:color w:val="auto"/>
                      <w:spacing w:val="5"/>
                      <w:sz w:val="21"/>
                      <w:szCs w:val="21"/>
                      <w:highlight w:val="none"/>
                      <w:vertAlign w:val="superscript"/>
                      <w:lang w:val="en-US" w:eastAsia="zh-CN"/>
                    </w:rPr>
                    <w:t>3</w:t>
                  </w:r>
                  <w:r>
                    <w:rPr>
                      <w:rFonts w:ascii="Times New Roman" w:hAnsi="Times New Roman" w:eastAsia="Times New Roman" w:cs="Times New Roman"/>
                      <w:color w:val="auto"/>
                      <w:spacing w:val="5"/>
                      <w:sz w:val="21"/>
                      <w:szCs w:val="21"/>
                      <w:highlight w:val="none"/>
                    </w:rPr>
                    <w:t>/h</w:t>
                  </w:r>
                  <w:r>
                    <w:rPr>
                      <w:color w:val="auto"/>
                      <w:spacing w:val="5"/>
                      <w:sz w:val="21"/>
                      <w:szCs w:val="21"/>
                      <w:highlight w:val="none"/>
                    </w:rPr>
                    <w:t>，扬程</w:t>
                  </w:r>
                  <w:r>
                    <w:rPr>
                      <w:rFonts w:ascii="Times New Roman" w:hAnsi="Times New Roman" w:eastAsia="Times New Roman" w:cs="Times New Roman"/>
                      <w:color w:val="auto"/>
                      <w:spacing w:val="5"/>
                      <w:sz w:val="21"/>
                      <w:szCs w:val="21"/>
                      <w:highlight w:val="none"/>
                    </w:rPr>
                    <w:t>60m</w:t>
                  </w:r>
                  <w:r>
                    <w:rPr>
                      <w:color w:val="auto"/>
                      <w:spacing w:val="5"/>
                      <w:sz w:val="21"/>
                      <w:szCs w:val="21"/>
                      <w:highlight w:val="none"/>
                    </w:rPr>
                    <w:t>，电机功率</w:t>
                  </w:r>
                  <w:r>
                    <w:rPr>
                      <w:rFonts w:hint="eastAsia" w:eastAsia="宋体" w:cs="Times New Roman"/>
                      <w:color w:val="auto"/>
                      <w:spacing w:val="5"/>
                      <w:sz w:val="21"/>
                      <w:szCs w:val="21"/>
                      <w:highlight w:val="none"/>
                      <w:lang w:val="en-US" w:eastAsia="zh-CN"/>
                    </w:rPr>
                    <w:t>9</w:t>
                  </w:r>
                  <w:r>
                    <w:rPr>
                      <w:rFonts w:ascii="Times New Roman" w:hAnsi="Times New Roman" w:eastAsia="Times New Roman" w:cs="Times New Roman"/>
                      <w:color w:val="auto"/>
                      <w:spacing w:val="5"/>
                      <w:sz w:val="21"/>
                      <w:szCs w:val="21"/>
                      <w:highlight w:val="none"/>
                    </w:rPr>
                    <w:t>0</w:t>
                  </w:r>
                  <w:r>
                    <w:rPr>
                      <w:rFonts w:ascii="Times New Roman" w:hAnsi="Times New Roman" w:eastAsia="Times New Roman" w:cs="Times New Roman"/>
                      <w:color w:val="auto"/>
                      <w:sz w:val="21"/>
                      <w:szCs w:val="21"/>
                      <w:highlight w:val="none"/>
                    </w:rPr>
                    <w:t>kW</w:t>
                  </w:r>
                  <w:r>
                    <w:rPr>
                      <w:color w:val="auto"/>
                      <w:spacing w:val="5"/>
                      <w:sz w:val="21"/>
                      <w:szCs w:val="21"/>
                      <w:highlight w:val="none"/>
                    </w:rPr>
                    <w:t>）。</w:t>
                  </w:r>
                  <w:r>
                    <w:rPr>
                      <w:rFonts w:hint="eastAsia"/>
                      <w:color w:val="auto"/>
                      <w:spacing w:val="8"/>
                      <w:sz w:val="21"/>
                      <w:szCs w:val="21"/>
                      <w:highlight w:val="none"/>
                      <w:lang w:val="zh-CN"/>
                    </w:rPr>
                    <w:t>通过生产调配，一期可富余＞200</w:t>
                  </w:r>
                  <w:r>
                    <w:rPr>
                      <w:rFonts w:ascii="Times New Roman" w:hAnsi="Times New Roman" w:eastAsia="Times New Roman" w:cs="Times New Roman"/>
                      <w:color w:val="auto"/>
                      <w:spacing w:val="5"/>
                      <w:sz w:val="21"/>
                      <w:szCs w:val="21"/>
                      <w:highlight w:val="none"/>
                    </w:rPr>
                    <w:t>m</w:t>
                  </w:r>
                  <w:r>
                    <w:rPr>
                      <w:rFonts w:hint="eastAsia" w:eastAsia="宋体" w:cs="Times New Roman"/>
                      <w:color w:val="auto"/>
                      <w:spacing w:val="5"/>
                      <w:sz w:val="21"/>
                      <w:szCs w:val="21"/>
                      <w:highlight w:val="none"/>
                      <w:vertAlign w:val="superscript"/>
                      <w:lang w:val="en-US" w:eastAsia="zh-CN"/>
                    </w:rPr>
                    <w:t>3</w:t>
                  </w:r>
                  <w:r>
                    <w:rPr>
                      <w:rFonts w:hint="eastAsia"/>
                      <w:color w:val="auto"/>
                      <w:spacing w:val="8"/>
                      <w:sz w:val="21"/>
                      <w:szCs w:val="21"/>
                      <w:highlight w:val="none"/>
                      <w:lang w:val="zh-CN"/>
                    </w:rPr>
                    <w:t>/h，</w:t>
                  </w:r>
                  <w:r>
                    <w:rPr>
                      <w:rFonts w:hint="eastAsia" w:cs="Times New Roman"/>
                      <w:color w:val="auto"/>
                      <w:sz w:val="21"/>
                      <w:szCs w:val="21"/>
                      <w:highlight w:val="none"/>
                      <w:lang w:val="en-US" w:eastAsia="zh-CN"/>
                    </w:rPr>
                    <w:t>本次利旧。</w:t>
                  </w:r>
                </w:p>
              </w:tc>
              <w:tc>
                <w:tcPr>
                  <w:tcW w:w="678" w:type="pct"/>
                  <w:vMerge w:val="continue"/>
                  <w:vAlign w:val="center"/>
                </w:tcPr>
                <w:p w14:paraId="0DE20812">
                  <w:pPr>
                    <w:jc w:val="center"/>
                    <w:rPr>
                      <w:rFonts w:ascii="Times New Roman" w:hAnsi="Times New Roman" w:eastAsia="宋体" w:cs="Times New Roman"/>
                      <w:color w:val="auto"/>
                      <w:sz w:val="21"/>
                      <w:szCs w:val="21"/>
                      <w:highlight w:val="none"/>
                    </w:rPr>
                  </w:pPr>
                </w:p>
              </w:tc>
              <w:tc>
                <w:tcPr>
                  <w:tcW w:w="640" w:type="pct"/>
                  <w:vAlign w:val="center"/>
                </w:tcPr>
                <w:p w14:paraId="0DD1EC68">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噪声</w:t>
                  </w:r>
                </w:p>
              </w:tc>
              <w:tc>
                <w:tcPr>
                  <w:tcW w:w="483" w:type="pct"/>
                  <w:vAlign w:val="center"/>
                </w:tcPr>
                <w:p w14:paraId="3F9A6A92">
                  <w:pPr>
                    <w:jc w:val="center"/>
                    <w:rPr>
                      <w:rFonts w:hint="eastAsia"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bidi="ar"/>
                    </w:rPr>
                    <w:t>依托</w:t>
                  </w:r>
                </w:p>
              </w:tc>
            </w:tr>
            <w:tr w14:paraId="5BD2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11DF7934">
                  <w:pPr>
                    <w:jc w:val="center"/>
                    <w:rPr>
                      <w:rFonts w:ascii="Times New Roman" w:hAnsi="Times New Roman" w:eastAsia="宋体" w:cs="Times New Roman"/>
                      <w:color w:val="auto"/>
                      <w:sz w:val="21"/>
                      <w:szCs w:val="21"/>
                      <w:highlight w:val="none"/>
                    </w:rPr>
                  </w:pPr>
                </w:p>
              </w:tc>
              <w:tc>
                <w:tcPr>
                  <w:tcW w:w="785" w:type="pct"/>
                  <w:gridSpan w:val="2"/>
                  <w:vAlign w:val="center"/>
                </w:tcPr>
                <w:p w14:paraId="5B1294B2">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消防</w:t>
                  </w:r>
                  <w:r>
                    <w:rPr>
                      <w:rFonts w:hint="eastAsia" w:cs="Times New Roman"/>
                      <w:color w:val="auto"/>
                      <w:sz w:val="21"/>
                      <w:szCs w:val="21"/>
                      <w:highlight w:val="none"/>
                      <w:lang w:val="en-US" w:eastAsia="zh-CN"/>
                    </w:rPr>
                    <w:t>系统</w:t>
                  </w:r>
                </w:p>
              </w:tc>
              <w:tc>
                <w:tcPr>
                  <w:tcW w:w="1996" w:type="pct"/>
                  <w:vAlign w:val="center"/>
                </w:tcPr>
                <w:p w14:paraId="58C29312">
                  <w:pPr>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现有厂区已建2个</w:t>
                  </w:r>
                  <w:r>
                    <w:rPr>
                      <w:rFonts w:hint="eastAsia" w:ascii="Times New Roman" w:hAnsi="Times New Roman" w:eastAsia="宋体" w:cs="Times New Roman"/>
                      <w:color w:val="auto"/>
                      <w:sz w:val="21"/>
                      <w:szCs w:val="21"/>
                      <w:highlight w:val="none"/>
                    </w:rPr>
                    <w:t>1500</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消防水罐，</w:t>
                  </w:r>
                  <w:r>
                    <w:rPr>
                      <w:rFonts w:hint="eastAsia" w:cs="Times New Roman"/>
                      <w:color w:val="auto"/>
                      <w:sz w:val="21"/>
                      <w:szCs w:val="21"/>
                      <w:highlight w:val="none"/>
                      <w:lang w:val="en-US" w:eastAsia="zh-CN"/>
                    </w:rPr>
                    <w:t>2个</w:t>
                  </w:r>
                  <w:r>
                    <w:rPr>
                      <w:rFonts w:hint="eastAsia" w:ascii="Times New Roman" w:hAnsi="Times New Roman" w:eastAsia="宋体" w:cs="Times New Roman"/>
                      <w:color w:val="auto"/>
                      <w:sz w:val="21"/>
                      <w:szCs w:val="21"/>
                      <w:highlight w:val="none"/>
                    </w:rPr>
                    <w:t>消防水泵及配套稳压设施。</w:t>
                  </w:r>
                  <w:r>
                    <w:rPr>
                      <w:rFonts w:hint="eastAsia" w:cs="Times New Roman"/>
                      <w:color w:val="auto"/>
                      <w:sz w:val="21"/>
                      <w:szCs w:val="21"/>
                      <w:highlight w:val="none"/>
                      <w:lang w:val="en-US" w:eastAsia="zh-CN"/>
                    </w:rPr>
                    <w:t>本次利旧。</w:t>
                  </w:r>
                </w:p>
              </w:tc>
              <w:tc>
                <w:tcPr>
                  <w:tcW w:w="678" w:type="pct"/>
                  <w:vMerge w:val="continue"/>
                  <w:vAlign w:val="center"/>
                </w:tcPr>
                <w:p w14:paraId="5AB75988">
                  <w:pPr>
                    <w:jc w:val="center"/>
                    <w:rPr>
                      <w:rFonts w:ascii="Times New Roman" w:hAnsi="Times New Roman" w:eastAsia="宋体" w:cs="Times New Roman"/>
                      <w:color w:val="auto"/>
                      <w:sz w:val="21"/>
                      <w:szCs w:val="21"/>
                      <w:highlight w:val="none"/>
                    </w:rPr>
                  </w:pPr>
                </w:p>
              </w:tc>
              <w:tc>
                <w:tcPr>
                  <w:tcW w:w="640" w:type="pct"/>
                  <w:vAlign w:val="center"/>
                </w:tcPr>
                <w:p w14:paraId="5157BEA2">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3" w:type="pct"/>
                  <w:vAlign w:val="center"/>
                </w:tcPr>
                <w:p w14:paraId="3E3441E1">
                  <w:pPr>
                    <w:jc w:val="center"/>
                    <w:rPr>
                      <w:rFonts w:hint="eastAsia"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bidi="ar"/>
                    </w:rPr>
                    <w:t>依托</w:t>
                  </w:r>
                </w:p>
              </w:tc>
            </w:tr>
            <w:tr w14:paraId="345C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4D0FEA12">
                  <w:pPr>
                    <w:jc w:val="center"/>
                    <w:rPr>
                      <w:rFonts w:ascii="Times New Roman" w:hAnsi="Times New Roman" w:eastAsia="宋体" w:cs="Times New Roman"/>
                      <w:color w:val="auto"/>
                      <w:sz w:val="21"/>
                      <w:szCs w:val="21"/>
                      <w:highlight w:val="none"/>
                    </w:rPr>
                  </w:pPr>
                </w:p>
              </w:tc>
              <w:tc>
                <w:tcPr>
                  <w:tcW w:w="785" w:type="pct"/>
                  <w:gridSpan w:val="2"/>
                  <w:vAlign w:val="center"/>
                </w:tcPr>
                <w:p w14:paraId="5A8CD0DE">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控制系统</w:t>
                  </w:r>
                </w:p>
              </w:tc>
              <w:tc>
                <w:tcPr>
                  <w:tcW w:w="1996" w:type="pct"/>
                  <w:vAlign w:val="center"/>
                </w:tcPr>
                <w:p w14:paraId="0FCF5EB3">
                  <w:pPr>
                    <w:jc w:val="left"/>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现有厂区已建</w:t>
                  </w:r>
                  <w:r>
                    <w:rPr>
                      <w:color w:val="auto"/>
                      <w:spacing w:val="11"/>
                      <w:sz w:val="21"/>
                      <w:szCs w:val="21"/>
                      <w:highlight w:val="none"/>
                    </w:rPr>
                    <w:t>装置控制室</w:t>
                  </w:r>
                  <w:r>
                    <w:rPr>
                      <w:rFonts w:hint="eastAsia"/>
                      <w:color w:val="auto"/>
                      <w:spacing w:val="11"/>
                      <w:sz w:val="21"/>
                      <w:szCs w:val="21"/>
                      <w:highlight w:val="none"/>
                      <w:lang w:eastAsia="zh-CN"/>
                    </w:rPr>
                    <w:t>，</w:t>
                  </w:r>
                  <w:r>
                    <w:rPr>
                      <w:color w:val="auto"/>
                      <w:spacing w:val="11"/>
                      <w:sz w:val="21"/>
                      <w:szCs w:val="21"/>
                      <w:highlight w:val="none"/>
                    </w:rPr>
                    <w:t>采用一套</w:t>
                  </w:r>
                  <w:r>
                    <w:rPr>
                      <w:rFonts w:ascii="Times New Roman" w:hAnsi="Times New Roman" w:eastAsia="Times New Roman" w:cs="Times New Roman"/>
                      <w:color w:val="auto"/>
                      <w:sz w:val="21"/>
                      <w:szCs w:val="21"/>
                      <w:highlight w:val="none"/>
                    </w:rPr>
                    <w:t>DCS</w:t>
                  </w:r>
                  <w:r>
                    <w:rPr>
                      <w:color w:val="auto"/>
                      <w:spacing w:val="11"/>
                      <w:sz w:val="21"/>
                      <w:szCs w:val="21"/>
                      <w:highlight w:val="none"/>
                    </w:rPr>
                    <w:t>系统、</w:t>
                  </w:r>
                  <w:r>
                    <w:rPr>
                      <w:rFonts w:ascii="Times New Roman" w:hAnsi="Times New Roman" w:eastAsia="Times New Roman" w:cs="Times New Roman"/>
                      <w:color w:val="auto"/>
                      <w:sz w:val="21"/>
                      <w:szCs w:val="21"/>
                      <w:highlight w:val="none"/>
                    </w:rPr>
                    <w:t>SIS</w:t>
                  </w:r>
                  <w:r>
                    <w:rPr>
                      <w:color w:val="auto"/>
                      <w:spacing w:val="11"/>
                      <w:sz w:val="21"/>
                      <w:szCs w:val="21"/>
                      <w:highlight w:val="none"/>
                    </w:rPr>
                    <w:t>系统、气体检测系统（</w:t>
                  </w:r>
                  <w:r>
                    <w:rPr>
                      <w:rFonts w:ascii="Times New Roman" w:hAnsi="Times New Roman" w:eastAsia="Times New Roman" w:cs="Times New Roman"/>
                      <w:color w:val="auto"/>
                      <w:sz w:val="21"/>
                      <w:szCs w:val="21"/>
                      <w:highlight w:val="none"/>
                    </w:rPr>
                    <w:t>GDS</w:t>
                  </w:r>
                  <w:r>
                    <w:rPr>
                      <w:color w:val="auto"/>
                      <w:spacing w:val="11"/>
                      <w:sz w:val="21"/>
                      <w:szCs w:val="21"/>
                      <w:highlight w:val="none"/>
                    </w:rPr>
                    <w:t>）。</w:t>
                  </w:r>
                  <w:r>
                    <w:rPr>
                      <w:rFonts w:hint="eastAsia"/>
                      <w:color w:val="auto"/>
                      <w:spacing w:val="11"/>
                      <w:sz w:val="21"/>
                      <w:szCs w:val="21"/>
                      <w:highlight w:val="none"/>
                      <w:lang w:val="en-US" w:eastAsia="zh-CN"/>
                    </w:rPr>
                    <w:t>本次</w:t>
                  </w:r>
                  <w:r>
                    <w:rPr>
                      <w:rFonts w:hint="eastAsia" w:ascii="Times New Roman" w:hAnsi="Times New Roman" w:eastAsia="宋体" w:cs="Times New Roman"/>
                      <w:color w:val="auto"/>
                      <w:kern w:val="0"/>
                      <w:sz w:val="21"/>
                      <w:szCs w:val="21"/>
                      <w:highlight w:val="none"/>
                      <w:lang w:val="en-US" w:eastAsia="zh-CN" w:bidi="ar"/>
                    </w:rPr>
                    <w:t>依托现有</w:t>
                  </w:r>
                  <w:r>
                    <w:rPr>
                      <w:rFonts w:hint="eastAsia" w:ascii="Times New Roman" w:hAnsi="Times New Roman" w:eastAsia="宋体" w:cs="Times New Roman"/>
                      <w:color w:val="auto"/>
                      <w:kern w:val="0"/>
                      <w:sz w:val="21"/>
                      <w:szCs w:val="21"/>
                      <w:highlight w:val="none"/>
                      <w:lang w:bidi="ar"/>
                    </w:rPr>
                    <w:t>DCS</w:t>
                  </w:r>
                  <w:r>
                    <w:rPr>
                      <w:rFonts w:hint="eastAsia" w:ascii="Times New Roman" w:hAnsi="Times New Roman" w:eastAsia="宋体" w:cs="Times New Roman"/>
                      <w:color w:val="auto"/>
                      <w:kern w:val="0"/>
                      <w:sz w:val="21"/>
                      <w:szCs w:val="21"/>
                      <w:highlight w:val="none"/>
                      <w:lang w:val="en-US" w:eastAsia="zh-CN" w:bidi="ar"/>
                    </w:rPr>
                    <w:t>控制系统</w:t>
                  </w:r>
                  <w:r>
                    <w:rPr>
                      <w:rFonts w:hint="eastAsia" w:ascii="Times New Roman" w:hAnsi="Times New Roman" w:eastAsia="宋体" w:cs="Times New Roman"/>
                      <w:color w:val="auto"/>
                      <w:kern w:val="0"/>
                      <w:sz w:val="21"/>
                      <w:szCs w:val="21"/>
                      <w:highlight w:val="none"/>
                      <w:lang w:bidi="ar"/>
                    </w:rPr>
                    <w:t>，增设控制室机柜，机柜放置于车间一侧（独立房间，直通室外），信号通讯至全厂控制室</w:t>
                  </w:r>
                  <w:r>
                    <w:rPr>
                      <w:rFonts w:hint="eastAsia" w:cs="Times New Roman"/>
                      <w:color w:val="auto"/>
                      <w:kern w:val="0"/>
                      <w:sz w:val="21"/>
                      <w:szCs w:val="21"/>
                      <w:highlight w:val="none"/>
                      <w:lang w:eastAsia="zh-CN" w:bidi="ar"/>
                    </w:rPr>
                    <w:t>。</w:t>
                  </w:r>
                </w:p>
              </w:tc>
              <w:tc>
                <w:tcPr>
                  <w:tcW w:w="678" w:type="pct"/>
                  <w:vMerge w:val="continue"/>
                  <w:vAlign w:val="center"/>
                </w:tcPr>
                <w:p w14:paraId="0C623B43">
                  <w:pPr>
                    <w:jc w:val="center"/>
                    <w:rPr>
                      <w:rFonts w:ascii="Times New Roman" w:hAnsi="Times New Roman" w:eastAsia="宋体" w:cs="Times New Roman"/>
                      <w:color w:val="auto"/>
                      <w:sz w:val="21"/>
                      <w:szCs w:val="21"/>
                      <w:highlight w:val="none"/>
                    </w:rPr>
                  </w:pPr>
                </w:p>
              </w:tc>
              <w:tc>
                <w:tcPr>
                  <w:tcW w:w="640" w:type="pct"/>
                  <w:vAlign w:val="center"/>
                </w:tcPr>
                <w:p w14:paraId="15E85DE7">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243F1F94">
                  <w:pPr>
                    <w:widowControl/>
                    <w:spacing w:before="20" w:after="20"/>
                    <w:jc w:val="center"/>
                    <w:textAlignment w:val="center"/>
                    <w:rPr>
                      <w:rFonts w:ascii="Times New Roman" w:hAnsi="Times New Roman" w:eastAsia="宋体" w:cs="Times New Roman"/>
                      <w:color w:val="auto"/>
                      <w:sz w:val="21"/>
                      <w:szCs w:val="21"/>
                      <w:highlight w:val="none"/>
                      <w:u w:val="none"/>
                    </w:rPr>
                  </w:pPr>
                  <w:r>
                    <w:rPr>
                      <w:rFonts w:hint="eastAsia" w:cs="Times New Roman"/>
                      <w:b/>
                      <w:bCs/>
                      <w:color w:val="auto"/>
                      <w:sz w:val="21"/>
                      <w:szCs w:val="21"/>
                      <w:highlight w:val="none"/>
                      <w:u w:val="none"/>
                      <w:lang w:val="en-US" w:eastAsia="zh-CN"/>
                    </w:rPr>
                    <w:t>依托+改造</w:t>
                  </w:r>
                </w:p>
              </w:tc>
            </w:tr>
            <w:tr w14:paraId="4E27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4ADF8D2D">
                  <w:pPr>
                    <w:jc w:val="center"/>
                    <w:rPr>
                      <w:rFonts w:ascii="Times New Roman" w:hAnsi="Times New Roman" w:eastAsia="宋体" w:cs="Times New Roman"/>
                      <w:color w:val="auto"/>
                      <w:sz w:val="21"/>
                      <w:szCs w:val="21"/>
                      <w:highlight w:val="none"/>
                    </w:rPr>
                  </w:pPr>
                </w:p>
              </w:tc>
              <w:tc>
                <w:tcPr>
                  <w:tcW w:w="785" w:type="pct"/>
                  <w:gridSpan w:val="2"/>
                  <w:vAlign w:val="center"/>
                </w:tcPr>
                <w:p w14:paraId="47D4DBC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维修</w:t>
                  </w:r>
                  <w:r>
                    <w:rPr>
                      <w:rFonts w:hint="eastAsia" w:cs="Times New Roman"/>
                      <w:color w:val="auto"/>
                      <w:sz w:val="21"/>
                      <w:szCs w:val="21"/>
                      <w:highlight w:val="none"/>
                      <w:lang w:val="en-US" w:eastAsia="zh-CN"/>
                    </w:rPr>
                    <w:t>间</w:t>
                  </w:r>
                </w:p>
              </w:tc>
              <w:tc>
                <w:tcPr>
                  <w:tcW w:w="1996" w:type="pct"/>
                  <w:vAlign w:val="center"/>
                </w:tcPr>
                <w:p w14:paraId="341E1300">
                  <w:pPr>
                    <w:jc w:val="left"/>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新建一个维修间，</w:t>
                  </w:r>
                  <w:r>
                    <w:rPr>
                      <w:rFonts w:hint="eastAsia" w:ascii="Times New Roman" w:hAnsi="Times New Roman" w:eastAsia="宋体" w:cs="Times New Roman"/>
                      <w:color w:val="auto"/>
                      <w:kern w:val="0"/>
                      <w:sz w:val="21"/>
                      <w:szCs w:val="21"/>
                      <w:highlight w:val="none"/>
                      <w:lang w:bidi="ar"/>
                    </w:rPr>
                    <w:t>位于</w:t>
                  </w:r>
                  <w:r>
                    <w:rPr>
                      <w:rFonts w:hint="eastAsia" w:cs="Times New Roman"/>
                      <w:color w:val="auto"/>
                      <w:kern w:val="0"/>
                      <w:sz w:val="21"/>
                      <w:szCs w:val="21"/>
                      <w:highlight w:val="none"/>
                      <w:lang w:val="en-US" w:eastAsia="zh-CN" w:bidi="ar"/>
                    </w:rPr>
                    <w:t>现有</w:t>
                  </w:r>
                  <w:r>
                    <w:rPr>
                      <w:rFonts w:hint="eastAsia" w:ascii="Times New Roman" w:hAnsi="Times New Roman" w:eastAsia="宋体" w:cs="Times New Roman"/>
                      <w:color w:val="auto"/>
                      <w:kern w:val="0"/>
                      <w:sz w:val="21"/>
                      <w:szCs w:val="21"/>
                      <w:highlight w:val="none"/>
                      <w:lang w:val="en-US" w:eastAsia="zh-CN" w:bidi="ar"/>
                    </w:rPr>
                    <w:t>丙类</w:t>
                  </w:r>
                  <w:r>
                    <w:rPr>
                      <w:rFonts w:hint="eastAsia" w:cs="Times New Roman"/>
                      <w:color w:val="auto"/>
                      <w:kern w:val="0"/>
                      <w:sz w:val="21"/>
                      <w:szCs w:val="21"/>
                      <w:highlight w:val="none"/>
                      <w:lang w:val="en-US" w:eastAsia="zh-CN" w:bidi="ar"/>
                    </w:rPr>
                    <w:t>物品</w:t>
                  </w:r>
                  <w:r>
                    <w:rPr>
                      <w:rFonts w:hint="eastAsia" w:ascii="Times New Roman" w:hAnsi="Times New Roman" w:eastAsia="宋体" w:cs="Times New Roman"/>
                      <w:color w:val="auto"/>
                      <w:kern w:val="0"/>
                      <w:sz w:val="21"/>
                      <w:szCs w:val="21"/>
                      <w:highlight w:val="none"/>
                      <w:lang w:val="en-US" w:eastAsia="zh-CN" w:bidi="ar"/>
                    </w:rPr>
                    <w:t>仓库</w:t>
                  </w:r>
                  <w:r>
                    <w:rPr>
                      <w:rFonts w:hint="eastAsia" w:ascii="Times New Roman" w:hAnsi="Times New Roman" w:eastAsia="宋体" w:cs="Times New Roman"/>
                      <w:color w:val="auto"/>
                      <w:kern w:val="0"/>
                      <w:sz w:val="21"/>
                      <w:szCs w:val="21"/>
                      <w:highlight w:val="none"/>
                      <w:lang w:bidi="ar"/>
                    </w:rPr>
                    <w:t>南侧，建筑面积</w:t>
                  </w:r>
                  <w:r>
                    <w:rPr>
                      <w:rFonts w:hint="eastAsia" w:ascii="Times New Roman" w:hAnsi="Times New Roman" w:eastAsia="宋体" w:cs="Times New Roman"/>
                      <w:color w:val="auto"/>
                      <w:kern w:val="0"/>
                      <w:sz w:val="21"/>
                      <w:szCs w:val="21"/>
                      <w:highlight w:val="none"/>
                      <w:lang w:val="en-US" w:eastAsia="zh-CN" w:bidi="ar"/>
                    </w:rPr>
                    <w:t>67.5</w:t>
                  </w:r>
                  <w:r>
                    <w:rPr>
                      <w:rFonts w:hint="eastAsia" w:cs="Times New Roman"/>
                      <w:color w:val="auto"/>
                      <w:kern w:val="0"/>
                      <w:sz w:val="21"/>
                      <w:szCs w:val="21"/>
                      <w:highlight w:val="none"/>
                      <w:lang w:val="en-US" w:eastAsia="zh-CN" w:bidi="ar"/>
                    </w:rPr>
                    <w:t>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lang w:eastAsia="zh-CN" w:bidi="ar"/>
                    </w:rPr>
                    <w:t>。</w:t>
                  </w:r>
                </w:p>
              </w:tc>
              <w:tc>
                <w:tcPr>
                  <w:tcW w:w="678" w:type="pct"/>
                  <w:vMerge w:val="continue"/>
                  <w:vAlign w:val="center"/>
                </w:tcPr>
                <w:p w14:paraId="1B5273E3">
                  <w:pPr>
                    <w:jc w:val="center"/>
                    <w:rPr>
                      <w:rFonts w:ascii="Times New Roman" w:hAnsi="Times New Roman" w:eastAsia="宋体" w:cs="Times New Roman"/>
                      <w:color w:val="auto"/>
                      <w:sz w:val="21"/>
                      <w:szCs w:val="21"/>
                      <w:highlight w:val="none"/>
                    </w:rPr>
                  </w:pPr>
                </w:p>
              </w:tc>
              <w:tc>
                <w:tcPr>
                  <w:tcW w:w="640" w:type="pct"/>
                  <w:vAlign w:val="center"/>
                </w:tcPr>
                <w:p w14:paraId="5B29878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维修固废</w:t>
                  </w:r>
                </w:p>
              </w:tc>
              <w:tc>
                <w:tcPr>
                  <w:tcW w:w="483" w:type="pct"/>
                  <w:vAlign w:val="center"/>
                </w:tcPr>
                <w:p w14:paraId="0EB3115D">
                  <w:pPr>
                    <w:widowControl/>
                    <w:spacing w:before="20" w:after="20"/>
                    <w:jc w:val="center"/>
                    <w:textAlignment w:val="center"/>
                    <w:rPr>
                      <w:rFonts w:ascii="Times New Roman" w:hAnsi="Times New Roman" w:eastAsia="宋体" w:cs="Times New Roman"/>
                      <w:color w:val="auto"/>
                      <w:sz w:val="21"/>
                      <w:szCs w:val="21"/>
                      <w:highlight w:val="none"/>
                      <w:u w:val="none"/>
                    </w:rPr>
                  </w:pPr>
                  <w:r>
                    <w:rPr>
                      <w:rFonts w:hint="eastAsia" w:cs="Times New Roman"/>
                      <w:b/>
                      <w:bCs/>
                      <w:color w:val="auto"/>
                      <w:sz w:val="21"/>
                      <w:szCs w:val="21"/>
                      <w:highlight w:val="none"/>
                      <w:u w:val="none"/>
                      <w:lang w:val="en-US" w:eastAsia="zh-CN"/>
                    </w:rPr>
                    <w:t>新增</w:t>
                  </w:r>
                </w:p>
              </w:tc>
            </w:tr>
            <w:tr w14:paraId="4909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0DC86A41">
                  <w:pPr>
                    <w:jc w:val="center"/>
                    <w:rPr>
                      <w:rFonts w:ascii="Times New Roman" w:hAnsi="Times New Roman" w:eastAsia="宋体" w:cs="Times New Roman"/>
                      <w:color w:val="auto"/>
                      <w:sz w:val="21"/>
                      <w:szCs w:val="21"/>
                      <w:highlight w:val="none"/>
                    </w:rPr>
                  </w:pPr>
                </w:p>
              </w:tc>
              <w:tc>
                <w:tcPr>
                  <w:tcW w:w="785" w:type="pct"/>
                  <w:gridSpan w:val="2"/>
                  <w:vAlign w:val="center"/>
                </w:tcPr>
                <w:p w14:paraId="611FE4F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分析化验</w:t>
                  </w:r>
                  <w:r>
                    <w:rPr>
                      <w:rFonts w:hint="eastAsia" w:cs="Times New Roman"/>
                      <w:color w:val="auto"/>
                      <w:sz w:val="21"/>
                      <w:szCs w:val="21"/>
                      <w:highlight w:val="none"/>
                      <w:lang w:val="en-US" w:eastAsia="zh-CN"/>
                    </w:rPr>
                    <w:t>室</w:t>
                  </w:r>
                </w:p>
              </w:tc>
              <w:tc>
                <w:tcPr>
                  <w:tcW w:w="1996" w:type="pct"/>
                  <w:vAlign w:val="center"/>
                </w:tcPr>
                <w:p w14:paraId="07A0116F">
                  <w:pPr>
                    <w:jc w:val="left"/>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新建一个分析化验室，</w:t>
                  </w:r>
                  <w:r>
                    <w:rPr>
                      <w:rFonts w:hint="eastAsia" w:ascii="Times New Roman" w:hAnsi="Times New Roman" w:eastAsia="宋体" w:cs="Times New Roman"/>
                      <w:color w:val="auto"/>
                      <w:kern w:val="0"/>
                      <w:sz w:val="21"/>
                      <w:szCs w:val="21"/>
                      <w:highlight w:val="none"/>
                      <w:lang w:bidi="ar"/>
                    </w:rPr>
                    <w:t>位于生产车间</w:t>
                  </w:r>
                  <w:r>
                    <w:rPr>
                      <w:rFonts w:hint="eastAsia" w:cs="Times New Roman"/>
                      <w:color w:val="auto"/>
                      <w:kern w:val="0"/>
                      <w:sz w:val="21"/>
                      <w:szCs w:val="21"/>
                      <w:highlight w:val="none"/>
                      <w:lang w:val="en-US" w:eastAsia="zh-CN" w:bidi="ar"/>
                    </w:rPr>
                    <w:t>内南侧</w:t>
                  </w:r>
                  <w:r>
                    <w:rPr>
                      <w:rFonts w:hint="eastAsia" w:ascii="Times New Roman" w:hAnsi="Times New Roman" w:eastAsia="宋体" w:cs="Times New Roman"/>
                      <w:color w:val="auto"/>
                      <w:kern w:val="0"/>
                      <w:sz w:val="21"/>
                      <w:szCs w:val="21"/>
                      <w:highlight w:val="none"/>
                      <w:lang w:bidi="ar"/>
                    </w:rPr>
                    <w:t>（独立房间，直通室外），</w:t>
                  </w:r>
                  <w:r>
                    <w:rPr>
                      <w:rFonts w:hint="eastAsia" w:cs="Times New Roman"/>
                      <w:color w:val="auto"/>
                      <w:kern w:val="0"/>
                      <w:sz w:val="21"/>
                      <w:szCs w:val="21"/>
                      <w:highlight w:val="none"/>
                      <w:lang w:val="en-US" w:eastAsia="zh-CN" w:bidi="ar"/>
                    </w:rPr>
                    <w:t>用于本</w:t>
                  </w:r>
                  <w:r>
                    <w:rPr>
                      <w:rFonts w:hint="eastAsia" w:ascii="Times New Roman" w:hAnsi="Times New Roman" w:eastAsia="宋体" w:cs="Times New Roman"/>
                      <w:color w:val="auto"/>
                      <w:kern w:val="0"/>
                      <w:sz w:val="21"/>
                      <w:szCs w:val="21"/>
                      <w:highlight w:val="none"/>
                      <w:lang w:bidi="ar"/>
                    </w:rPr>
                    <w:t>项目原料及产品的各项分析工作，主要化验设备为质谱仪等。</w:t>
                  </w:r>
                </w:p>
              </w:tc>
              <w:tc>
                <w:tcPr>
                  <w:tcW w:w="678" w:type="pct"/>
                  <w:vMerge w:val="continue"/>
                  <w:vAlign w:val="center"/>
                </w:tcPr>
                <w:p w14:paraId="16C8B461">
                  <w:pPr>
                    <w:jc w:val="center"/>
                    <w:rPr>
                      <w:rFonts w:ascii="Times New Roman" w:hAnsi="Times New Roman" w:eastAsia="宋体" w:cs="Times New Roman"/>
                      <w:color w:val="auto"/>
                      <w:sz w:val="21"/>
                      <w:szCs w:val="21"/>
                      <w:highlight w:val="none"/>
                    </w:rPr>
                  </w:pPr>
                </w:p>
              </w:tc>
              <w:tc>
                <w:tcPr>
                  <w:tcW w:w="640" w:type="pct"/>
                  <w:vAlign w:val="center"/>
                </w:tcPr>
                <w:p w14:paraId="7C3CC21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3" w:type="pct"/>
                  <w:vAlign w:val="center"/>
                </w:tcPr>
                <w:p w14:paraId="336F5310">
                  <w:pPr>
                    <w:widowControl/>
                    <w:spacing w:before="20" w:after="20"/>
                    <w:jc w:val="center"/>
                    <w:textAlignment w:val="center"/>
                    <w:rPr>
                      <w:rFonts w:ascii="Times New Roman" w:hAnsi="Times New Roman" w:eastAsia="宋体" w:cs="Times New Roman"/>
                      <w:color w:val="auto"/>
                      <w:sz w:val="21"/>
                      <w:szCs w:val="21"/>
                      <w:highlight w:val="none"/>
                      <w:u w:val="none"/>
                    </w:rPr>
                  </w:pPr>
                  <w:r>
                    <w:rPr>
                      <w:rFonts w:hint="eastAsia" w:cs="Times New Roman"/>
                      <w:b/>
                      <w:bCs/>
                      <w:color w:val="auto"/>
                      <w:sz w:val="21"/>
                      <w:szCs w:val="21"/>
                      <w:highlight w:val="none"/>
                      <w:u w:val="none"/>
                      <w:lang w:val="en-US" w:eastAsia="zh-CN"/>
                    </w:rPr>
                    <w:t>/</w:t>
                  </w:r>
                </w:p>
              </w:tc>
            </w:tr>
            <w:tr w14:paraId="5D0C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Align w:val="center"/>
                </w:tcPr>
                <w:p w14:paraId="668CE6C7">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办公及生活设施</w:t>
                  </w:r>
                </w:p>
              </w:tc>
              <w:tc>
                <w:tcPr>
                  <w:tcW w:w="785" w:type="pct"/>
                  <w:gridSpan w:val="2"/>
                  <w:vAlign w:val="center"/>
                </w:tcPr>
                <w:p w14:paraId="2FC09BCD">
                  <w:pPr>
                    <w:jc w:val="center"/>
                    <w:rPr>
                      <w:rFonts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综合</w:t>
                  </w:r>
                  <w:r>
                    <w:rPr>
                      <w:rFonts w:ascii="Times New Roman" w:hAnsi="Times New Roman" w:eastAsia="宋体" w:cs="Times New Roman"/>
                      <w:color w:val="auto"/>
                      <w:sz w:val="21"/>
                      <w:szCs w:val="21"/>
                      <w:highlight w:val="none"/>
                    </w:rPr>
                    <w:t>办公楼</w:t>
                  </w:r>
                </w:p>
              </w:tc>
              <w:tc>
                <w:tcPr>
                  <w:tcW w:w="1996" w:type="pct"/>
                  <w:vAlign w:val="center"/>
                </w:tcPr>
                <w:p w14:paraId="2280790E">
                  <w:pPr>
                    <w:jc w:val="left"/>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现有厂区已建1栋综合办公楼，占地约630m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，内设化分室、药品库以及员工办公室及食堂。本次员工生活办公等利旧。</w:t>
                  </w:r>
                </w:p>
              </w:tc>
              <w:tc>
                <w:tcPr>
                  <w:tcW w:w="678" w:type="pct"/>
                  <w:vMerge w:val="continue"/>
                  <w:vAlign w:val="center"/>
                </w:tcPr>
                <w:p w14:paraId="492AFBFE">
                  <w:pPr>
                    <w:jc w:val="center"/>
                    <w:rPr>
                      <w:rFonts w:ascii="Times New Roman" w:hAnsi="Times New Roman" w:eastAsia="宋体" w:cs="Times New Roman"/>
                      <w:color w:val="auto"/>
                      <w:sz w:val="21"/>
                      <w:szCs w:val="21"/>
                      <w:highlight w:val="none"/>
                    </w:rPr>
                  </w:pPr>
                </w:p>
              </w:tc>
              <w:tc>
                <w:tcPr>
                  <w:tcW w:w="640" w:type="pct"/>
                  <w:vAlign w:val="center"/>
                </w:tcPr>
                <w:p w14:paraId="6301E98A">
                  <w:pPr>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生活垃圾、生活污水</w:t>
                  </w:r>
                </w:p>
              </w:tc>
              <w:tc>
                <w:tcPr>
                  <w:tcW w:w="483" w:type="pct"/>
                  <w:vAlign w:val="center"/>
                </w:tcPr>
                <w:p w14:paraId="2B794DE5">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依托</w:t>
                  </w:r>
                </w:p>
              </w:tc>
            </w:tr>
            <w:tr w14:paraId="790B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restart"/>
                  <w:vAlign w:val="center"/>
                </w:tcPr>
                <w:p w14:paraId="5421740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储运工程</w:t>
                  </w:r>
                </w:p>
              </w:tc>
              <w:tc>
                <w:tcPr>
                  <w:tcW w:w="785" w:type="pct"/>
                  <w:gridSpan w:val="2"/>
                  <w:vAlign w:val="center"/>
                </w:tcPr>
                <w:p w14:paraId="7A86F182">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备件库</w:t>
                  </w:r>
                </w:p>
              </w:tc>
              <w:tc>
                <w:tcPr>
                  <w:tcW w:w="1996" w:type="pct"/>
                  <w:vAlign w:val="center"/>
                </w:tcPr>
                <w:p w14:paraId="09A50080">
                  <w:pPr>
                    <w:widowControl/>
                    <w:spacing w:before="20" w:after="20"/>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位于</w:t>
                  </w:r>
                  <w:r>
                    <w:rPr>
                      <w:rFonts w:hint="default" w:ascii="Times New Roman" w:hAnsi="Times New Roman" w:eastAsia="宋体" w:cs="Times New Roman"/>
                      <w:color w:val="auto"/>
                      <w:kern w:val="0"/>
                      <w:sz w:val="21"/>
                      <w:szCs w:val="21"/>
                      <w:highlight w:val="none"/>
                      <w:lang w:val="en-US" w:eastAsia="zh-CN" w:bidi="ar"/>
                    </w:rPr>
                    <w:t>厂区</w:t>
                  </w:r>
                  <w:r>
                    <w:rPr>
                      <w:rFonts w:hint="default" w:ascii="Times New Roman" w:hAnsi="Times New Roman" w:eastAsia="宋体" w:cs="Times New Roman"/>
                      <w:color w:val="auto"/>
                      <w:kern w:val="0"/>
                      <w:sz w:val="21"/>
                      <w:szCs w:val="21"/>
                      <w:highlight w:val="none"/>
                      <w:lang w:bidi="ar"/>
                    </w:rPr>
                    <w:t>污水处理站东侧，</w:t>
                  </w:r>
                  <w:r>
                    <w:rPr>
                      <w:rFonts w:hint="default" w:ascii="Times New Roman" w:hAnsi="Times New Roman" w:eastAsia="宋体" w:cs="Times New Roman"/>
                      <w:color w:val="auto"/>
                      <w:kern w:val="0"/>
                      <w:sz w:val="21"/>
                      <w:szCs w:val="21"/>
                      <w:highlight w:val="none"/>
                      <w:lang w:val="en-US" w:eastAsia="zh-CN" w:bidi="ar"/>
                    </w:rPr>
                    <w:t>新建</w:t>
                  </w:r>
                  <w:r>
                    <w:rPr>
                      <w:rFonts w:hint="eastAsia" w:cs="Times New Roman"/>
                      <w:color w:val="auto"/>
                      <w:kern w:val="0"/>
                      <w:sz w:val="21"/>
                      <w:szCs w:val="21"/>
                      <w:highlight w:val="none"/>
                      <w:lang w:val="en-US" w:eastAsia="zh-CN" w:bidi="ar"/>
                    </w:rPr>
                    <w:t>危废贮存库</w:t>
                  </w:r>
                  <w:r>
                    <w:rPr>
                      <w:rFonts w:hint="default" w:ascii="Times New Roman" w:hAnsi="Times New Roman" w:eastAsia="宋体" w:cs="Times New Roman"/>
                      <w:color w:val="auto"/>
                      <w:kern w:val="0"/>
                      <w:sz w:val="21"/>
                      <w:szCs w:val="21"/>
                      <w:highlight w:val="none"/>
                      <w:lang w:val="en-US" w:eastAsia="zh-CN" w:bidi="ar"/>
                    </w:rPr>
                    <w:t>北侧，</w:t>
                  </w:r>
                  <w:r>
                    <w:rPr>
                      <w:rFonts w:hint="default" w:ascii="Times New Roman" w:hAnsi="Times New Roman" w:eastAsia="宋体" w:cs="Times New Roman"/>
                      <w:color w:val="auto"/>
                      <w:kern w:val="0"/>
                      <w:sz w:val="21"/>
                      <w:szCs w:val="21"/>
                      <w:highlight w:val="none"/>
                      <w:lang w:bidi="ar"/>
                    </w:rPr>
                    <w:t>建筑面积280m</w:t>
                  </w:r>
                  <w:r>
                    <w:rPr>
                      <w:rFonts w:hint="eastAsia"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eastAsia="zh-CN" w:bidi="ar"/>
                    </w:rPr>
                    <w:t>。</w:t>
                  </w:r>
                </w:p>
              </w:tc>
              <w:tc>
                <w:tcPr>
                  <w:tcW w:w="678" w:type="pct"/>
                  <w:vMerge w:val="continue"/>
                  <w:vAlign w:val="center"/>
                </w:tcPr>
                <w:p w14:paraId="43532256">
                  <w:pPr>
                    <w:jc w:val="center"/>
                    <w:rPr>
                      <w:rFonts w:ascii="Times New Roman" w:hAnsi="Times New Roman" w:eastAsia="宋体" w:cs="Times New Roman"/>
                      <w:color w:val="auto"/>
                      <w:sz w:val="21"/>
                      <w:szCs w:val="21"/>
                      <w:highlight w:val="none"/>
                    </w:rPr>
                  </w:pPr>
                </w:p>
              </w:tc>
              <w:tc>
                <w:tcPr>
                  <w:tcW w:w="640" w:type="pct"/>
                  <w:vAlign w:val="center"/>
                </w:tcPr>
                <w:p w14:paraId="2E92A978">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0149F69F">
                  <w:pPr>
                    <w:jc w:val="center"/>
                    <w:rPr>
                      <w:rFonts w:hint="eastAsia" w:ascii="Times New Roman" w:hAnsi="Times New Roman" w:eastAsia="宋体" w:cs="Times New Roman"/>
                      <w:color w:val="auto"/>
                      <w:sz w:val="21"/>
                      <w:szCs w:val="21"/>
                      <w:highlight w:val="none"/>
                      <w:lang w:eastAsia="zh-CN"/>
                    </w:rPr>
                  </w:pPr>
                  <w:r>
                    <w:rPr>
                      <w:rFonts w:hint="eastAsia" w:cs="Times New Roman"/>
                      <w:b/>
                      <w:bCs/>
                      <w:color w:val="auto"/>
                      <w:sz w:val="21"/>
                      <w:szCs w:val="21"/>
                      <w:highlight w:val="none"/>
                      <w:lang w:val="en-US" w:eastAsia="zh-CN"/>
                    </w:rPr>
                    <w:t>新增</w:t>
                  </w:r>
                </w:p>
              </w:tc>
            </w:tr>
            <w:tr w14:paraId="0225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242D2C1F">
                  <w:pPr>
                    <w:jc w:val="center"/>
                    <w:rPr>
                      <w:rFonts w:ascii="Times New Roman" w:hAnsi="Times New Roman" w:eastAsia="宋体" w:cs="Times New Roman"/>
                      <w:color w:val="auto"/>
                      <w:sz w:val="21"/>
                      <w:szCs w:val="21"/>
                      <w:highlight w:val="none"/>
                    </w:rPr>
                  </w:pPr>
                </w:p>
              </w:tc>
              <w:tc>
                <w:tcPr>
                  <w:tcW w:w="785" w:type="pct"/>
                  <w:gridSpan w:val="2"/>
                  <w:vAlign w:val="center"/>
                </w:tcPr>
                <w:p w14:paraId="58FF9933">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丙类仓库</w:t>
                  </w:r>
                </w:p>
              </w:tc>
              <w:tc>
                <w:tcPr>
                  <w:tcW w:w="1996" w:type="pct"/>
                  <w:vAlign w:val="center"/>
                </w:tcPr>
                <w:p w14:paraId="00F2535D">
                  <w:pPr>
                    <w:widowControl/>
                    <w:tabs>
                      <w:tab w:val="left" w:pos="1279"/>
                    </w:tabs>
                    <w:spacing w:before="20" w:after="20"/>
                    <w:jc w:val="left"/>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现有厂区已建一个丙类仓库，即产品库房，</w:t>
                  </w:r>
                  <w:r>
                    <w:rPr>
                      <w:rFonts w:hint="eastAsia" w:cs="Times New Roman"/>
                      <w:color w:val="auto"/>
                      <w:sz w:val="21"/>
                      <w:szCs w:val="21"/>
                      <w:highlight w:val="none"/>
                      <w:lang w:val="en-US" w:eastAsia="zh-CN"/>
                    </w:rPr>
                    <w:t>位于卸车台东侧，现有原料储罐区南侧，建筑面积</w:t>
                  </w:r>
                  <w:r>
                    <w:rPr>
                      <w:rFonts w:hint="default" w:ascii="Times New Roman" w:hAnsi="Times New Roman" w:eastAsia="宋体" w:cs="Times New Roman"/>
                      <w:color w:val="auto"/>
                      <w:kern w:val="0"/>
                      <w:sz w:val="21"/>
                      <w:szCs w:val="21"/>
                      <w:highlight w:val="none"/>
                      <w:lang w:bidi="ar"/>
                    </w:rPr>
                    <w:t>1260m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lang w:bidi="ar"/>
                    </w:rPr>
                    <w:t>为满足本次技改项目</w:t>
                  </w:r>
                  <w:r>
                    <w:rPr>
                      <w:rFonts w:hint="eastAsia" w:cs="Times New Roman"/>
                      <w:color w:val="auto"/>
                      <w:kern w:val="0"/>
                      <w:sz w:val="21"/>
                      <w:szCs w:val="21"/>
                      <w:highlight w:val="none"/>
                      <w:lang w:val="en-US" w:eastAsia="zh-CN" w:bidi="ar"/>
                    </w:rPr>
                    <w:t>三乙醇胺及N-甲基一乙醇胺提纯后</w:t>
                  </w:r>
                  <w:r>
                    <w:rPr>
                      <w:rFonts w:hint="default" w:ascii="Times New Roman" w:hAnsi="Times New Roman" w:eastAsia="宋体" w:cs="Times New Roman"/>
                      <w:color w:val="auto"/>
                      <w:kern w:val="0"/>
                      <w:sz w:val="21"/>
                      <w:szCs w:val="21"/>
                      <w:highlight w:val="none"/>
                      <w:lang w:bidi="ar"/>
                    </w:rPr>
                    <w:t>产品的仓储要求，对</w:t>
                  </w:r>
                  <w:r>
                    <w:rPr>
                      <w:rFonts w:hint="eastAsia" w:cs="Times New Roman"/>
                      <w:color w:val="auto"/>
                      <w:kern w:val="0"/>
                      <w:sz w:val="21"/>
                      <w:szCs w:val="21"/>
                      <w:highlight w:val="none"/>
                      <w:lang w:val="en-US" w:eastAsia="zh-CN" w:bidi="ar"/>
                    </w:rPr>
                    <w:t>现</w:t>
                  </w:r>
                  <w:r>
                    <w:rPr>
                      <w:rFonts w:hint="default" w:ascii="Times New Roman" w:hAnsi="Times New Roman" w:eastAsia="宋体" w:cs="Times New Roman"/>
                      <w:color w:val="auto"/>
                      <w:kern w:val="0"/>
                      <w:sz w:val="21"/>
                      <w:szCs w:val="21"/>
                      <w:highlight w:val="none"/>
                      <w:lang w:bidi="ar"/>
                    </w:rPr>
                    <w:t>有丙类仓库</w:t>
                  </w:r>
                  <w:r>
                    <w:rPr>
                      <w:rFonts w:hint="eastAsia" w:cs="Times New Roman"/>
                      <w:color w:val="auto"/>
                      <w:kern w:val="0"/>
                      <w:sz w:val="21"/>
                      <w:szCs w:val="21"/>
                      <w:highlight w:val="none"/>
                      <w:lang w:val="en-US" w:eastAsia="zh-CN" w:bidi="ar"/>
                    </w:rPr>
                    <w:t>进行</w:t>
                  </w:r>
                  <w:r>
                    <w:rPr>
                      <w:rFonts w:hint="default" w:ascii="Times New Roman" w:hAnsi="Times New Roman" w:eastAsia="宋体" w:cs="Times New Roman"/>
                      <w:color w:val="auto"/>
                      <w:kern w:val="0"/>
                      <w:sz w:val="21"/>
                      <w:szCs w:val="21"/>
                      <w:highlight w:val="none"/>
                      <w:lang w:bidi="ar"/>
                    </w:rPr>
                    <w:t>内部局部改造</w:t>
                  </w:r>
                  <w:r>
                    <w:rPr>
                      <w:rFonts w:hint="eastAsia" w:ascii="Times New Roman" w:hAnsi="Times New Roman" w:eastAsia="宋体" w:cs="Times New Roman"/>
                      <w:color w:val="auto"/>
                      <w:kern w:val="0"/>
                      <w:sz w:val="21"/>
                      <w:szCs w:val="21"/>
                      <w:highlight w:val="none"/>
                      <w:lang w:eastAsia="zh-CN" w:bidi="ar"/>
                    </w:rPr>
                    <w:t>，</w:t>
                  </w:r>
                  <w:r>
                    <w:rPr>
                      <w:rFonts w:hint="eastAsia" w:ascii="Times New Roman" w:hAnsi="Times New Roman" w:eastAsia="宋体" w:cs="Times New Roman"/>
                      <w:color w:val="auto"/>
                      <w:kern w:val="0"/>
                      <w:sz w:val="21"/>
                      <w:szCs w:val="21"/>
                      <w:highlight w:val="none"/>
                      <w:lang w:val="en-US" w:eastAsia="zh-CN" w:bidi="ar"/>
                    </w:rPr>
                    <w:t>提升其内部洁净度</w:t>
                  </w:r>
                  <w:r>
                    <w:rPr>
                      <w:rFonts w:hint="eastAsia" w:cs="Times New Roman"/>
                      <w:color w:val="auto"/>
                      <w:kern w:val="0"/>
                      <w:sz w:val="21"/>
                      <w:szCs w:val="21"/>
                      <w:highlight w:val="none"/>
                      <w:lang w:val="en-US" w:eastAsia="zh-CN" w:bidi="ar"/>
                    </w:rPr>
                    <w:t>，技改后提纯的三乙醇胺和N-甲基一乙醇胺产品、副产品均采用桶装（200L/个高洁净免洗HDPE桶若干）贮存在库房内，现有产品仓库储存保持不变（桶装储存）。</w:t>
                  </w:r>
                </w:p>
              </w:tc>
              <w:tc>
                <w:tcPr>
                  <w:tcW w:w="678" w:type="pct"/>
                  <w:vMerge w:val="continue"/>
                  <w:vAlign w:val="center"/>
                </w:tcPr>
                <w:p w14:paraId="137C8051">
                  <w:pPr>
                    <w:jc w:val="center"/>
                    <w:rPr>
                      <w:rFonts w:ascii="Times New Roman" w:hAnsi="Times New Roman" w:eastAsia="宋体" w:cs="Times New Roman"/>
                      <w:color w:val="auto"/>
                      <w:sz w:val="21"/>
                      <w:szCs w:val="21"/>
                      <w:highlight w:val="none"/>
                    </w:rPr>
                  </w:pPr>
                </w:p>
              </w:tc>
              <w:tc>
                <w:tcPr>
                  <w:tcW w:w="640" w:type="pct"/>
                  <w:vAlign w:val="center"/>
                </w:tcPr>
                <w:p w14:paraId="44B268C3">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624F4F92">
                  <w:pPr>
                    <w:jc w:val="center"/>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改造</w:t>
                  </w:r>
                </w:p>
              </w:tc>
            </w:tr>
            <w:tr w14:paraId="0615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6F05F787">
                  <w:pPr>
                    <w:jc w:val="center"/>
                    <w:rPr>
                      <w:rFonts w:ascii="Times New Roman" w:hAnsi="Times New Roman" w:eastAsia="宋体" w:cs="Times New Roman"/>
                      <w:color w:val="auto"/>
                      <w:sz w:val="21"/>
                      <w:szCs w:val="21"/>
                      <w:highlight w:val="none"/>
                    </w:rPr>
                  </w:pPr>
                </w:p>
              </w:tc>
              <w:tc>
                <w:tcPr>
                  <w:tcW w:w="785" w:type="pct"/>
                  <w:gridSpan w:val="2"/>
                  <w:vAlign w:val="center"/>
                </w:tcPr>
                <w:p w14:paraId="06CA0D23">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罐区</w:t>
                  </w:r>
                </w:p>
              </w:tc>
              <w:tc>
                <w:tcPr>
                  <w:tcW w:w="1996" w:type="pct"/>
                  <w:vAlign w:val="center"/>
                </w:tcPr>
                <w:p w14:paraId="4D1DD622">
                  <w:pPr>
                    <w:widowControl/>
                    <w:tabs>
                      <w:tab w:val="left" w:pos="1279"/>
                    </w:tabs>
                    <w:spacing w:before="20" w:after="20"/>
                    <w:jc w:val="left"/>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位于新建生产车间内，其中原料罐设1个，50m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val="en-US" w:eastAsia="zh-CN" w:bidi="ar"/>
                    </w:rPr>
                    <w:t>，用于暂存蒸馏原料，即现有工程的纯度≥99.5%的三乙醇胺或纯度≥99.3%的N-甲基一乙醇胺；产品罐设2个，其中1个为50m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的</w:t>
                  </w:r>
                  <w:r>
                    <w:rPr>
                      <w:rFonts w:hint="eastAsia" w:cs="Times New Roman"/>
                      <w:color w:val="auto"/>
                      <w:kern w:val="0"/>
                      <w:sz w:val="21"/>
                      <w:szCs w:val="21"/>
                      <w:highlight w:val="none"/>
                      <w:lang w:val="en-US" w:eastAsia="zh-CN" w:bidi="ar"/>
                    </w:rPr>
                    <w:t>高沸物罐，即副产品储罐，缓存纯度≥99%的三乙醇胺或N-甲基一乙醇胺，1个30m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的</w:t>
                  </w:r>
                  <w:r>
                    <w:rPr>
                      <w:rFonts w:hint="eastAsia" w:cs="Times New Roman"/>
                      <w:color w:val="auto"/>
                      <w:kern w:val="0"/>
                      <w:sz w:val="21"/>
                      <w:szCs w:val="21"/>
                      <w:highlight w:val="none"/>
                      <w:lang w:val="en-US" w:eastAsia="zh-CN" w:bidi="ar"/>
                    </w:rPr>
                    <w:t>产品储罐，缓存蒸馏后纯度≥99.9%的三乙醇胺或N-甲基一乙醇胺</w:t>
                  </w:r>
                  <w:r>
                    <w:rPr>
                      <w:rFonts w:hint="eastAsia"/>
                      <w:color w:val="auto"/>
                      <w:spacing w:val="8"/>
                      <w:sz w:val="21"/>
                      <w:szCs w:val="21"/>
                      <w:highlight w:val="none"/>
                      <w:lang w:val="en-US" w:eastAsia="zh-CN"/>
                    </w:rPr>
                    <w:t>，储罐均为</w:t>
                  </w:r>
                  <w:r>
                    <w:rPr>
                      <w:color w:val="auto"/>
                      <w:spacing w:val="8"/>
                      <w:sz w:val="21"/>
                      <w:szCs w:val="21"/>
                      <w:highlight w:val="none"/>
                    </w:rPr>
                    <w:t>立式拱顶储罐</w:t>
                  </w:r>
                  <w:r>
                    <w:rPr>
                      <w:color w:val="auto"/>
                      <w:spacing w:val="17"/>
                      <w:sz w:val="21"/>
                      <w:szCs w:val="21"/>
                      <w:highlight w:val="none"/>
                    </w:rPr>
                    <w:t>，</w:t>
                  </w:r>
                  <w:r>
                    <w:rPr>
                      <w:color w:val="auto"/>
                      <w:spacing w:val="8"/>
                      <w:sz w:val="21"/>
                      <w:szCs w:val="21"/>
                      <w:highlight w:val="none"/>
                    </w:rPr>
                    <w:t>罐底防渗，并设置围堰。</w:t>
                  </w:r>
                </w:p>
              </w:tc>
              <w:tc>
                <w:tcPr>
                  <w:tcW w:w="678" w:type="pct"/>
                  <w:vMerge w:val="continue"/>
                  <w:vAlign w:val="center"/>
                </w:tcPr>
                <w:p w14:paraId="2FA3C2AB">
                  <w:pPr>
                    <w:jc w:val="center"/>
                    <w:rPr>
                      <w:rFonts w:ascii="Times New Roman" w:hAnsi="Times New Roman" w:eastAsia="宋体" w:cs="Times New Roman"/>
                      <w:color w:val="auto"/>
                      <w:sz w:val="21"/>
                      <w:szCs w:val="21"/>
                      <w:highlight w:val="none"/>
                    </w:rPr>
                  </w:pPr>
                </w:p>
              </w:tc>
              <w:tc>
                <w:tcPr>
                  <w:tcW w:w="1083" w:type="dxa"/>
                  <w:vAlign w:val="center"/>
                </w:tcPr>
                <w:p w14:paraId="1FF1148C">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817" w:type="dxa"/>
                  <w:vAlign w:val="center"/>
                </w:tcPr>
                <w:p w14:paraId="366F54AD">
                  <w:pPr>
                    <w:jc w:val="center"/>
                    <w:rPr>
                      <w:rFonts w:hint="eastAsia" w:cs="Times New Roman"/>
                      <w:b/>
                      <w:bCs/>
                      <w:color w:val="auto"/>
                      <w:sz w:val="21"/>
                      <w:szCs w:val="21"/>
                      <w:highlight w:val="none"/>
                      <w:lang w:val="en-US" w:eastAsia="zh-CN"/>
                    </w:rPr>
                  </w:pPr>
                  <w:r>
                    <w:rPr>
                      <w:rFonts w:hint="eastAsia" w:cs="Times New Roman"/>
                      <w:b/>
                      <w:color w:val="auto"/>
                      <w:sz w:val="21"/>
                      <w:szCs w:val="21"/>
                      <w:highlight w:val="none"/>
                      <w:lang w:val="en-US" w:eastAsia="zh-CN"/>
                    </w:rPr>
                    <w:t>新增</w:t>
                  </w:r>
                </w:p>
              </w:tc>
            </w:tr>
            <w:tr w14:paraId="2697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6C2FA9E3">
                  <w:pPr>
                    <w:jc w:val="center"/>
                    <w:rPr>
                      <w:rFonts w:ascii="Times New Roman" w:hAnsi="Times New Roman" w:eastAsia="宋体" w:cs="Times New Roman"/>
                      <w:color w:val="auto"/>
                      <w:sz w:val="21"/>
                      <w:szCs w:val="21"/>
                      <w:highlight w:val="none"/>
                    </w:rPr>
                  </w:pPr>
                </w:p>
              </w:tc>
              <w:tc>
                <w:tcPr>
                  <w:tcW w:w="785" w:type="pct"/>
                  <w:gridSpan w:val="2"/>
                  <w:vAlign w:val="center"/>
                </w:tcPr>
                <w:p w14:paraId="30403736">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成品暂存间</w:t>
                  </w:r>
                </w:p>
              </w:tc>
              <w:tc>
                <w:tcPr>
                  <w:tcW w:w="1996" w:type="pct"/>
                  <w:vAlign w:val="center"/>
                </w:tcPr>
                <w:p w14:paraId="65F2AF9E">
                  <w:pPr>
                    <w:widowControl/>
                    <w:tabs>
                      <w:tab w:val="left" w:pos="1279"/>
                    </w:tabs>
                    <w:spacing w:before="20" w:after="20"/>
                    <w:jc w:val="left"/>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新增一个成品暂存间，位于生产车间内中部东侧，用于暂存部分提纯后的三乙醇胺和N-甲基一乙醇胺产品，副产品全部储存于现有丙类仓库。</w:t>
                  </w:r>
                </w:p>
              </w:tc>
              <w:tc>
                <w:tcPr>
                  <w:tcW w:w="678" w:type="pct"/>
                  <w:vMerge w:val="continue"/>
                  <w:vAlign w:val="center"/>
                </w:tcPr>
                <w:p w14:paraId="53201ADA">
                  <w:pPr>
                    <w:jc w:val="center"/>
                    <w:rPr>
                      <w:rFonts w:ascii="Times New Roman" w:hAnsi="Times New Roman" w:eastAsia="宋体" w:cs="Times New Roman"/>
                      <w:color w:val="auto"/>
                      <w:sz w:val="21"/>
                      <w:szCs w:val="21"/>
                      <w:highlight w:val="none"/>
                    </w:rPr>
                  </w:pPr>
                </w:p>
              </w:tc>
              <w:tc>
                <w:tcPr>
                  <w:tcW w:w="640" w:type="pct"/>
                  <w:vAlign w:val="center"/>
                </w:tcPr>
                <w:p w14:paraId="0D593113">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4DDD88D3">
                  <w:pPr>
                    <w:jc w:val="center"/>
                    <w:rPr>
                      <w:rFonts w:hint="eastAsia" w:cs="Times New Roman"/>
                      <w:b/>
                      <w:bCs/>
                      <w:color w:val="auto"/>
                      <w:sz w:val="21"/>
                      <w:szCs w:val="21"/>
                      <w:highlight w:val="none"/>
                      <w:lang w:val="en-US" w:eastAsia="zh-CN"/>
                    </w:rPr>
                  </w:pPr>
                  <w:r>
                    <w:rPr>
                      <w:rFonts w:hint="eastAsia" w:cs="Times New Roman"/>
                      <w:b/>
                      <w:color w:val="auto"/>
                      <w:sz w:val="21"/>
                      <w:szCs w:val="21"/>
                      <w:highlight w:val="none"/>
                      <w:lang w:val="en-US" w:eastAsia="zh-CN"/>
                    </w:rPr>
                    <w:t>新增</w:t>
                  </w:r>
                </w:p>
              </w:tc>
            </w:tr>
            <w:tr w14:paraId="193E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restart"/>
                  <w:vAlign w:val="center"/>
                </w:tcPr>
                <w:p w14:paraId="76E631E1">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环保工程</w:t>
                  </w:r>
                </w:p>
              </w:tc>
              <w:tc>
                <w:tcPr>
                  <w:tcW w:w="329" w:type="pct"/>
                  <w:vAlign w:val="center"/>
                </w:tcPr>
                <w:p w14:paraId="44E462A3">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废水</w:t>
                  </w:r>
                </w:p>
              </w:tc>
              <w:tc>
                <w:tcPr>
                  <w:tcW w:w="455" w:type="pct"/>
                  <w:vAlign w:val="center"/>
                </w:tcPr>
                <w:p w14:paraId="6D561CAD">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污水处理站</w:t>
                  </w:r>
                </w:p>
              </w:tc>
              <w:tc>
                <w:tcPr>
                  <w:tcW w:w="1996" w:type="pct"/>
                  <w:vAlign w:val="center"/>
                </w:tcPr>
                <w:p w14:paraId="77CB4DA5">
                  <w:pPr>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现有厂区已建1座污水处理站，处理规模3.5m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/h（84m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/d），采用“预处理（芬顿反应+铁碳内电解+混凝沉淀+生化调节）+厌氧（水解酸化法+UASB）+两级”的组合废水处理工艺。本次新增废水依托现有污水处理站处理。</w:t>
                  </w:r>
                </w:p>
              </w:tc>
              <w:tc>
                <w:tcPr>
                  <w:tcW w:w="678" w:type="pct"/>
                  <w:vMerge w:val="continue"/>
                  <w:vAlign w:val="center"/>
                </w:tcPr>
                <w:p w14:paraId="7765C1A4">
                  <w:pPr>
                    <w:jc w:val="center"/>
                    <w:rPr>
                      <w:rFonts w:ascii="Times New Roman" w:hAnsi="Times New Roman" w:eastAsia="宋体" w:cs="Times New Roman"/>
                      <w:color w:val="auto"/>
                      <w:sz w:val="21"/>
                      <w:szCs w:val="21"/>
                      <w:highlight w:val="none"/>
                    </w:rPr>
                  </w:pPr>
                </w:p>
              </w:tc>
              <w:tc>
                <w:tcPr>
                  <w:tcW w:w="640" w:type="pct"/>
                  <w:vAlign w:val="center"/>
                </w:tcPr>
                <w:p w14:paraId="3652AFE3">
                  <w:pPr>
                    <w:jc w:val="center"/>
                    <w:rPr>
                      <w:rFonts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废水、</w:t>
                  </w:r>
                  <w:r>
                    <w:rPr>
                      <w:rFonts w:ascii="Times New Roman" w:hAnsi="Times New Roman" w:eastAsia="宋体" w:cs="Times New Roman"/>
                      <w:color w:val="auto"/>
                      <w:sz w:val="21"/>
                      <w:szCs w:val="21"/>
                      <w:highlight w:val="none"/>
                    </w:rPr>
                    <w:t>恶臭、污泥</w:t>
                  </w:r>
                </w:p>
              </w:tc>
              <w:tc>
                <w:tcPr>
                  <w:tcW w:w="483" w:type="pct"/>
                  <w:vAlign w:val="center"/>
                </w:tcPr>
                <w:p w14:paraId="40B5BF41">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color w:val="auto"/>
                      <w:sz w:val="21"/>
                      <w:szCs w:val="21"/>
                      <w:highlight w:val="none"/>
                    </w:rPr>
                    <w:t>依托</w:t>
                  </w:r>
                </w:p>
              </w:tc>
            </w:tr>
            <w:tr w14:paraId="6316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05AC5445">
                  <w:pPr>
                    <w:jc w:val="center"/>
                    <w:rPr>
                      <w:rFonts w:ascii="Times New Roman" w:hAnsi="Times New Roman" w:eastAsia="宋体" w:cs="Times New Roman"/>
                      <w:color w:val="auto"/>
                      <w:sz w:val="21"/>
                      <w:szCs w:val="21"/>
                      <w:highlight w:val="none"/>
                    </w:rPr>
                  </w:pPr>
                </w:p>
              </w:tc>
              <w:tc>
                <w:tcPr>
                  <w:tcW w:w="329" w:type="pct"/>
                  <w:vMerge w:val="restart"/>
                  <w:vAlign w:val="center"/>
                </w:tcPr>
                <w:p w14:paraId="215D92F3">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废气</w:t>
                  </w:r>
                </w:p>
              </w:tc>
              <w:tc>
                <w:tcPr>
                  <w:tcW w:w="455" w:type="pct"/>
                  <w:vAlign w:val="center"/>
                </w:tcPr>
                <w:p w14:paraId="0513501B">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工艺废气</w:t>
                  </w:r>
                </w:p>
              </w:tc>
              <w:tc>
                <w:tcPr>
                  <w:tcW w:w="1996" w:type="pct"/>
                  <w:vAlign w:val="center"/>
                </w:tcPr>
                <w:p w14:paraId="40840100">
                  <w:pPr>
                    <w:jc w:val="left"/>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本项目产生的废气主要为蒸馏尾气，主要成分为</w:t>
                  </w:r>
                  <w:r>
                    <w:rPr>
                      <w:color w:val="auto"/>
                      <w:spacing w:val="-11"/>
                      <w:highlight w:val="none"/>
                    </w:rPr>
                    <w:t>三乙醇胺</w:t>
                  </w:r>
                  <w:r>
                    <w:rPr>
                      <w:rFonts w:hint="eastAsia"/>
                      <w:color w:val="auto"/>
                      <w:spacing w:val="-11"/>
                      <w:highlight w:val="none"/>
                      <w:lang w:eastAsia="zh-CN"/>
                    </w:rPr>
                    <w:t>、</w:t>
                  </w:r>
                  <w:r>
                    <w:rPr>
                      <w:rFonts w:hint="eastAsia"/>
                      <w:color w:val="auto"/>
                      <w:spacing w:val="-11"/>
                      <w:highlight w:val="none"/>
                      <w:lang w:val="en-US" w:eastAsia="zh-CN"/>
                    </w:rPr>
                    <w:t>N-甲基一乙醇胺</w:t>
                  </w:r>
                  <w:r>
                    <w:rPr>
                      <w:rFonts w:hint="eastAsia"/>
                      <w:color w:val="auto"/>
                      <w:spacing w:val="-11"/>
                      <w:highlight w:val="none"/>
                      <w:lang w:eastAsia="zh-CN"/>
                    </w:rPr>
                    <w:t>，</w:t>
                  </w:r>
                  <w:r>
                    <w:rPr>
                      <w:rFonts w:hint="eastAsia"/>
                      <w:color w:val="auto"/>
                      <w:spacing w:val="-11"/>
                      <w:highlight w:val="none"/>
                      <w:lang w:val="en-US" w:eastAsia="zh-CN"/>
                    </w:rPr>
                    <w:t>均属于</w:t>
                  </w:r>
                  <w:r>
                    <w:rPr>
                      <w:color w:val="auto"/>
                      <w:spacing w:val="-2"/>
                      <w:highlight w:val="none"/>
                    </w:rPr>
                    <w:t>水易</w:t>
                  </w:r>
                  <w:r>
                    <w:rPr>
                      <w:color w:val="auto"/>
                      <w:spacing w:val="-8"/>
                      <w:highlight w:val="none"/>
                    </w:rPr>
                    <w:t>溶性气体</w:t>
                  </w:r>
                  <w:r>
                    <w:rPr>
                      <w:color w:val="auto"/>
                      <w:spacing w:val="-20"/>
                      <w:highlight w:val="none"/>
                    </w:rPr>
                    <w:t>，主要污染物为</w:t>
                  </w:r>
                  <w:r>
                    <w:rPr>
                      <w:rFonts w:hint="eastAsia" w:cs="Times New Roman"/>
                      <w:color w:val="auto"/>
                      <w:sz w:val="21"/>
                      <w:szCs w:val="21"/>
                      <w:highlight w:val="none"/>
                      <w:lang w:val="en-US" w:eastAsia="zh-CN"/>
                    </w:rPr>
                    <w:t>VOCs</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通过新建水洗塔，将废气通过管道送至水洗塔水洗处理后依托厂区现有DA001工艺废气排气筒（28m）和现有工艺废气一并有组织排放。</w:t>
                  </w:r>
                </w:p>
              </w:tc>
              <w:tc>
                <w:tcPr>
                  <w:tcW w:w="678" w:type="pct"/>
                  <w:vMerge w:val="continue"/>
                  <w:vAlign w:val="center"/>
                </w:tcPr>
                <w:p w14:paraId="7AD79142">
                  <w:pPr>
                    <w:jc w:val="center"/>
                    <w:rPr>
                      <w:rFonts w:ascii="Times New Roman" w:hAnsi="Times New Roman" w:eastAsia="宋体" w:cs="Times New Roman"/>
                      <w:color w:val="auto"/>
                      <w:sz w:val="21"/>
                      <w:szCs w:val="21"/>
                      <w:highlight w:val="none"/>
                    </w:rPr>
                  </w:pPr>
                </w:p>
              </w:tc>
              <w:tc>
                <w:tcPr>
                  <w:tcW w:w="640" w:type="pct"/>
                  <w:vAlign w:val="center"/>
                </w:tcPr>
                <w:p w14:paraId="70EEA7F4">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31DA9EB1">
                  <w:pPr>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新增</w:t>
                  </w:r>
                </w:p>
              </w:tc>
            </w:tr>
            <w:tr w14:paraId="438C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05C59DA3">
                  <w:pPr>
                    <w:jc w:val="center"/>
                    <w:rPr>
                      <w:rFonts w:ascii="Times New Roman" w:hAnsi="Times New Roman" w:eastAsia="宋体" w:cs="Times New Roman"/>
                      <w:color w:val="auto"/>
                      <w:sz w:val="21"/>
                      <w:szCs w:val="21"/>
                      <w:highlight w:val="none"/>
                    </w:rPr>
                  </w:pPr>
                </w:p>
              </w:tc>
              <w:tc>
                <w:tcPr>
                  <w:tcW w:w="329" w:type="pct"/>
                  <w:vMerge w:val="continue"/>
                  <w:vAlign w:val="center"/>
                </w:tcPr>
                <w:p w14:paraId="2EE1F907">
                  <w:pPr>
                    <w:jc w:val="center"/>
                    <w:rPr>
                      <w:rFonts w:ascii="Times New Roman" w:hAnsi="Times New Roman" w:eastAsia="宋体" w:cs="Times New Roman"/>
                      <w:color w:val="auto"/>
                      <w:sz w:val="21"/>
                      <w:szCs w:val="21"/>
                      <w:highlight w:val="none"/>
                    </w:rPr>
                  </w:pPr>
                </w:p>
              </w:tc>
              <w:tc>
                <w:tcPr>
                  <w:tcW w:w="455" w:type="pct"/>
                  <w:vAlign w:val="center"/>
                </w:tcPr>
                <w:p w14:paraId="43F99B0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储罐呼吸废气</w:t>
                  </w:r>
                </w:p>
              </w:tc>
              <w:tc>
                <w:tcPr>
                  <w:tcW w:w="1996" w:type="pct"/>
                  <w:vAlign w:val="center"/>
                </w:tcPr>
                <w:p w14:paraId="7F0875AF">
                  <w:pPr>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新增的生产车间内设有原料及产品储罐，原料罐、高沸物罐及产品罐等会产生呼吸废气（以VOCs计），通过在储罐呼吸阀门连接管道将呼吸废气引至新建的水洗塔与工艺废气一并水洗处理，最后依托厂区现有DA001工艺废气排气筒（28m）和现有工艺废气一并有组织排放。</w:t>
                  </w:r>
                </w:p>
              </w:tc>
              <w:tc>
                <w:tcPr>
                  <w:tcW w:w="678" w:type="pct"/>
                  <w:vMerge w:val="continue"/>
                  <w:vAlign w:val="center"/>
                </w:tcPr>
                <w:p w14:paraId="1D249C3C">
                  <w:pPr>
                    <w:jc w:val="center"/>
                    <w:rPr>
                      <w:rFonts w:ascii="Times New Roman" w:hAnsi="Times New Roman" w:eastAsia="宋体" w:cs="Times New Roman"/>
                      <w:color w:val="auto"/>
                      <w:sz w:val="21"/>
                      <w:szCs w:val="21"/>
                      <w:highlight w:val="none"/>
                    </w:rPr>
                  </w:pPr>
                </w:p>
              </w:tc>
              <w:tc>
                <w:tcPr>
                  <w:tcW w:w="640" w:type="pct"/>
                  <w:vAlign w:val="center"/>
                </w:tcPr>
                <w:p w14:paraId="58B2BECB">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2C73EBD6">
                  <w:pPr>
                    <w:jc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新增</w:t>
                  </w:r>
                </w:p>
              </w:tc>
            </w:tr>
            <w:tr w14:paraId="5354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7722BEE8">
                  <w:pPr>
                    <w:jc w:val="center"/>
                    <w:rPr>
                      <w:rFonts w:ascii="Times New Roman" w:hAnsi="Times New Roman" w:eastAsia="宋体" w:cs="Times New Roman"/>
                      <w:color w:val="auto"/>
                      <w:sz w:val="21"/>
                      <w:szCs w:val="21"/>
                      <w:highlight w:val="none"/>
                    </w:rPr>
                  </w:pPr>
                </w:p>
              </w:tc>
              <w:tc>
                <w:tcPr>
                  <w:tcW w:w="329" w:type="pct"/>
                  <w:vMerge w:val="continue"/>
                  <w:vAlign w:val="center"/>
                </w:tcPr>
                <w:p w14:paraId="57A20490">
                  <w:pPr>
                    <w:jc w:val="center"/>
                    <w:rPr>
                      <w:rFonts w:ascii="Times New Roman" w:hAnsi="Times New Roman" w:eastAsia="宋体" w:cs="Times New Roman"/>
                      <w:color w:val="auto"/>
                      <w:sz w:val="21"/>
                      <w:szCs w:val="21"/>
                      <w:highlight w:val="none"/>
                    </w:rPr>
                  </w:pPr>
                </w:p>
              </w:tc>
              <w:tc>
                <w:tcPr>
                  <w:tcW w:w="455" w:type="pct"/>
                  <w:vAlign w:val="center"/>
                </w:tcPr>
                <w:p w14:paraId="0FA1F1C5">
                  <w:pPr>
                    <w:jc w:val="center"/>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锅炉燃烧废气</w:t>
                  </w:r>
                </w:p>
              </w:tc>
              <w:tc>
                <w:tcPr>
                  <w:tcW w:w="1996" w:type="pct"/>
                  <w:vAlign w:val="center"/>
                </w:tcPr>
                <w:p w14:paraId="7949A9AE">
                  <w:pP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现有厂区锅炉燃烧废气</w:t>
                  </w:r>
                  <w:r>
                    <w:rPr>
                      <w:rFonts w:hint="eastAsia" w:ascii="Times New Roman" w:hAnsi="Times New Roman" w:eastAsia="宋体" w:cs="Times New Roman"/>
                      <w:color w:val="auto"/>
                      <w:sz w:val="21"/>
                      <w:szCs w:val="21"/>
                      <w:highlight w:val="none"/>
                    </w:rPr>
                    <w:t>采用“低氮燃烧器+烟气再循环技术”，燃烧后废气通过1根15m排气筒</w:t>
                  </w:r>
                  <w:r>
                    <w:rPr>
                      <w:rFonts w:hint="eastAsia" w:cs="Times New Roman"/>
                      <w:color w:val="auto"/>
                      <w:sz w:val="21"/>
                      <w:szCs w:val="21"/>
                      <w:highlight w:val="none"/>
                      <w:lang w:val="en-US" w:eastAsia="zh-CN"/>
                    </w:rPr>
                    <w:t>DA002</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15m</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排放。</w:t>
                  </w:r>
                  <w:r>
                    <w:rPr>
                      <w:rFonts w:hint="eastAsia" w:cs="Times New Roman"/>
                      <w:color w:val="auto"/>
                      <w:sz w:val="21"/>
                      <w:szCs w:val="21"/>
                      <w:highlight w:val="none"/>
                      <w:lang w:val="en-US" w:eastAsia="zh-CN"/>
                    </w:rPr>
                    <w:t>本次技改供热依托现有蒸汽锅炉，锅炉燃烧废气依托现有废气净化措施处理后排放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且锅炉燃烧废气污染物已按最不利考虑纳入原环评排污量中，本次不再新增。</w:t>
                  </w:r>
                </w:p>
              </w:tc>
              <w:tc>
                <w:tcPr>
                  <w:tcW w:w="678" w:type="pct"/>
                  <w:vMerge w:val="continue"/>
                  <w:vAlign w:val="center"/>
                </w:tcPr>
                <w:p w14:paraId="7A5BA87B">
                  <w:pPr>
                    <w:jc w:val="center"/>
                    <w:rPr>
                      <w:rFonts w:ascii="Times New Roman" w:hAnsi="Times New Roman" w:eastAsia="宋体" w:cs="Times New Roman"/>
                      <w:color w:val="auto"/>
                      <w:sz w:val="21"/>
                      <w:szCs w:val="21"/>
                      <w:highlight w:val="none"/>
                    </w:rPr>
                  </w:pPr>
                </w:p>
              </w:tc>
              <w:tc>
                <w:tcPr>
                  <w:tcW w:w="640" w:type="pct"/>
                  <w:vAlign w:val="center"/>
                </w:tcPr>
                <w:p w14:paraId="7DE40E61">
                  <w:pPr>
                    <w:jc w:val="center"/>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w:t>
                  </w:r>
                </w:p>
              </w:tc>
              <w:tc>
                <w:tcPr>
                  <w:tcW w:w="483" w:type="pct"/>
                  <w:vAlign w:val="center"/>
                </w:tcPr>
                <w:p w14:paraId="45A98CD8">
                  <w:pPr>
                    <w:jc w:val="center"/>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依托</w:t>
                  </w:r>
                </w:p>
              </w:tc>
            </w:tr>
            <w:tr w14:paraId="0F85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1F86B6E2">
                  <w:pPr>
                    <w:jc w:val="center"/>
                    <w:rPr>
                      <w:rFonts w:ascii="Times New Roman" w:hAnsi="Times New Roman" w:eastAsia="宋体" w:cs="Times New Roman"/>
                      <w:color w:val="auto"/>
                      <w:sz w:val="21"/>
                      <w:szCs w:val="21"/>
                      <w:highlight w:val="none"/>
                    </w:rPr>
                  </w:pPr>
                </w:p>
              </w:tc>
              <w:tc>
                <w:tcPr>
                  <w:tcW w:w="329" w:type="pct"/>
                  <w:vMerge w:val="continue"/>
                  <w:vAlign w:val="center"/>
                </w:tcPr>
                <w:p w14:paraId="18F4FB56">
                  <w:pPr>
                    <w:jc w:val="center"/>
                    <w:rPr>
                      <w:rFonts w:ascii="Times New Roman" w:hAnsi="Times New Roman" w:eastAsia="宋体" w:cs="Times New Roman"/>
                      <w:color w:val="auto"/>
                      <w:sz w:val="21"/>
                      <w:szCs w:val="21"/>
                      <w:highlight w:val="none"/>
                    </w:rPr>
                  </w:pPr>
                </w:p>
              </w:tc>
              <w:tc>
                <w:tcPr>
                  <w:tcW w:w="455" w:type="pct"/>
                  <w:vAlign w:val="center"/>
                </w:tcPr>
                <w:p w14:paraId="10322C4E">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污水处理站恶臭</w:t>
                  </w:r>
                </w:p>
              </w:tc>
              <w:tc>
                <w:tcPr>
                  <w:tcW w:w="1996" w:type="pct"/>
                  <w:vAlign w:val="center"/>
                </w:tcPr>
                <w:p w14:paraId="5596CC7D">
                  <w:pP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现有厂区污水处理站</w:t>
                  </w:r>
                  <w:r>
                    <w:rPr>
                      <w:rFonts w:hint="eastAsia" w:ascii="Times New Roman" w:hAnsi="Times New Roman" w:eastAsia="宋体" w:cs="Times New Roman"/>
                      <w:color w:val="auto"/>
                      <w:sz w:val="21"/>
                      <w:szCs w:val="21"/>
                      <w:highlight w:val="none"/>
                    </w:rPr>
                    <w:t>钢筋混凝土池盖封顶，池盖上预留臭气收集口，</w:t>
                  </w:r>
                  <w:r>
                    <w:rPr>
                      <w:rFonts w:hint="eastAsia" w:cs="Times New Roman"/>
                      <w:color w:val="auto"/>
                      <w:sz w:val="21"/>
                      <w:szCs w:val="21"/>
                      <w:highlight w:val="none"/>
                      <w:lang w:val="en-US" w:eastAsia="zh-CN"/>
                    </w:rPr>
                    <w:t>废气</w:t>
                  </w:r>
                  <w:r>
                    <w:rPr>
                      <w:rFonts w:hint="eastAsia" w:ascii="Times New Roman" w:hAnsi="Times New Roman" w:eastAsia="宋体" w:cs="Times New Roman"/>
                      <w:color w:val="auto"/>
                      <w:sz w:val="21"/>
                      <w:szCs w:val="21"/>
                      <w:highlight w:val="none"/>
                    </w:rPr>
                    <w:t>通过</w:t>
                  </w:r>
                  <w:r>
                    <w:rPr>
                      <w:color w:val="auto"/>
                      <w:spacing w:val="6"/>
                      <w:highlight w:val="none"/>
                    </w:rPr>
                    <w:t>集气罩收集</w:t>
                  </w:r>
                  <w:r>
                    <w:rPr>
                      <w:rFonts w:hint="eastAsia"/>
                      <w:color w:val="auto"/>
                      <w:spacing w:val="6"/>
                      <w:highlight w:val="none"/>
                      <w:lang w:val="en-US" w:eastAsia="zh-CN"/>
                    </w:rPr>
                    <w:t>至</w:t>
                  </w:r>
                  <w:r>
                    <w:rPr>
                      <w:rFonts w:hint="eastAsia" w:ascii="Times New Roman" w:hAnsi="Times New Roman" w:eastAsia="宋体" w:cs="Times New Roman"/>
                      <w:color w:val="auto"/>
                      <w:sz w:val="21"/>
                      <w:szCs w:val="21"/>
                      <w:highlight w:val="none"/>
                    </w:rPr>
                    <w:t>“稀碱液循环洗涤+活性炭吸附”系统净化后（</w:t>
                  </w:r>
                  <w:r>
                    <w:rPr>
                      <w:rFonts w:hint="eastAsia" w:cs="Times New Roman"/>
                      <w:color w:val="auto"/>
                      <w:sz w:val="21"/>
                      <w:szCs w:val="21"/>
                      <w:highlight w:val="none"/>
                      <w:lang w:val="en-US" w:eastAsia="zh-CN"/>
                    </w:rPr>
                    <w:t>风量3000m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/h，收集效率</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90%，</w:t>
                  </w:r>
                  <w:r>
                    <w:rPr>
                      <w:rFonts w:hint="eastAsia" w:ascii="Times New Roman" w:hAnsi="Times New Roman" w:eastAsia="宋体" w:cs="Times New Roman"/>
                      <w:color w:val="auto"/>
                      <w:sz w:val="21"/>
                      <w:szCs w:val="21"/>
                      <w:highlight w:val="none"/>
                    </w:rPr>
                    <w:t>净化效率≥80%），</w:t>
                  </w:r>
                  <w:r>
                    <w:rPr>
                      <w:rFonts w:hint="eastAsia" w:cs="Times New Roman"/>
                      <w:color w:val="auto"/>
                      <w:sz w:val="21"/>
                      <w:szCs w:val="21"/>
                      <w:highlight w:val="none"/>
                      <w:lang w:val="en-US" w:eastAsia="zh-CN"/>
                    </w:rPr>
                    <w:t>最后</w:t>
                  </w:r>
                  <w:r>
                    <w:rPr>
                      <w:rFonts w:hint="eastAsia" w:ascii="Times New Roman" w:hAnsi="Times New Roman" w:eastAsia="宋体" w:cs="Times New Roman"/>
                      <w:color w:val="auto"/>
                      <w:sz w:val="21"/>
                      <w:szCs w:val="21"/>
                      <w:highlight w:val="none"/>
                    </w:rPr>
                    <w:t>经1根15m排气筒</w:t>
                  </w:r>
                  <w:r>
                    <w:rPr>
                      <w:rFonts w:hint="eastAsia" w:cs="Times New Roman"/>
                      <w:color w:val="auto"/>
                      <w:sz w:val="21"/>
                      <w:szCs w:val="21"/>
                      <w:highlight w:val="none"/>
                      <w:lang w:val="en-US" w:eastAsia="zh-CN"/>
                    </w:rPr>
                    <w:t>DA003</w:t>
                  </w:r>
                  <w:r>
                    <w:rPr>
                      <w:rFonts w:hint="eastAsia" w:ascii="Times New Roman" w:hAnsi="Times New Roman" w:eastAsia="宋体" w:cs="Times New Roman"/>
                      <w:color w:val="auto"/>
                      <w:sz w:val="21"/>
                      <w:szCs w:val="21"/>
                      <w:highlight w:val="none"/>
                    </w:rPr>
                    <w:t>排放。</w:t>
                  </w:r>
                  <w:r>
                    <w:rPr>
                      <w:rFonts w:hint="eastAsia" w:cs="Times New Roman"/>
                      <w:color w:val="auto"/>
                      <w:sz w:val="21"/>
                      <w:szCs w:val="21"/>
                      <w:highlight w:val="none"/>
                      <w:lang w:val="en-US" w:eastAsia="zh-CN"/>
                    </w:rPr>
                    <w:t>本次新增废水产生的废气依托现有废气收集处理系统处理后排放。</w:t>
                  </w:r>
                </w:p>
              </w:tc>
              <w:tc>
                <w:tcPr>
                  <w:tcW w:w="678" w:type="pct"/>
                  <w:vMerge w:val="continue"/>
                  <w:vAlign w:val="center"/>
                </w:tcPr>
                <w:p w14:paraId="35432A00">
                  <w:pPr>
                    <w:jc w:val="center"/>
                    <w:rPr>
                      <w:rFonts w:ascii="Times New Roman" w:hAnsi="Times New Roman" w:eastAsia="宋体" w:cs="Times New Roman"/>
                      <w:color w:val="auto"/>
                      <w:sz w:val="21"/>
                      <w:szCs w:val="21"/>
                      <w:highlight w:val="none"/>
                    </w:rPr>
                  </w:pPr>
                </w:p>
              </w:tc>
              <w:tc>
                <w:tcPr>
                  <w:tcW w:w="640" w:type="pct"/>
                  <w:vAlign w:val="center"/>
                </w:tcPr>
                <w:p w14:paraId="5892DA07">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0B0271A9">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依托</w:t>
                  </w:r>
                </w:p>
              </w:tc>
            </w:tr>
            <w:tr w14:paraId="32F0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239370A8">
                  <w:pPr>
                    <w:jc w:val="center"/>
                    <w:rPr>
                      <w:rFonts w:ascii="Times New Roman" w:hAnsi="Times New Roman" w:eastAsia="宋体" w:cs="Times New Roman"/>
                      <w:color w:val="auto"/>
                      <w:sz w:val="21"/>
                      <w:szCs w:val="21"/>
                      <w:highlight w:val="none"/>
                    </w:rPr>
                  </w:pPr>
                </w:p>
              </w:tc>
              <w:tc>
                <w:tcPr>
                  <w:tcW w:w="329" w:type="pct"/>
                  <w:vMerge w:val="continue"/>
                  <w:vAlign w:val="center"/>
                </w:tcPr>
                <w:p w14:paraId="4A5B75E0">
                  <w:pPr>
                    <w:jc w:val="center"/>
                    <w:rPr>
                      <w:rFonts w:ascii="Times New Roman" w:hAnsi="Times New Roman" w:eastAsia="宋体" w:cs="Times New Roman"/>
                      <w:color w:val="auto"/>
                      <w:sz w:val="21"/>
                      <w:szCs w:val="21"/>
                      <w:highlight w:val="none"/>
                    </w:rPr>
                  </w:pPr>
                </w:p>
              </w:tc>
              <w:tc>
                <w:tcPr>
                  <w:tcW w:w="455" w:type="pct"/>
                  <w:vAlign w:val="center"/>
                </w:tcPr>
                <w:p w14:paraId="1175F216">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食堂油烟</w:t>
                  </w:r>
                </w:p>
              </w:tc>
              <w:tc>
                <w:tcPr>
                  <w:tcW w:w="1996" w:type="pct"/>
                  <w:vAlign w:val="center"/>
                </w:tcPr>
                <w:p w14:paraId="6E402308">
                  <w:pP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现有厂区食堂已设置油烟净化装置，本次新增油烟废气依托现有油烟净化装置净化后通过墙体内烟道排放。</w:t>
                  </w:r>
                </w:p>
              </w:tc>
              <w:tc>
                <w:tcPr>
                  <w:tcW w:w="678" w:type="pct"/>
                  <w:vMerge w:val="continue"/>
                  <w:vAlign w:val="center"/>
                </w:tcPr>
                <w:p w14:paraId="5F22741B">
                  <w:pPr>
                    <w:jc w:val="center"/>
                    <w:rPr>
                      <w:rFonts w:ascii="Times New Roman" w:hAnsi="Times New Roman" w:eastAsia="宋体" w:cs="Times New Roman"/>
                      <w:color w:val="auto"/>
                      <w:sz w:val="21"/>
                      <w:szCs w:val="21"/>
                      <w:highlight w:val="none"/>
                    </w:rPr>
                  </w:pPr>
                </w:p>
              </w:tc>
              <w:tc>
                <w:tcPr>
                  <w:tcW w:w="640" w:type="pct"/>
                  <w:vAlign w:val="center"/>
                </w:tcPr>
                <w:p w14:paraId="6C0E377E">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14C0A912">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依托</w:t>
                  </w:r>
                </w:p>
              </w:tc>
            </w:tr>
            <w:tr w14:paraId="1B7C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75F8279D">
                  <w:pPr>
                    <w:jc w:val="center"/>
                    <w:rPr>
                      <w:rFonts w:ascii="Times New Roman" w:hAnsi="Times New Roman" w:eastAsia="宋体" w:cs="Times New Roman"/>
                      <w:color w:val="auto"/>
                      <w:sz w:val="21"/>
                      <w:szCs w:val="21"/>
                      <w:highlight w:val="none"/>
                    </w:rPr>
                  </w:pPr>
                </w:p>
              </w:tc>
              <w:tc>
                <w:tcPr>
                  <w:tcW w:w="329" w:type="pct"/>
                  <w:vMerge w:val="continue"/>
                  <w:vAlign w:val="center"/>
                </w:tcPr>
                <w:p w14:paraId="79D6BA0E">
                  <w:pPr>
                    <w:jc w:val="center"/>
                    <w:rPr>
                      <w:rFonts w:ascii="Times New Roman" w:hAnsi="Times New Roman" w:eastAsia="宋体" w:cs="Times New Roman"/>
                      <w:color w:val="auto"/>
                      <w:sz w:val="21"/>
                      <w:szCs w:val="21"/>
                      <w:highlight w:val="none"/>
                    </w:rPr>
                  </w:pPr>
                </w:p>
              </w:tc>
              <w:tc>
                <w:tcPr>
                  <w:tcW w:w="455" w:type="pct"/>
                  <w:vAlign w:val="center"/>
                </w:tcPr>
                <w:p w14:paraId="6975304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危废贮存库异味</w:t>
                  </w:r>
                </w:p>
              </w:tc>
              <w:tc>
                <w:tcPr>
                  <w:tcW w:w="1996" w:type="pct"/>
                  <w:vAlign w:val="center"/>
                </w:tcPr>
                <w:p w14:paraId="6777632D">
                  <w:pP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新增一个危废贮存库，暂存危废期间会产生异味，通过内部设置机械通风装置，喷洒生物除臭剂，及时清运降低异味影响。</w:t>
                  </w:r>
                </w:p>
              </w:tc>
              <w:tc>
                <w:tcPr>
                  <w:tcW w:w="678" w:type="pct"/>
                  <w:vMerge w:val="continue"/>
                  <w:vAlign w:val="center"/>
                </w:tcPr>
                <w:p w14:paraId="5E7CF547">
                  <w:pPr>
                    <w:jc w:val="center"/>
                    <w:rPr>
                      <w:rFonts w:ascii="Times New Roman" w:hAnsi="Times New Roman" w:eastAsia="宋体" w:cs="Times New Roman"/>
                      <w:color w:val="auto"/>
                      <w:sz w:val="21"/>
                      <w:szCs w:val="21"/>
                      <w:highlight w:val="none"/>
                    </w:rPr>
                  </w:pPr>
                </w:p>
              </w:tc>
              <w:tc>
                <w:tcPr>
                  <w:tcW w:w="640" w:type="pct"/>
                  <w:vAlign w:val="center"/>
                </w:tcPr>
                <w:p w14:paraId="487F1D06">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44415575">
                  <w:pPr>
                    <w:jc w:val="center"/>
                    <w:rPr>
                      <w:rFonts w:ascii="Times New Roman" w:hAnsi="Times New Roman" w:eastAsia="宋体" w:cs="Times New Roman"/>
                      <w:color w:val="auto"/>
                      <w:sz w:val="21"/>
                      <w:szCs w:val="21"/>
                      <w:highlight w:val="none"/>
                    </w:rPr>
                  </w:pPr>
                  <w:r>
                    <w:rPr>
                      <w:rFonts w:hint="eastAsia" w:cs="Times New Roman"/>
                      <w:b/>
                      <w:color w:val="auto"/>
                      <w:sz w:val="21"/>
                      <w:szCs w:val="21"/>
                      <w:highlight w:val="none"/>
                      <w:lang w:val="en-US" w:eastAsia="zh-CN"/>
                    </w:rPr>
                    <w:t>新增</w:t>
                  </w:r>
                </w:p>
              </w:tc>
            </w:tr>
            <w:tr w14:paraId="6AEA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416" w:type="pct"/>
                  <w:vMerge w:val="continue"/>
                  <w:vAlign w:val="center"/>
                </w:tcPr>
                <w:p w14:paraId="1A3BB0CB">
                  <w:pPr>
                    <w:jc w:val="center"/>
                    <w:rPr>
                      <w:rFonts w:ascii="Times New Roman" w:hAnsi="Times New Roman" w:eastAsia="宋体" w:cs="Times New Roman"/>
                      <w:color w:val="auto"/>
                      <w:sz w:val="21"/>
                      <w:szCs w:val="21"/>
                      <w:highlight w:val="none"/>
                    </w:rPr>
                  </w:pPr>
                </w:p>
              </w:tc>
              <w:tc>
                <w:tcPr>
                  <w:tcW w:w="329" w:type="pct"/>
                  <w:vAlign w:val="center"/>
                </w:tcPr>
                <w:p w14:paraId="266EEA34">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噪声</w:t>
                  </w:r>
                </w:p>
              </w:tc>
              <w:tc>
                <w:tcPr>
                  <w:tcW w:w="455" w:type="pct"/>
                  <w:vAlign w:val="center"/>
                </w:tcPr>
                <w:p w14:paraId="7D4F12D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设备噪声</w:t>
                  </w:r>
                </w:p>
              </w:tc>
              <w:tc>
                <w:tcPr>
                  <w:tcW w:w="1996" w:type="pct"/>
                  <w:vAlign w:val="center"/>
                </w:tcPr>
                <w:p w14:paraId="76BAC8E7">
                  <w:pP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主要为新增的生产线各种泵产生的设备噪声，通过设置减震垫、建筑隔声等措施降噪。</w:t>
                  </w:r>
                </w:p>
              </w:tc>
              <w:tc>
                <w:tcPr>
                  <w:tcW w:w="678" w:type="pct"/>
                  <w:vMerge w:val="continue"/>
                  <w:vAlign w:val="center"/>
                </w:tcPr>
                <w:p w14:paraId="1F2A914D">
                  <w:pPr>
                    <w:jc w:val="center"/>
                    <w:rPr>
                      <w:rFonts w:ascii="Times New Roman" w:hAnsi="Times New Roman" w:eastAsia="宋体" w:cs="Times New Roman"/>
                      <w:color w:val="auto"/>
                      <w:sz w:val="21"/>
                      <w:szCs w:val="21"/>
                      <w:highlight w:val="none"/>
                    </w:rPr>
                  </w:pPr>
                </w:p>
              </w:tc>
              <w:tc>
                <w:tcPr>
                  <w:tcW w:w="640" w:type="pct"/>
                  <w:vAlign w:val="center"/>
                </w:tcPr>
                <w:p w14:paraId="7778B055">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3" w:type="pct"/>
                  <w:vAlign w:val="center"/>
                </w:tcPr>
                <w:p w14:paraId="1E5DFBD3">
                  <w:pPr>
                    <w:jc w:val="center"/>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新增</w:t>
                  </w:r>
                  <w:r>
                    <w:rPr>
                      <w:rFonts w:hint="eastAsia" w:cs="Times New Roman"/>
                      <w:b w:val="0"/>
                      <w:bCs w:val="0"/>
                      <w:color w:val="auto"/>
                      <w:sz w:val="21"/>
                      <w:szCs w:val="21"/>
                      <w:highlight w:val="none"/>
                      <w:lang w:val="en-US" w:eastAsia="zh-CN"/>
                    </w:rPr>
                    <w:t>+依托</w:t>
                  </w:r>
                </w:p>
              </w:tc>
            </w:tr>
            <w:tr w14:paraId="3F17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416" w:type="pct"/>
                  <w:vMerge w:val="continue"/>
                  <w:vAlign w:val="center"/>
                </w:tcPr>
                <w:p w14:paraId="223BC04D">
                  <w:pPr>
                    <w:jc w:val="center"/>
                    <w:rPr>
                      <w:rFonts w:ascii="Times New Roman" w:hAnsi="Times New Roman" w:eastAsia="宋体" w:cs="Times New Roman"/>
                      <w:color w:val="auto"/>
                      <w:sz w:val="21"/>
                      <w:szCs w:val="21"/>
                      <w:highlight w:val="none"/>
                    </w:rPr>
                  </w:pPr>
                </w:p>
              </w:tc>
              <w:tc>
                <w:tcPr>
                  <w:tcW w:w="329" w:type="pct"/>
                  <w:vAlign w:val="center"/>
                </w:tcPr>
                <w:p w14:paraId="23A2E914">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固废</w:t>
                  </w:r>
                </w:p>
              </w:tc>
              <w:tc>
                <w:tcPr>
                  <w:tcW w:w="455" w:type="pct"/>
                  <w:vAlign w:val="center"/>
                </w:tcPr>
                <w:p w14:paraId="5B8B5E9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危废贮存库</w:t>
                  </w:r>
                </w:p>
              </w:tc>
              <w:tc>
                <w:tcPr>
                  <w:tcW w:w="1996" w:type="pct"/>
                  <w:vAlign w:val="center"/>
                </w:tcPr>
                <w:p w14:paraId="671D9012">
                  <w:pPr>
                    <w:widowControl/>
                    <w:tabs>
                      <w:tab w:val="left" w:pos="769"/>
                    </w:tabs>
                    <w:spacing w:before="20" w:after="20"/>
                    <w:jc w:val="left"/>
                    <w:textAlignment w:val="center"/>
                    <w:rPr>
                      <w:rFonts w:hint="default"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现有厂区已建1个危废贮存库，占地面积约</w:t>
                  </w:r>
                  <w:r>
                    <w:rPr>
                      <w:rFonts w:hint="eastAsia" w:cs="Times New Roman"/>
                      <w:color w:val="auto"/>
                      <w:sz w:val="21"/>
                      <w:szCs w:val="21"/>
                      <w:highlight w:val="none"/>
                      <w:lang w:val="en-US" w:eastAsia="zh-CN"/>
                    </w:rPr>
                    <w:t>3m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，位于厂区污水处理站内部风机泵房旁，该贮存库内部贮存空间狭小，不便分区贮存全厂危废。本次</w:t>
                  </w:r>
                  <w:r>
                    <w:rPr>
                      <w:rFonts w:hint="default" w:ascii="Times New Roman" w:hAnsi="Times New Roman" w:eastAsia="宋体" w:cs="Times New Roman"/>
                      <w:color w:val="auto"/>
                      <w:kern w:val="0"/>
                      <w:sz w:val="21"/>
                      <w:szCs w:val="21"/>
                      <w:highlight w:val="none"/>
                      <w:lang w:val="en-US" w:eastAsia="zh-CN" w:bidi="ar"/>
                    </w:rPr>
                    <w:t>新建</w:t>
                  </w:r>
                  <w:r>
                    <w:rPr>
                      <w:rFonts w:hint="eastAsia" w:cs="Times New Roman"/>
                      <w:color w:val="auto"/>
                      <w:kern w:val="0"/>
                      <w:sz w:val="21"/>
                      <w:szCs w:val="21"/>
                      <w:highlight w:val="none"/>
                      <w:lang w:val="en-US" w:eastAsia="zh-CN" w:bidi="ar"/>
                    </w:rPr>
                    <w:t>1个危废贮存库，</w:t>
                  </w:r>
                  <w:r>
                    <w:rPr>
                      <w:rFonts w:hint="default" w:ascii="Times New Roman" w:hAnsi="Times New Roman" w:eastAsia="宋体" w:cs="Times New Roman"/>
                      <w:color w:val="auto"/>
                      <w:kern w:val="0"/>
                      <w:sz w:val="21"/>
                      <w:szCs w:val="21"/>
                      <w:highlight w:val="none"/>
                      <w:lang w:bidi="ar"/>
                    </w:rPr>
                    <w:t>位于</w:t>
                  </w:r>
                  <w:r>
                    <w:rPr>
                      <w:rFonts w:hint="default" w:ascii="Times New Roman" w:hAnsi="Times New Roman" w:eastAsia="宋体" w:cs="Times New Roman"/>
                      <w:color w:val="auto"/>
                      <w:kern w:val="0"/>
                      <w:sz w:val="21"/>
                      <w:szCs w:val="21"/>
                      <w:highlight w:val="none"/>
                      <w:lang w:val="en-US" w:eastAsia="zh-CN" w:bidi="ar"/>
                    </w:rPr>
                    <w:t>厂区</w:t>
                  </w:r>
                  <w:r>
                    <w:rPr>
                      <w:rFonts w:hint="default" w:ascii="Times New Roman" w:hAnsi="Times New Roman" w:eastAsia="宋体" w:cs="Times New Roman"/>
                      <w:color w:val="auto"/>
                      <w:kern w:val="0"/>
                      <w:sz w:val="21"/>
                      <w:szCs w:val="21"/>
                      <w:highlight w:val="none"/>
                      <w:lang w:bidi="ar"/>
                    </w:rPr>
                    <w:t>污水处理站东侧，</w:t>
                  </w:r>
                  <w:r>
                    <w:rPr>
                      <w:rFonts w:hint="eastAsia" w:cs="Times New Roman"/>
                      <w:color w:val="auto"/>
                      <w:kern w:val="0"/>
                      <w:sz w:val="21"/>
                      <w:szCs w:val="21"/>
                      <w:highlight w:val="none"/>
                      <w:lang w:val="en-US" w:eastAsia="zh-CN" w:bidi="ar"/>
                    </w:rPr>
                    <w:t>占地20</w:t>
                  </w:r>
                  <w:r>
                    <w:rPr>
                      <w:rFonts w:hint="default" w:ascii="Times New Roman" w:hAnsi="Times New Roman" w:eastAsia="宋体" w:cs="Times New Roman"/>
                      <w:color w:val="auto"/>
                      <w:kern w:val="0"/>
                      <w:sz w:val="21"/>
                      <w:szCs w:val="21"/>
                      <w:highlight w:val="none"/>
                      <w:lang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lang w:eastAsia="zh-CN" w:bidi="ar"/>
                    </w:rPr>
                    <w:t>，</w:t>
                  </w:r>
                  <w:r>
                    <w:rPr>
                      <w:rFonts w:hint="eastAsia" w:cs="Times New Roman"/>
                      <w:color w:val="auto"/>
                      <w:kern w:val="0"/>
                      <w:sz w:val="21"/>
                      <w:szCs w:val="21"/>
                      <w:highlight w:val="none"/>
                      <w:lang w:val="en-US" w:eastAsia="zh-CN" w:bidi="ar"/>
                    </w:rPr>
                    <w:t>容量50</w:t>
                  </w:r>
                  <w:r>
                    <w:rPr>
                      <w:rFonts w:hint="default" w:ascii="Times New Roman" w:hAnsi="Times New Roman" w:eastAsia="宋体" w:cs="Times New Roman"/>
                      <w:color w:val="auto"/>
                      <w:kern w:val="0"/>
                      <w:sz w:val="21"/>
                      <w:szCs w:val="21"/>
                      <w:highlight w:val="none"/>
                      <w:lang w:bidi="ar"/>
                    </w:rPr>
                    <w:t>m</w:t>
                  </w:r>
                  <w:r>
                    <w:rPr>
                      <w:rFonts w:hint="eastAsia" w:ascii="Times New Roman" w:hAnsi="Times New Roman" w:eastAsia="宋体"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eastAsia="zh-CN" w:bidi="ar"/>
                    </w:rPr>
                    <w:t>，</w:t>
                  </w:r>
                  <w:r>
                    <w:rPr>
                      <w:rFonts w:hint="eastAsia" w:cs="Times New Roman"/>
                      <w:color w:val="auto"/>
                      <w:kern w:val="0"/>
                      <w:sz w:val="21"/>
                      <w:szCs w:val="21"/>
                      <w:highlight w:val="none"/>
                      <w:lang w:val="en-US" w:eastAsia="zh-CN" w:bidi="ar"/>
                    </w:rPr>
                    <w:t>更利于分区贮存全厂危险废物，本危废贮存库建成后现有危废贮存库弃用。</w:t>
                  </w:r>
                </w:p>
              </w:tc>
              <w:tc>
                <w:tcPr>
                  <w:tcW w:w="678" w:type="pct"/>
                  <w:vMerge w:val="continue"/>
                  <w:vAlign w:val="center"/>
                </w:tcPr>
                <w:p w14:paraId="2676C769">
                  <w:pPr>
                    <w:jc w:val="center"/>
                    <w:rPr>
                      <w:rFonts w:ascii="Times New Roman" w:hAnsi="Times New Roman" w:eastAsia="宋体" w:cs="Times New Roman"/>
                      <w:color w:val="auto"/>
                      <w:sz w:val="21"/>
                      <w:szCs w:val="21"/>
                      <w:highlight w:val="none"/>
                    </w:rPr>
                  </w:pPr>
                </w:p>
              </w:tc>
              <w:tc>
                <w:tcPr>
                  <w:tcW w:w="640" w:type="pct"/>
                  <w:vAlign w:val="center"/>
                </w:tcPr>
                <w:p w14:paraId="70BCEB9E">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483" w:type="pct"/>
                  <w:vAlign w:val="center"/>
                </w:tcPr>
                <w:p w14:paraId="0291EEA3">
                  <w:pPr>
                    <w:jc w:val="center"/>
                    <w:rPr>
                      <w:rFonts w:ascii="Times New Roman" w:hAnsi="Times New Roman" w:eastAsia="宋体" w:cs="Times New Roman"/>
                      <w:color w:val="auto"/>
                      <w:sz w:val="21"/>
                      <w:szCs w:val="21"/>
                      <w:highlight w:val="none"/>
                    </w:rPr>
                  </w:pPr>
                  <w:r>
                    <w:rPr>
                      <w:rFonts w:hint="eastAsia" w:cs="Times New Roman"/>
                      <w:b/>
                      <w:bCs/>
                      <w:color w:val="auto"/>
                      <w:sz w:val="21"/>
                      <w:szCs w:val="21"/>
                      <w:highlight w:val="none"/>
                      <w:lang w:val="en-US" w:eastAsia="zh-CN"/>
                    </w:rPr>
                    <w:t>新增</w:t>
                  </w:r>
                </w:p>
              </w:tc>
            </w:tr>
            <w:tr w14:paraId="4690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restart"/>
                  <w:vAlign w:val="center"/>
                </w:tcPr>
                <w:p w14:paraId="190D5BF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环境风险</w:t>
                  </w:r>
                </w:p>
              </w:tc>
              <w:tc>
                <w:tcPr>
                  <w:tcW w:w="785" w:type="pct"/>
                  <w:gridSpan w:val="2"/>
                  <w:vAlign w:val="center"/>
                </w:tcPr>
                <w:p w14:paraId="76E0A4C9">
                  <w:pPr>
                    <w:jc w:val="center"/>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事故</w:t>
                  </w:r>
                  <w:r>
                    <w:rPr>
                      <w:rFonts w:hint="eastAsia"/>
                      <w:color w:val="auto"/>
                      <w:sz w:val="21"/>
                      <w:szCs w:val="21"/>
                      <w:highlight w:val="none"/>
                      <w:lang w:val="en-US" w:eastAsia="zh-CN"/>
                    </w:rPr>
                    <w:t>废水</w:t>
                  </w:r>
                  <w:r>
                    <w:rPr>
                      <w:color w:val="auto"/>
                      <w:sz w:val="21"/>
                      <w:szCs w:val="21"/>
                      <w:highlight w:val="none"/>
                    </w:rPr>
                    <w:t>池</w:t>
                  </w:r>
                </w:p>
              </w:tc>
              <w:tc>
                <w:tcPr>
                  <w:tcW w:w="1996" w:type="pct"/>
                  <w:vAlign w:val="center"/>
                </w:tcPr>
                <w:p w14:paraId="502A1E12">
                  <w:pPr>
                    <w:jc w:val="left"/>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现有厂区已建1个事故废水池，容积</w:t>
                  </w:r>
                  <w:r>
                    <w:rPr>
                      <w:rFonts w:hint="eastAsia"/>
                      <w:color w:val="auto"/>
                      <w:sz w:val="21"/>
                      <w:szCs w:val="21"/>
                      <w:highlight w:val="none"/>
                      <w:lang w:val="en-US" w:eastAsia="zh-CN"/>
                    </w:rPr>
                    <w:t>1740</w:t>
                  </w:r>
                  <w:r>
                    <w:rPr>
                      <w:rFonts w:ascii="Times New Roman" w:eastAsia="Times New Roman"/>
                      <w:color w:val="auto"/>
                      <w:sz w:val="21"/>
                      <w:szCs w:val="21"/>
                      <w:highlight w:val="none"/>
                    </w:rPr>
                    <w:t>m</w:t>
                  </w:r>
                  <w:r>
                    <w:rPr>
                      <w:rFonts w:ascii="Times New Roman" w:eastAsia="Times New Roman"/>
                      <w:color w:val="auto"/>
                      <w:sz w:val="21"/>
                      <w:szCs w:val="21"/>
                      <w:highlight w:val="none"/>
                      <w:vertAlign w:val="superscript"/>
                    </w:rPr>
                    <w:t>3</w:t>
                  </w:r>
                  <w:r>
                    <w:rPr>
                      <w:rFonts w:hint="eastAsia" w:ascii="Times New Roman" w:eastAsia="宋体"/>
                      <w:color w:val="auto"/>
                      <w:sz w:val="21"/>
                      <w:szCs w:val="21"/>
                      <w:highlight w:val="none"/>
                      <w:vertAlign w:val="baseline"/>
                      <w:lang w:eastAsia="zh-CN"/>
                    </w:rPr>
                    <w:t>，</w:t>
                  </w:r>
                  <w:r>
                    <w:rPr>
                      <w:rFonts w:hint="eastAsia" w:ascii="Times New Roman" w:eastAsia="宋体"/>
                      <w:color w:val="auto"/>
                      <w:sz w:val="21"/>
                      <w:szCs w:val="21"/>
                      <w:highlight w:val="none"/>
                      <w:vertAlign w:val="baseline"/>
                      <w:lang w:val="en-US" w:eastAsia="zh-CN"/>
                    </w:rPr>
                    <w:t>位于厂区</w:t>
                  </w:r>
                  <w:r>
                    <w:rPr>
                      <w:rFonts w:hint="eastAsia"/>
                      <w:color w:val="auto"/>
                      <w:sz w:val="21"/>
                      <w:szCs w:val="21"/>
                      <w:highlight w:val="none"/>
                      <w:vertAlign w:val="baseline"/>
                      <w:lang w:val="en-US" w:eastAsia="zh-CN"/>
                    </w:rPr>
                    <w:t>污水处理站</w:t>
                  </w:r>
                  <w:r>
                    <w:rPr>
                      <w:rFonts w:hint="eastAsia" w:ascii="Times New Roman" w:eastAsia="宋体"/>
                      <w:color w:val="auto"/>
                      <w:sz w:val="21"/>
                      <w:szCs w:val="21"/>
                      <w:highlight w:val="none"/>
                      <w:vertAlign w:val="baseline"/>
                      <w:lang w:val="en-US" w:eastAsia="zh-CN"/>
                    </w:rPr>
                    <w:t>北侧。</w:t>
                  </w:r>
                  <w:r>
                    <w:rPr>
                      <w:rFonts w:hint="eastAsia" w:cs="Times New Roman"/>
                      <w:color w:val="auto"/>
                      <w:sz w:val="21"/>
                      <w:szCs w:val="21"/>
                      <w:highlight w:val="none"/>
                      <w:lang w:val="en-US" w:eastAsia="zh-CN"/>
                    </w:rPr>
                    <w:t>本次利旧。</w:t>
                  </w:r>
                </w:p>
              </w:tc>
              <w:tc>
                <w:tcPr>
                  <w:tcW w:w="678" w:type="pct"/>
                  <w:vMerge w:val="continue"/>
                  <w:vAlign w:val="center"/>
                </w:tcPr>
                <w:p w14:paraId="007CA3DA">
                  <w:pPr>
                    <w:jc w:val="center"/>
                    <w:rPr>
                      <w:rFonts w:ascii="Times New Roman" w:hAnsi="Times New Roman" w:eastAsia="宋体" w:cs="Times New Roman"/>
                      <w:color w:val="auto"/>
                      <w:sz w:val="21"/>
                      <w:szCs w:val="21"/>
                      <w:highlight w:val="none"/>
                    </w:rPr>
                  </w:pPr>
                </w:p>
              </w:tc>
              <w:tc>
                <w:tcPr>
                  <w:tcW w:w="640" w:type="pct"/>
                  <w:vAlign w:val="center"/>
                </w:tcPr>
                <w:p w14:paraId="2C4ACA1B">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2A158EDF">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依托</w:t>
                  </w:r>
                </w:p>
              </w:tc>
            </w:tr>
            <w:tr w14:paraId="18F1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Merge w:val="continue"/>
                  <w:vAlign w:val="center"/>
                </w:tcPr>
                <w:p w14:paraId="32A0E1E5">
                  <w:pPr>
                    <w:jc w:val="center"/>
                    <w:rPr>
                      <w:rFonts w:ascii="Times New Roman" w:hAnsi="Times New Roman" w:eastAsia="宋体" w:cs="Times New Roman"/>
                      <w:color w:val="auto"/>
                      <w:sz w:val="21"/>
                      <w:szCs w:val="21"/>
                      <w:highlight w:val="none"/>
                    </w:rPr>
                  </w:pPr>
                </w:p>
              </w:tc>
              <w:tc>
                <w:tcPr>
                  <w:tcW w:w="785" w:type="pct"/>
                  <w:gridSpan w:val="2"/>
                  <w:vAlign w:val="center"/>
                </w:tcPr>
                <w:p w14:paraId="7A25E99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初期雨水池</w:t>
                  </w:r>
                </w:p>
              </w:tc>
              <w:tc>
                <w:tcPr>
                  <w:tcW w:w="1996" w:type="pct"/>
                  <w:vAlign w:val="center"/>
                </w:tcPr>
                <w:p w14:paraId="54D33EF9">
                  <w:pPr>
                    <w:keepNext w:val="0"/>
                    <w:keepLines w:val="0"/>
                    <w:pageBreakBefore w:val="0"/>
                    <w:widowControl w:val="0"/>
                    <w:kinsoku/>
                    <w:wordWrap w:val="0"/>
                    <w:overflowPunct/>
                    <w:topLinePunct w:val="0"/>
                    <w:autoSpaceDE/>
                    <w:autoSpaceDN/>
                    <w:bidi w:val="0"/>
                    <w:adjustRightInd/>
                    <w:snapToGrid/>
                    <w:jc w:val="left"/>
                    <w:textAlignment w:val="auto"/>
                    <w:rPr>
                      <w:rFonts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现有厂区已建1个初期雨水池，容积</w:t>
                  </w:r>
                  <w:r>
                    <w:rPr>
                      <w:rFonts w:hint="eastAsia"/>
                      <w:color w:val="auto"/>
                      <w:sz w:val="21"/>
                      <w:szCs w:val="21"/>
                      <w:highlight w:val="none"/>
                      <w:lang w:val="en-US" w:eastAsia="zh-CN"/>
                    </w:rPr>
                    <w:t>630.7</w:t>
                  </w:r>
                  <w:r>
                    <w:rPr>
                      <w:rFonts w:ascii="Times New Roman" w:eastAsia="Times New Roman"/>
                      <w:color w:val="auto"/>
                      <w:sz w:val="21"/>
                      <w:szCs w:val="21"/>
                      <w:highlight w:val="none"/>
                    </w:rPr>
                    <w:t>m</w:t>
                  </w:r>
                  <w:r>
                    <w:rPr>
                      <w:rFonts w:ascii="Times New Roman" w:eastAsia="Times New Roman"/>
                      <w:color w:val="auto"/>
                      <w:sz w:val="21"/>
                      <w:szCs w:val="21"/>
                      <w:highlight w:val="none"/>
                      <w:vertAlign w:val="superscript"/>
                    </w:rPr>
                    <w:t>3</w:t>
                  </w:r>
                  <w:r>
                    <w:rPr>
                      <w:rFonts w:hint="eastAsia" w:ascii="Times New Roman" w:eastAsia="宋体"/>
                      <w:color w:val="auto"/>
                      <w:sz w:val="21"/>
                      <w:szCs w:val="21"/>
                      <w:highlight w:val="none"/>
                      <w:vertAlign w:val="baseline"/>
                      <w:lang w:eastAsia="zh-CN"/>
                    </w:rPr>
                    <w:t>，</w:t>
                  </w:r>
                  <w:r>
                    <w:rPr>
                      <w:rFonts w:hint="eastAsia"/>
                      <w:color w:val="auto"/>
                      <w:sz w:val="21"/>
                      <w:szCs w:val="21"/>
                      <w:highlight w:val="none"/>
                      <w:vertAlign w:val="baseline"/>
                      <w:lang w:val="en-US" w:eastAsia="zh-CN"/>
                    </w:rPr>
                    <w:t>建筑尺寸为</w:t>
                  </w:r>
                  <w:r>
                    <w:rPr>
                      <w:rFonts w:hint="eastAsia" w:eastAsia="宋体"/>
                      <w:color w:val="auto"/>
                      <w:highlight w:val="none"/>
                      <w:lang w:val="en-US" w:eastAsia="zh-CN"/>
                    </w:rPr>
                    <w:t>34m</w:t>
                  </w:r>
                  <w:r>
                    <w:rPr>
                      <w:rFonts w:hint="default" w:ascii="Arial" w:hAnsi="Arial" w:eastAsia="宋体" w:cs="Arial"/>
                      <w:color w:val="auto"/>
                      <w:highlight w:val="none"/>
                      <w:lang w:val="en-US" w:eastAsia="zh-CN"/>
                    </w:rPr>
                    <w:t>×</w:t>
                  </w:r>
                  <w:r>
                    <w:rPr>
                      <w:rFonts w:hint="eastAsia" w:eastAsia="宋体"/>
                      <w:color w:val="auto"/>
                      <w:highlight w:val="none"/>
                      <w:lang w:val="en-US" w:eastAsia="zh-CN"/>
                    </w:rPr>
                    <w:t>3.5m</w:t>
                  </w:r>
                  <w:r>
                    <w:rPr>
                      <w:rFonts w:hint="default" w:ascii="Arial" w:hAnsi="Arial" w:eastAsia="宋体" w:cs="Arial"/>
                      <w:color w:val="auto"/>
                      <w:highlight w:val="none"/>
                      <w:lang w:val="en-US" w:eastAsia="zh-CN"/>
                    </w:rPr>
                    <w:t>×</w:t>
                  </w:r>
                  <w:r>
                    <w:rPr>
                      <w:rFonts w:hint="eastAsia" w:eastAsia="宋体"/>
                      <w:color w:val="auto"/>
                      <w:highlight w:val="none"/>
                      <w:lang w:val="en-US" w:eastAsia="zh-CN"/>
                    </w:rPr>
                    <w:t>5.3m，</w:t>
                  </w:r>
                  <w:r>
                    <w:rPr>
                      <w:rFonts w:hint="eastAsia" w:ascii="Times New Roman" w:eastAsia="宋体"/>
                      <w:color w:val="auto"/>
                      <w:sz w:val="21"/>
                      <w:szCs w:val="21"/>
                      <w:highlight w:val="none"/>
                      <w:vertAlign w:val="baseline"/>
                      <w:lang w:val="en-US" w:eastAsia="zh-CN"/>
                    </w:rPr>
                    <w:t>位于厂区最西北侧。</w:t>
                  </w:r>
                  <w:r>
                    <w:rPr>
                      <w:rFonts w:hint="eastAsia" w:cs="Times New Roman"/>
                      <w:color w:val="auto"/>
                      <w:sz w:val="21"/>
                      <w:szCs w:val="21"/>
                      <w:highlight w:val="none"/>
                      <w:lang w:val="en-US" w:eastAsia="zh-CN"/>
                    </w:rPr>
                    <w:t>本次利旧。</w:t>
                  </w:r>
                </w:p>
              </w:tc>
              <w:tc>
                <w:tcPr>
                  <w:tcW w:w="678" w:type="pct"/>
                  <w:vMerge w:val="continue"/>
                  <w:vAlign w:val="center"/>
                </w:tcPr>
                <w:p w14:paraId="1A0CE491">
                  <w:pPr>
                    <w:jc w:val="center"/>
                    <w:rPr>
                      <w:rFonts w:ascii="Times New Roman" w:hAnsi="Times New Roman" w:eastAsia="宋体" w:cs="Times New Roman"/>
                      <w:color w:val="auto"/>
                      <w:sz w:val="21"/>
                      <w:szCs w:val="21"/>
                      <w:highlight w:val="none"/>
                    </w:rPr>
                  </w:pPr>
                </w:p>
              </w:tc>
              <w:tc>
                <w:tcPr>
                  <w:tcW w:w="640" w:type="pct"/>
                  <w:vAlign w:val="center"/>
                </w:tcPr>
                <w:p w14:paraId="652F431F">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c>
                <w:tcPr>
                  <w:tcW w:w="483" w:type="pct"/>
                  <w:vAlign w:val="center"/>
                </w:tcPr>
                <w:p w14:paraId="550DFC11">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依托</w:t>
                  </w:r>
                </w:p>
              </w:tc>
            </w:tr>
          </w:tbl>
          <w:p w14:paraId="165A4F61">
            <w:pPr>
              <w:adjustRightInd w:val="0"/>
              <w:snapToGrid w:val="0"/>
              <w:spacing w:line="360" w:lineRule="auto"/>
              <w:ind w:firstLine="480" w:firstLineChars="200"/>
              <w:rPr>
                <w:b w:val="0"/>
                <w:bCs w:val="0"/>
                <w:color w:val="auto"/>
                <w:highlight w:val="none"/>
              </w:rPr>
            </w:pPr>
            <w:r>
              <w:rPr>
                <w:b w:val="0"/>
                <w:bCs w:val="0"/>
                <w:color w:val="auto"/>
                <w:sz w:val="24"/>
                <w:highlight w:val="none"/>
              </w:rPr>
              <w:t>本项目</w:t>
            </w:r>
            <w:r>
              <w:rPr>
                <w:rFonts w:hint="eastAsia"/>
                <w:b w:val="0"/>
                <w:bCs w:val="0"/>
                <w:color w:val="auto"/>
                <w:sz w:val="24"/>
                <w:highlight w:val="none"/>
                <w:lang w:val="en-US" w:eastAsia="zh-CN"/>
              </w:rPr>
              <w:t>依托现有工程</w:t>
            </w:r>
            <w:r>
              <w:rPr>
                <w:b w:val="0"/>
                <w:bCs w:val="0"/>
                <w:color w:val="auto"/>
                <w:sz w:val="24"/>
                <w:highlight w:val="none"/>
              </w:rPr>
              <w:t>公辅设施</w:t>
            </w:r>
            <w:r>
              <w:rPr>
                <w:rFonts w:hint="eastAsia"/>
                <w:b w:val="0"/>
                <w:bCs w:val="0"/>
                <w:color w:val="auto"/>
                <w:sz w:val="24"/>
                <w:highlight w:val="none"/>
                <w:lang w:eastAsia="zh-CN"/>
              </w:rPr>
              <w:t>，</w:t>
            </w:r>
            <w:r>
              <w:rPr>
                <w:rFonts w:hint="eastAsia"/>
                <w:b w:val="0"/>
                <w:bCs w:val="0"/>
                <w:color w:val="auto"/>
                <w:sz w:val="24"/>
                <w:highlight w:val="none"/>
                <w:lang w:val="en-US" w:eastAsia="zh-CN"/>
              </w:rPr>
              <w:t>其</w:t>
            </w:r>
            <w:r>
              <w:rPr>
                <w:b w:val="0"/>
                <w:bCs w:val="0"/>
                <w:color w:val="auto"/>
                <w:sz w:val="24"/>
                <w:highlight w:val="none"/>
              </w:rPr>
              <w:t>依托关系如下：</w:t>
            </w:r>
          </w:p>
          <w:p w14:paraId="25070FBE">
            <w:pPr>
              <w:pStyle w:val="42"/>
              <w:rPr>
                <w:color w:val="auto"/>
                <w:highlight w:val="none"/>
              </w:rPr>
            </w:pPr>
            <w:r>
              <w:rPr>
                <w:color w:val="auto"/>
                <w:highlight w:val="none"/>
              </w:rPr>
              <w:t>本项目依托</w:t>
            </w:r>
            <w:r>
              <w:rPr>
                <w:rFonts w:hint="eastAsia"/>
                <w:color w:val="auto"/>
                <w:highlight w:val="none"/>
              </w:rPr>
              <w:t>/共用</w:t>
            </w:r>
            <w:r>
              <w:rPr>
                <w:color w:val="auto"/>
                <w:highlight w:val="none"/>
              </w:rPr>
              <w:t>关系一览表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2616"/>
              <w:gridCol w:w="1365"/>
              <w:gridCol w:w="1367"/>
              <w:gridCol w:w="1934"/>
            </w:tblGrid>
            <w:tr w14:paraId="4925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694" w:type="pct"/>
                  <w:vAlign w:val="center"/>
                </w:tcPr>
                <w:p w14:paraId="2E4BDDA0">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主要依托设施</w:t>
                  </w:r>
                </w:p>
              </w:tc>
              <w:tc>
                <w:tcPr>
                  <w:tcW w:w="1546" w:type="pct"/>
                  <w:vAlign w:val="center"/>
                </w:tcPr>
                <w:p w14:paraId="3E87CA5E">
                  <w:pPr>
                    <w:adjustRightInd w:val="0"/>
                    <w:snapToGrid w:val="0"/>
                    <w:jc w:val="center"/>
                    <w:rPr>
                      <w:rFonts w:hint="default" w:ascii="Times New Roman" w:hAnsi="Times New Roman" w:eastAsia="宋体" w:cs="Times New Roman"/>
                      <w:b/>
                      <w:color w:val="auto"/>
                      <w:szCs w:val="21"/>
                      <w:highlight w:val="none"/>
                    </w:rPr>
                  </w:pPr>
                  <w:r>
                    <w:rPr>
                      <w:rFonts w:hint="eastAsia" w:cs="Times New Roman"/>
                      <w:b/>
                      <w:color w:val="auto"/>
                      <w:szCs w:val="21"/>
                      <w:highlight w:val="none"/>
                      <w:lang w:val="en-US" w:eastAsia="zh-CN"/>
                    </w:rPr>
                    <w:t>设计规</w:t>
                  </w:r>
                  <w:r>
                    <w:rPr>
                      <w:rFonts w:hint="default" w:ascii="Times New Roman" w:hAnsi="Times New Roman" w:eastAsia="宋体" w:cs="Times New Roman"/>
                      <w:b/>
                      <w:color w:val="auto"/>
                      <w:szCs w:val="21"/>
                      <w:highlight w:val="none"/>
                    </w:rPr>
                    <w:t>模</w:t>
                  </w:r>
                </w:p>
              </w:tc>
              <w:tc>
                <w:tcPr>
                  <w:tcW w:w="807" w:type="pct"/>
                  <w:vAlign w:val="center"/>
                </w:tcPr>
                <w:p w14:paraId="5838E197">
                  <w:pPr>
                    <w:adjustRightInd w:val="0"/>
                    <w:snapToGrid w:val="0"/>
                    <w:jc w:val="center"/>
                    <w:rPr>
                      <w:rFonts w:hint="default" w:ascii="Times New Roman" w:hAnsi="Times New Roman" w:eastAsia="宋体" w:cs="Times New Roman"/>
                      <w:b/>
                      <w:color w:val="auto"/>
                      <w:szCs w:val="21"/>
                      <w:highlight w:val="none"/>
                      <w:lang w:val="en-US"/>
                    </w:rPr>
                  </w:pPr>
                  <w:r>
                    <w:rPr>
                      <w:rFonts w:hint="eastAsia" w:cs="Times New Roman"/>
                      <w:b/>
                      <w:color w:val="auto"/>
                      <w:szCs w:val="21"/>
                      <w:highlight w:val="none"/>
                      <w:lang w:val="en-US" w:eastAsia="zh-CN"/>
                    </w:rPr>
                    <w:t>技改前需求量</w:t>
                  </w:r>
                </w:p>
              </w:tc>
              <w:tc>
                <w:tcPr>
                  <w:tcW w:w="808" w:type="pct"/>
                  <w:vAlign w:val="center"/>
                </w:tcPr>
                <w:p w14:paraId="31D4741B">
                  <w:pPr>
                    <w:adjustRightInd w:val="0"/>
                    <w:snapToGrid w:val="0"/>
                    <w:jc w:val="center"/>
                    <w:rPr>
                      <w:rFonts w:hint="eastAsia"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rPr>
                    <w:t>本项目</w:t>
                  </w:r>
                  <w:r>
                    <w:rPr>
                      <w:rFonts w:hint="eastAsia" w:cs="Times New Roman"/>
                      <w:b/>
                      <w:color w:val="auto"/>
                      <w:szCs w:val="21"/>
                      <w:highlight w:val="none"/>
                      <w:lang w:val="en-US" w:eastAsia="zh-CN"/>
                    </w:rPr>
                    <w:t>新增需求量</w:t>
                  </w:r>
                </w:p>
              </w:tc>
              <w:tc>
                <w:tcPr>
                  <w:tcW w:w="1143" w:type="pct"/>
                  <w:vAlign w:val="center"/>
                </w:tcPr>
                <w:p w14:paraId="2E01BFE1">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是否满足</w:t>
                  </w:r>
                </w:p>
              </w:tc>
            </w:tr>
            <w:tr w14:paraId="1B10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694" w:type="pct"/>
                  <w:vAlign w:val="center"/>
                </w:tcPr>
                <w:p w14:paraId="579331F0">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供热</w:t>
                  </w:r>
                  <w:r>
                    <w:rPr>
                      <w:rFonts w:hint="default" w:ascii="Times New Roman" w:hAnsi="Times New Roman" w:eastAsia="宋体" w:cs="Times New Roman"/>
                      <w:color w:val="auto"/>
                      <w:szCs w:val="21"/>
                      <w:highlight w:val="none"/>
                    </w:rPr>
                    <w:t>工程</w:t>
                  </w:r>
                </w:p>
              </w:tc>
              <w:tc>
                <w:tcPr>
                  <w:tcW w:w="1546" w:type="pct"/>
                  <w:vAlign w:val="center"/>
                </w:tcPr>
                <w:p w14:paraId="5D4F6B5B">
                  <w:pPr>
                    <w:adjustRightInd w:val="0"/>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1</w:t>
                  </w:r>
                  <w:r>
                    <w:rPr>
                      <w:rFonts w:hint="default" w:ascii="Times New Roman" w:hAnsi="Times New Roman" w:eastAsia="宋体" w:cs="Times New Roman"/>
                      <w:color w:val="auto"/>
                      <w:szCs w:val="21"/>
                      <w:highlight w:val="none"/>
                    </w:rPr>
                    <w:t>台</w:t>
                  </w:r>
                  <w:r>
                    <w:rPr>
                      <w:rFonts w:hint="eastAsia" w:cs="Times New Roman"/>
                      <w:color w:val="auto"/>
                      <w:szCs w:val="21"/>
                      <w:highlight w:val="none"/>
                      <w:lang w:val="en-US" w:eastAsia="zh-CN"/>
                    </w:rPr>
                    <w:t>10</w:t>
                  </w:r>
                  <w:r>
                    <w:rPr>
                      <w:rFonts w:hint="default" w:ascii="Times New Roman" w:hAnsi="Times New Roman" w:eastAsia="宋体" w:cs="Times New Roman"/>
                      <w:color w:val="auto"/>
                      <w:szCs w:val="21"/>
                      <w:highlight w:val="none"/>
                    </w:rPr>
                    <w:t>t/h燃气锅炉</w:t>
                  </w:r>
                </w:p>
              </w:tc>
              <w:tc>
                <w:tcPr>
                  <w:tcW w:w="807" w:type="pct"/>
                  <w:vAlign w:val="center"/>
                </w:tcPr>
                <w:p w14:paraId="5D4FD9B6">
                  <w:pPr>
                    <w:adjustRightInd w:val="0"/>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6.5</w:t>
                  </w:r>
                  <w:r>
                    <w:rPr>
                      <w:rFonts w:hint="default" w:ascii="Times New Roman" w:hAnsi="Times New Roman" w:eastAsia="宋体" w:cs="Times New Roman"/>
                      <w:color w:val="auto"/>
                      <w:szCs w:val="21"/>
                      <w:highlight w:val="none"/>
                    </w:rPr>
                    <w:t>t/h</w:t>
                  </w:r>
                </w:p>
              </w:tc>
              <w:tc>
                <w:tcPr>
                  <w:tcW w:w="808" w:type="pct"/>
                  <w:vAlign w:val="center"/>
                </w:tcPr>
                <w:p w14:paraId="0FE66BC9">
                  <w:pPr>
                    <w:adjustRightInd w:val="0"/>
                    <w:snapToGrid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1.5</w:t>
                  </w:r>
                  <w:r>
                    <w:rPr>
                      <w:rFonts w:hint="default" w:ascii="Times New Roman" w:hAnsi="Times New Roman" w:eastAsia="宋体" w:cs="Times New Roman"/>
                      <w:color w:val="auto"/>
                      <w:szCs w:val="21"/>
                      <w:highlight w:val="none"/>
                    </w:rPr>
                    <w:t>t/h</w:t>
                  </w:r>
                </w:p>
              </w:tc>
              <w:tc>
                <w:tcPr>
                  <w:tcW w:w="1143" w:type="pct"/>
                  <w:vAlign w:val="center"/>
                </w:tcPr>
                <w:p w14:paraId="2386637E">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0"/>
                      <w:szCs w:val="21"/>
                      <w:highlight w:val="none"/>
                      <w:lang w:val="en-US" w:eastAsia="zh-CN"/>
                    </w:rPr>
                    <w:t>剩余供热能力</w:t>
                  </w:r>
                  <w:r>
                    <w:rPr>
                      <w:rFonts w:hint="default" w:ascii="Times New Roman" w:hAnsi="Times New Roman" w:eastAsia="宋体" w:cs="Times New Roman"/>
                      <w:color w:val="auto"/>
                      <w:kern w:val="0"/>
                      <w:szCs w:val="21"/>
                      <w:highlight w:val="none"/>
                    </w:rPr>
                    <w:t>可满足</w:t>
                  </w:r>
                  <w:r>
                    <w:rPr>
                      <w:rFonts w:hint="eastAsia" w:cs="Times New Roman"/>
                      <w:color w:val="auto"/>
                      <w:kern w:val="0"/>
                      <w:szCs w:val="21"/>
                      <w:highlight w:val="none"/>
                      <w:lang w:val="en-US" w:eastAsia="zh-CN"/>
                    </w:rPr>
                    <w:t>本项目需求</w:t>
                  </w:r>
                </w:p>
              </w:tc>
            </w:tr>
            <w:tr w14:paraId="50E2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Align w:val="center"/>
                </w:tcPr>
                <w:p w14:paraId="2DD6550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污水处理站</w:t>
                  </w:r>
                </w:p>
              </w:tc>
              <w:tc>
                <w:tcPr>
                  <w:tcW w:w="1546" w:type="pct"/>
                  <w:vAlign w:val="center"/>
                </w:tcPr>
                <w:p w14:paraId="6963DA2C">
                  <w:pPr>
                    <w:jc w:val="center"/>
                    <w:rPr>
                      <w:rFonts w:hint="default" w:ascii="Times New Roman" w:hAnsi="Times New Roman" w:eastAsia="宋体" w:cs="Times New Roman"/>
                      <w:color w:val="auto"/>
                      <w:szCs w:val="21"/>
                      <w:highlight w:val="none"/>
                    </w:rPr>
                  </w:pPr>
                  <w:r>
                    <w:rPr>
                      <w:rFonts w:hint="eastAsia" w:cs="Times New Roman"/>
                      <w:color w:val="auto"/>
                      <w:sz w:val="21"/>
                      <w:szCs w:val="21"/>
                      <w:highlight w:val="none"/>
                      <w:lang w:val="en-US" w:eastAsia="zh-CN"/>
                    </w:rPr>
                    <w:t>采用“预处理（芬顿反应+铁碳内电解+混凝沉淀+生化调节）+厌氧（水解酸化法+UASB）+两级”的组合废水处理工艺，处理规模3.5m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/h（84</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/d</w:t>
                  </w:r>
                  <w:r>
                    <w:rPr>
                      <w:rFonts w:hint="eastAsia" w:cs="Times New Roman"/>
                      <w:color w:val="auto"/>
                      <w:sz w:val="21"/>
                      <w:szCs w:val="21"/>
                      <w:highlight w:val="none"/>
                      <w:lang w:val="en-US" w:eastAsia="zh-CN"/>
                    </w:rPr>
                    <w:t>）</w:t>
                  </w:r>
                </w:p>
              </w:tc>
              <w:tc>
                <w:tcPr>
                  <w:tcW w:w="807" w:type="pct"/>
                  <w:vAlign w:val="center"/>
                </w:tcPr>
                <w:p w14:paraId="1289DDC4">
                  <w:pPr>
                    <w:adjustRightInd w:val="0"/>
                    <w:snapToGrid w:val="0"/>
                    <w:jc w:val="center"/>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22.3</w:t>
                  </w:r>
                  <w:r>
                    <w:rPr>
                      <w:rFonts w:ascii="Times New Roman" w:hAnsi="Times New Roman" w:eastAsia="Times New Roman"/>
                      <w:color w:val="auto"/>
                      <w:highlight w:val="none"/>
                    </w:rPr>
                    <w:t>t/d</w:t>
                  </w:r>
                  <w:r>
                    <w:rPr>
                      <w:rFonts w:hint="eastAsia" w:eastAsia="宋体"/>
                      <w:color w:val="auto"/>
                      <w:highlight w:val="none"/>
                      <w:lang w:eastAsia="zh-CN"/>
                    </w:rPr>
                    <w:t>（</w:t>
                  </w:r>
                  <w:r>
                    <w:rPr>
                      <w:rFonts w:hint="eastAsia" w:eastAsia="宋体"/>
                      <w:color w:val="auto"/>
                      <w:highlight w:val="none"/>
                      <w:lang w:val="en-US" w:eastAsia="zh-CN"/>
                    </w:rPr>
                    <w:t>原环评为28.1</w:t>
                  </w:r>
                  <w:r>
                    <w:rPr>
                      <w:rFonts w:ascii="Times New Roman" w:hAnsi="Times New Roman" w:eastAsia="Times New Roman"/>
                      <w:color w:val="auto"/>
                      <w:highlight w:val="none"/>
                    </w:rPr>
                    <w:t>t/d</w:t>
                  </w:r>
                  <w:r>
                    <w:rPr>
                      <w:rFonts w:hint="eastAsia" w:eastAsia="宋体"/>
                      <w:color w:val="auto"/>
                      <w:highlight w:val="none"/>
                      <w:lang w:val="en-US" w:eastAsia="zh-CN"/>
                    </w:rPr>
                    <w:t>，实际因人员减少及水洗塔废水再利用废水减少</w:t>
                  </w:r>
                  <w:r>
                    <w:rPr>
                      <w:rFonts w:hint="eastAsia" w:eastAsia="宋体"/>
                      <w:color w:val="auto"/>
                      <w:highlight w:val="none"/>
                      <w:lang w:eastAsia="zh-CN"/>
                    </w:rPr>
                    <w:t>）</w:t>
                  </w:r>
                </w:p>
              </w:tc>
              <w:tc>
                <w:tcPr>
                  <w:tcW w:w="808" w:type="pct"/>
                  <w:vAlign w:val="center"/>
                </w:tcPr>
                <w:p w14:paraId="13C8CDCE">
                  <w:pPr>
                    <w:jc w:val="center"/>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54.428</w:t>
                  </w:r>
                  <w:r>
                    <w:rPr>
                      <w:rFonts w:ascii="Times New Roman" w:hAnsi="Times New Roman" w:eastAsia="Times New Roman"/>
                      <w:color w:val="auto"/>
                      <w:highlight w:val="none"/>
                    </w:rPr>
                    <w:t>t/d</w:t>
                  </w:r>
                </w:p>
              </w:tc>
              <w:tc>
                <w:tcPr>
                  <w:tcW w:w="1143" w:type="pct"/>
                  <w:vAlign w:val="center"/>
                </w:tcPr>
                <w:p w14:paraId="1E8D0A95">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Cs w:val="21"/>
                      <w:highlight w:val="none"/>
                    </w:rPr>
                    <w:t>剩余处理规模可</w:t>
                  </w:r>
                  <w:r>
                    <w:rPr>
                      <w:rFonts w:hint="default" w:ascii="Times New Roman" w:hAnsi="Times New Roman" w:eastAsia="宋体" w:cs="Times New Roman"/>
                      <w:color w:val="auto"/>
                      <w:kern w:val="0"/>
                      <w:szCs w:val="21"/>
                      <w:highlight w:val="none"/>
                    </w:rPr>
                    <w:t>满足本项目需求</w:t>
                  </w:r>
                </w:p>
              </w:tc>
            </w:tr>
            <w:tr w14:paraId="14A8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Align w:val="center"/>
                </w:tcPr>
                <w:p w14:paraId="5B483602">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制冷站</w:t>
                  </w:r>
                </w:p>
              </w:tc>
              <w:tc>
                <w:tcPr>
                  <w:tcW w:w="1546" w:type="pct"/>
                  <w:vAlign w:val="center"/>
                </w:tcPr>
                <w:p w14:paraId="3D2B7D94">
                  <w:pPr>
                    <w:widowControl w:val="0"/>
                    <w:jc w:val="left"/>
                    <w:rPr>
                      <w:rFonts w:hint="default" w:ascii="Times New Roman" w:hAnsi="Times New Roman" w:eastAsia="宋体" w:cs="Times New Roman"/>
                      <w:color w:val="auto"/>
                      <w:szCs w:val="21"/>
                      <w:highlight w:val="none"/>
                      <w:lang w:val="en-US" w:eastAsia="zh-CN"/>
                    </w:rPr>
                  </w:pPr>
                  <w:r>
                    <w:rPr>
                      <w:rFonts w:hint="eastAsia"/>
                      <w:color w:val="auto"/>
                      <w:spacing w:val="7"/>
                      <w:sz w:val="21"/>
                      <w:szCs w:val="21"/>
                      <w:highlight w:val="none"/>
                      <w:lang w:val="en-US" w:eastAsia="zh-CN"/>
                    </w:rPr>
                    <w:t>1座，</w:t>
                  </w:r>
                  <w:r>
                    <w:rPr>
                      <w:rFonts w:hint="eastAsia" w:cs="Times New Roman"/>
                      <w:color w:val="auto"/>
                      <w:kern w:val="0"/>
                      <w:sz w:val="21"/>
                      <w:szCs w:val="21"/>
                      <w:highlight w:val="none"/>
                      <w:lang w:val="en-US" w:eastAsia="zh-CN" w:bidi="ar"/>
                    </w:rPr>
                    <w:t>2套（1用1备）自动螺杆低温乙二醇机组</w:t>
                  </w:r>
                  <w:r>
                    <w:rPr>
                      <w:color w:val="auto"/>
                      <w:spacing w:val="7"/>
                      <w:sz w:val="21"/>
                      <w:szCs w:val="21"/>
                      <w:highlight w:val="none"/>
                    </w:rPr>
                    <w:t>，</w:t>
                  </w:r>
                  <w:r>
                    <w:rPr>
                      <w:rFonts w:hint="eastAsia"/>
                      <w:color w:val="auto"/>
                      <w:spacing w:val="7"/>
                      <w:sz w:val="21"/>
                      <w:szCs w:val="21"/>
                      <w:highlight w:val="none"/>
                      <w:lang w:val="en-US" w:eastAsia="zh-CN"/>
                    </w:rPr>
                    <w:t>设计</w:t>
                  </w:r>
                  <w:r>
                    <w:rPr>
                      <w:color w:val="auto"/>
                      <w:spacing w:val="7"/>
                      <w:sz w:val="21"/>
                      <w:szCs w:val="21"/>
                      <w:highlight w:val="none"/>
                    </w:rPr>
                    <w:t>制冷量为</w:t>
                  </w:r>
                  <w:r>
                    <w:rPr>
                      <w:rFonts w:hint="eastAsia" w:eastAsia="宋体" w:cs="Times New Roman"/>
                      <w:color w:val="auto"/>
                      <w:spacing w:val="7"/>
                      <w:sz w:val="21"/>
                      <w:szCs w:val="21"/>
                      <w:highlight w:val="none"/>
                      <w:lang w:val="en-US" w:eastAsia="zh-CN"/>
                    </w:rPr>
                    <w:t>93</w:t>
                  </w:r>
                  <w:r>
                    <w:rPr>
                      <w:rFonts w:hint="eastAsia"/>
                      <w:color w:val="auto"/>
                      <w:sz w:val="24"/>
                      <w:highlight w:val="none"/>
                    </w:rPr>
                    <w:t>m</w:t>
                  </w:r>
                  <w:r>
                    <w:rPr>
                      <w:rFonts w:hint="eastAsia"/>
                      <w:color w:val="auto"/>
                      <w:sz w:val="24"/>
                      <w:highlight w:val="none"/>
                      <w:vertAlign w:val="superscript"/>
                      <w:lang w:val="en-US" w:eastAsia="zh-CN"/>
                    </w:rPr>
                    <w:t>3</w:t>
                  </w:r>
                  <w:r>
                    <w:rPr>
                      <w:rFonts w:ascii="Times New Roman" w:hAnsi="Times New Roman" w:eastAsia="Times New Roman" w:cs="Times New Roman"/>
                      <w:color w:val="auto"/>
                      <w:spacing w:val="7"/>
                      <w:sz w:val="21"/>
                      <w:szCs w:val="21"/>
                      <w:highlight w:val="none"/>
                    </w:rPr>
                    <w:t>/h</w:t>
                  </w:r>
                  <w:r>
                    <w:rPr>
                      <w:color w:val="auto"/>
                      <w:spacing w:val="7"/>
                      <w:sz w:val="21"/>
                      <w:szCs w:val="21"/>
                      <w:highlight w:val="none"/>
                    </w:rPr>
                    <w:t>。</w:t>
                  </w:r>
                </w:p>
              </w:tc>
              <w:tc>
                <w:tcPr>
                  <w:tcW w:w="807" w:type="pct"/>
                  <w:vAlign w:val="center"/>
                </w:tcPr>
                <w:p w14:paraId="0BE99B22">
                  <w:pPr>
                    <w:adjustRightInd w:val="0"/>
                    <w:snapToGrid w:val="0"/>
                    <w:jc w:val="center"/>
                    <w:rPr>
                      <w:rFonts w:hint="eastAsia" w:ascii="Times New Roman" w:hAnsi="Times New Roman" w:eastAsia="宋体" w:cs="Times New Roman"/>
                      <w:color w:val="auto"/>
                      <w:highlight w:val="none"/>
                      <w:lang w:val="en-US" w:eastAsia="zh-CN"/>
                    </w:rPr>
                  </w:pPr>
                  <w:r>
                    <w:rPr>
                      <w:rFonts w:hint="eastAsia" w:cs="Times New Roman"/>
                      <w:color w:val="auto"/>
                      <w:szCs w:val="21"/>
                      <w:highlight w:val="none"/>
                      <w:lang w:val="en-US" w:eastAsia="zh-CN"/>
                    </w:rPr>
                    <w:t>30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h</w:t>
                  </w:r>
                </w:p>
              </w:tc>
              <w:tc>
                <w:tcPr>
                  <w:tcW w:w="808" w:type="pct"/>
                  <w:vAlign w:val="center"/>
                </w:tcPr>
                <w:p w14:paraId="32EC889E">
                  <w:pPr>
                    <w:jc w:val="center"/>
                    <w:rPr>
                      <w:rFonts w:hint="eastAsia" w:ascii="Times New Roman" w:hAnsi="Times New Roman" w:eastAsia="宋体" w:cs="Times New Roman"/>
                      <w:color w:val="auto"/>
                      <w:highlight w:val="none"/>
                      <w:lang w:val="en-US" w:eastAsia="zh-CN"/>
                    </w:rPr>
                  </w:pPr>
                  <w:r>
                    <w:rPr>
                      <w:rFonts w:hint="eastAsia" w:cs="Times New Roman"/>
                      <w:color w:val="auto"/>
                      <w:szCs w:val="21"/>
                      <w:highlight w:val="none"/>
                      <w:lang w:val="en-US" w:eastAsia="zh-CN"/>
                    </w:rPr>
                    <w:t>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h</w:t>
                  </w:r>
                </w:p>
              </w:tc>
              <w:tc>
                <w:tcPr>
                  <w:tcW w:w="1143" w:type="pct"/>
                  <w:vAlign w:val="center"/>
                </w:tcPr>
                <w:p w14:paraId="50BF85E8">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Cs w:val="21"/>
                      <w:highlight w:val="none"/>
                    </w:rPr>
                    <w:t>本项目</w:t>
                  </w:r>
                  <w:r>
                    <w:rPr>
                      <w:rFonts w:hint="eastAsia" w:cs="Times New Roman"/>
                      <w:color w:val="auto"/>
                      <w:kern w:val="0"/>
                      <w:szCs w:val="21"/>
                      <w:highlight w:val="none"/>
                      <w:lang w:val="en-US" w:eastAsia="zh-CN"/>
                    </w:rPr>
                    <w:t>利旧，不新增冷冻水需求。</w:t>
                  </w:r>
                </w:p>
              </w:tc>
            </w:tr>
            <w:tr w14:paraId="692C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vAlign w:val="center"/>
                </w:tcPr>
                <w:p w14:paraId="2412C4B8">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消防水系统</w:t>
                  </w:r>
                </w:p>
              </w:tc>
              <w:tc>
                <w:tcPr>
                  <w:tcW w:w="1546" w:type="pct"/>
                  <w:vAlign w:val="center"/>
                </w:tcPr>
                <w:p w14:paraId="67C049FE">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个</w:t>
                  </w:r>
                  <w:r>
                    <w:rPr>
                      <w:rFonts w:hint="eastAsia" w:ascii="Times New Roman" w:hAnsi="Times New Roman" w:eastAsia="宋体" w:cs="Times New Roman"/>
                      <w:color w:val="auto"/>
                      <w:sz w:val="21"/>
                      <w:szCs w:val="21"/>
                      <w:highlight w:val="none"/>
                    </w:rPr>
                    <w:t>1500</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消防水罐，</w:t>
                  </w:r>
                  <w:r>
                    <w:rPr>
                      <w:rFonts w:hint="eastAsia" w:cs="Times New Roman"/>
                      <w:color w:val="auto"/>
                      <w:sz w:val="21"/>
                      <w:szCs w:val="21"/>
                      <w:highlight w:val="none"/>
                      <w:lang w:val="en-US" w:eastAsia="zh-CN"/>
                    </w:rPr>
                    <w:t>2个</w:t>
                  </w:r>
                  <w:r>
                    <w:rPr>
                      <w:rFonts w:hint="eastAsia" w:ascii="Times New Roman" w:hAnsi="Times New Roman" w:eastAsia="宋体" w:cs="Times New Roman"/>
                      <w:color w:val="auto"/>
                      <w:sz w:val="21"/>
                      <w:szCs w:val="21"/>
                      <w:highlight w:val="none"/>
                    </w:rPr>
                    <w:t>消防水泵及配套稳压设施。</w:t>
                  </w:r>
                </w:p>
              </w:tc>
              <w:tc>
                <w:tcPr>
                  <w:tcW w:w="807" w:type="pct"/>
                  <w:vAlign w:val="center"/>
                </w:tcPr>
                <w:p w14:paraId="7C53C603">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最大消防用水</w:t>
                  </w:r>
                  <w:r>
                    <w:rPr>
                      <w:rFonts w:hint="eastAsia" w:ascii="Times New Roman" w:hAnsi="Times New Roman" w:eastAsia="宋体" w:cs="Times New Roman"/>
                      <w:color w:val="auto"/>
                      <w:sz w:val="21"/>
                      <w:szCs w:val="21"/>
                      <w:highlight w:val="none"/>
                      <w:lang w:val="zh-CN" w:eastAsia="zh-CN"/>
                    </w:rPr>
                    <w:t>1620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Cs w:val="21"/>
                      <w:highlight w:val="none"/>
                      <w:vertAlign w:val="superscript"/>
                    </w:rPr>
                    <w:t>3</w:t>
                  </w:r>
                </w:p>
              </w:tc>
              <w:tc>
                <w:tcPr>
                  <w:tcW w:w="808" w:type="pct"/>
                  <w:vAlign w:val="center"/>
                </w:tcPr>
                <w:p w14:paraId="6602DC08">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/d</w:t>
                  </w:r>
                </w:p>
              </w:tc>
              <w:tc>
                <w:tcPr>
                  <w:tcW w:w="1143" w:type="pct"/>
                  <w:vAlign w:val="center"/>
                </w:tcPr>
                <w:p w14:paraId="27B3F54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本次</w:t>
                  </w:r>
                  <w:r>
                    <w:rPr>
                      <w:rFonts w:hint="eastAsia" w:cs="Times New Roman"/>
                      <w:color w:val="auto"/>
                      <w:szCs w:val="21"/>
                      <w:highlight w:val="none"/>
                      <w:lang w:val="en-US" w:eastAsia="zh-CN"/>
                    </w:rPr>
                    <w:t>不新增全厂消防水负荷</w:t>
                  </w:r>
                  <w:r>
                    <w:rPr>
                      <w:rFonts w:hint="default" w:ascii="Times New Roman" w:hAnsi="Times New Roman" w:cs="Times New Roman"/>
                      <w:color w:val="auto"/>
                      <w:szCs w:val="21"/>
                      <w:highlight w:val="none"/>
                      <w:lang w:val="en-US" w:eastAsia="zh-CN"/>
                    </w:rPr>
                    <w:t>，可满足需要</w:t>
                  </w:r>
                </w:p>
              </w:tc>
            </w:tr>
          </w:tbl>
          <w:p w14:paraId="23AF88D5">
            <w:pPr>
              <w:widowControl/>
              <w:adjustRightInd w:val="0"/>
              <w:snapToGrid w:val="0"/>
              <w:spacing w:line="360" w:lineRule="auto"/>
              <w:ind w:firstLine="482" w:firstLineChars="200"/>
              <w:rPr>
                <w:b/>
                <w:color w:val="auto"/>
                <w:sz w:val="24"/>
                <w:highlight w:val="none"/>
              </w:rPr>
            </w:pPr>
            <w:r>
              <w:rPr>
                <w:rFonts w:hint="eastAsia"/>
                <w:b/>
                <w:bCs/>
                <w:color w:val="auto"/>
                <w:sz w:val="24"/>
                <w:highlight w:val="none"/>
              </w:rPr>
              <w:t>本项目依托的锅炉、污水处理站、</w:t>
            </w:r>
            <w:r>
              <w:rPr>
                <w:rFonts w:hint="eastAsia"/>
                <w:b/>
                <w:bCs/>
                <w:color w:val="auto"/>
                <w:sz w:val="24"/>
                <w:highlight w:val="none"/>
                <w:lang w:val="en-US" w:eastAsia="zh-CN"/>
              </w:rPr>
              <w:t>制冷站、消防水系统、综合办公楼</w:t>
            </w:r>
            <w:r>
              <w:rPr>
                <w:rFonts w:hint="eastAsia"/>
                <w:b/>
                <w:bCs/>
                <w:color w:val="auto"/>
                <w:sz w:val="24"/>
                <w:highlight w:val="none"/>
              </w:rPr>
              <w:t>等公辅设施已在</w:t>
            </w:r>
            <w:r>
              <w:rPr>
                <w:rFonts w:hint="eastAsia"/>
                <w:b/>
                <w:bCs/>
                <w:color w:val="auto"/>
                <w:sz w:val="24"/>
                <w:highlight w:val="none"/>
                <w:lang w:val="en-US" w:eastAsia="zh-CN"/>
              </w:rPr>
              <w:t>现有工程验</w:t>
            </w:r>
            <w:r>
              <w:rPr>
                <w:rFonts w:hint="eastAsia"/>
                <w:b/>
                <w:bCs/>
                <w:color w:val="auto"/>
                <w:sz w:val="24"/>
                <w:highlight w:val="none"/>
              </w:rPr>
              <w:t>收时一并验收，且在</w:t>
            </w:r>
            <w:r>
              <w:rPr>
                <w:rFonts w:hint="eastAsia"/>
                <w:b/>
                <w:bCs/>
                <w:color w:val="auto"/>
                <w:sz w:val="24"/>
                <w:highlight w:val="none"/>
                <w:lang w:val="en-US" w:eastAsia="zh-CN"/>
              </w:rPr>
              <w:t>现有工程</w:t>
            </w:r>
            <w:r>
              <w:rPr>
                <w:rFonts w:hint="eastAsia"/>
                <w:b/>
                <w:bCs/>
                <w:color w:val="auto"/>
                <w:sz w:val="24"/>
                <w:highlight w:val="none"/>
              </w:rPr>
              <w:t>设计初期已考虑有余量供后期项目依托使用。</w:t>
            </w:r>
            <w:r>
              <w:rPr>
                <w:rFonts w:hint="eastAsia"/>
                <w:color w:val="auto"/>
                <w:sz w:val="24"/>
                <w:highlight w:val="none"/>
              </w:rPr>
              <w:t>综上</w:t>
            </w:r>
            <w:r>
              <w:rPr>
                <w:color w:val="auto"/>
                <w:sz w:val="24"/>
                <w:highlight w:val="none"/>
              </w:rPr>
              <w:t>，本项目依托</w:t>
            </w:r>
            <w:r>
              <w:rPr>
                <w:rFonts w:hint="eastAsia"/>
                <w:color w:val="auto"/>
                <w:sz w:val="24"/>
                <w:highlight w:val="none"/>
                <w:lang w:val="en-US" w:eastAsia="zh-CN"/>
              </w:rPr>
              <w:t>技改前厂区</w:t>
            </w:r>
            <w:r>
              <w:rPr>
                <w:rFonts w:hint="eastAsia"/>
                <w:color w:val="auto"/>
                <w:sz w:val="24"/>
                <w:highlight w:val="none"/>
              </w:rPr>
              <w:t>部分设施设备</w:t>
            </w:r>
            <w:r>
              <w:rPr>
                <w:color w:val="auto"/>
                <w:sz w:val="24"/>
                <w:highlight w:val="none"/>
              </w:rPr>
              <w:t>能满足本项目的要求，其依托可行。</w:t>
            </w:r>
          </w:p>
          <w:p w14:paraId="08FBFA83">
            <w:pPr>
              <w:snapToGrid w:val="0"/>
              <w:spacing w:line="360" w:lineRule="auto"/>
              <w:ind w:firstLine="482" w:firstLineChars="200"/>
              <w:rPr>
                <w:b/>
                <w:color w:val="auto"/>
                <w:sz w:val="24"/>
                <w:highlight w:val="none"/>
              </w:rPr>
            </w:pPr>
            <w:r>
              <w:rPr>
                <w:rFonts w:hint="eastAsia"/>
                <w:b/>
                <w:color w:val="auto"/>
                <w:sz w:val="24"/>
                <w:highlight w:val="none"/>
              </w:rPr>
              <w:t>（4）</w:t>
            </w:r>
            <w:r>
              <w:rPr>
                <w:b/>
                <w:color w:val="auto"/>
                <w:sz w:val="24"/>
                <w:highlight w:val="none"/>
              </w:rPr>
              <w:t>主要原辅材料及能源消耗</w:t>
            </w:r>
          </w:p>
          <w:p w14:paraId="56696059">
            <w:pPr>
              <w:snapToGrid w:val="0"/>
              <w:spacing w:line="360" w:lineRule="auto"/>
              <w:ind w:firstLine="480" w:firstLineChars="200"/>
              <w:rPr>
                <w:b/>
                <w:color w:val="auto"/>
                <w:sz w:val="24"/>
                <w:highlight w:val="none"/>
                <w:lang w:bidi="ar"/>
              </w:rPr>
            </w:pPr>
            <w:r>
              <w:rPr>
                <w:rFonts w:hint="eastAsia"/>
                <w:color w:val="auto"/>
                <w:sz w:val="24"/>
                <w:highlight w:val="none"/>
                <w:lang w:val="en-US" w:eastAsia="zh-CN"/>
              </w:rPr>
              <w:t>本次技改针对现有</w:t>
            </w:r>
            <w:r>
              <w:rPr>
                <w:rFonts w:hint="eastAsia"/>
                <w:color w:val="auto"/>
                <w:sz w:val="24"/>
                <w:szCs w:val="24"/>
                <w:highlight w:val="none"/>
                <w:lang w:val="en-US" w:eastAsia="zh-CN"/>
              </w:rPr>
              <w:t>三乙醇胺及</w:t>
            </w:r>
            <w:r>
              <w:rPr>
                <w:rFonts w:hint="eastAsia" w:cs="Times New Roman"/>
                <w:color w:val="auto"/>
                <w:sz w:val="24"/>
                <w:szCs w:val="24"/>
                <w:highlight w:val="none"/>
                <w:lang w:val="en-US" w:eastAsia="zh-CN"/>
              </w:rPr>
              <w:t>N-甲基一乙醇胺</w:t>
            </w:r>
            <w:r>
              <w:rPr>
                <w:rFonts w:hint="eastAsia"/>
                <w:color w:val="auto"/>
                <w:sz w:val="24"/>
                <w:highlight w:val="none"/>
                <w:lang w:val="en-US" w:eastAsia="zh-CN"/>
              </w:rPr>
              <w:t>产品进行提质升级，产品原料即为现有低浓度产品，现有工程原辅料种类及用量不变，</w:t>
            </w:r>
            <w:r>
              <w:rPr>
                <w:color w:val="auto"/>
                <w:sz w:val="24"/>
                <w:highlight w:val="none"/>
              </w:rPr>
              <w:t>根据业主提供的资料，本</w:t>
            </w:r>
            <w:r>
              <w:rPr>
                <w:rFonts w:hint="eastAsia"/>
                <w:color w:val="auto"/>
                <w:sz w:val="24"/>
                <w:highlight w:val="none"/>
                <w:lang w:val="en-US" w:eastAsia="zh-CN"/>
              </w:rPr>
              <w:t>次技改</w:t>
            </w:r>
            <w:r>
              <w:rPr>
                <w:color w:val="auto"/>
                <w:sz w:val="24"/>
                <w:highlight w:val="none"/>
              </w:rPr>
              <w:t>主要原辅料能源消耗及来源见下表。</w:t>
            </w:r>
          </w:p>
          <w:p w14:paraId="36D8727B">
            <w:pPr>
              <w:pStyle w:val="42"/>
              <w:rPr>
                <w:color w:val="auto"/>
                <w:highlight w:val="none"/>
              </w:rPr>
            </w:pPr>
            <w:r>
              <w:rPr>
                <w:color w:val="auto"/>
                <w:highlight w:val="none"/>
              </w:rPr>
              <w:t>项目主要原辅材料年用量</w:t>
            </w:r>
          </w:p>
          <w:tbl>
            <w:tblPr>
              <w:tblStyle w:val="27"/>
              <w:tblW w:w="497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Layout w:type="fixed"/>
              <w:tblCellMar>
                <w:top w:w="0" w:type="dxa"/>
                <w:left w:w="108" w:type="dxa"/>
                <w:bottom w:w="0" w:type="dxa"/>
                <w:right w:w="108" w:type="dxa"/>
              </w:tblCellMar>
            </w:tblPr>
            <w:tblGrid>
              <w:gridCol w:w="432"/>
              <w:gridCol w:w="954"/>
              <w:gridCol w:w="1599"/>
              <w:gridCol w:w="797"/>
              <w:gridCol w:w="775"/>
              <w:gridCol w:w="1050"/>
              <w:gridCol w:w="1055"/>
              <w:gridCol w:w="687"/>
              <w:gridCol w:w="1068"/>
            </w:tblGrid>
            <w:tr w14:paraId="39CD7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CellMar>
                  <w:top w:w="0" w:type="dxa"/>
                  <w:left w:w="108" w:type="dxa"/>
                  <w:bottom w:w="0" w:type="dxa"/>
                  <w:right w:w="108" w:type="dxa"/>
                </w:tblCellMar>
              </w:tblPrEx>
              <w:trPr>
                <w:trHeight w:val="90" w:hRule="atLeast"/>
                <w:jc w:val="center"/>
              </w:trPr>
              <w:tc>
                <w:tcPr>
                  <w:tcW w:w="256" w:type="pct"/>
                  <w:shd w:val="clear" w:color="auto" w:fill="auto"/>
                  <w:noWrap w:val="0"/>
                  <w:tcMar>
                    <w:left w:w="85" w:type="dxa"/>
                    <w:right w:w="85" w:type="dxa"/>
                  </w:tcMar>
                  <w:vAlign w:val="center"/>
                </w:tcPr>
                <w:p w14:paraId="46C875B6">
                  <w:pPr>
                    <w:snapToGrid w:val="0"/>
                    <w:jc w:val="center"/>
                    <w:rPr>
                      <w:rFonts w:hint="default" w:ascii="Times New Roman" w:hAnsi="Times New Roman" w:eastAsia="宋体" w:cs="Times New Roman"/>
                      <w:b/>
                      <w:bCs/>
                      <w:color w:val="auto"/>
                      <w:spacing w:val="20"/>
                      <w:sz w:val="21"/>
                      <w:szCs w:val="21"/>
                      <w:highlight w:val="none"/>
                      <w:lang w:val="en-US" w:eastAsia="zh-CN"/>
                    </w:rPr>
                  </w:pPr>
                  <w:r>
                    <w:rPr>
                      <w:rFonts w:hint="default" w:ascii="Times New Roman" w:hAnsi="Times New Roman" w:eastAsia="宋体" w:cs="Times New Roman"/>
                      <w:b/>
                      <w:bCs/>
                      <w:color w:val="auto"/>
                      <w:spacing w:val="20"/>
                      <w:sz w:val="21"/>
                      <w:szCs w:val="21"/>
                      <w:highlight w:val="none"/>
                      <w:lang w:val="en-US" w:eastAsia="zh-CN"/>
                    </w:rPr>
                    <w:t>类别</w:t>
                  </w:r>
                </w:p>
              </w:tc>
              <w:tc>
                <w:tcPr>
                  <w:tcW w:w="566" w:type="pct"/>
                  <w:shd w:val="clear" w:color="auto" w:fill="auto"/>
                  <w:noWrap w:val="0"/>
                  <w:tcMar>
                    <w:left w:w="85" w:type="dxa"/>
                    <w:right w:w="85" w:type="dxa"/>
                  </w:tcMar>
                  <w:vAlign w:val="center"/>
                </w:tcPr>
                <w:p w14:paraId="2CA1F03E">
                  <w:pPr>
                    <w:snapToGrid w:val="0"/>
                    <w:jc w:val="center"/>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rPr>
                    <w:t>名称</w:t>
                  </w:r>
                </w:p>
              </w:tc>
              <w:tc>
                <w:tcPr>
                  <w:tcW w:w="949" w:type="pct"/>
                  <w:shd w:val="clear" w:color="auto" w:fill="auto"/>
                  <w:noWrap w:val="0"/>
                  <w:tcMar>
                    <w:left w:w="85" w:type="dxa"/>
                    <w:right w:w="85" w:type="dxa"/>
                  </w:tcMar>
                  <w:vAlign w:val="center"/>
                </w:tcPr>
                <w:p w14:paraId="13022258">
                  <w:pPr>
                    <w:snapToGrid w:val="0"/>
                    <w:jc w:val="center"/>
                    <w:rPr>
                      <w:rFonts w:hint="default" w:ascii="Times New Roman" w:hAnsi="Times New Roman" w:eastAsia="宋体" w:cs="Times New Roman"/>
                      <w:b/>
                      <w:bCs/>
                      <w:color w:val="auto"/>
                      <w:spacing w:val="20"/>
                      <w:sz w:val="21"/>
                      <w:szCs w:val="21"/>
                      <w:highlight w:val="none"/>
                      <w:lang w:val="en-US" w:eastAsia="zh-CN"/>
                    </w:rPr>
                  </w:pPr>
                  <w:r>
                    <w:rPr>
                      <w:rFonts w:hint="default" w:ascii="Times New Roman" w:hAnsi="Times New Roman" w:eastAsia="宋体" w:cs="Times New Roman"/>
                      <w:b/>
                      <w:bCs/>
                      <w:color w:val="auto"/>
                      <w:spacing w:val="20"/>
                      <w:sz w:val="21"/>
                      <w:szCs w:val="21"/>
                      <w:highlight w:val="none"/>
                    </w:rPr>
                    <w:t>规格</w:t>
                  </w:r>
                  <w:r>
                    <w:rPr>
                      <w:rFonts w:hint="default" w:ascii="Times New Roman" w:hAnsi="Times New Roman" w:eastAsia="宋体" w:cs="Times New Roman"/>
                      <w:b/>
                      <w:bCs/>
                      <w:color w:val="auto"/>
                      <w:spacing w:val="20"/>
                      <w:sz w:val="21"/>
                      <w:szCs w:val="21"/>
                      <w:highlight w:val="none"/>
                      <w:lang w:val="en-US" w:eastAsia="zh-CN"/>
                    </w:rPr>
                    <w:t>/成分</w:t>
                  </w:r>
                </w:p>
              </w:tc>
              <w:tc>
                <w:tcPr>
                  <w:tcW w:w="473" w:type="pct"/>
                  <w:shd w:val="clear" w:color="auto" w:fill="auto"/>
                  <w:noWrap w:val="0"/>
                  <w:tcMar>
                    <w:left w:w="85" w:type="dxa"/>
                    <w:right w:w="85" w:type="dxa"/>
                  </w:tcMar>
                  <w:vAlign w:val="center"/>
                </w:tcPr>
                <w:p w14:paraId="0EBAFEB3">
                  <w:pPr>
                    <w:snapToGrid w:val="0"/>
                    <w:jc w:val="center"/>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rPr>
                    <w:t>单位</w:t>
                  </w:r>
                </w:p>
              </w:tc>
              <w:tc>
                <w:tcPr>
                  <w:tcW w:w="460" w:type="pct"/>
                  <w:shd w:val="clear" w:color="auto" w:fill="auto"/>
                  <w:noWrap w:val="0"/>
                  <w:tcMar>
                    <w:left w:w="85" w:type="dxa"/>
                    <w:right w:w="85" w:type="dxa"/>
                  </w:tcMar>
                  <w:vAlign w:val="center"/>
                </w:tcPr>
                <w:p w14:paraId="1646CADF">
                  <w:pPr>
                    <w:snapToGrid w:val="0"/>
                    <w:jc w:val="center"/>
                    <w:rPr>
                      <w:rFonts w:hint="default" w:ascii="Times New Roman" w:hAnsi="Times New Roman" w:eastAsia="宋体" w:cs="Times New Roman"/>
                      <w:b/>
                      <w:bCs/>
                      <w:color w:val="auto"/>
                      <w:spacing w:val="20"/>
                      <w:sz w:val="21"/>
                      <w:szCs w:val="21"/>
                      <w:highlight w:val="none"/>
                      <w:lang w:val="en-US" w:eastAsia="zh-CN"/>
                    </w:rPr>
                  </w:pPr>
                  <w:r>
                    <w:rPr>
                      <w:rFonts w:hint="default" w:ascii="Times New Roman" w:hAnsi="Times New Roman" w:eastAsia="宋体" w:cs="Times New Roman"/>
                      <w:b/>
                      <w:bCs/>
                      <w:color w:val="auto"/>
                      <w:spacing w:val="20"/>
                      <w:sz w:val="21"/>
                      <w:szCs w:val="21"/>
                      <w:highlight w:val="none"/>
                      <w:lang w:val="en-US" w:eastAsia="zh-CN"/>
                    </w:rPr>
                    <w:t>性状</w:t>
                  </w:r>
                </w:p>
              </w:tc>
              <w:tc>
                <w:tcPr>
                  <w:tcW w:w="623" w:type="pct"/>
                  <w:shd w:val="clear" w:color="auto" w:fill="auto"/>
                  <w:noWrap w:val="0"/>
                  <w:tcMar>
                    <w:left w:w="85" w:type="dxa"/>
                    <w:right w:w="85" w:type="dxa"/>
                  </w:tcMar>
                  <w:vAlign w:val="center"/>
                </w:tcPr>
                <w:p w14:paraId="1AB29E69">
                  <w:pPr>
                    <w:snapToGrid w:val="0"/>
                    <w:jc w:val="center"/>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lang w:val="en-US" w:eastAsia="zh-CN"/>
                    </w:rPr>
                    <w:t>年用量（t/a）</w:t>
                  </w:r>
                </w:p>
              </w:tc>
              <w:tc>
                <w:tcPr>
                  <w:tcW w:w="626" w:type="pct"/>
                  <w:shd w:val="clear" w:color="auto" w:fill="auto"/>
                  <w:noWrap w:val="0"/>
                  <w:tcMar>
                    <w:left w:w="85" w:type="dxa"/>
                    <w:right w:w="85" w:type="dxa"/>
                  </w:tcMar>
                  <w:vAlign w:val="center"/>
                </w:tcPr>
                <w:p w14:paraId="7722CE79">
                  <w:pPr>
                    <w:snapToGrid w:val="0"/>
                    <w:jc w:val="center"/>
                    <w:rPr>
                      <w:rFonts w:hint="default" w:ascii="Times New Roman" w:hAnsi="Times New Roman" w:eastAsia="宋体" w:cs="Times New Roman"/>
                      <w:b/>
                      <w:bCs/>
                      <w:color w:val="auto"/>
                      <w:spacing w:val="20"/>
                      <w:sz w:val="21"/>
                      <w:szCs w:val="21"/>
                      <w:highlight w:val="none"/>
                      <w:lang w:val="en-US" w:eastAsia="zh-CN"/>
                    </w:rPr>
                  </w:pPr>
                  <w:r>
                    <w:rPr>
                      <w:rFonts w:hint="default" w:ascii="Times New Roman" w:hAnsi="Times New Roman" w:eastAsia="宋体" w:cs="Times New Roman"/>
                      <w:b/>
                      <w:bCs/>
                      <w:color w:val="auto"/>
                      <w:spacing w:val="20"/>
                      <w:sz w:val="21"/>
                      <w:szCs w:val="21"/>
                      <w:highlight w:val="none"/>
                      <w:lang w:val="en-US" w:eastAsia="zh-CN"/>
                    </w:rPr>
                    <w:t>最大储存量（t）</w:t>
                  </w:r>
                </w:p>
              </w:tc>
              <w:tc>
                <w:tcPr>
                  <w:tcW w:w="408" w:type="pct"/>
                  <w:shd w:val="clear" w:color="auto" w:fill="auto"/>
                  <w:noWrap w:val="0"/>
                  <w:tcMar>
                    <w:left w:w="85" w:type="dxa"/>
                    <w:right w:w="85" w:type="dxa"/>
                  </w:tcMar>
                  <w:vAlign w:val="center"/>
                </w:tcPr>
                <w:p w14:paraId="22E8A657">
                  <w:pPr>
                    <w:snapToGrid w:val="0"/>
                    <w:jc w:val="center"/>
                    <w:rPr>
                      <w:rFonts w:hint="default" w:ascii="Times New Roman" w:hAnsi="Times New Roman" w:eastAsia="宋体" w:cs="Times New Roman"/>
                      <w:b/>
                      <w:bCs/>
                      <w:color w:val="auto"/>
                      <w:spacing w:val="20"/>
                      <w:sz w:val="21"/>
                      <w:szCs w:val="21"/>
                      <w:highlight w:val="none"/>
                      <w:lang w:val="en-US" w:eastAsia="zh-CN"/>
                    </w:rPr>
                  </w:pPr>
                  <w:r>
                    <w:rPr>
                      <w:rFonts w:hint="default" w:ascii="Times New Roman" w:hAnsi="Times New Roman" w:eastAsia="宋体" w:cs="Times New Roman"/>
                      <w:b/>
                      <w:bCs/>
                      <w:color w:val="auto"/>
                      <w:spacing w:val="20"/>
                      <w:sz w:val="21"/>
                      <w:szCs w:val="21"/>
                      <w:highlight w:val="none"/>
                      <w:lang w:val="en-US" w:eastAsia="zh-CN"/>
                    </w:rPr>
                    <w:t>储存方式</w:t>
                  </w:r>
                </w:p>
              </w:tc>
              <w:tc>
                <w:tcPr>
                  <w:tcW w:w="634" w:type="pct"/>
                  <w:shd w:val="clear" w:color="auto" w:fill="auto"/>
                  <w:noWrap w:val="0"/>
                  <w:tcMar>
                    <w:left w:w="85" w:type="dxa"/>
                    <w:right w:w="85" w:type="dxa"/>
                  </w:tcMar>
                  <w:vAlign w:val="center"/>
                </w:tcPr>
                <w:p w14:paraId="6FAD5075">
                  <w:pPr>
                    <w:snapToGrid w:val="0"/>
                    <w:jc w:val="center"/>
                    <w:rPr>
                      <w:rFonts w:hint="default" w:ascii="Times New Roman" w:hAnsi="Times New Roman" w:eastAsia="宋体" w:cs="Times New Roman"/>
                      <w:b/>
                      <w:bCs/>
                      <w:color w:val="auto"/>
                      <w:spacing w:val="20"/>
                      <w:sz w:val="21"/>
                      <w:szCs w:val="21"/>
                      <w:highlight w:val="none"/>
                      <w:lang w:val="en-US" w:eastAsia="zh-CN"/>
                    </w:rPr>
                  </w:pPr>
                  <w:r>
                    <w:rPr>
                      <w:rFonts w:hint="default" w:ascii="Times New Roman" w:hAnsi="Times New Roman" w:eastAsia="宋体" w:cs="Times New Roman"/>
                      <w:b/>
                      <w:bCs/>
                      <w:color w:val="auto"/>
                      <w:spacing w:val="20"/>
                      <w:sz w:val="21"/>
                      <w:szCs w:val="21"/>
                      <w:highlight w:val="none"/>
                      <w:lang w:val="en-US" w:eastAsia="zh-CN"/>
                    </w:rPr>
                    <w:t>备注</w:t>
                  </w:r>
                </w:p>
              </w:tc>
            </w:tr>
            <w:tr w14:paraId="54077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CellMar>
                  <w:top w:w="0" w:type="dxa"/>
                  <w:left w:w="108" w:type="dxa"/>
                  <w:bottom w:w="0" w:type="dxa"/>
                  <w:right w:w="108" w:type="dxa"/>
                </w:tblCellMar>
              </w:tblPrEx>
              <w:trPr>
                <w:trHeight w:val="340" w:hRule="atLeast"/>
                <w:jc w:val="center"/>
              </w:trPr>
              <w:tc>
                <w:tcPr>
                  <w:tcW w:w="256" w:type="pct"/>
                  <w:vMerge w:val="restart"/>
                  <w:shd w:val="clear" w:color="auto" w:fill="auto"/>
                  <w:noWrap w:val="0"/>
                  <w:tcMar>
                    <w:left w:w="85" w:type="dxa"/>
                    <w:right w:w="85" w:type="dxa"/>
                  </w:tcMar>
                  <w:vAlign w:val="center"/>
                </w:tcPr>
                <w:p w14:paraId="20F21A45">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原辅料</w:t>
                  </w:r>
                </w:p>
              </w:tc>
              <w:tc>
                <w:tcPr>
                  <w:tcW w:w="566" w:type="pct"/>
                  <w:shd w:val="clear" w:color="auto" w:fill="auto"/>
                  <w:noWrap w:val="0"/>
                  <w:tcMar>
                    <w:left w:w="85" w:type="dxa"/>
                    <w:right w:w="85" w:type="dxa"/>
                  </w:tcMar>
                  <w:vAlign w:val="center"/>
                </w:tcPr>
                <w:p w14:paraId="710ACDC7">
                  <w:pPr>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z w:val="21"/>
                      <w:szCs w:val="21"/>
                      <w:highlight w:val="none"/>
                    </w:rPr>
                    <w:t>三乙醇胺</w:t>
                  </w:r>
                </w:p>
              </w:tc>
              <w:tc>
                <w:tcPr>
                  <w:tcW w:w="949" w:type="pct"/>
                  <w:shd w:val="clear" w:color="auto" w:fill="auto"/>
                  <w:noWrap w:val="0"/>
                  <w:tcMar>
                    <w:left w:w="85" w:type="dxa"/>
                    <w:right w:w="85" w:type="dxa"/>
                  </w:tcMar>
                  <w:vAlign w:val="center"/>
                </w:tcPr>
                <w:p w14:paraId="26FEEA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0"/>
                      <w:sz w:val="21"/>
                      <w:szCs w:val="21"/>
                      <w:highlight w:val="none"/>
                      <w:lang w:val="en-US" w:eastAsia="zh-CN"/>
                    </w:rPr>
                    <w:t>纯度≥99.5%，密度1.124g/mL</w:t>
                  </w:r>
                </w:p>
              </w:tc>
              <w:tc>
                <w:tcPr>
                  <w:tcW w:w="473" w:type="pct"/>
                  <w:shd w:val="clear" w:color="auto" w:fill="auto"/>
                  <w:noWrap w:val="0"/>
                  <w:tcMar>
                    <w:left w:w="85" w:type="dxa"/>
                    <w:right w:w="85" w:type="dxa"/>
                  </w:tcMar>
                  <w:vAlign w:val="center"/>
                </w:tcPr>
                <w:p w14:paraId="12A3A82D">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吨</w:t>
                  </w:r>
                </w:p>
              </w:tc>
              <w:tc>
                <w:tcPr>
                  <w:tcW w:w="460" w:type="pct"/>
                  <w:shd w:val="clear" w:color="auto" w:fill="auto"/>
                  <w:noWrap w:val="0"/>
                  <w:tcMar>
                    <w:left w:w="85" w:type="dxa"/>
                    <w:right w:w="85" w:type="dxa"/>
                  </w:tcMar>
                  <w:vAlign w:val="center"/>
                </w:tcPr>
                <w:p w14:paraId="3C62B212">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液体</w:t>
                  </w:r>
                </w:p>
              </w:tc>
              <w:tc>
                <w:tcPr>
                  <w:tcW w:w="623" w:type="pct"/>
                  <w:shd w:val="clear" w:color="auto" w:fill="auto"/>
                  <w:noWrap w:val="0"/>
                  <w:tcMar>
                    <w:left w:w="85" w:type="dxa"/>
                    <w:right w:w="85" w:type="dxa"/>
                  </w:tcMar>
                  <w:vAlign w:val="center"/>
                </w:tcPr>
                <w:p w14:paraId="2FE88492">
                  <w:pPr>
                    <w:keepNext w:val="0"/>
                    <w:keepLines w:val="0"/>
                    <w:widowControl/>
                    <w:suppressLineNumbers w:val="0"/>
                    <w:jc w:val="center"/>
                    <w:textAlignment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2500</w:t>
                  </w:r>
                </w:p>
              </w:tc>
              <w:tc>
                <w:tcPr>
                  <w:tcW w:w="626" w:type="pct"/>
                  <w:shd w:val="clear" w:color="auto" w:fill="auto"/>
                  <w:noWrap w:val="0"/>
                  <w:tcMar>
                    <w:left w:w="85" w:type="dxa"/>
                    <w:right w:w="85" w:type="dxa"/>
                  </w:tcMar>
                  <w:vAlign w:val="center"/>
                </w:tcPr>
                <w:p w14:paraId="37721BFD">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104</w:t>
                  </w:r>
                </w:p>
              </w:tc>
              <w:tc>
                <w:tcPr>
                  <w:tcW w:w="408" w:type="pct"/>
                  <w:shd w:val="clear" w:color="auto" w:fill="auto"/>
                  <w:noWrap w:val="0"/>
                  <w:tcMar>
                    <w:left w:w="85" w:type="dxa"/>
                    <w:right w:w="85" w:type="dxa"/>
                  </w:tcMar>
                  <w:vAlign w:val="center"/>
                </w:tcPr>
                <w:p w14:paraId="1A274ADA">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储罐</w:t>
                  </w:r>
                </w:p>
              </w:tc>
              <w:tc>
                <w:tcPr>
                  <w:tcW w:w="634" w:type="pct"/>
                  <w:vMerge w:val="restart"/>
                  <w:shd w:val="clear" w:color="auto" w:fill="auto"/>
                  <w:noWrap w:val="0"/>
                  <w:tcMar>
                    <w:left w:w="85" w:type="dxa"/>
                    <w:right w:w="85" w:type="dxa"/>
                  </w:tcMar>
                  <w:vAlign w:val="center"/>
                </w:tcPr>
                <w:p w14:paraId="3A400D16">
                  <w:pPr>
                    <w:snapToGrid w:val="0"/>
                    <w:jc w:val="center"/>
                    <w:rPr>
                      <w:rFonts w:hint="default" w:ascii="Times New Roman" w:hAnsi="Times New Roman" w:eastAsia="宋体" w:cs="Times New Roman"/>
                      <w:color w:val="auto"/>
                      <w:spacing w:val="20"/>
                      <w:sz w:val="21"/>
                      <w:szCs w:val="21"/>
                      <w:highlight w:val="none"/>
                      <w:lang w:val="en-US"/>
                    </w:rPr>
                  </w:pPr>
                  <w:r>
                    <w:rPr>
                      <w:rFonts w:hint="default" w:ascii="Times New Roman" w:hAnsi="Times New Roman" w:eastAsia="宋体" w:cs="Times New Roman"/>
                      <w:color w:val="auto"/>
                      <w:spacing w:val="20"/>
                      <w:sz w:val="21"/>
                      <w:szCs w:val="21"/>
                      <w:highlight w:val="none"/>
                      <w:lang w:val="en-US" w:eastAsia="zh-CN"/>
                    </w:rPr>
                    <w:t>现有厂区自产产品，</w:t>
                  </w:r>
                  <w:r>
                    <w:rPr>
                      <w:rFonts w:hint="eastAsia" w:cs="Times New Roman"/>
                      <w:color w:val="auto"/>
                      <w:spacing w:val="20"/>
                      <w:sz w:val="21"/>
                      <w:szCs w:val="21"/>
                      <w:highlight w:val="none"/>
                      <w:lang w:val="en-US" w:eastAsia="zh-CN"/>
                    </w:rPr>
                    <w:t>现有产品罐区</w:t>
                  </w:r>
                </w:p>
              </w:tc>
            </w:tr>
            <w:tr w14:paraId="74C0C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CellMar>
                  <w:top w:w="0" w:type="dxa"/>
                  <w:left w:w="108" w:type="dxa"/>
                  <w:bottom w:w="0" w:type="dxa"/>
                  <w:right w:w="108" w:type="dxa"/>
                </w:tblCellMar>
              </w:tblPrEx>
              <w:trPr>
                <w:trHeight w:val="90" w:hRule="atLeast"/>
                <w:jc w:val="center"/>
              </w:trPr>
              <w:tc>
                <w:tcPr>
                  <w:tcW w:w="256" w:type="pct"/>
                  <w:vMerge w:val="continue"/>
                  <w:shd w:val="clear" w:color="auto" w:fill="auto"/>
                  <w:noWrap w:val="0"/>
                  <w:tcMar>
                    <w:left w:w="85" w:type="dxa"/>
                    <w:right w:w="85" w:type="dxa"/>
                  </w:tcMar>
                  <w:vAlign w:val="center"/>
                </w:tcPr>
                <w:p w14:paraId="7637E3EE">
                  <w:pPr>
                    <w:snapToGrid w:val="0"/>
                    <w:jc w:val="center"/>
                    <w:rPr>
                      <w:rFonts w:hint="default" w:ascii="Times New Roman" w:hAnsi="Times New Roman" w:eastAsia="宋体" w:cs="Times New Roman"/>
                      <w:color w:val="auto"/>
                      <w:spacing w:val="20"/>
                      <w:sz w:val="21"/>
                      <w:szCs w:val="21"/>
                      <w:highlight w:val="none"/>
                      <w:lang w:val="en-US" w:eastAsia="zh-CN"/>
                    </w:rPr>
                  </w:pPr>
                </w:p>
              </w:tc>
              <w:tc>
                <w:tcPr>
                  <w:tcW w:w="566" w:type="pct"/>
                  <w:shd w:val="clear" w:color="auto" w:fill="auto"/>
                  <w:noWrap w:val="0"/>
                  <w:tcMar>
                    <w:left w:w="85" w:type="dxa"/>
                    <w:right w:w="85" w:type="dxa"/>
                  </w:tcMar>
                  <w:vAlign w:val="center"/>
                </w:tcPr>
                <w:p w14:paraId="61CD418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N-甲基一乙醇胺</w:t>
                  </w:r>
                </w:p>
              </w:tc>
              <w:tc>
                <w:tcPr>
                  <w:tcW w:w="949" w:type="pct"/>
                  <w:shd w:val="clear" w:color="auto" w:fill="auto"/>
                  <w:noWrap w:val="0"/>
                  <w:tcMar>
                    <w:left w:w="85" w:type="dxa"/>
                    <w:right w:w="85" w:type="dxa"/>
                  </w:tcMar>
                  <w:vAlign w:val="center"/>
                </w:tcPr>
                <w:p w14:paraId="64C1D925">
                  <w:pPr>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纯度≥99.3%，密度0.935g/mL</w:t>
                  </w:r>
                </w:p>
              </w:tc>
              <w:tc>
                <w:tcPr>
                  <w:tcW w:w="473" w:type="pct"/>
                  <w:shd w:val="clear" w:color="auto" w:fill="auto"/>
                  <w:noWrap w:val="0"/>
                  <w:tcMar>
                    <w:left w:w="85" w:type="dxa"/>
                    <w:right w:w="85" w:type="dxa"/>
                  </w:tcMar>
                  <w:vAlign w:val="center"/>
                </w:tcPr>
                <w:p w14:paraId="0D8694CB">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吨</w:t>
                  </w:r>
                </w:p>
              </w:tc>
              <w:tc>
                <w:tcPr>
                  <w:tcW w:w="460" w:type="pct"/>
                  <w:shd w:val="clear" w:color="auto" w:fill="auto"/>
                  <w:noWrap w:val="0"/>
                  <w:tcMar>
                    <w:left w:w="85" w:type="dxa"/>
                    <w:right w:w="85" w:type="dxa"/>
                  </w:tcMar>
                  <w:vAlign w:val="center"/>
                </w:tcPr>
                <w:p w14:paraId="06297294">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液体</w:t>
                  </w:r>
                </w:p>
              </w:tc>
              <w:tc>
                <w:tcPr>
                  <w:tcW w:w="623" w:type="pct"/>
                  <w:shd w:val="clear" w:color="auto" w:fill="auto"/>
                  <w:noWrap w:val="0"/>
                  <w:tcMar>
                    <w:left w:w="85" w:type="dxa"/>
                    <w:right w:w="85" w:type="dxa"/>
                  </w:tcMar>
                  <w:vAlign w:val="center"/>
                </w:tcPr>
                <w:p w14:paraId="26FBB6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26" w:type="pct"/>
                  <w:shd w:val="clear" w:color="auto" w:fill="auto"/>
                  <w:noWrap w:val="0"/>
                  <w:tcMar>
                    <w:left w:w="85" w:type="dxa"/>
                    <w:right w:w="85" w:type="dxa"/>
                  </w:tcMar>
                  <w:vAlign w:val="center"/>
                </w:tcPr>
                <w:p w14:paraId="14A97B79">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90</w:t>
                  </w:r>
                </w:p>
              </w:tc>
              <w:tc>
                <w:tcPr>
                  <w:tcW w:w="408" w:type="pct"/>
                  <w:shd w:val="clear" w:color="auto" w:fill="auto"/>
                  <w:noWrap w:val="0"/>
                  <w:tcMar>
                    <w:left w:w="85" w:type="dxa"/>
                    <w:right w:w="85" w:type="dxa"/>
                  </w:tcMar>
                  <w:vAlign w:val="center"/>
                </w:tcPr>
                <w:p w14:paraId="48468F04">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储罐</w:t>
                  </w:r>
                </w:p>
              </w:tc>
              <w:tc>
                <w:tcPr>
                  <w:tcW w:w="634" w:type="pct"/>
                  <w:vMerge w:val="continue"/>
                  <w:shd w:val="clear" w:color="auto" w:fill="auto"/>
                  <w:noWrap w:val="0"/>
                  <w:tcMar>
                    <w:left w:w="85" w:type="dxa"/>
                    <w:right w:w="85" w:type="dxa"/>
                  </w:tcMar>
                  <w:vAlign w:val="center"/>
                </w:tcPr>
                <w:p w14:paraId="1B74B5BE">
                  <w:pPr>
                    <w:snapToGrid w:val="0"/>
                    <w:jc w:val="center"/>
                    <w:rPr>
                      <w:rFonts w:hint="default" w:ascii="Times New Roman" w:hAnsi="Times New Roman" w:eastAsia="宋体" w:cs="Times New Roman"/>
                      <w:color w:val="auto"/>
                      <w:spacing w:val="20"/>
                      <w:sz w:val="21"/>
                      <w:szCs w:val="21"/>
                      <w:highlight w:val="none"/>
                      <w:lang w:val="en-US" w:eastAsia="zh-CN"/>
                    </w:rPr>
                  </w:pPr>
                </w:p>
              </w:tc>
            </w:tr>
            <w:tr w14:paraId="18849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CellMar>
                  <w:top w:w="0" w:type="dxa"/>
                  <w:left w:w="108" w:type="dxa"/>
                  <w:bottom w:w="0" w:type="dxa"/>
                  <w:right w:w="108" w:type="dxa"/>
                </w:tblCellMar>
              </w:tblPrEx>
              <w:trPr>
                <w:trHeight w:val="340" w:hRule="atLeast"/>
                <w:jc w:val="center"/>
              </w:trPr>
              <w:tc>
                <w:tcPr>
                  <w:tcW w:w="256" w:type="pct"/>
                  <w:vMerge w:val="restart"/>
                  <w:shd w:val="clear" w:color="auto" w:fill="auto"/>
                  <w:noWrap w:val="0"/>
                  <w:tcMar>
                    <w:left w:w="85" w:type="dxa"/>
                    <w:right w:w="85" w:type="dxa"/>
                  </w:tcMar>
                  <w:vAlign w:val="center"/>
                </w:tcPr>
                <w:p w14:paraId="6AD539F3">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能耗</w:t>
                  </w:r>
                </w:p>
              </w:tc>
              <w:tc>
                <w:tcPr>
                  <w:tcW w:w="566" w:type="pct"/>
                  <w:shd w:val="clear" w:color="auto" w:fill="auto"/>
                  <w:noWrap w:val="0"/>
                  <w:tcMar>
                    <w:left w:w="85" w:type="dxa"/>
                    <w:right w:w="85" w:type="dxa"/>
                  </w:tcMar>
                  <w:vAlign w:val="center"/>
                </w:tcPr>
                <w:p w14:paraId="7ABEB777">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电</w:t>
                  </w:r>
                </w:p>
              </w:tc>
              <w:tc>
                <w:tcPr>
                  <w:tcW w:w="949" w:type="pct"/>
                  <w:shd w:val="clear" w:color="auto" w:fill="auto"/>
                  <w:noWrap w:val="0"/>
                  <w:tcMar>
                    <w:left w:w="85" w:type="dxa"/>
                    <w:right w:w="85" w:type="dxa"/>
                  </w:tcMar>
                  <w:vAlign w:val="center"/>
                </w:tcPr>
                <w:p w14:paraId="6FAB15FC">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473" w:type="pct"/>
                  <w:shd w:val="clear" w:color="auto" w:fill="auto"/>
                  <w:noWrap w:val="0"/>
                  <w:tcMar>
                    <w:left w:w="85" w:type="dxa"/>
                    <w:right w:w="85" w:type="dxa"/>
                  </w:tcMar>
                  <w:vAlign w:val="center"/>
                </w:tcPr>
                <w:p w14:paraId="03877A6C">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kW•h</w:t>
                  </w:r>
                </w:p>
              </w:tc>
              <w:tc>
                <w:tcPr>
                  <w:tcW w:w="460" w:type="pct"/>
                  <w:shd w:val="clear" w:color="auto" w:fill="auto"/>
                  <w:noWrap w:val="0"/>
                  <w:tcMar>
                    <w:left w:w="85" w:type="dxa"/>
                    <w:right w:w="85" w:type="dxa"/>
                  </w:tcMar>
                  <w:vAlign w:val="center"/>
                </w:tcPr>
                <w:p w14:paraId="5F6EBED4">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23" w:type="pct"/>
                  <w:shd w:val="clear" w:color="auto" w:fill="auto"/>
                  <w:noWrap w:val="0"/>
                  <w:tcMar>
                    <w:left w:w="85" w:type="dxa"/>
                    <w:right w:w="85" w:type="dxa"/>
                  </w:tcMar>
                  <w:vAlign w:val="center"/>
                </w:tcPr>
                <w:p w14:paraId="1CC44DA0">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1152000</w:t>
                  </w:r>
                </w:p>
              </w:tc>
              <w:tc>
                <w:tcPr>
                  <w:tcW w:w="626" w:type="pct"/>
                  <w:shd w:val="clear" w:color="auto" w:fill="auto"/>
                  <w:noWrap w:val="0"/>
                  <w:tcMar>
                    <w:left w:w="85" w:type="dxa"/>
                    <w:right w:w="85" w:type="dxa"/>
                  </w:tcMar>
                  <w:vAlign w:val="center"/>
                </w:tcPr>
                <w:p w14:paraId="35261A38">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w:t>
                  </w:r>
                </w:p>
              </w:tc>
              <w:tc>
                <w:tcPr>
                  <w:tcW w:w="408" w:type="pct"/>
                  <w:shd w:val="clear" w:color="auto" w:fill="auto"/>
                  <w:noWrap w:val="0"/>
                  <w:tcMar>
                    <w:left w:w="85" w:type="dxa"/>
                    <w:right w:w="85" w:type="dxa"/>
                  </w:tcMar>
                  <w:vAlign w:val="center"/>
                </w:tcPr>
                <w:p w14:paraId="45E91081">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34" w:type="pct"/>
                  <w:shd w:val="clear" w:color="auto" w:fill="auto"/>
                  <w:noWrap w:val="0"/>
                  <w:tcMar>
                    <w:left w:w="85" w:type="dxa"/>
                    <w:right w:w="85" w:type="dxa"/>
                  </w:tcMar>
                  <w:vAlign w:val="center"/>
                </w:tcPr>
                <w:p w14:paraId="1C8315C4">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园区供电网</w:t>
                  </w:r>
                </w:p>
              </w:tc>
            </w:tr>
            <w:tr w14:paraId="1681B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CellMar>
                  <w:top w:w="0" w:type="dxa"/>
                  <w:left w:w="108" w:type="dxa"/>
                  <w:bottom w:w="0" w:type="dxa"/>
                  <w:right w:w="108" w:type="dxa"/>
                </w:tblCellMar>
              </w:tblPrEx>
              <w:trPr>
                <w:trHeight w:val="340" w:hRule="atLeast"/>
                <w:jc w:val="center"/>
              </w:trPr>
              <w:tc>
                <w:tcPr>
                  <w:tcW w:w="256" w:type="pct"/>
                  <w:vMerge w:val="continue"/>
                  <w:shd w:val="clear" w:color="auto" w:fill="auto"/>
                  <w:noWrap w:val="0"/>
                  <w:tcMar>
                    <w:left w:w="85" w:type="dxa"/>
                    <w:right w:w="85" w:type="dxa"/>
                  </w:tcMar>
                  <w:vAlign w:val="center"/>
                </w:tcPr>
                <w:p w14:paraId="7EE73E8E">
                  <w:pPr>
                    <w:snapToGrid w:val="0"/>
                    <w:jc w:val="center"/>
                    <w:rPr>
                      <w:rFonts w:hint="default" w:ascii="Times New Roman" w:hAnsi="Times New Roman" w:eastAsia="宋体" w:cs="Times New Roman"/>
                      <w:color w:val="auto"/>
                      <w:spacing w:val="20"/>
                      <w:sz w:val="21"/>
                      <w:szCs w:val="21"/>
                      <w:highlight w:val="none"/>
                    </w:rPr>
                  </w:pPr>
                </w:p>
              </w:tc>
              <w:tc>
                <w:tcPr>
                  <w:tcW w:w="566" w:type="pct"/>
                  <w:shd w:val="clear" w:color="auto" w:fill="auto"/>
                  <w:noWrap w:val="0"/>
                  <w:tcMar>
                    <w:left w:w="85" w:type="dxa"/>
                    <w:right w:w="85" w:type="dxa"/>
                  </w:tcMar>
                  <w:vAlign w:val="center"/>
                </w:tcPr>
                <w:p w14:paraId="1C8445E1">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仪表空气</w:t>
                  </w:r>
                </w:p>
              </w:tc>
              <w:tc>
                <w:tcPr>
                  <w:tcW w:w="949" w:type="pct"/>
                  <w:shd w:val="clear" w:color="auto" w:fill="auto"/>
                  <w:noWrap w:val="0"/>
                  <w:tcMar>
                    <w:left w:w="85" w:type="dxa"/>
                    <w:right w:w="85" w:type="dxa"/>
                  </w:tcMar>
                  <w:vAlign w:val="center"/>
                </w:tcPr>
                <w:p w14:paraId="454C3721">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473" w:type="pct"/>
                  <w:shd w:val="clear" w:color="auto" w:fill="auto"/>
                  <w:noWrap w:val="0"/>
                  <w:tcMar>
                    <w:left w:w="85" w:type="dxa"/>
                    <w:right w:w="85" w:type="dxa"/>
                  </w:tcMar>
                  <w:vAlign w:val="center"/>
                </w:tcPr>
                <w:p w14:paraId="072810C7">
                  <w:pPr>
                    <w:snapToGrid w:val="0"/>
                    <w:jc w:val="center"/>
                    <w:rPr>
                      <w:rFonts w:hint="default" w:ascii="Times New Roman" w:hAnsi="Times New Roman" w:eastAsia="宋体" w:cs="Times New Roman"/>
                      <w:color w:val="auto"/>
                      <w:spacing w:val="20"/>
                      <w:sz w:val="21"/>
                      <w:szCs w:val="21"/>
                      <w:highlight w:val="none"/>
                    </w:rPr>
                  </w:pPr>
                  <w:bookmarkStart w:id="12" w:name="OLE_LINK3"/>
                  <w:r>
                    <w:rPr>
                      <w:rFonts w:hint="default" w:ascii="Times New Roman" w:hAnsi="Times New Roman" w:eastAsia="宋体" w:cs="Times New Roman"/>
                      <w:color w:val="auto"/>
                      <w:spacing w:val="20"/>
                      <w:sz w:val="21"/>
                      <w:szCs w:val="21"/>
                      <w:highlight w:val="none"/>
                    </w:rPr>
                    <w:t>Nm</w:t>
                  </w:r>
                  <w:r>
                    <w:rPr>
                      <w:rFonts w:hint="default" w:ascii="Times New Roman" w:hAnsi="Times New Roman" w:eastAsia="宋体" w:cs="Times New Roman"/>
                      <w:color w:val="auto"/>
                      <w:spacing w:val="20"/>
                      <w:sz w:val="21"/>
                      <w:szCs w:val="21"/>
                      <w:highlight w:val="none"/>
                      <w:vertAlign w:val="superscript"/>
                      <w:lang w:val="en-US" w:eastAsia="zh-CN"/>
                    </w:rPr>
                    <w:t>3</w:t>
                  </w:r>
                  <w:bookmarkEnd w:id="12"/>
                </w:p>
              </w:tc>
              <w:tc>
                <w:tcPr>
                  <w:tcW w:w="460" w:type="pct"/>
                  <w:shd w:val="clear" w:color="auto" w:fill="auto"/>
                  <w:noWrap w:val="0"/>
                  <w:tcMar>
                    <w:left w:w="85" w:type="dxa"/>
                    <w:right w:w="85" w:type="dxa"/>
                  </w:tcMar>
                  <w:vAlign w:val="center"/>
                </w:tcPr>
                <w:p w14:paraId="5EB977FF">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气体</w:t>
                  </w:r>
                </w:p>
              </w:tc>
              <w:tc>
                <w:tcPr>
                  <w:tcW w:w="623" w:type="pct"/>
                  <w:shd w:val="clear" w:color="auto" w:fill="auto"/>
                  <w:noWrap w:val="0"/>
                  <w:tcMar>
                    <w:left w:w="85" w:type="dxa"/>
                    <w:right w:w="85" w:type="dxa"/>
                  </w:tcMar>
                  <w:vAlign w:val="center"/>
                </w:tcPr>
                <w:p w14:paraId="32736093">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108</w:t>
                  </w:r>
                  <w:r>
                    <w:rPr>
                      <w:rFonts w:hint="default" w:ascii="Times New Roman" w:hAnsi="Times New Roman" w:eastAsia="宋体" w:cs="Times New Roman"/>
                      <w:color w:val="auto"/>
                      <w:spacing w:val="20"/>
                      <w:sz w:val="21"/>
                      <w:szCs w:val="21"/>
                      <w:highlight w:val="none"/>
                    </w:rPr>
                    <w:t>0000</w:t>
                  </w:r>
                </w:p>
              </w:tc>
              <w:tc>
                <w:tcPr>
                  <w:tcW w:w="626" w:type="pct"/>
                  <w:shd w:val="clear" w:color="auto" w:fill="auto"/>
                  <w:noWrap w:val="0"/>
                  <w:tcMar>
                    <w:left w:w="85" w:type="dxa"/>
                    <w:right w:w="85" w:type="dxa"/>
                  </w:tcMar>
                  <w:vAlign w:val="center"/>
                </w:tcPr>
                <w:p w14:paraId="4BACB987">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w:t>
                  </w:r>
                </w:p>
              </w:tc>
              <w:tc>
                <w:tcPr>
                  <w:tcW w:w="408" w:type="pct"/>
                  <w:shd w:val="clear" w:color="auto" w:fill="auto"/>
                  <w:noWrap w:val="0"/>
                  <w:tcMar>
                    <w:left w:w="85" w:type="dxa"/>
                    <w:right w:w="85" w:type="dxa"/>
                  </w:tcMar>
                  <w:vAlign w:val="center"/>
                </w:tcPr>
                <w:p w14:paraId="7BB1ACE8">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34" w:type="pct"/>
                  <w:shd w:val="clear" w:color="auto" w:fill="auto"/>
                  <w:noWrap w:val="0"/>
                  <w:tcMar>
                    <w:left w:w="85" w:type="dxa"/>
                    <w:right w:w="85" w:type="dxa"/>
                  </w:tcMar>
                  <w:vAlign w:val="center"/>
                </w:tcPr>
                <w:p w14:paraId="4108D8D1">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自建制氮站提供</w:t>
                  </w:r>
                </w:p>
              </w:tc>
            </w:tr>
            <w:tr w14:paraId="2F06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CellMar>
                  <w:top w:w="0" w:type="dxa"/>
                  <w:left w:w="108" w:type="dxa"/>
                  <w:bottom w:w="0" w:type="dxa"/>
                  <w:right w:w="108" w:type="dxa"/>
                </w:tblCellMar>
              </w:tblPrEx>
              <w:trPr>
                <w:trHeight w:val="90" w:hRule="atLeast"/>
                <w:jc w:val="center"/>
              </w:trPr>
              <w:tc>
                <w:tcPr>
                  <w:tcW w:w="256" w:type="pct"/>
                  <w:vMerge w:val="continue"/>
                  <w:shd w:val="clear" w:color="auto" w:fill="auto"/>
                  <w:noWrap w:val="0"/>
                  <w:tcMar>
                    <w:left w:w="85" w:type="dxa"/>
                    <w:right w:w="85" w:type="dxa"/>
                  </w:tcMar>
                  <w:vAlign w:val="center"/>
                </w:tcPr>
                <w:p w14:paraId="45518742">
                  <w:pPr>
                    <w:snapToGrid w:val="0"/>
                    <w:jc w:val="center"/>
                    <w:rPr>
                      <w:rFonts w:hint="default" w:ascii="Times New Roman" w:hAnsi="Times New Roman" w:eastAsia="宋体" w:cs="Times New Roman"/>
                      <w:color w:val="auto"/>
                      <w:spacing w:val="20"/>
                      <w:sz w:val="21"/>
                      <w:szCs w:val="21"/>
                      <w:highlight w:val="none"/>
                    </w:rPr>
                  </w:pPr>
                </w:p>
              </w:tc>
              <w:tc>
                <w:tcPr>
                  <w:tcW w:w="566" w:type="pct"/>
                  <w:shd w:val="clear" w:color="auto" w:fill="auto"/>
                  <w:noWrap w:val="0"/>
                  <w:tcMar>
                    <w:left w:w="85" w:type="dxa"/>
                    <w:right w:w="85" w:type="dxa"/>
                  </w:tcMar>
                  <w:vAlign w:val="center"/>
                </w:tcPr>
                <w:p w14:paraId="0638E2C9">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循环水</w:t>
                  </w:r>
                </w:p>
              </w:tc>
              <w:tc>
                <w:tcPr>
                  <w:tcW w:w="949" w:type="pct"/>
                  <w:shd w:val="clear" w:color="auto" w:fill="auto"/>
                  <w:noWrap w:val="0"/>
                  <w:tcMar>
                    <w:left w:w="85" w:type="dxa"/>
                    <w:right w:w="85" w:type="dxa"/>
                  </w:tcMar>
                  <w:vAlign w:val="center"/>
                </w:tcPr>
                <w:p w14:paraId="725B009E">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H</w:t>
                  </w:r>
                  <w:r>
                    <w:rPr>
                      <w:rFonts w:hint="default" w:ascii="Times New Roman" w:hAnsi="Times New Roman" w:eastAsia="宋体" w:cs="Times New Roman"/>
                      <w:color w:val="auto"/>
                      <w:spacing w:val="20"/>
                      <w:sz w:val="21"/>
                      <w:szCs w:val="21"/>
                      <w:highlight w:val="none"/>
                      <w:vertAlign w:val="subscript"/>
                      <w:lang w:val="en-US" w:eastAsia="zh-CN"/>
                    </w:rPr>
                    <w:t>2</w:t>
                  </w:r>
                  <w:r>
                    <w:rPr>
                      <w:rFonts w:hint="default" w:ascii="Times New Roman" w:hAnsi="Times New Roman" w:eastAsia="宋体" w:cs="Times New Roman"/>
                      <w:color w:val="auto"/>
                      <w:spacing w:val="20"/>
                      <w:sz w:val="21"/>
                      <w:szCs w:val="21"/>
                      <w:highlight w:val="none"/>
                      <w:lang w:val="en-US" w:eastAsia="zh-CN"/>
                    </w:rPr>
                    <w:t>O</w:t>
                  </w:r>
                </w:p>
              </w:tc>
              <w:tc>
                <w:tcPr>
                  <w:tcW w:w="473" w:type="pct"/>
                  <w:shd w:val="clear" w:color="auto" w:fill="auto"/>
                  <w:noWrap w:val="0"/>
                  <w:tcMar>
                    <w:left w:w="85" w:type="dxa"/>
                    <w:right w:w="85" w:type="dxa"/>
                  </w:tcMar>
                  <w:vAlign w:val="center"/>
                </w:tcPr>
                <w:p w14:paraId="7C729723">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Nm</w:t>
                  </w:r>
                  <w:r>
                    <w:rPr>
                      <w:rFonts w:hint="default" w:ascii="Times New Roman" w:hAnsi="Times New Roman" w:eastAsia="宋体" w:cs="Times New Roman"/>
                      <w:color w:val="auto"/>
                      <w:spacing w:val="20"/>
                      <w:sz w:val="21"/>
                      <w:szCs w:val="21"/>
                      <w:highlight w:val="none"/>
                      <w:vertAlign w:val="superscript"/>
                      <w:lang w:val="en-US" w:eastAsia="zh-CN"/>
                    </w:rPr>
                    <w:t>3</w:t>
                  </w:r>
                </w:p>
              </w:tc>
              <w:tc>
                <w:tcPr>
                  <w:tcW w:w="460" w:type="pct"/>
                  <w:shd w:val="clear" w:color="auto" w:fill="auto"/>
                  <w:noWrap w:val="0"/>
                  <w:tcMar>
                    <w:left w:w="85" w:type="dxa"/>
                    <w:right w:w="85" w:type="dxa"/>
                  </w:tcMar>
                  <w:vAlign w:val="center"/>
                </w:tcPr>
                <w:p w14:paraId="6C35EECF">
                  <w:pPr>
                    <w:snapToGrid w:val="0"/>
                    <w:jc w:val="center"/>
                    <w:rPr>
                      <w:rFonts w:hint="default" w:ascii="Times New Roman" w:hAnsi="Times New Roman" w:eastAsia="宋体" w:cs="Times New Roman"/>
                      <w:color w:val="auto"/>
                      <w:spacing w:val="20"/>
                      <w:sz w:val="21"/>
                      <w:szCs w:val="21"/>
                      <w:highlight w:val="none"/>
                    </w:rPr>
                  </w:pPr>
                  <w:r>
                    <w:rPr>
                      <w:rFonts w:hint="eastAsia" w:cs="Times New Roman"/>
                      <w:color w:val="auto"/>
                      <w:spacing w:val="20"/>
                      <w:sz w:val="21"/>
                      <w:szCs w:val="21"/>
                      <w:highlight w:val="none"/>
                      <w:lang w:val="en-US" w:eastAsia="zh-CN"/>
                    </w:rPr>
                    <w:t>液体</w:t>
                  </w:r>
                </w:p>
              </w:tc>
              <w:tc>
                <w:tcPr>
                  <w:tcW w:w="623" w:type="pct"/>
                  <w:shd w:val="clear" w:color="auto" w:fill="auto"/>
                  <w:noWrap w:val="0"/>
                  <w:tcMar>
                    <w:left w:w="85" w:type="dxa"/>
                    <w:right w:w="85" w:type="dxa"/>
                  </w:tcMar>
                  <w:vAlign w:val="center"/>
                </w:tcPr>
                <w:p w14:paraId="055ADCEE">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108</w:t>
                  </w:r>
                  <w:r>
                    <w:rPr>
                      <w:rFonts w:hint="default" w:ascii="Times New Roman" w:hAnsi="Times New Roman" w:eastAsia="宋体" w:cs="Times New Roman"/>
                      <w:color w:val="auto"/>
                      <w:spacing w:val="20"/>
                      <w:sz w:val="21"/>
                      <w:szCs w:val="21"/>
                      <w:highlight w:val="none"/>
                    </w:rPr>
                    <w:t>0000</w:t>
                  </w:r>
                </w:p>
                <w:p w14:paraId="524B7587">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（循环量）</w:t>
                  </w:r>
                </w:p>
              </w:tc>
              <w:tc>
                <w:tcPr>
                  <w:tcW w:w="626" w:type="pct"/>
                  <w:shd w:val="clear" w:color="auto" w:fill="auto"/>
                  <w:noWrap w:val="0"/>
                  <w:tcMar>
                    <w:left w:w="85" w:type="dxa"/>
                    <w:right w:w="85" w:type="dxa"/>
                  </w:tcMar>
                  <w:vAlign w:val="center"/>
                </w:tcPr>
                <w:p w14:paraId="39882E7E">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w:t>
                  </w:r>
                </w:p>
              </w:tc>
              <w:tc>
                <w:tcPr>
                  <w:tcW w:w="408" w:type="pct"/>
                  <w:shd w:val="clear" w:color="auto" w:fill="auto"/>
                  <w:noWrap w:val="0"/>
                  <w:tcMar>
                    <w:left w:w="85" w:type="dxa"/>
                    <w:right w:w="85" w:type="dxa"/>
                  </w:tcMar>
                  <w:vAlign w:val="center"/>
                </w:tcPr>
                <w:p w14:paraId="6FB1BB31">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34" w:type="pct"/>
                  <w:shd w:val="clear" w:color="auto" w:fill="auto"/>
                  <w:noWrap w:val="0"/>
                  <w:tcMar>
                    <w:left w:w="85" w:type="dxa"/>
                    <w:right w:w="85" w:type="dxa"/>
                  </w:tcMar>
                  <w:vAlign w:val="center"/>
                </w:tcPr>
                <w:p w14:paraId="0F0F9859">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园区供水网</w:t>
                  </w:r>
                </w:p>
              </w:tc>
            </w:tr>
            <w:tr w14:paraId="0790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CellMar>
                  <w:top w:w="0" w:type="dxa"/>
                  <w:left w:w="108" w:type="dxa"/>
                  <w:bottom w:w="0" w:type="dxa"/>
                  <w:right w:w="108" w:type="dxa"/>
                </w:tblCellMar>
              </w:tblPrEx>
              <w:trPr>
                <w:trHeight w:val="90" w:hRule="atLeast"/>
                <w:jc w:val="center"/>
              </w:trPr>
              <w:tc>
                <w:tcPr>
                  <w:tcW w:w="256" w:type="pct"/>
                  <w:vMerge w:val="continue"/>
                  <w:shd w:val="clear" w:color="auto" w:fill="auto"/>
                  <w:noWrap w:val="0"/>
                  <w:tcMar>
                    <w:left w:w="85" w:type="dxa"/>
                    <w:right w:w="85" w:type="dxa"/>
                  </w:tcMar>
                  <w:vAlign w:val="center"/>
                </w:tcPr>
                <w:p w14:paraId="6968C200">
                  <w:pPr>
                    <w:snapToGrid w:val="0"/>
                    <w:jc w:val="center"/>
                    <w:rPr>
                      <w:rFonts w:hint="default" w:ascii="Times New Roman" w:hAnsi="Times New Roman" w:eastAsia="宋体" w:cs="Times New Roman"/>
                      <w:color w:val="auto"/>
                      <w:spacing w:val="20"/>
                      <w:sz w:val="21"/>
                      <w:szCs w:val="21"/>
                      <w:highlight w:val="none"/>
                    </w:rPr>
                  </w:pPr>
                </w:p>
              </w:tc>
              <w:tc>
                <w:tcPr>
                  <w:tcW w:w="566" w:type="pct"/>
                  <w:shd w:val="clear" w:color="auto" w:fill="auto"/>
                  <w:noWrap w:val="0"/>
                  <w:tcMar>
                    <w:left w:w="85" w:type="dxa"/>
                    <w:right w:w="85" w:type="dxa"/>
                  </w:tcMar>
                  <w:vAlign w:val="center"/>
                </w:tcPr>
                <w:p w14:paraId="201609A1">
                  <w:pPr>
                    <w:snapToGrid w:val="0"/>
                    <w:jc w:val="center"/>
                    <w:rPr>
                      <w:rFonts w:hint="eastAsia"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新鲜水</w:t>
                  </w:r>
                </w:p>
              </w:tc>
              <w:tc>
                <w:tcPr>
                  <w:tcW w:w="949" w:type="pct"/>
                  <w:shd w:val="clear" w:color="auto" w:fill="auto"/>
                  <w:noWrap w:val="0"/>
                  <w:tcMar>
                    <w:left w:w="85" w:type="dxa"/>
                    <w:right w:w="85" w:type="dxa"/>
                  </w:tcMar>
                  <w:vAlign w:val="center"/>
                </w:tcPr>
                <w:p w14:paraId="268A5F21">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H</w:t>
                  </w:r>
                  <w:r>
                    <w:rPr>
                      <w:rFonts w:hint="default" w:ascii="Times New Roman" w:hAnsi="Times New Roman" w:eastAsia="宋体" w:cs="Times New Roman"/>
                      <w:color w:val="auto"/>
                      <w:spacing w:val="20"/>
                      <w:sz w:val="21"/>
                      <w:szCs w:val="21"/>
                      <w:highlight w:val="none"/>
                      <w:vertAlign w:val="subscript"/>
                      <w:lang w:val="en-US" w:eastAsia="zh-CN"/>
                    </w:rPr>
                    <w:t>2</w:t>
                  </w:r>
                  <w:r>
                    <w:rPr>
                      <w:rFonts w:hint="default" w:ascii="Times New Roman" w:hAnsi="Times New Roman" w:eastAsia="宋体" w:cs="Times New Roman"/>
                      <w:color w:val="auto"/>
                      <w:spacing w:val="20"/>
                      <w:sz w:val="21"/>
                      <w:szCs w:val="21"/>
                      <w:highlight w:val="none"/>
                      <w:lang w:val="en-US" w:eastAsia="zh-CN"/>
                    </w:rPr>
                    <w:t>O</w:t>
                  </w:r>
                </w:p>
              </w:tc>
              <w:tc>
                <w:tcPr>
                  <w:tcW w:w="473" w:type="pct"/>
                  <w:shd w:val="clear" w:color="auto" w:fill="auto"/>
                  <w:noWrap w:val="0"/>
                  <w:tcMar>
                    <w:left w:w="85" w:type="dxa"/>
                    <w:right w:w="85" w:type="dxa"/>
                  </w:tcMar>
                  <w:vAlign w:val="center"/>
                </w:tcPr>
                <w:p w14:paraId="6838A2C8">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Nm</w:t>
                  </w:r>
                  <w:r>
                    <w:rPr>
                      <w:rFonts w:hint="default" w:ascii="Times New Roman" w:hAnsi="Times New Roman" w:eastAsia="宋体" w:cs="Times New Roman"/>
                      <w:color w:val="auto"/>
                      <w:spacing w:val="20"/>
                      <w:sz w:val="21"/>
                      <w:szCs w:val="21"/>
                      <w:highlight w:val="none"/>
                      <w:vertAlign w:val="superscript"/>
                      <w:lang w:val="en-US" w:eastAsia="zh-CN"/>
                    </w:rPr>
                    <w:t>3</w:t>
                  </w:r>
                </w:p>
              </w:tc>
              <w:tc>
                <w:tcPr>
                  <w:tcW w:w="460" w:type="pct"/>
                  <w:shd w:val="clear" w:color="auto" w:fill="auto"/>
                  <w:noWrap w:val="0"/>
                  <w:tcMar>
                    <w:left w:w="85" w:type="dxa"/>
                    <w:right w:w="85" w:type="dxa"/>
                  </w:tcMar>
                  <w:vAlign w:val="center"/>
                </w:tcPr>
                <w:p w14:paraId="56D9AE41">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液体</w:t>
                  </w:r>
                </w:p>
              </w:tc>
              <w:tc>
                <w:tcPr>
                  <w:tcW w:w="623" w:type="pct"/>
                  <w:shd w:val="clear" w:color="auto" w:fill="auto"/>
                  <w:noWrap w:val="0"/>
                  <w:tcMar>
                    <w:left w:w="85" w:type="dxa"/>
                    <w:right w:w="85" w:type="dxa"/>
                  </w:tcMar>
                  <w:vAlign w:val="center"/>
                </w:tcPr>
                <w:p w14:paraId="6C7E73C8">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20253</w:t>
                  </w:r>
                </w:p>
              </w:tc>
              <w:tc>
                <w:tcPr>
                  <w:tcW w:w="626" w:type="pct"/>
                  <w:shd w:val="clear" w:color="auto" w:fill="auto"/>
                  <w:noWrap w:val="0"/>
                  <w:tcMar>
                    <w:left w:w="85" w:type="dxa"/>
                    <w:right w:w="85" w:type="dxa"/>
                  </w:tcMar>
                  <w:vAlign w:val="center"/>
                </w:tcPr>
                <w:p w14:paraId="67DBC103">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408" w:type="pct"/>
                  <w:shd w:val="clear" w:color="auto" w:fill="auto"/>
                  <w:noWrap w:val="0"/>
                  <w:tcMar>
                    <w:left w:w="85" w:type="dxa"/>
                    <w:right w:w="85" w:type="dxa"/>
                  </w:tcMar>
                  <w:vAlign w:val="center"/>
                </w:tcPr>
                <w:p w14:paraId="681F63F8">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34" w:type="pct"/>
                  <w:shd w:val="clear" w:color="auto" w:fill="auto"/>
                  <w:noWrap w:val="0"/>
                  <w:tcMar>
                    <w:left w:w="85" w:type="dxa"/>
                    <w:right w:w="85" w:type="dxa"/>
                  </w:tcMar>
                  <w:vAlign w:val="center"/>
                </w:tcPr>
                <w:p w14:paraId="280D039A">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园区供水网</w:t>
                  </w:r>
                </w:p>
              </w:tc>
            </w:tr>
            <w:tr w14:paraId="4E75B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CellMar>
                  <w:top w:w="0" w:type="dxa"/>
                  <w:left w:w="108" w:type="dxa"/>
                  <w:bottom w:w="0" w:type="dxa"/>
                  <w:right w:w="108" w:type="dxa"/>
                </w:tblCellMar>
              </w:tblPrEx>
              <w:trPr>
                <w:trHeight w:val="293" w:hRule="atLeast"/>
                <w:jc w:val="center"/>
              </w:trPr>
              <w:tc>
                <w:tcPr>
                  <w:tcW w:w="256" w:type="pct"/>
                  <w:vMerge w:val="continue"/>
                  <w:shd w:val="clear" w:color="auto" w:fill="auto"/>
                  <w:noWrap w:val="0"/>
                  <w:tcMar>
                    <w:left w:w="85" w:type="dxa"/>
                    <w:right w:w="85" w:type="dxa"/>
                  </w:tcMar>
                  <w:vAlign w:val="center"/>
                </w:tcPr>
                <w:p w14:paraId="1A2015A5">
                  <w:pPr>
                    <w:snapToGrid w:val="0"/>
                    <w:jc w:val="center"/>
                    <w:rPr>
                      <w:rFonts w:hint="default" w:ascii="Times New Roman" w:hAnsi="Times New Roman" w:eastAsia="宋体" w:cs="Times New Roman"/>
                      <w:color w:val="auto"/>
                      <w:spacing w:val="20"/>
                      <w:sz w:val="21"/>
                      <w:szCs w:val="21"/>
                      <w:highlight w:val="none"/>
                    </w:rPr>
                  </w:pPr>
                </w:p>
              </w:tc>
              <w:tc>
                <w:tcPr>
                  <w:tcW w:w="566" w:type="pct"/>
                  <w:shd w:val="clear" w:color="auto" w:fill="auto"/>
                  <w:noWrap w:val="0"/>
                  <w:tcMar>
                    <w:left w:w="85" w:type="dxa"/>
                    <w:right w:w="85" w:type="dxa"/>
                  </w:tcMar>
                  <w:vAlign w:val="center"/>
                </w:tcPr>
                <w:p w14:paraId="57EC6529">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氮气</w:t>
                  </w:r>
                </w:p>
              </w:tc>
              <w:tc>
                <w:tcPr>
                  <w:tcW w:w="949" w:type="pct"/>
                  <w:shd w:val="clear" w:color="auto" w:fill="auto"/>
                  <w:noWrap w:val="0"/>
                  <w:tcMar>
                    <w:left w:w="85" w:type="dxa"/>
                    <w:right w:w="85" w:type="dxa"/>
                  </w:tcMar>
                  <w:vAlign w:val="center"/>
                </w:tcPr>
                <w:p w14:paraId="67AA4F3E">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N</w:t>
                  </w:r>
                  <w:r>
                    <w:rPr>
                      <w:rFonts w:hint="default" w:ascii="Times New Roman" w:hAnsi="Times New Roman" w:eastAsia="宋体" w:cs="Times New Roman"/>
                      <w:color w:val="auto"/>
                      <w:spacing w:val="20"/>
                      <w:sz w:val="21"/>
                      <w:szCs w:val="21"/>
                      <w:highlight w:val="none"/>
                      <w:vertAlign w:val="subscript"/>
                      <w:lang w:val="en-US" w:eastAsia="zh-CN"/>
                    </w:rPr>
                    <w:t>2</w:t>
                  </w:r>
                </w:p>
              </w:tc>
              <w:tc>
                <w:tcPr>
                  <w:tcW w:w="473" w:type="pct"/>
                  <w:shd w:val="clear" w:color="auto" w:fill="auto"/>
                  <w:noWrap w:val="0"/>
                  <w:tcMar>
                    <w:left w:w="85" w:type="dxa"/>
                    <w:right w:w="85" w:type="dxa"/>
                  </w:tcMar>
                  <w:vAlign w:val="center"/>
                </w:tcPr>
                <w:p w14:paraId="2B0D9C68">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m</w:t>
                  </w:r>
                  <w:r>
                    <w:rPr>
                      <w:rFonts w:hint="default" w:ascii="Times New Roman" w:hAnsi="Times New Roman" w:eastAsia="宋体" w:cs="Times New Roman"/>
                      <w:color w:val="auto"/>
                      <w:spacing w:val="20"/>
                      <w:sz w:val="21"/>
                      <w:szCs w:val="21"/>
                      <w:highlight w:val="none"/>
                      <w:vertAlign w:val="superscript"/>
                      <w:lang w:val="en-US" w:eastAsia="zh-CN"/>
                    </w:rPr>
                    <w:t>3</w:t>
                  </w:r>
                </w:p>
              </w:tc>
              <w:tc>
                <w:tcPr>
                  <w:tcW w:w="460" w:type="pct"/>
                  <w:shd w:val="clear" w:color="auto" w:fill="auto"/>
                  <w:noWrap w:val="0"/>
                  <w:tcMar>
                    <w:left w:w="85" w:type="dxa"/>
                    <w:right w:w="85" w:type="dxa"/>
                  </w:tcMar>
                  <w:vAlign w:val="center"/>
                </w:tcPr>
                <w:p w14:paraId="17CC956C">
                  <w:pPr>
                    <w:snapToGrid w:val="0"/>
                    <w:jc w:val="center"/>
                    <w:rPr>
                      <w:rFonts w:hint="default" w:ascii="Times New Roman" w:hAnsi="Times New Roman" w:eastAsia="宋体" w:cs="Times New Roman"/>
                      <w:color w:val="auto"/>
                      <w:spacing w:val="20"/>
                      <w:sz w:val="21"/>
                      <w:szCs w:val="21"/>
                      <w:highlight w:val="none"/>
                    </w:rPr>
                  </w:pPr>
                  <w:r>
                    <w:rPr>
                      <w:rFonts w:hint="eastAsia" w:cs="Times New Roman"/>
                      <w:color w:val="auto"/>
                      <w:spacing w:val="20"/>
                      <w:sz w:val="21"/>
                      <w:szCs w:val="21"/>
                      <w:highlight w:val="none"/>
                      <w:lang w:val="en-US" w:eastAsia="zh-CN"/>
                    </w:rPr>
                    <w:t>气体</w:t>
                  </w:r>
                </w:p>
              </w:tc>
              <w:tc>
                <w:tcPr>
                  <w:tcW w:w="623" w:type="pct"/>
                  <w:shd w:val="clear" w:color="auto" w:fill="auto"/>
                  <w:noWrap w:val="0"/>
                  <w:tcMar>
                    <w:left w:w="85" w:type="dxa"/>
                    <w:right w:w="85" w:type="dxa"/>
                  </w:tcMar>
                  <w:vAlign w:val="center"/>
                </w:tcPr>
                <w:p w14:paraId="7CE28F9F">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7200</w:t>
                  </w:r>
                </w:p>
              </w:tc>
              <w:tc>
                <w:tcPr>
                  <w:tcW w:w="626" w:type="pct"/>
                  <w:shd w:val="clear" w:color="auto" w:fill="auto"/>
                  <w:noWrap w:val="0"/>
                  <w:tcMar>
                    <w:left w:w="85" w:type="dxa"/>
                    <w:right w:w="85" w:type="dxa"/>
                  </w:tcMar>
                  <w:vAlign w:val="center"/>
                </w:tcPr>
                <w:p w14:paraId="79D2649F">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w:t>
                  </w:r>
                </w:p>
              </w:tc>
              <w:tc>
                <w:tcPr>
                  <w:tcW w:w="408" w:type="pct"/>
                  <w:shd w:val="clear" w:color="auto" w:fill="auto"/>
                  <w:noWrap w:val="0"/>
                  <w:tcMar>
                    <w:left w:w="85" w:type="dxa"/>
                    <w:right w:w="85" w:type="dxa"/>
                  </w:tcMar>
                  <w:vAlign w:val="center"/>
                </w:tcPr>
                <w:p w14:paraId="03C0610E">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34" w:type="pct"/>
                  <w:shd w:val="clear" w:color="auto" w:fill="auto"/>
                  <w:noWrap w:val="0"/>
                  <w:tcMar>
                    <w:left w:w="85" w:type="dxa"/>
                    <w:right w:w="85" w:type="dxa"/>
                  </w:tcMar>
                  <w:vAlign w:val="center"/>
                </w:tcPr>
                <w:p w14:paraId="77487ADD">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自建空压制氮机组供给</w:t>
                  </w:r>
                </w:p>
              </w:tc>
            </w:tr>
            <w:tr w14:paraId="22ECE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00B0F0"/>
                <w:tblCellMar>
                  <w:top w:w="0" w:type="dxa"/>
                  <w:left w:w="108" w:type="dxa"/>
                  <w:bottom w:w="0" w:type="dxa"/>
                  <w:right w:w="108" w:type="dxa"/>
                </w:tblCellMar>
              </w:tblPrEx>
              <w:trPr>
                <w:trHeight w:val="340" w:hRule="atLeast"/>
                <w:jc w:val="center"/>
              </w:trPr>
              <w:tc>
                <w:tcPr>
                  <w:tcW w:w="256" w:type="pct"/>
                  <w:vMerge w:val="continue"/>
                  <w:shd w:val="clear" w:color="auto" w:fill="auto"/>
                  <w:noWrap w:val="0"/>
                  <w:tcMar>
                    <w:left w:w="85" w:type="dxa"/>
                    <w:right w:w="85" w:type="dxa"/>
                  </w:tcMar>
                  <w:vAlign w:val="center"/>
                </w:tcPr>
                <w:p w14:paraId="0264A48B">
                  <w:pPr>
                    <w:snapToGrid w:val="0"/>
                    <w:jc w:val="center"/>
                    <w:rPr>
                      <w:rFonts w:hint="default" w:ascii="Times New Roman" w:hAnsi="Times New Roman" w:eastAsia="宋体" w:cs="Times New Roman"/>
                      <w:color w:val="auto"/>
                      <w:spacing w:val="20"/>
                      <w:sz w:val="21"/>
                      <w:szCs w:val="21"/>
                      <w:highlight w:val="none"/>
                    </w:rPr>
                  </w:pPr>
                </w:p>
              </w:tc>
              <w:tc>
                <w:tcPr>
                  <w:tcW w:w="566" w:type="pct"/>
                  <w:shd w:val="clear" w:color="auto" w:fill="auto"/>
                  <w:noWrap w:val="0"/>
                  <w:tcMar>
                    <w:left w:w="85" w:type="dxa"/>
                    <w:right w:w="85" w:type="dxa"/>
                  </w:tcMar>
                  <w:vAlign w:val="center"/>
                </w:tcPr>
                <w:p w14:paraId="7BCD91AE">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蒸汽</w:t>
                  </w:r>
                </w:p>
              </w:tc>
              <w:tc>
                <w:tcPr>
                  <w:tcW w:w="949" w:type="pct"/>
                  <w:shd w:val="clear" w:color="auto" w:fill="auto"/>
                  <w:noWrap w:val="0"/>
                  <w:tcMar>
                    <w:left w:w="85" w:type="dxa"/>
                    <w:right w:w="85" w:type="dxa"/>
                  </w:tcMar>
                  <w:vAlign w:val="center"/>
                </w:tcPr>
                <w:p w14:paraId="562FB0E2">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H</w:t>
                  </w:r>
                  <w:r>
                    <w:rPr>
                      <w:rFonts w:hint="default" w:ascii="Times New Roman" w:hAnsi="Times New Roman" w:eastAsia="宋体" w:cs="Times New Roman"/>
                      <w:color w:val="auto"/>
                      <w:spacing w:val="20"/>
                      <w:sz w:val="21"/>
                      <w:szCs w:val="21"/>
                      <w:highlight w:val="none"/>
                      <w:vertAlign w:val="subscript"/>
                      <w:lang w:val="en-US" w:eastAsia="zh-CN"/>
                    </w:rPr>
                    <w:t>2</w:t>
                  </w:r>
                  <w:r>
                    <w:rPr>
                      <w:rFonts w:hint="default" w:ascii="Times New Roman" w:hAnsi="Times New Roman" w:eastAsia="宋体" w:cs="Times New Roman"/>
                      <w:color w:val="auto"/>
                      <w:spacing w:val="20"/>
                      <w:sz w:val="21"/>
                      <w:szCs w:val="21"/>
                      <w:highlight w:val="none"/>
                      <w:lang w:val="en-US" w:eastAsia="zh-CN"/>
                    </w:rPr>
                    <w:t>O</w:t>
                  </w:r>
                </w:p>
              </w:tc>
              <w:tc>
                <w:tcPr>
                  <w:tcW w:w="473" w:type="pct"/>
                  <w:shd w:val="clear" w:color="auto" w:fill="auto"/>
                  <w:noWrap w:val="0"/>
                  <w:tcMar>
                    <w:left w:w="85" w:type="dxa"/>
                    <w:right w:w="85" w:type="dxa"/>
                  </w:tcMar>
                  <w:vAlign w:val="center"/>
                </w:tcPr>
                <w:p w14:paraId="05B1587F">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Nm</w:t>
                  </w:r>
                  <w:r>
                    <w:rPr>
                      <w:rFonts w:hint="default" w:ascii="Times New Roman" w:hAnsi="Times New Roman" w:eastAsia="宋体" w:cs="Times New Roman"/>
                      <w:color w:val="auto"/>
                      <w:spacing w:val="20"/>
                      <w:sz w:val="21"/>
                      <w:szCs w:val="21"/>
                      <w:highlight w:val="none"/>
                      <w:vertAlign w:val="superscript"/>
                      <w:lang w:val="en-US" w:eastAsia="zh-CN"/>
                    </w:rPr>
                    <w:t>3</w:t>
                  </w:r>
                </w:p>
              </w:tc>
              <w:tc>
                <w:tcPr>
                  <w:tcW w:w="460" w:type="pct"/>
                  <w:shd w:val="clear" w:color="auto" w:fill="auto"/>
                  <w:noWrap w:val="0"/>
                  <w:tcMar>
                    <w:left w:w="85" w:type="dxa"/>
                    <w:right w:w="85" w:type="dxa"/>
                  </w:tcMar>
                  <w:vAlign w:val="center"/>
                </w:tcPr>
                <w:p w14:paraId="2A7FECF8">
                  <w:pPr>
                    <w:snapToGrid w:val="0"/>
                    <w:jc w:val="center"/>
                    <w:rPr>
                      <w:rFonts w:hint="default" w:ascii="Times New Roman" w:hAnsi="Times New Roman" w:eastAsia="宋体" w:cs="Times New Roman"/>
                      <w:color w:val="auto"/>
                      <w:spacing w:val="20"/>
                      <w:sz w:val="21"/>
                      <w:szCs w:val="21"/>
                      <w:highlight w:val="none"/>
                    </w:rPr>
                  </w:pPr>
                  <w:r>
                    <w:rPr>
                      <w:rFonts w:hint="eastAsia" w:cs="Times New Roman"/>
                      <w:color w:val="auto"/>
                      <w:spacing w:val="20"/>
                      <w:sz w:val="21"/>
                      <w:szCs w:val="21"/>
                      <w:highlight w:val="none"/>
                      <w:lang w:val="en-US" w:eastAsia="zh-CN"/>
                    </w:rPr>
                    <w:t>气体</w:t>
                  </w:r>
                </w:p>
              </w:tc>
              <w:tc>
                <w:tcPr>
                  <w:tcW w:w="623" w:type="pct"/>
                  <w:shd w:val="clear" w:color="auto" w:fill="auto"/>
                  <w:noWrap w:val="0"/>
                  <w:tcMar>
                    <w:left w:w="85" w:type="dxa"/>
                    <w:right w:w="85" w:type="dxa"/>
                  </w:tcMar>
                  <w:vAlign w:val="center"/>
                </w:tcPr>
                <w:p w14:paraId="42D69B3F">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10800</w:t>
                  </w:r>
                </w:p>
              </w:tc>
              <w:tc>
                <w:tcPr>
                  <w:tcW w:w="626" w:type="pct"/>
                  <w:shd w:val="clear" w:color="auto" w:fill="auto"/>
                  <w:noWrap w:val="0"/>
                  <w:tcMar>
                    <w:left w:w="85" w:type="dxa"/>
                    <w:right w:w="85" w:type="dxa"/>
                  </w:tcMar>
                  <w:vAlign w:val="center"/>
                </w:tcPr>
                <w:p w14:paraId="4D1CCBE8">
                  <w:pPr>
                    <w:snapToGrid w:val="0"/>
                    <w:jc w:val="center"/>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w:t>
                  </w:r>
                </w:p>
              </w:tc>
              <w:tc>
                <w:tcPr>
                  <w:tcW w:w="408" w:type="pct"/>
                  <w:shd w:val="clear" w:color="auto" w:fill="auto"/>
                  <w:noWrap w:val="0"/>
                  <w:tcMar>
                    <w:left w:w="85" w:type="dxa"/>
                    <w:right w:w="85" w:type="dxa"/>
                  </w:tcMar>
                  <w:vAlign w:val="center"/>
                </w:tcPr>
                <w:p w14:paraId="30A0FABD">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34" w:type="pct"/>
                  <w:shd w:val="clear" w:color="auto" w:fill="auto"/>
                  <w:noWrap w:val="0"/>
                  <w:tcMar>
                    <w:left w:w="85" w:type="dxa"/>
                    <w:right w:w="85" w:type="dxa"/>
                  </w:tcMar>
                  <w:vAlign w:val="center"/>
                </w:tcPr>
                <w:p w14:paraId="695E37B5">
                  <w:pPr>
                    <w:snapToGrid w:val="0"/>
                    <w:jc w:val="center"/>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现有锅炉供热</w:t>
                  </w:r>
                </w:p>
              </w:tc>
            </w:tr>
          </w:tbl>
          <w:p w14:paraId="20C5D641">
            <w:pPr>
              <w:pStyle w:val="42"/>
              <w:rPr>
                <w:color w:val="auto"/>
                <w:highlight w:val="none"/>
              </w:rPr>
            </w:pPr>
            <w:r>
              <w:rPr>
                <w:color w:val="auto"/>
                <w:highlight w:val="none"/>
              </w:rPr>
              <w:t>主要原辅料理化性质一览表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6"/>
              <w:gridCol w:w="909"/>
              <w:gridCol w:w="807"/>
              <w:gridCol w:w="525"/>
              <w:gridCol w:w="2005"/>
              <w:gridCol w:w="1218"/>
              <w:gridCol w:w="1080"/>
              <w:gridCol w:w="1494"/>
            </w:tblGrid>
            <w:tr w14:paraId="7935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46" w:type="pct"/>
                  <w:vAlign w:val="center"/>
                </w:tcPr>
                <w:p w14:paraId="6BD1C33F">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highlight w:val="none"/>
                    </w:rPr>
                  </w:pPr>
                  <w:r>
                    <w:rPr>
                      <w:b/>
                      <w:color w:val="auto"/>
                      <w:sz w:val="21"/>
                      <w:szCs w:val="21"/>
                      <w:highlight w:val="none"/>
                    </w:rPr>
                    <w:t>材料名</w:t>
                  </w:r>
                  <w:r>
                    <w:rPr>
                      <w:b/>
                      <w:color w:val="auto"/>
                      <w:w w:val="100"/>
                      <w:sz w:val="21"/>
                      <w:szCs w:val="21"/>
                      <w:highlight w:val="none"/>
                    </w:rPr>
                    <w:t>称</w:t>
                  </w:r>
                </w:p>
              </w:tc>
              <w:tc>
                <w:tcPr>
                  <w:tcW w:w="537" w:type="pct"/>
                  <w:vAlign w:val="center"/>
                </w:tcPr>
                <w:p w14:paraId="78A915B1">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color w:val="auto"/>
                      <w:sz w:val="21"/>
                      <w:szCs w:val="21"/>
                      <w:highlight w:val="none"/>
                    </w:rPr>
                  </w:pPr>
                  <w:r>
                    <w:rPr>
                      <w:b/>
                      <w:color w:val="auto"/>
                      <w:sz w:val="21"/>
                      <w:szCs w:val="21"/>
                      <w:highlight w:val="none"/>
                    </w:rPr>
                    <w:t>化学式</w:t>
                  </w:r>
                </w:p>
              </w:tc>
              <w:tc>
                <w:tcPr>
                  <w:tcW w:w="477" w:type="pct"/>
                  <w:vAlign w:val="center"/>
                </w:tcPr>
                <w:p w14:paraId="5CB8C2D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szCs w:val="21"/>
                      <w:highlight w:val="none"/>
                    </w:rPr>
                  </w:pPr>
                  <w:r>
                    <w:rPr>
                      <w:rFonts w:ascii="Times New Roman"/>
                      <w:b/>
                      <w:color w:val="auto"/>
                      <w:sz w:val="21"/>
                      <w:szCs w:val="21"/>
                      <w:highlight w:val="none"/>
                    </w:rPr>
                    <w:t>CAS</w:t>
                  </w:r>
                  <w:r>
                    <w:rPr>
                      <w:b/>
                      <w:color w:val="auto"/>
                      <w:w w:val="100"/>
                      <w:sz w:val="21"/>
                      <w:szCs w:val="21"/>
                      <w:highlight w:val="none"/>
                    </w:rPr>
                    <w:t>号</w:t>
                  </w:r>
                </w:p>
              </w:tc>
              <w:tc>
                <w:tcPr>
                  <w:tcW w:w="310" w:type="pct"/>
                  <w:vAlign w:val="center"/>
                </w:tcPr>
                <w:p w14:paraId="04B9EC76">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b/>
                      <w:color w:val="auto"/>
                      <w:sz w:val="21"/>
                      <w:szCs w:val="21"/>
                      <w:highlight w:val="none"/>
                    </w:rPr>
                    <w:t>常温下形态</w:t>
                  </w:r>
                </w:p>
              </w:tc>
              <w:tc>
                <w:tcPr>
                  <w:tcW w:w="1185" w:type="pct"/>
                  <w:vAlign w:val="center"/>
                </w:tcPr>
                <w:p w14:paraId="1B496454">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color w:val="auto"/>
                      <w:sz w:val="21"/>
                      <w:szCs w:val="21"/>
                      <w:highlight w:val="none"/>
                    </w:rPr>
                  </w:pPr>
                  <w:r>
                    <w:rPr>
                      <w:b/>
                      <w:color w:val="auto"/>
                      <w:sz w:val="21"/>
                      <w:szCs w:val="21"/>
                      <w:highlight w:val="none"/>
                    </w:rPr>
                    <w:t>理化性质</w:t>
                  </w:r>
                </w:p>
              </w:tc>
              <w:tc>
                <w:tcPr>
                  <w:tcW w:w="720" w:type="pct"/>
                  <w:vAlign w:val="center"/>
                </w:tcPr>
                <w:p w14:paraId="02F066EA">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color w:val="auto"/>
                      <w:spacing w:val="-19"/>
                      <w:sz w:val="21"/>
                      <w:szCs w:val="21"/>
                      <w:highlight w:val="none"/>
                    </w:rPr>
                  </w:pPr>
                  <w:r>
                    <w:rPr>
                      <w:b/>
                      <w:color w:val="auto"/>
                      <w:sz w:val="21"/>
                      <w:szCs w:val="21"/>
                      <w:highlight w:val="none"/>
                    </w:rPr>
                    <w:t>危险特性</w:t>
                  </w:r>
                </w:p>
              </w:tc>
              <w:tc>
                <w:tcPr>
                  <w:tcW w:w="638" w:type="pct"/>
                  <w:vAlign w:val="center"/>
                </w:tcPr>
                <w:p w14:paraId="5FE9351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color w:val="auto"/>
                      <w:sz w:val="21"/>
                      <w:szCs w:val="21"/>
                      <w:highlight w:val="none"/>
                    </w:rPr>
                  </w:pPr>
                  <w:r>
                    <w:rPr>
                      <w:b/>
                      <w:color w:val="auto"/>
                      <w:sz w:val="21"/>
                      <w:szCs w:val="21"/>
                      <w:highlight w:val="none"/>
                    </w:rPr>
                    <w:t>毒理指标</w:t>
                  </w:r>
                </w:p>
              </w:tc>
              <w:tc>
                <w:tcPr>
                  <w:tcW w:w="883" w:type="pct"/>
                  <w:vAlign w:val="center"/>
                </w:tcPr>
                <w:p w14:paraId="73F1D43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color w:val="auto"/>
                      <w:sz w:val="21"/>
                      <w:szCs w:val="21"/>
                      <w:highlight w:val="none"/>
                    </w:rPr>
                  </w:pPr>
                  <w:r>
                    <w:rPr>
                      <w:b/>
                      <w:color w:val="auto"/>
                      <w:sz w:val="21"/>
                      <w:szCs w:val="21"/>
                      <w:highlight w:val="none"/>
                    </w:rPr>
                    <w:t>泄漏应急处理措施</w:t>
                  </w:r>
                </w:p>
              </w:tc>
            </w:tr>
            <w:tr w14:paraId="37AF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46" w:type="pct"/>
                  <w:vAlign w:val="center"/>
                </w:tcPr>
                <w:p w14:paraId="661DAC9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highlight w:val="none"/>
                    </w:rPr>
                  </w:pPr>
                  <w:r>
                    <w:rPr>
                      <w:color w:val="auto"/>
                      <w:sz w:val="21"/>
                      <w:szCs w:val="21"/>
                      <w:highlight w:val="none"/>
                    </w:rPr>
                    <w:t>三乙醇胺</w:t>
                  </w:r>
                </w:p>
              </w:tc>
              <w:tc>
                <w:tcPr>
                  <w:tcW w:w="537" w:type="pct"/>
                  <w:vAlign w:val="center"/>
                </w:tcPr>
                <w:p w14:paraId="5D7D96E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szCs w:val="21"/>
                      <w:highlight w:val="none"/>
                    </w:rPr>
                  </w:pPr>
                  <w:r>
                    <w:rPr>
                      <w:rFonts w:ascii="Times New Roman"/>
                      <w:color w:val="auto"/>
                      <w:sz w:val="21"/>
                      <w:szCs w:val="21"/>
                      <w:highlight w:val="none"/>
                    </w:rPr>
                    <w:t>C</w:t>
                  </w:r>
                  <w:r>
                    <w:rPr>
                      <w:rFonts w:ascii="Times New Roman"/>
                      <w:color w:val="auto"/>
                      <w:sz w:val="21"/>
                      <w:szCs w:val="21"/>
                      <w:highlight w:val="none"/>
                      <w:vertAlign w:val="subscript"/>
                    </w:rPr>
                    <w:t>6</w:t>
                  </w:r>
                  <w:r>
                    <w:rPr>
                      <w:rFonts w:ascii="Times New Roman"/>
                      <w:color w:val="auto"/>
                      <w:sz w:val="21"/>
                      <w:szCs w:val="21"/>
                      <w:highlight w:val="none"/>
                      <w:vertAlign w:val="baseline"/>
                    </w:rPr>
                    <w:t>H</w:t>
                  </w:r>
                  <w:r>
                    <w:rPr>
                      <w:rFonts w:ascii="Times New Roman"/>
                      <w:color w:val="auto"/>
                      <w:sz w:val="21"/>
                      <w:szCs w:val="21"/>
                      <w:highlight w:val="none"/>
                      <w:vertAlign w:val="subscript"/>
                    </w:rPr>
                    <w:t>15</w:t>
                  </w:r>
                  <w:r>
                    <w:rPr>
                      <w:rFonts w:ascii="Times New Roman"/>
                      <w:color w:val="auto"/>
                      <w:sz w:val="21"/>
                      <w:szCs w:val="21"/>
                      <w:highlight w:val="none"/>
                      <w:vertAlign w:val="baseline"/>
                    </w:rPr>
                    <w:t>NO</w:t>
                  </w:r>
                  <w:r>
                    <w:rPr>
                      <w:rFonts w:ascii="Times New Roman"/>
                      <w:color w:val="auto"/>
                      <w:sz w:val="21"/>
                      <w:szCs w:val="21"/>
                      <w:highlight w:val="none"/>
                      <w:vertAlign w:val="subscript"/>
                    </w:rPr>
                    <w:t>3</w:t>
                  </w:r>
                </w:p>
              </w:tc>
              <w:tc>
                <w:tcPr>
                  <w:tcW w:w="477" w:type="pct"/>
                  <w:vAlign w:val="center"/>
                </w:tcPr>
                <w:p w14:paraId="5E80020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szCs w:val="21"/>
                      <w:highlight w:val="none"/>
                    </w:rPr>
                  </w:pPr>
                  <w:r>
                    <w:rPr>
                      <w:rFonts w:ascii="Times New Roman"/>
                      <w:color w:val="auto"/>
                      <w:sz w:val="21"/>
                      <w:szCs w:val="21"/>
                      <w:highlight w:val="none"/>
                    </w:rPr>
                    <w:t>102-71-6</w:t>
                  </w:r>
                </w:p>
              </w:tc>
              <w:tc>
                <w:tcPr>
                  <w:tcW w:w="310" w:type="pct"/>
                  <w:vAlign w:val="center"/>
                </w:tcPr>
                <w:p w14:paraId="67B82F9D">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highlight w:val="none"/>
                    </w:rPr>
                  </w:pPr>
                  <w:r>
                    <w:rPr>
                      <w:color w:val="auto"/>
                      <w:sz w:val="21"/>
                      <w:szCs w:val="21"/>
                      <w:highlight w:val="none"/>
                    </w:rPr>
                    <w:t>无色至淡黄色透明粘稠液体</w:t>
                  </w:r>
                </w:p>
              </w:tc>
              <w:tc>
                <w:tcPr>
                  <w:tcW w:w="1185" w:type="pct"/>
                  <w:vAlign w:val="center"/>
                </w:tcPr>
                <w:p w14:paraId="58EAC711">
                  <w:pPr>
                    <w:bidi w:val="0"/>
                    <w:jc w:val="left"/>
                    <w:rPr>
                      <w:color w:val="auto"/>
                      <w:highlight w:val="none"/>
                    </w:rPr>
                  </w:pPr>
                  <w:r>
                    <w:rPr>
                      <w:color w:val="auto"/>
                      <w:highlight w:val="none"/>
                    </w:rPr>
                    <w:t>沸点（℃</w:t>
                  </w:r>
                  <w:r>
                    <w:rPr>
                      <w:rFonts w:hint="eastAsia"/>
                      <w:color w:val="auto"/>
                      <w:highlight w:val="none"/>
                      <w:lang w:eastAsia="zh-CN"/>
                    </w:rPr>
                    <w:t>，</w:t>
                  </w:r>
                  <w:r>
                    <w:rPr>
                      <w:color w:val="auto"/>
                      <w:highlight w:val="none"/>
                    </w:rPr>
                    <w:t>101.3kPa）：360；熔点（℃）：21.2；相对密度（g/ml</w:t>
                  </w:r>
                  <w:r>
                    <w:rPr>
                      <w:rFonts w:hint="eastAsia"/>
                      <w:color w:val="auto"/>
                      <w:highlight w:val="none"/>
                      <w:lang w:eastAsia="zh-CN"/>
                    </w:rPr>
                    <w:t>，</w:t>
                  </w:r>
                  <w:r>
                    <w:rPr>
                      <w:color w:val="auto"/>
                      <w:highlight w:val="none"/>
                    </w:rPr>
                    <w:t>20/4℃）：1.1242；相对密度（g/ml</w:t>
                  </w:r>
                  <w:r>
                    <w:rPr>
                      <w:rFonts w:hint="eastAsia"/>
                      <w:color w:val="auto"/>
                      <w:highlight w:val="none"/>
                      <w:lang w:eastAsia="zh-CN"/>
                    </w:rPr>
                    <w:t>，</w:t>
                  </w:r>
                  <w:r>
                    <w:rPr>
                      <w:color w:val="auto"/>
                      <w:highlight w:val="none"/>
                    </w:rPr>
                    <w:t>20/20℃）：1.1258；相对蒸汽密度（g/ml，空气=1）：5.14；折射率（20℃）：1.482~1.485；黏度（mPa·s</w:t>
                  </w:r>
                  <w:r>
                    <w:rPr>
                      <w:rFonts w:hint="eastAsia"/>
                      <w:color w:val="auto"/>
                      <w:highlight w:val="none"/>
                      <w:lang w:eastAsia="zh-CN"/>
                    </w:rPr>
                    <w:t>，</w:t>
                  </w:r>
                  <w:r>
                    <w:rPr>
                      <w:color w:val="auto"/>
                      <w:highlight w:val="none"/>
                    </w:rPr>
                    <w:t>35℃）：280；黏度（mPa·s</w:t>
                  </w:r>
                  <w:r>
                    <w:rPr>
                      <w:rFonts w:hint="eastAsia"/>
                      <w:color w:val="auto"/>
                      <w:highlight w:val="none"/>
                      <w:lang w:eastAsia="zh-CN"/>
                    </w:rPr>
                    <w:t>，</w:t>
                  </w:r>
                  <w:r>
                    <w:rPr>
                      <w:color w:val="auto"/>
                      <w:highlight w:val="none"/>
                    </w:rPr>
                    <w:t>100℃）：15；闪点（℃，开口）：179；蒸发热（KJ/mol</w:t>
                  </w:r>
                  <w:r>
                    <w:rPr>
                      <w:rFonts w:hint="eastAsia"/>
                      <w:color w:val="auto"/>
                      <w:highlight w:val="none"/>
                      <w:lang w:eastAsia="zh-CN"/>
                    </w:rPr>
                    <w:t>，</w:t>
                  </w:r>
                  <w:r>
                    <w:rPr>
                      <w:color w:val="auto"/>
                      <w:highlight w:val="none"/>
                    </w:rPr>
                    <w:t>b.p.）：67.520；熔化热（KJ/mol）：27.214；临界温度（℃）：514.3；临界压力（mPa）：2.45；易溶于水、乙醇、丙酮、甘油及乙二醇等，微溶于苯、乙醚及四氯化碳等，在非极性溶剂中几乎不溶解。</w:t>
                  </w:r>
                </w:p>
              </w:tc>
              <w:tc>
                <w:tcPr>
                  <w:tcW w:w="720" w:type="pct"/>
                  <w:vAlign w:val="center"/>
                </w:tcPr>
                <w:p w14:paraId="072AF380">
                  <w:pPr>
                    <w:bidi w:val="0"/>
                    <w:jc w:val="left"/>
                    <w:rPr>
                      <w:color w:val="auto"/>
                      <w:highlight w:val="none"/>
                    </w:rPr>
                  </w:pPr>
                  <w:r>
                    <w:rPr>
                      <w:color w:val="auto"/>
                      <w:highlight w:val="none"/>
                    </w:rPr>
                    <w:t>遇明火、高温、强氧化剂可燃，危险标识：R36/37/38-36</w:t>
                  </w:r>
                </w:p>
              </w:tc>
              <w:tc>
                <w:tcPr>
                  <w:tcW w:w="638" w:type="pct"/>
                  <w:vAlign w:val="center"/>
                </w:tcPr>
                <w:p w14:paraId="33C36246">
                  <w:pPr>
                    <w:bidi w:val="0"/>
                    <w:jc w:val="left"/>
                    <w:rPr>
                      <w:color w:val="auto"/>
                      <w:highlight w:val="none"/>
                    </w:rPr>
                  </w:pPr>
                  <w:r>
                    <w:rPr>
                      <w:color w:val="auto"/>
                      <w:highlight w:val="none"/>
                    </w:rPr>
                    <w:t>大鼠经口LD50：9110mg/kg；小鼠经口LC50：8680mg/kg</w:t>
                  </w:r>
                </w:p>
              </w:tc>
              <w:tc>
                <w:tcPr>
                  <w:tcW w:w="883" w:type="pct"/>
                  <w:vAlign w:val="center"/>
                </w:tcPr>
                <w:p w14:paraId="3C9D0372">
                  <w:pPr>
                    <w:bidi w:val="0"/>
                    <w:jc w:val="left"/>
                    <w:rPr>
                      <w:color w:val="auto"/>
                      <w:highlight w:val="none"/>
                    </w:rPr>
                  </w:pPr>
                  <w:r>
                    <w:rPr>
                      <w:color w:val="auto"/>
                      <w:highlight w:val="none"/>
                    </w:rPr>
                    <w:t>疏散泄漏污染区人员至安全区，禁止无关人员进入污染区，建议应急处理人员戴好防毒面具，穿化学防护服。不要直接接触泄漏物，在确保安全情况下堵漏。用沙土或其它不燃性吸附剂混合吸收，然后收集运至废物处理场所处置。也可以用大量水冲洗，经稀释的洗水放入废水系统。如大量泄漏，利用围堤收容，然后收集、转移、回收或无害处理后废弃。</w:t>
                  </w:r>
                </w:p>
              </w:tc>
            </w:tr>
            <w:tr w14:paraId="70B6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46" w:type="pct"/>
                  <w:vAlign w:val="center"/>
                </w:tcPr>
                <w:p w14:paraId="4F7AC43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ascii="Times New Roman"/>
                      <w:color w:val="auto"/>
                      <w:sz w:val="21"/>
                      <w:szCs w:val="21"/>
                      <w:highlight w:val="none"/>
                    </w:rPr>
                    <w:t>N-</w:t>
                  </w:r>
                  <w:r>
                    <w:rPr>
                      <w:color w:val="auto"/>
                      <w:sz w:val="21"/>
                      <w:szCs w:val="21"/>
                      <w:highlight w:val="none"/>
                    </w:rPr>
                    <w:t>甲基一乙醇胺</w:t>
                  </w:r>
                </w:p>
              </w:tc>
              <w:tc>
                <w:tcPr>
                  <w:tcW w:w="537" w:type="pct"/>
                  <w:vAlign w:val="center"/>
                </w:tcPr>
                <w:p w14:paraId="3F12DDB3">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color w:val="auto"/>
                      <w:sz w:val="21"/>
                      <w:szCs w:val="21"/>
                      <w:highlight w:val="none"/>
                    </w:rPr>
                  </w:pPr>
                  <w:r>
                    <w:rPr>
                      <w:rFonts w:ascii="Times New Roman"/>
                      <w:color w:val="auto"/>
                      <w:sz w:val="21"/>
                      <w:szCs w:val="21"/>
                      <w:highlight w:val="none"/>
                    </w:rPr>
                    <w:t>C</w:t>
                  </w:r>
                  <w:r>
                    <w:rPr>
                      <w:rFonts w:ascii="Times New Roman"/>
                      <w:color w:val="auto"/>
                      <w:sz w:val="21"/>
                      <w:szCs w:val="21"/>
                      <w:highlight w:val="none"/>
                      <w:vertAlign w:val="subscript"/>
                    </w:rPr>
                    <w:t>3</w:t>
                  </w:r>
                  <w:r>
                    <w:rPr>
                      <w:rFonts w:ascii="Times New Roman"/>
                      <w:color w:val="auto"/>
                      <w:sz w:val="21"/>
                      <w:szCs w:val="21"/>
                      <w:highlight w:val="none"/>
                      <w:vertAlign w:val="baseline"/>
                    </w:rPr>
                    <w:t>H</w:t>
                  </w:r>
                  <w:r>
                    <w:rPr>
                      <w:rFonts w:ascii="Times New Roman"/>
                      <w:color w:val="auto"/>
                      <w:sz w:val="21"/>
                      <w:szCs w:val="21"/>
                      <w:highlight w:val="none"/>
                      <w:vertAlign w:val="subscript"/>
                    </w:rPr>
                    <w:t>9</w:t>
                  </w:r>
                  <w:r>
                    <w:rPr>
                      <w:rFonts w:ascii="Times New Roman"/>
                      <w:color w:val="auto"/>
                      <w:sz w:val="21"/>
                      <w:szCs w:val="21"/>
                      <w:highlight w:val="none"/>
                      <w:vertAlign w:val="baseline"/>
                    </w:rPr>
                    <w:t>NO</w:t>
                  </w:r>
                </w:p>
              </w:tc>
              <w:tc>
                <w:tcPr>
                  <w:tcW w:w="477" w:type="pct"/>
                  <w:vAlign w:val="center"/>
                </w:tcPr>
                <w:p w14:paraId="6811226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color w:val="auto"/>
                      <w:sz w:val="21"/>
                      <w:szCs w:val="21"/>
                      <w:highlight w:val="none"/>
                    </w:rPr>
                  </w:pPr>
                  <w:r>
                    <w:rPr>
                      <w:rFonts w:ascii="Times New Roman"/>
                      <w:color w:val="auto"/>
                      <w:sz w:val="21"/>
                      <w:szCs w:val="21"/>
                      <w:highlight w:val="none"/>
                    </w:rPr>
                    <w:t>109-83-1</w:t>
                  </w:r>
                </w:p>
              </w:tc>
              <w:tc>
                <w:tcPr>
                  <w:tcW w:w="310" w:type="pct"/>
                  <w:vAlign w:val="center"/>
                </w:tcPr>
                <w:p w14:paraId="110C668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color w:val="auto"/>
                      <w:sz w:val="21"/>
                      <w:szCs w:val="21"/>
                      <w:highlight w:val="none"/>
                    </w:rPr>
                    <w:t>具有氨臭的无色或微黄色液体</w:t>
                  </w:r>
                </w:p>
              </w:tc>
              <w:tc>
                <w:tcPr>
                  <w:tcW w:w="1185" w:type="pct"/>
                  <w:vAlign w:val="center"/>
                </w:tcPr>
                <w:p w14:paraId="2F128971">
                  <w:pPr>
                    <w:bidi w:val="0"/>
                    <w:jc w:val="left"/>
                    <w:rPr>
                      <w:color w:val="auto"/>
                      <w:highlight w:val="none"/>
                    </w:rPr>
                  </w:pPr>
                  <w:r>
                    <w:rPr>
                      <w:color w:val="auto"/>
                      <w:highlight w:val="none"/>
                    </w:rPr>
                    <w:t>分子量75.13；外观（25℃）：具有氨臭的无色或微黄色液体，可燃。全胺值：720-760mgKOH/g；色泽（G）：</w:t>
                  </w:r>
                  <w:r>
                    <w:rPr>
                      <w:rFonts w:hint="eastAsia"/>
                      <w:color w:val="auto"/>
                      <w:highlight w:val="none"/>
                      <w:lang w:eastAsia="zh-CN"/>
                    </w:rPr>
                    <w:t>（</w:t>
                  </w:r>
                  <w:r>
                    <w:rPr>
                      <w:color w:val="auto"/>
                      <w:highlight w:val="none"/>
                    </w:rPr>
                    <w:t>APHA</w:t>
                  </w:r>
                  <w:r>
                    <w:rPr>
                      <w:rFonts w:hint="eastAsia"/>
                      <w:color w:val="auto"/>
                      <w:highlight w:val="none"/>
                      <w:lang w:eastAsia="zh-CN"/>
                    </w:rPr>
                    <w:t>）</w:t>
                  </w:r>
                  <w:r>
                    <w:rPr>
                      <w:color w:val="auto"/>
                      <w:highlight w:val="none"/>
                    </w:rPr>
                    <w:t>≤60；溶程：能与水、乙醇、苯、乙醚和丙酮等混溶</w:t>
                  </w:r>
                </w:p>
              </w:tc>
              <w:tc>
                <w:tcPr>
                  <w:tcW w:w="720" w:type="pct"/>
                  <w:vAlign w:val="center"/>
                </w:tcPr>
                <w:p w14:paraId="27F4C3CA">
                  <w:pPr>
                    <w:bidi w:val="0"/>
                    <w:jc w:val="left"/>
                    <w:rPr>
                      <w:color w:val="auto"/>
                      <w:highlight w:val="none"/>
                    </w:rPr>
                  </w:pPr>
                  <w:r>
                    <w:rPr>
                      <w:color w:val="auto"/>
                      <w:highlight w:val="none"/>
                    </w:rPr>
                    <w:t>可燃；</w:t>
                  </w:r>
                </w:p>
              </w:tc>
              <w:tc>
                <w:tcPr>
                  <w:tcW w:w="638" w:type="pct"/>
                  <w:vAlign w:val="center"/>
                </w:tcPr>
                <w:p w14:paraId="74584538">
                  <w:pPr>
                    <w:bidi w:val="0"/>
                    <w:jc w:val="left"/>
                    <w:rPr>
                      <w:color w:val="auto"/>
                      <w:highlight w:val="none"/>
                    </w:rPr>
                  </w:pPr>
                  <w:r>
                    <w:rPr>
                      <w:color w:val="auto"/>
                      <w:highlight w:val="none"/>
                    </w:rPr>
                    <w:t>暂无资料</w:t>
                  </w:r>
                </w:p>
              </w:tc>
              <w:tc>
                <w:tcPr>
                  <w:tcW w:w="883" w:type="pct"/>
                  <w:vAlign w:val="center"/>
                </w:tcPr>
                <w:p w14:paraId="455698A4">
                  <w:pPr>
                    <w:bidi w:val="0"/>
                    <w:jc w:val="left"/>
                    <w:rPr>
                      <w:color w:val="auto"/>
                      <w:highlight w:val="none"/>
                    </w:rPr>
                  </w:pPr>
                  <w:r>
                    <w:rPr>
                      <w:color w:val="auto"/>
                      <w:highlight w:val="none"/>
                    </w:rPr>
                    <w:t>皮肤接触：脱去污染的衣着，用肥皂水及清水彻底冲洗。若有灼伤，就医。眼睛接触：立即翻开上下眼睑，用流动清水或生理盐水冲洗至少15分钟。就医。吸入：迅速脱离现场至空气新鲜处。保持呼吸道通畅。保暖并休息。呼吸困难时给输氧。呼吸停止时，立即进行人工呼吸。就医。灭火方法：雾状水、二氧化碳、泡沫、干粉、砂土。</w:t>
                  </w:r>
                </w:p>
              </w:tc>
            </w:tr>
          </w:tbl>
          <w:p w14:paraId="5D097A43">
            <w:pPr>
              <w:pageBreakBefore/>
              <w:spacing w:line="360" w:lineRule="auto"/>
              <w:ind w:firstLine="482" w:firstLineChars="200"/>
              <w:rPr>
                <w:b/>
                <w:color w:val="auto"/>
                <w:sz w:val="24"/>
                <w:highlight w:val="none"/>
              </w:rPr>
            </w:pPr>
            <w:r>
              <w:rPr>
                <w:rFonts w:hint="eastAsia"/>
                <w:b/>
                <w:color w:val="auto"/>
                <w:sz w:val="24"/>
                <w:highlight w:val="none"/>
              </w:rPr>
              <w:t>（5）</w:t>
            </w:r>
            <w:r>
              <w:rPr>
                <w:b/>
                <w:color w:val="auto"/>
                <w:sz w:val="24"/>
                <w:highlight w:val="none"/>
              </w:rPr>
              <w:t>项目主要生产设备</w:t>
            </w:r>
          </w:p>
          <w:p w14:paraId="3B478705">
            <w:pPr>
              <w:pageBreakBefore/>
              <w:spacing w:line="360" w:lineRule="auto"/>
              <w:ind w:firstLine="480" w:firstLineChars="200"/>
              <w:rPr>
                <w:b/>
                <w:color w:val="auto"/>
                <w:sz w:val="24"/>
                <w:highlight w:val="none"/>
                <w:lang w:bidi="ar"/>
              </w:rPr>
            </w:pPr>
            <w:r>
              <w:rPr>
                <w:rFonts w:hint="eastAsia"/>
                <w:color w:val="auto"/>
                <w:sz w:val="24"/>
                <w:highlight w:val="none"/>
                <w:lang w:val="en-US" w:eastAsia="zh-CN"/>
              </w:rPr>
              <w:t>本次技改主要对现有三乙醇胺及N-甲基一乙醇胺产品进行提质升级，现有工程生产设备不变，技改新增部分工艺设备以及部分辅助设备设施，</w:t>
            </w:r>
            <w:r>
              <w:rPr>
                <w:color w:val="auto"/>
                <w:sz w:val="24"/>
                <w:highlight w:val="none"/>
              </w:rPr>
              <w:t>本项目主要</w:t>
            </w:r>
            <w:r>
              <w:rPr>
                <w:rFonts w:hint="eastAsia"/>
                <w:color w:val="auto"/>
                <w:sz w:val="24"/>
                <w:highlight w:val="none"/>
                <w:lang w:val="en-US" w:eastAsia="zh-CN"/>
              </w:rPr>
              <w:t>新增</w:t>
            </w:r>
            <w:r>
              <w:rPr>
                <w:color w:val="auto"/>
                <w:sz w:val="24"/>
                <w:highlight w:val="none"/>
              </w:rPr>
              <w:t>设备</w:t>
            </w:r>
            <w:r>
              <w:rPr>
                <w:rFonts w:hint="eastAsia"/>
                <w:color w:val="auto"/>
                <w:sz w:val="24"/>
                <w:highlight w:val="none"/>
                <w:lang w:val="en-US" w:eastAsia="zh-CN"/>
              </w:rPr>
              <w:t>清单</w:t>
            </w:r>
            <w:r>
              <w:rPr>
                <w:color w:val="auto"/>
                <w:sz w:val="24"/>
                <w:highlight w:val="none"/>
              </w:rPr>
              <w:t>见下表。</w:t>
            </w:r>
          </w:p>
          <w:p w14:paraId="051737C5">
            <w:pPr>
              <w:pStyle w:val="42"/>
              <w:pageBreakBefore/>
              <w:rPr>
                <w:color w:val="auto"/>
                <w:highlight w:val="none"/>
                <w:lang w:val="zh-CN"/>
              </w:rPr>
            </w:pPr>
            <w:r>
              <w:rPr>
                <w:color w:val="auto"/>
                <w:highlight w:val="none"/>
                <w:lang w:val="zh-CN"/>
              </w:rPr>
              <w:t>主要</w:t>
            </w:r>
            <w:r>
              <w:rPr>
                <w:rFonts w:hint="eastAsia"/>
                <w:color w:val="auto"/>
                <w:highlight w:val="none"/>
                <w:lang w:val="en-US" w:eastAsia="zh-CN"/>
              </w:rPr>
              <w:t>新增</w:t>
            </w:r>
            <w:r>
              <w:rPr>
                <w:color w:val="auto"/>
                <w:highlight w:val="none"/>
                <w:lang w:val="zh-CN"/>
              </w:rPr>
              <w:t>设备清单</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477"/>
              <w:gridCol w:w="979"/>
              <w:gridCol w:w="1837"/>
              <w:gridCol w:w="991"/>
              <w:gridCol w:w="1089"/>
              <w:gridCol w:w="1104"/>
              <w:gridCol w:w="493"/>
            </w:tblGrid>
            <w:tr w14:paraId="27F5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jc w:val="center"/>
              </w:trPr>
              <w:tc>
                <w:tcPr>
                  <w:tcW w:w="289" w:type="pct"/>
                  <w:noWrap w:val="0"/>
                  <w:vAlign w:val="center"/>
                </w:tcPr>
                <w:p w14:paraId="1CDE6FA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rPr>
                    <w:t>序号</w:t>
                  </w:r>
                </w:p>
              </w:tc>
              <w:tc>
                <w:tcPr>
                  <w:tcW w:w="872" w:type="pct"/>
                  <w:noWrap w:val="0"/>
                  <w:vAlign w:val="center"/>
                </w:tcPr>
                <w:p w14:paraId="7C53682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rPr>
                    <w:t>设备名称</w:t>
                  </w:r>
                </w:p>
              </w:tc>
              <w:tc>
                <w:tcPr>
                  <w:tcW w:w="578" w:type="pct"/>
                  <w:noWrap w:val="0"/>
                  <w:vAlign w:val="center"/>
                </w:tcPr>
                <w:p w14:paraId="17F0CA8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rPr>
                    <w:t>规格型号</w:t>
                  </w:r>
                </w:p>
              </w:tc>
              <w:tc>
                <w:tcPr>
                  <w:tcW w:w="1085" w:type="pct"/>
                  <w:noWrap w:val="0"/>
                  <w:vAlign w:val="center"/>
                </w:tcPr>
                <w:p w14:paraId="2D30436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rPr>
                    <w:t>材质</w:t>
                  </w:r>
                </w:p>
              </w:tc>
              <w:tc>
                <w:tcPr>
                  <w:tcW w:w="585" w:type="pct"/>
                  <w:noWrap w:val="0"/>
                  <w:vAlign w:val="center"/>
                </w:tcPr>
                <w:p w14:paraId="22E59B9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rPr>
                    <w:t>数量</w:t>
                  </w:r>
                  <w:r>
                    <w:rPr>
                      <w:rFonts w:hint="default" w:ascii="Times New Roman" w:hAnsi="Times New Roman" w:eastAsia="宋体" w:cs="Times New Roman"/>
                      <w:b/>
                      <w:bCs/>
                      <w:color w:val="auto"/>
                      <w:spacing w:val="20"/>
                      <w:sz w:val="21"/>
                      <w:szCs w:val="21"/>
                      <w:highlight w:val="none"/>
                      <w:lang w:eastAsia="zh-CN"/>
                    </w:rPr>
                    <w:t>（</w:t>
                  </w:r>
                  <w:r>
                    <w:rPr>
                      <w:rFonts w:hint="default" w:ascii="Times New Roman" w:hAnsi="Times New Roman" w:eastAsia="宋体" w:cs="Times New Roman"/>
                      <w:b/>
                      <w:bCs/>
                      <w:color w:val="auto"/>
                      <w:spacing w:val="20"/>
                      <w:sz w:val="21"/>
                      <w:szCs w:val="21"/>
                      <w:highlight w:val="none"/>
                      <w:lang w:val="en-US" w:eastAsia="zh-CN"/>
                    </w:rPr>
                    <w:t>台/套</w:t>
                  </w:r>
                  <w:r>
                    <w:rPr>
                      <w:rFonts w:hint="default" w:ascii="Times New Roman" w:hAnsi="Times New Roman" w:eastAsia="宋体" w:cs="Times New Roman"/>
                      <w:b/>
                      <w:bCs/>
                      <w:color w:val="auto"/>
                      <w:spacing w:val="20"/>
                      <w:sz w:val="21"/>
                      <w:szCs w:val="21"/>
                      <w:highlight w:val="none"/>
                      <w:lang w:eastAsia="zh-CN"/>
                    </w:rPr>
                    <w:t>）</w:t>
                  </w:r>
                </w:p>
              </w:tc>
              <w:tc>
                <w:tcPr>
                  <w:tcW w:w="643" w:type="pct"/>
                  <w:noWrap w:val="0"/>
                  <w:vAlign w:val="center"/>
                </w:tcPr>
                <w:p w14:paraId="581883C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rPr>
                    <w:t>工作温度（℃）</w:t>
                  </w:r>
                </w:p>
              </w:tc>
              <w:tc>
                <w:tcPr>
                  <w:tcW w:w="652" w:type="pct"/>
                  <w:noWrap w:val="0"/>
                  <w:vAlign w:val="center"/>
                </w:tcPr>
                <w:p w14:paraId="6A9C4AD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rPr>
                    <w:t>工作压力（MPa）</w:t>
                  </w:r>
                </w:p>
              </w:tc>
              <w:tc>
                <w:tcPr>
                  <w:tcW w:w="291" w:type="pct"/>
                  <w:noWrap w:val="0"/>
                  <w:vAlign w:val="center"/>
                </w:tcPr>
                <w:p w14:paraId="785B40D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pacing w:val="20"/>
                      <w:sz w:val="21"/>
                      <w:szCs w:val="21"/>
                      <w:highlight w:val="none"/>
                    </w:rPr>
                  </w:pPr>
                  <w:r>
                    <w:rPr>
                      <w:rFonts w:hint="default" w:ascii="Times New Roman" w:hAnsi="Times New Roman" w:eastAsia="宋体" w:cs="Times New Roman"/>
                      <w:b/>
                      <w:bCs/>
                      <w:color w:val="auto"/>
                      <w:spacing w:val="20"/>
                      <w:sz w:val="21"/>
                      <w:szCs w:val="21"/>
                      <w:highlight w:val="none"/>
                    </w:rPr>
                    <w:t>备注</w:t>
                  </w:r>
                </w:p>
              </w:tc>
            </w:tr>
            <w:tr w14:paraId="51D4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noWrap w:val="0"/>
                  <w:vAlign w:val="center"/>
                </w:tcPr>
                <w:p w14:paraId="09BB45E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eastAsia="zh-CN"/>
                    </w:rPr>
                  </w:pPr>
                  <w:r>
                    <w:rPr>
                      <w:rFonts w:hint="default" w:ascii="Times New Roman" w:hAnsi="Times New Roman" w:eastAsia="宋体" w:cs="Times New Roman"/>
                      <w:color w:val="auto"/>
                      <w:spacing w:val="20"/>
                      <w:sz w:val="21"/>
                      <w:szCs w:val="21"/>
                      <w:highlight w:val="none"/>
                      <w:lang w:val="en-US" w:eastAsia="zh-CN"/>
                    </w:rPr>
                    <w:t>1</w:t>
                  </w:r>
                </w:p>
              </w:tc>
              <w:tc>
                <w:tcPr>
                  <w:tcW w:w="872" w:type="pct"/>
                  <w:noWrap w:val="0"/>
                  <w:vAlign w:val="center"/>
                </w:tcPr>
                <w:p w14:paraId="5EF9008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eastAsia="zh-CN"/>
                    </w:rPr>
                  </w:pPr>
                  <w:r>
                    <w:rPr>
                      <w:rFonts w:hint="default" w:ascii="Times New Roman" w:hAnsi="Times New Roman" w:eastAsia="宋体" w:cs="Times New Roman"/>
                      <w:color w:val="auto"/>
                      <w:spacing w:val="20"/>
                      <w:sz w:val="21"/>
                      <w:szCs w:val="21"/>
                      <w:highlight w:val="none"/>
                      <w:lang w:val="en-US" w:eastAsia="zh-CN"/>
                    </w:rPr>
                    <w:t>原料罐</w:t>
                  </w:r>
                </w:p>
              </w:tc>
              <w:tc>
                <w:tcPr>
                  <w:tcW w:w="578" w:type="pct"/>
                  <w:noWrap w:val="0"/>
                  <w:vAlign w:val="center"/>
                </w:tcPr>
                <w:p w14:paraId="5504DD3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4</w:t>
                  </w:r>
                  <w:r>
                    <w:rPr>
                      <w:rFonts w:hint="default" w:ascii="Times New Roman" w:hAnsi="Times New Roman" w:eastAsia="宋体" w:cs="Times New Roman"/>
                      <w:color w:val="auto"/>
                      <w:spacing w:val="20"/>
                      <w:sz w:val="21"/>
                      <w:szCs w:val="21"/>
                      <w:highlight w:val="none"/>
                    </w:rPr>
                    <w:t>m³</w:t>
                  </w:r>
                </w:p>
              </w:tc>
              <w:tc>
                <w:tcPr>
                  <w:tcW w:w="1085" w:type="pct"/>
                  <w:noWrap w:val="0"/>
                  <w:vAlign w:val="center"/>
                </w:tcPr>
                <w:p w14:paraId="3DC14F5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27548CF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eastAsia="zh-CN"/>
                    </w:rPr>
                  </w:pPr>
                  <w:r>
                    <w:rPr>
                      <w:rFonts w:hint="default" w:ascii="Times New Roman" w:hAnsi="Times New Roman" w:eastAsia="宋体" w:cs="Times New Roman"/>
                      <w:color w:val="auto"/>
                      <w:spacing w:val="20"/>
                      <w:sz w:val="21"/>
                      <w:szCs w:val="21"/>
                      <w:highlight w:val="none"/>
                      <w:lang w:val="en-US" w:eastAsia="zh-CN"/>
                    </w:rPr>
                    <w:t>6</w:t>
                  </w:r>
                </w:p>
              </w:tc>
              <w:tc>
                <w:tcPr>
                  <w:tcW w:w="643" w:type="pct"/>
                  <w:noWrap w:val="0"/>
                  <w:vAlign w:val="center"/>
                </w:tcPr>
                <w:p w14:paraId="65ACE054">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60/220</w:t>
                  </w:r>
                </w:p>
              </w:tc>
              <w:tc>
                <w:tcPr>
                  <w:tcW w:w="652" w:type="pct"/>
                  <w:noWrap w:val="0"/>
                  <w:vAlign w:val="center"/>
                </w:tcPr>
                <w:p w14:paraId="5A33884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负压/2.2</w:t>
                  </w:r>
                </w:p>
              </w:tc>
              <w:tc>
                <w:tcPr>
                  <w:tcW w:w="291" w:type="pct"/>
                  <w:vMerge w:val="restart"/>
                  <w:noWrap w:val="0"/>
                  <w:vAlign w:val="center"/>
                </w:tcPr>
                <w:p w14:paraId="580204A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厂家成套</w:t>
                  </w:r>
                </w:p>
              </w:tc>
            </w:tr>
            <w:tr w14:paraId="4D6E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noWrap w:val="0"/>
                  <w:vAlign w:val="center"/>
                </w:tcPr>
                <w:p w14:paraId="4A73939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2</w:t>
                  </w:r>
                </w:p>
              </w:tc>
              <w:tc>
                <w:tcPr>
                  <w:tcW w:w="872" w:type="pct"/>
                  <w:noWrap w:val="0"/>
                  <w:vAlign w:val="center"/>
                </w:tcPr>
                <w:p w14:paraId="5740056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原料罐</w:t>
                  </w:r>
                </w:p>
              </w:tc>
              <w:tc>
                <w:tcPr>
                  <w:tcW w:w="578" w:type="pct"/>
                  <w:noWrap w:val="0"/>
                  <w:vAlign w:val="center"/>
                </w:tcPr>
                <w:p w14:paraId="2A9091F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50</w:t>
                  </w:r>
                  <w:r>
                    <w:rPr>
                      <w:rFonts w:hint="default" w:ascii="Times New Roman" w:hAnsi="Times New Roman" w:eastAsia="宋体" w:cs="Times New Roman"/>
                      <w:color w:val="auto"/>
                      <w:spacing w:val="20"/>
                      <w:sz w:val="21"/>
                      <w:szCs w:val="21"/>
                      <w:highlight w:val="none"/>
                    </w:rPr>
                    <w:t>m³</w:t>
                  </w:r>
                </w:p>
              </w:tc>
              <w:tc>
                <w:tcPr>
                  <w:tcW w:w="1085" w:type="pct"/>
                  <w:noWrap w:val="0"/>
                  <w:vAlign w:val="center"/>
                </w:tcPr>
                <w:p w14:paraId="1F0E7D6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3981BC3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1</w:t>
                  </w:r>
                </w:p>
              </w:tc>
              <w:tc>
                <w:tcPr>
                  <w:tcW w:w="643" w:type="pct"/>
                  <w:noWrap w:val="0"/>
                  <w:vAlign w:val="center"/>
                </w:tcPr>
                <w:p w14:paraId="5F3037C5">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常温</w:t>
                  </w:r>
                </w:p>
              </w:tc>
              <w:tc>
                <w:tcPr>
                  <w:tcW w:w="652" w:type="pct"/>
                  <w:noWrap w:val="0"/>
                  <w:vAlign w:val="center"/>
                </w:tcPr>
                <w:p w14:paraId="52EADC9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常压</w:t>
                  </w:r>
                </w:p>
              </w:tc>
              <w:tc>
                <w:tcPr>
                  <w:tcW w:w="291" w:type="pct"/>
                  <w:vMerge w:val="continue"/>
                  <w:noWrap w:val="0"/>
                  <w:vAlign w:val="center"/>
                </w:tcPr>
                <w:p w14:paraId="32AF493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2162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noWrap w:val="0"/>
                  <w:vAlign w:val="center"/>
                </w:tcPr>
                <w:p w14:paraId="012FF7A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3</w:t>
                  </w:r>
                </w:p>
              </w:tc>
              <w:tc>
                <w:tcPr>
                  <w:tcW w:w="872" w:type="pct"/>
                  <w:noWrap w:val="0"/>
                  <w:vAlign w:val="center"/>
                </w:tcPr>
                <w:p w14:paraId="25CFF29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产品罐</w:t>
                  </w:r>
                </w:p>
              </w:tc>
              <w:tc>
                <w:tcPr>
                  <w:tcW w:w="578" w:type="pct"/>
                  <w:noWrap w:val="0"/>
                  <w:vAlign w:val="center"/>
                </w:tcPr>
                <w:p w14:paraId="40A6F2A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30</w:t>
                  </w:r>
                  <w:r>
                    <w:rPr>
                      <w:rFonts w:hint="default" w:ascii="Times New Roman" w:hAnsi="Times New Roman" w:eastAsia="宋体" w:cs="Times New Roman"/>
                      <w:color w:val="auto"/>
                      <w:spacing w:val="20"/>
                      <w:sz w:val="21"/>
                      <w:szCs w:val="21"/>
                      <w:highlight w:val="none"/>
                    </w:rPr>
                    <w:t>m³</w:t>
                  </w:r>
                </w:p>
              </w:tc>
              <w:tc>
                <w:tcPr>
                  <w:tcW w:w="1085" w:type="pct"/>
                  <w:noWrap w:val="0"/>
                  <w:vAlign w:val="center"/>
                </w:tcPr>
                <w:p w14:paraId="54D8B41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2B82519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1</w:t>
                  </w:r>
                </w:p>
              </w:tc>
              <w:tc>
                <w:tcPr>
                  <w:tcW w:w="643" w:type="pct"/>
                  <w:noWrap w:val="0"/>
                  <w:vAlign w:val="center"/>
                </w:tcPr>
                <w:p w14:paraId="3CFEF5D7">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常温</w:t>
                  </w:r>
                </w:p>
              </w:tc>
              <w:tc>
                <w:tcPr>
                  <w:tcW w:w="652" w:type="pct"/>
                  <w:noWrap w:val="0"/>
                  <w:vAlign w:val="center"/>
                </w:tcPr>
                <w:p w14:paraId="55BDE68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常压</w:t>
                  </w:r>
                </w:p>
              </w:tc>
              <w:tc>
                <w:tcPr>
                  <w:tcW w:w="291" w:type="pct"/>
                  <w:vMerge w:val="continue"/>
                  <w:noWrap w:val="0"/>
                  <w:vAlign w:val="center"/>
                </w:tcPr>
                <w:p w14:paraId="4EC3948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0EEF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9" w:type="pct"/>
                  <w:noWrap w:val="0"/>
                  <w:vAlign w:val="center"/>
                </w:tcPr>
                <w:p w14:paraId="24F303D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4</w:t>
                  </w:r>
                </w:p>
              </w:tc>
              <w:tc>
                <w:tcPr>
                  <w:tcW w:w="872" w:type="pct"/>
                  <w:noWrap w:val="0"/>
                  <w:vAlign w:val="center"/>
                </w:tcPr>
                <w:p w14:paraId="6917F10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高沸物罐</w:t>
                  </w:r>
                </w:p>
              </w:tc>
              <w:tc>
                <w:tcPr>
                  <w:tcW w:w="578" w:type="pct"/>
                  <w:noWrap w:val="0"/>
                  <w:vAlign w:val="center"/>
                </w:tcPr>
                <w:p w14:paraId="02EC0AA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50</w:t>
                  </w:r>
                  <w:r>
                    <w:rPr>
                      <w:rFonts w:hint="default" w:ascii="Times New Roman" w:hAnsi="Times New Roman" w:eastAsia="宋体" w:cs="Times New Roman"/>
                      <w:color w:val="auto"/>
                      <w:spacing w:val="20"/>
                      <w:sz w:val="21"/>
                      <w:szCs w:val="21"/>
                      <w:highlight w:val="none"/>
                    </w:rPr>
                    <w:t>m³</w:t>
                  </w:r>
                </w:p>
              </w:tc>
              <w:tc>
                <w:tcPr>
                  <w:tcW w:w="1085" w:type="pct"/>
                  <w:noWrap w:val="0"/>
                  <w:vAlign w:val="center"/>
                </w:tcPr>
                <w:p w14:paraId="159031F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0C78F2C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w:t>
                  </w:r>
                </w:p>
              </w:tc>
              <w:tc>
                <w:tcPr>
                  <w:tcW w:w="643" w:type="pct"/>
                  <w:noWrap w:val="0"/>
                  <w:vAlign w:val="center"/>
                </w:tcPr>
                <w:p w14:paraId="7A125AC2">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52" w:type="pct"/>
                  <w:noWrap w:val="0"/>
                  <w:vAlign w:val="center"/>
                </w:tcPr>
                <w:p w14:paraId="50F359A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w:t>
                  </w:r>
                </w:p>
              </w:tc>
              <w:tc>
                <w:tcPr>
                  <w:tcW w:w="291" w:type="pct"/>
                  <w:vMerge w:val="continue"/>
                  <w:noWrap w:val="0"/>
                  <w:vAlign w:val="center"/>
                </w:tcPr>
                <w:p w14:paraId="2EFF41A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5E21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noWrap w:val="0"/>
                  <w:vAlign w:val="center"/>
                </w:tcPr>
                <w:p w14:paraId="4245A01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5</w:t>
                  </w:r>
                </w:p>
              </w:tc>
              <w:tc>
                <w:tcPr>
                  <w:tcW w:w="872" w:type="pct"/>
                  <w:noWrap w:val="0"/>
                  <w:vAlign w:val="center"/>
                </w:tcPr>
                <w:p w14:paraId="4334CC7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高沸</w:t>
                  </w:r>
                  <w:r>
                    <w:rPr>
                      <w:rFonts w:hint="eastAsia" w:cs="Times New Roman"/>
                      <w:color w:val="auto"/>
                      <w:spacing w:val="20"/>
                      <w:sz w:val="21"/>
                      <w:szCs w:val="21"/>
                      <w:highlight w:val="none"/>
                      <w:lang w:val="en-US" w:eastAsia="zh-CN"/>
                    </w:rPr>
                    <w:t>接收</w:t>
                  </w:r>
                  <w:r>
                    <w:rPr>
                      <w:rFonts w:hint="default" w:ascii="Times New Roman" w:hAnsi="Times New Roman" w:eastAsia="宋体" w:cs="Times New Roman"/>
                      <w:color w:val="auto"/>
                      <w:spacing w:val="20"/>
                      <w:sz w:val="21"/>
                      <w:szCs w:val="21"/>
                      <w:highlight w:val="none"/>
                      <w:lang w:val="en-US" w:eastAsia="zh-CN"/>
                    </w:rPr>
                    <w:t>罐</w:t>
                  </w:r>
                </w:p>
              </w:tc>
              <w:tc>
                <w:tcPr>
                  <w:tcW w:w="578" w:type="pct"/>
                  <w:noWrap w:val="0"/>
                  <w:vAlign w:val="center"/>
                </w:tcPr>
                <w:p w14:paraId="3044C07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w:t>
                  </w:r>
                  <w:r>
                    <w:rPr>
                      <w:rFonts w:hint="default" w:ascii="Times New Roman" w:hAnsi="Times New Roman" w:eastAsia="宋体" w:cs="Times New Roman"/>
                      <w:color w:val="auto"/>
                      <w:spacing w:val="20"/>
                      <w:sz w:val="21"/>
                      <w:szCs w:val="21"/>
                      <w:highlight w:val="none"/>
                    </w:rPr>
                    <w:t>m³</w:t>
                  </w:r>
                </w:p>
              </w:tc>
              <w:tc>
                <w:tcPr>
                  <w:tcW w:w="1085" w:type="pct"/>
                  <w:noWrap w:val="0"/>
                  <w:vAlign w:val="center"/>
                </w:tcPr>
                <w:p w14:paraId="1F65833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2F90839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3</w:t>
                  </w:r>
                </w:p>
              </w:tc>
              <w:tc>
                <w:tcPr>
                  <w:tcW w:w="643" w:type="pct"/>
                  <w:noWrap w:val="0"/>
                  <w:vAlign w:val="center"/>
                </w:tcPr>
                <w:p w14:paraId="7BBD83B6">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60/220</w:t>
                  </w:r>
                </w:p>
              </w:tc>
              <w:tc>
                <w:tcPr>
                  <w:tcW w:w="652" w:type="pct"/>
                  <w:noWrap w:val="0"/>
                  <w:vAlign w:val="center"/>
                </w:tcPr>
                <w:p w14:paraId="4FDDF89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负压/2.2</w:t>
                  </w:r>
                </w:p>
              </w:tc>
              <w:tc>
                <w:tcPr>
                  <w:tcW w:w="291" w:type="pct"/>
                  <w:vMerge w:val="continue"/>
                  <w:noWrap w:val="0"/>
                  <w:vAlign w:val="center"/>
                </w:tcPr>
                <w:p w14:paraId="4CD4475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2E06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9" w:type="pct"/>
                  <w:noWrap w:val="0"/>
                  <w:vAlign w:val="center"/>
                </w:tcPr>
                <w:p w14:paraId="7ABB057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6</w:t>
                  </w:r>
                </w:p>
              </w:tc>
              <w:tc>
                <w:tcPr>
                  <w:tcW w:w="872" w:type="pct"/>
                  <w:noWrap w:val="0"/>
                  <w:vAlign w:val="center"/>
                </w:tcPr>
                <w:p w14:paraId="7DA3504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一级冷凝液接收罐</w:t>
                  </w:r>
                </w:p>
              </w:tc>
              <w:tc>
                <w:tcPr>
                  <w:tcW w:w="578" w:type="pct"/>
                  <w:noWrap w:val="0"/>
                  <w:vAlign w:val="center"/>
                </w:tcPr>
                <w:p w14:paraId="5C836E7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4</w:t>
                  </w:r>
                  <w:r>
                    <w:rPr>
                      <w:rFonts w:hint="default" w:ascii="Times New Roman" w:hAnsi="Times New Roman" w:eastAsia="宋体" w:cs="Times New Roman"/>
                      <w:color w:val="auto"/>
                      <w:spacing w:val="20"/>
                      <w:sz w:val="21"/>
                      <w:szCs w:val="21"/>
                      <w:highlight w:val="none"/>
                    </w:rPr>
                    <w:t>m³</w:t>
                  </w:r>
                </w:p>
              </w:tc>
              <w:tc>
                <w:tcPr>
                  <w:tcW w:w="1085" w:type="pct"/>
                  <w:noWrap w:val="0"/>
                  <w:vAlign w:val="center"/>
                </w:tcPr>
                <w:p w14:paraId="5DCB820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137BA23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rPr>
                    <w:t>3</w:t>
                  </w:r>
                </w:p>
              </w:tc>
              <w:tc>
                <w:tcPr>
                  <w:tcW w:w="643" w:type="pct"/>
                  <w:noWrap w:val="0"/>
                  <w:vAlign w:val="center"/>
                </w:tcPr>
                <w:p w14:paraId="4825BEEA">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60/220</w:t>
                  </w:r>
                </w:p>
              </w:tc>
              <w:tc>
                <w:tcPr>
                  <w:tcW w:w="652" w:type="pct"/>
                  <w:noWrap w:val="0"/>
                  <w:vAlign w:val="center"/>
                </w:tcPr>
                <w:p w14:paraId="6ED2CD8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负压/2.2</w:t>
                  </w:r>
                </w:p>
              </w:tc>
              <w:tc>
                <w:tcPr>
                  <w:tcW w:w="291" w:type="pct"/>
                  <w:vMerge w:val="continue"/>
                  <w:noWrap w:val="0"/>
                  <w:vAlign w:val="center"/>
                </w:tcPr>
                <w:p w14:paraId="1D5F67B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3B44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89" w:type="pct"/>
                  <w:noWrap w:val="0"/>
                  <w:vAlign w:val="center"/>
                </w:tcPr>
                <w:p w14:paraId="5715054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7</w:t>
                  </w:r>
                </w:p>
              </w:tc>
              <w:tc>
                <w:tcPr>
                  <w:tcW w:w="872" w:type="pct"/>
                  <w:noWrap w:val="0"/>
                  <w:vAlign w:val="center"/>
                </w:tcPr>
                <w:p w14:paraId="593FF8E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eastAsia" w:cs="Times New Roman"/>
                      <w:color w:val="auto"/>
                      <w:spacing w:val="20"/>
                      <w:sz w:val="21"/>
                      <w:szCs w:val="21"/>
                      <w:highlight w:val="none"/>
                      <w:lang w:val="en-US" w:eastAsia="zh-CN"/>
                    </w:rPr>
                    <w:t>冷阱接收罐</w:t>
                  </w:r>
                </w:p>
              </w:tc>
              <w:tc>
                <w:tcPr>
                  <w:tcW w:w="578" w:type="pct"/>
                  <w:noWrap w:val="0"/>
                  <w:vAlign w:val="center"/>
                </w:tcPr>
                <w:p w14:paraId="25CA8C9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200L</w:t>
                  </w:r>
                </w:p>
              </w:tc>
              <w:tc>
                <w:tcPr>
                  <w:tcW w:w="1085" w:type="pct"/>
                  <w:noWrap w:val="0"/>
                  <w:vAlign w:val="center"/>
                </w:tcPr>
                <w:p w14:paraId="0BB85A7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099DF3D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rPr>
                    <w:t>3</w:t>
                  </w:r>
                </w:p>
              </w:tc>
              <w:tc>
                <w:tcPr>
                  <w:tcW w:w="643" w:type="pct"/>
                  <w:noWrap w:val="0"/>
                  <w:vAlign w:val="center"/>
                </w:tcPr>
                <w:p w14:paraId="1633D933">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60/220</w:t>
                  </w:r>
                </w:p>
              </w:tc>
              <w:tc>
                <w:tcPr>
                  <w:tcW w:w="652" w:type="pct"/>
                  <w:noWrap w:val="0"/>
                  <w:vAlign w:val="center"/>
                </w:tcPr>
                <w:p w14:paraId="3943D28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负压/2.2</w:t>
                  </w:r>
                </w:p>
              </w:tc>
              <w:tc>
                <w:tcPr>
                  <w:tcW w:w="291" w:type="pct"/>
                  <w:vMerge w:val="continue"/>
                  <w:noWrap w:val="0"/>
                  <w:vAlign w:val="center"/>
                </w:tcPr>
                <w:p w14:paraId="6DDFBED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3740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noWrap w:val="0"/>
                  <w:vAlign w:val="center"/>
                </w:tcPr>
                <w:p w14:paraId="36D42C9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8</w:t>
                  </w:r>
                </w:p>
              </w:tc>
              <w:tc>
                <w:tcPr>
                  <w:tcW w:w="872" w:type="pct"/>
                  <w:noWrap w:val="0"/>
                  <w:vAlign w:val="center"/>
                </w:tcPr>
                <w:p w14:paraId="3EA8D2E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真空缓冲罐</w:t>
                  </w:r>
                </w:p>
              </w:tc>
              <w:tc>
                <w:tcPr>
                  <w:tcW w:w="578" w:type="pct"/>
                  <w:noWrap w:val="0"/>
                  <w:vAlign w:val="center"/>
                </w:tcPr>
                <w:p w14:paraId="70A33E7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200L</w:t>
                  </w:r>
                </w:p>
              </w:tc>
              <w:tc>
                <w:tcPr>
                  <w:tcW w:w="1085" w:type="pct"/>
                  <w:noWrap w:val="0"/>
                  <w:vAlign w:val="center"/>
                </w:tcPr>
                <w:p w14:paraId="3E89400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S31603</w:t>
                  </w:r>
                </w:p>
              </w:tc>
              <w:tc>
                <w:tcPr>
                  <w:tcW w:w="585" w:type="pct"/>
                  <w:noWrap w:val="0"/>
                  <w:vAlign w:val="center"/>
                </w:tcPr>
                <w:p w14:paraId="7CF7D0E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rPr>
                    <w:t>3</w:t>
                  </w:r>
                </w:p>
              </w:tc>
              <w:tc>
                <w:tcPr>
                  <w:tcW w:w="643" w:type="pct"/>
                  <w:noWrap w:val="0"/>
                  <w:vAlign w:val="center"/>
                </w:tcPr>
                <w:p w14:paraId="4DE72052">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60</w:t>
                  </w:r>
                </w:p>
              </w:tc>
              <w:tc>
                <w:tcPr>
                  <w:tcW w:w="652" w:type="pct"/>
                  <w:noWrap w:val="0"/>
                  <w:vAlign w:val="center"/>
                </w:tcPr>
                <w:p w14:paraId="37B9AB1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负压</w:t>
                  </w:r>
                </w:p>
              </w:tc>
              <w:tc>
                <w:tcPr>
                  <w:tcW w:w="291" w:type="pct"/>
                  <w:vMerge w:val="continue"/>
                  <w:noWrap w:val="0"/>
                  <w:vAlign w:val="center"/>
                </w:tcPr>
                <w:p w14:paraId="2C5668D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1D5E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noWrap w:val="0"/>
                  <w:vAlign w:val="center"/>
                </w:tcPr>
                <w:p w14:paraId="27F7929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9</w:t>
                  </w:r>
                </w:p>
              </w:tc>
              <w:tc>
                <w:tcPr>
                  <w:tcW w:w="872" w:type="pct"/>
                  <w:noWrap w:val="0"/>
                  <w:vAlign w:val="center"/>
                </w:tcPr>
                <w:p w14:paraId="66AAE63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预热器</w:t>
                  </w:r>
                </w:p>
              </w:tc>
              <w:tc>
                <w:tcPr>
                  <w:tcW w:w="578" w:type="pct"/>
                  <w:noWrap w:val="0"/>
                  <w:vAlign w:val="center"/>
                </w:tcPr>
                <w:p w14:paraId="478D23C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列管式</w:t>
                  </w:r>
                </w:p>
              </w:tc>
              <w:tc>
                <w:tcPr>
                  <w:tcW w:w="1085" w:type="pct"/>
                  <w:noWrap w:val="0"/>
                  <w:vAlign w:val="center"/>
                </w:tcPr>
                <w:p w14:paraId="39FBC9F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2E59476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rPr>
                    <w:t>3</w:t>
                  </w:r>
                </w:p>
              </w:tc>
              <w:tc>
                <w:tcPr>
                  <w:tcW w:w="643" w:type="pct"/>
                  <w:noWrap w:val="0"/>
                  <w:vAlign w:val="center"/>
                </w:tcPr>
                <w:p w14:paraId="46B83BBB">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120/220</w:t>
                  </w:r>
                </w:p>
              </w:tc>
              <w:tc>
                <w:tcPr>
                  <w:tcW w:w="652" w:type="pct"/>
                  <w:noWrap w:val="0"/>
                  <w:vAlign w:val="center"/>
                </w:tcPr>
                <w:p w14:paraId="1314A51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负压/2.2</w:t>
                  </w:r>
                </w:p>
              </w:tc>
              <w:tc>
                <w:tcPr>
                  <w:tcW w:w="291" w:type="pct"/>
                  <w:vMerge w:val="continue"/>
                  <w:noWrap w:val="0"/>
                  <w:vAlign w:val="center"/>
                </w:tcPr>
                <w:p w14:paraId="174F62C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346E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noWrap w:val="0"/>
                  <w:vAlign w:val="center"/>
                </w:tcPr>
                <w:p w14:paraId="417959E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10</w:t>
                  </w:r>
                </w:p>
              </w:tc>
              <w:tc>
                <w:tcPr>
                  <w:tcW w:w="872" w:type="pct"/>
                  <w:noWrap w:val="0"/>
                  <w:vAlign w:val="center"/>
                </w:tcPr>
                <w:p w14:paraId="534E515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分子薄膜蒸发器</w:t>
                  </w:r>
                </w:p>
              </w:tc>
              <w:tc>
                <w:tcPr>
                  <w:tcW w:w="578" w:type="pct"/>
                  <w:noWrap w:val="0"/>
                  <w:vAlign w:val="center"/>
                </w:tcPr>
                <w:p w14:paraId="7C583AF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刮板式</w:t>
                  </w:r>
                </w:p>
              </w:tc>
              <w:tc>
                <w:tcPr>
                  <w:tcW w:w="1085" w:type="pct"/>
                  <w:noWrap w:val="0"/>
                  <w:vAlign w:val="center"/>
                </w:tcPr>
                <w:p w14:paraId="7CEC089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7DE5543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rPr>
                    <w:t>3</w:t>
                  </w:r>
                </w:p>
              </w:tc>
              <w:tc>
                <w:tcPr>
                  <w:tcW w:w="643" w:type="pct"/>
                  <w:noWrap w:val="0"/>
                  <w:vAlign w:val="center"/>
                </w:tcPr>
                <w:p w14:paraId="7C338953">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180/220</w:t>
                  </w:r>
                </w:p>
              </w:tc>
              <w:tc>
                <w:tcPr>
                  <w:tcW w:w="652" w:type="pct"/>
                  <w:noWrap w:val="0"/>
                  <w:vAlign w:val="center"/>
                </w:tcPr>
                <w:p w14:paraId="0C115E6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负压/2.2</w:t>
                  </w:r>
                </w:p>
              </w:tc>
              <w:tc>
                <w:tcPr>
                  <w:tcW w:w="291" w:type="pct"/>
                  <w:vMerge w:val="continue"/>
                  <w:noWrap w:val="0"/>
                  <w:vAlign w:val="center"/>
                </w:tcPr>
                <w:p w14:paraId="5DDD044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78F9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noWrap w:val="0"/>
                  <w:vAlign w:val="center"/>
                </w:tcPr>
                <w:p w14:paraId="3BB4B2C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11</w:t>
                  </w:r>
                </w:p>
              </w:tc>
              <w:tc>
                <w:tcPr>
                  <w:tcW w:w="872" w:type="pct"/>
                  <w:noWrap w:val="0"/>
                  <w:vAlign w:val="center"/>
                </w:tcPr>
                <w:p w14:paraId="474C0A9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一级冷凝器</w:t>
                  </w:r>
                </w:p>
              </w:tc>
              <w:tc>
                <w:tcPr>
                  <w:tcW w:w="578" w:type="pct"/>
                  <w:noWrap w:val="0"/>
                  <w:vAlign w:val="center"/>
                </w:tcPr>
                <w:p w14:paraId="57890EC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列管式</w:t>
                  </w:r>
                </w:p>
              </w:tc>
              <w:tc>
                <w:tcPr>
                  <w:tcW w:w="1085" w:type="pct"/>
                  <w:noWrap w:val="0"/>
                  <w:vAlign w:val="center"/>
                </w:tcPr>
                <w:p w14:paraId="52BCAC5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S31603/S30408</w:t>
                  </w:r>
                </w:p>
              </w:tc>
              <w:tc>
                <w:tcPr>
                  <w:tcW w:w="585" w:type="pct"/>
                  <w:noWrap w:val="0"/>
                  <w:vAlign w:val="center"/>
                </w:tcPr>
                <w:p w14:paraId="6D2046F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rPr>
                    <w:t>3</w:t>
                  </w:r>
                </w:p>
              </w:tc>
              <w:tc>
                <w:tcPr>
                  <w:tcW w:w="643" w:type="pct"/>
                  <w:noWrap w:val="0"/>
                  <w:vAlign w:val="center"/>
                </w:tcPr>
                <w:p w14:paraId="54245677">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180/30</w:t>
                  </w:r>
                </w:p>
              </w:tc>
              <w:tc>
                <w:tcPr>
                  <w:tcW w:w="652" w:type="pct"/>
                  <w:noWrap w:val="0"/>
                  <w:vAlign w:val="center"/>
                </w:tcPr>
                <w:p w14:paraId="4ACAF30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负压/0.3</w:t>
                  </w:r>
                </w:p>
              </w:tc>
              <w:tc>
                <w:tcPr>
                  <w:tcW w:w="291" w:type="pct"/>
                  <w:vMerge w:val="continue"/>
                  <w:noWrap w:val="0"/>
                  <w:vAlign w:val="center"/>
                </w:tcPr>
                <w:p w14:paraId="7C841DA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1035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noWrap w:val="0"/>
                  <w:vAlign w:val="center"/>
                </w:tcPr>
                <w:p w14:paraId="1E68116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12</w:t>
                  </w:r>
                </w:p>
              </w:tc>
              <w:tc>
                <w:tcPr>
                  <w:tcW w:w="872" w:type="pct"/>
                  <w:noWrap w:val="0"/>
                  <w:vAlign w:val="center"/>
                </w:tcPr>
                <w:p w14:paraId="5A6D4BE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进料泵</w:t>
                  </w:r>
                </w:p>
              </w:tc>
              <w:tc>
                <w:tcPr>
                  <w:tcW w:w="578" w:type="pct"/>
                  <w:noWrap w:val="0"/>
                  <w:vAlign w:val="center"/>
                </w:tcPr>
                <w:p w14:paraId="1277F64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124L/h</w:t>
                  </w:r>
                </w:p>
              </w:tc>
              <w:tc>
                <w:tcPr>
                  <w:tcW w:w="1085" w:type="pct"/>
                  <w:noWrap w:val="0"/>
                  <w:vAlign w:val="center"/>
                </w:tcPr>
                <w:p w14:paraId="5E1B242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316L</w:t>
                  </w:r>
                  <w:r>
                    <w:rPr>
                      <w:rFonts w:hint="eastAsia" w:cs="Times New Roman"/>
                      <w:color w:val="auto"/>
                      <w:spacing w:val="20"/>
                      <w:sz w:val="21"/>
                      <w:szCs w:val="21"/>
                      <w:highlight w:val="none"/>
                      <w:lang w:val="en-US" w:eastAsia="zh-CN"/>
                    </w:rPr>
                    <w:t>（</w:t>
                  </w:r>
                  <w:r>
                    <w:rPr>
                      <w:rFonts w:hint="default" w:ascii="Times New Roman" w:hAnsi="Times New Roman" w:eastAsia="宋体" w:cs="Times New Roman"/>
                      <w:color w:val="auto"/>
                      <w:spacing w:val="20"/>
                      <w:sz w:val="21"/>
                      <w:szCs w:val="21"/>
                      <w:highlight w:val="none"/>
                      <w:lang w:val="en-US" w:eastAsia="zh-CN"/>
                    </w:rPr>
                    <w:t>EP</w:t>
                  </w:r>
                  <w:r>
                    <w:rPr>
                      <w:rFonts w:hint="eastAsia" w:cs="Times New Roman"/>
                      <w:color w:val="auto"/>
                      <w:spacing w:val="20"/>
                      <w:sz w:val="21"/>
                      <w:szCs w:val="21"/>
                      <w:highlight w:val="none"/>
                      <w:lang w:val="en-US" w:eastAsia="zh-CN"/>
                    </w:rPr>
                    <w:t>）</w:t>
                  </w:r>
                  <w:r>
                    <w:rPr>
                      <w:rFonts w:hint="default" w:ascii="Times New Roman" w:hAnsi="Times New Roman" w:eastAsia="宋体" w:cs="Times New Roman"/>
                      <w:color w:val="auto"/>
                      <w:spacing w:val="20"/>
                      <w:sz w:val="21"/>
                      <w:szCs w:val="21"/>
                      <w:highlight w:val="none"/>
                      <w:lang w:val="en-US" w:eastAsia="zh-CN"/>
                    </w:rPr>
                    <w:t>级</w:t>
                  </w:r>
                </w:p>
              </w:tc>
              <w:tc>
                <w:tcPr>
                  <w:tcW w:w="585" w:type="pct"/>
                  <w:noWrap w:val="0"/>
                  <w:vAlign w:val="center"/>
                </w:tcPr>
                <w:p w14:paraId="17EECD5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6</w:t>
                  </w:r>
                </w:p>
              </w:tc>
              <w:tc>
                <w:tcPr>
                  <w:tcW w:w="643" w:type="pct"/>
                  <w:noWrap w:val="0"/>
                  <w:vAlign w:val="center"/>
                </w:tcPr>
                <w:p w14:paraId="0A553A54">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52" w:type="pct"/>
                  <w:noWrap w:val="0"/>
                  <w:vAlign w:val="center"/>
                </w:tcPr>
                <w:p w14:paraId="16AC825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6bar</w:t>
                  </w:r>
                </w:p>
              </w:tc>
              <w:tc>
                <w:tcPr>
                  <w:tcW w:w="291" w:type="pct"/>
                  <w:vMerge w:val="continue"/>
                  <w:noWrap w:val="0"/>
                  <w:vAlign w:val="center"/>
                </w:tcPr>
                <w:p w14:paraId="7B3F421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06BB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14:paraId="4590458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13</w:t>
                  </w:r>
                </w:p>
              </w:tc>
              <w:tc>
                <w:tcPr>
                  <w:tcW w:w="872" w:type="pct"/>
                  <w:noWrap w:val="0"/>
                  <w:vAlign w:val="center"/>
                </w:tcPr>
                <w:p w14:paraId="66AD5DE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重组分出料泵</w:t>
                  </w:r>
                </w:p>
              </w:tc>
              <w:tc>
                <w:tcPr>
                  <w:tcW w:w="578" w:type="pct"/>
                  <w:noWrap w:val="0"/>
                  <w:vAlign w:val="center"/>
                </w:tcPr>
                <w:p w14:paraId="7ECF910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2m³/h</w:t>
                  </w:r>
                </w:p>
              </w:tc>
              <w:tc>
                <w:tcPr>
                  <w:tcW w:w="1085" w:type="pct"/>
                  <w:noWrap w:val="0"/>
                  <w:vAlign w:val="center"/>
                </w:tcPr>
                <w:p w14:paraId="2988840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316L</w:t>
                  </w:r>
                  <w:r>
                    <w:rPr>
                      <w:rFonts w:hint="eastAsia" w:cs="Times New Roman"/>
                      <w:color w:val="auto"/>
                      <w:spacing w:val="20"/>
                      <w:sz w:val="21"/>
                      <w:szCs w:val="21"/>
                      <w:highlight w:val="none"/>
                      <w:lang w:val="en-US" w:eastAsia="zh-CN"/>
                    </w:rPr>
                    <w:t>（</w:t>
                  </w:r>
                  <w:r>
                    <w:rPr>
                      <w:rFonts w:hint="default" w:ascii="Times New Roman" w:hAnsi="Times New Roman" w:eastAsia="宋体" w:cs="Times New Roman"/>
                      <w:color w:val="auto"/>
                      <w:spacing w:val="20"/>
                      <w:sz w:val="21"/>
                      <w:szCs w:val="21"/>
                      <w:highlight w:val="none"/>
                      <w:lang w:val="en-US" w:eastAsia="zh-CN"/>
                    </w:rPr>
                    <w:t>EP</w:t>
                  </w:r>
                  <w:r>
                    <w:rPr>
                      <w:rFonts w:hint="eastAsia" w:cs="Times New Roman"/>
                      <w:color w:val="auto"/>
                      <w:spacing w:val="20"/>
                      <w:sz w:val="21"/>
                      <w:szCs w:val="21"/>
                      <w:highlight w:val="none"/>
                      <w:lang w:val="en-US" w:eastAsia="zh-CN"/>
                    </w:rPr>
                    <w:t>）</w:t>
                  </w:r>
                  <w:r>
                    <w:rPr>
                      <w:rFonts w:hint="default" w:ascii="Times New Roman" w:hAnsi="Times New Roman" w:eastAsia="宋体" w:cs="Times New Roman"/>
                      <w:color w:val="auto"/>
                      <w:spacing w:val="20"/>
                      <w:sz w:val="21"/>
                      <w:szCs w:val="21"/>
                      <w:highlight w:val="none"/>
                      <w:lang w:val="en-US" w:eastAsia="zh-CN"/>
                    </w:rPr>
                    <w:t>级</w:t>
                  </w:r>
                </w:p>
              </w:tc>
              <w:tc>
                <w:tcPr>
                  <w:tcW w:w="585" w:type="pct"/>
                  <w:noWrap w:val="0"/>
                  <w:vAlign w:val="center"/>
                </w:tcPr>
                <w:p w14:paraId="65CA726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3</w:t>
                  </w:r>
                </w:p>
              </w:tc>
              <w:tc>
                <w:tcPr>
                  <w:tcW w:w="643" w:type="pct"/>
                  <w:noWrap w:val="0"/>
                  <w:vAlign w:val="center"/>
                </w:tcPr>
                <w:p w14:paraId="5E8952C0">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52" w:type="pct"/>
                  <w:noWrap w:val="0"/>
                  <w:vAlign w:val="center"/>
                </w:tcPr>
                <w:p w14:paraId="54EC2CE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6bar</w:t>
                  </w:r>
                </w:p>
              </w:tc>
              <w:tc>
                <w:tcPr>
                  <w:tcW w:w="291" w:type="pct"/>
                  <w:vMerge w:val="continue"/>
                  <w:noWrap w:val="0"/>
                  <w:vAlign w:val="center"/>
                </w:tcPr>
                <w:p w14:paraId="26DB3FE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3012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14:paraId="6D605D4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14</w:t>
                  </w:r>
                </w:p>
              </w:tc>
              <w:tc>
                <w:tcPr>
                  <w:tcW w:w="872" w:type="pct"/>
                  <w:noWrap w:val="0"/>
                  <w:vAlign w:val="center"/>
                </w:tcPr>
                <w:p w14:paraId="6C09D23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产品出料泵</w:t>
                  </w:r>
                </w:p>
              </w:tc>
              <w:tc>
                <w:tcPr>
                  <w:tcW w:w="578" w:type="pct"/>
                  <w:noWrap w:val="0"/>
                  <w:vAlign w:val="center"/>
                </w:tcPr>
                <w:p w14:paraId="79CBB86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4m³/h</w:t>
                  </w:r>
                </w:p>
              </w:tc>
              <w:tc>
                <w:tcPr>
                  <w:tcW w:w="1085" w:type="pct"/>
                  <w:noWrap w:val="0"/>
                  <w:vAlign w:val="center"/>
                </w:tcPr>
                <w:p w14:paraId="6804880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316L</w:t>
                  </w:r>
                  <w:r>
                    <w:rPr>
                      <w:rFonts w:hint="eastAsia" w:cs="Times New Roman"/>
                      <w:color w:val="auto"/>
                      <w:spacing w:val="20"/>
                      <w:sz w:val="21"/>
                      <w:szCs w:val="21"/>
                      <w:highlight w:val="none"/>
                      <w:lang w:val="en-US" w:eastAsia="zh-CN"/>
                    </w:rPr>
                    <w:t>（</w:t>
                  </w:r>
                  <w:r>
                    <w:rPr>
                      <w:rFonts w:hint="default" w:ascii="Times New Roman" w:hAnsi="Times New Roman" w:eastAsia="宋体" w:cs="Times New Roman"/>
                      <w:color w:val="auto"/>
                      <w:spacing w:val="20"/>
                      <w:sz w:val="21"/>
                      <w:szCs w:val="21"/>
                      <w:highlight w:val="none"/>
                      <w:lang w:val="en-US" w:eastAsia="zh-CN"/>
                    </w:rPr>
                    <w:t>EP</w:t>
                  </w:r>
                  <w:r>
                    <w:rPr>
                      <w:rFonts w:hint="eastAsia" w:cs="Times New Roman"/>
                      <w:color w:val="auto"/>
                      <w:spacing w:val="20"/>
                      <w:sz w:val="21"/>
                      <w:szCs w:val="21"/>
                      <w:highlight w:val="none"/>
                      <w:lang w:val="en-US" w:eastAsia="zh-CN"/>
                    </w:rPr>
                    <w:t>）</w:t>
                  </w:r>
                  <w:r>
                    <w:rPr>
                      <w:rFonts w:hint="default" w:ascii="Times New Roman" w:hAnsi="Times New Roman" w:eastAsia="宋体" w:cs="Times New Roman"/>
                      <w:color w:val="auto"/>
                      <w:spacing w:val="20"/>
                      <w:sz w:val="21"/>
                      <w:szCs w:val="21"/>
                      <w:highlight w:val="none"/>
                      <w:lang w:val="en-US" w:eastAsia="zh-CN"/>
                    </w:rPr>
                    <w:t>级</w:t>
                  </w:r>
                </w:p>
              </w:tc>
              <w:tc>
                <w:tcPr>
                  <w:tcW w:w="585" w:type="pct"/>
                  <w:noWrap w:val="0"/>
                  <w:vAlign w:val="center"/>
                </w:tcPr>
                <w:p w14:paraId="0EF2317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3</w:t>
                  </w:r>
                </w:p>
              </w:tc>
              <w:tc>
                <w:tcPr>
                  <w:tcW w:w="643" w:type="pct"/>
                  <w:noWrap w:val="0"/>
                  <w:vAlign w:val="center"/>
                </w:tcPr>
                <w:p w14:paraId="24350DA6">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w:t>
                  </w:r>
                </w:p>
              </w:tc>
              <w:tc>
                <w:tcPr>
                  <w:tcW w:w="652" w:type="pct"/>
                  <w:noWrap w:val="0"/>
                  <w:vAlign w:val="center"/>
                </w:tcPr>
                <w:p w14:paraId="55B4B1B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6bar</w:t>
                  </w:r>
                </w:p>
              </w:tc>
              <w:tc>
                <w:tcPr>
                  <w:tcW w:w="291" w:type="pct"/>
                  <w:vMerge w:val="continue"/>
                  <w:noWrap w:val="0"/>
                  <w:vAlign w:val="center"/>
                </w:tcPr>
                <w:p w14:paraId="67713D7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5C18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14:paraId="242D2F8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15</w:t>
                  </w:r>
                </w:p>
              </w:tc>
              <w:tc>
                <w:tcPr>
                  <w:tcW w:w="872" w:type="pct"/>
                  <w:noWrap w:val="0"/>
                  <w:vAlign w:val="center"/>
                </w:tcPr>
                <w:p w14:paraId="74DD3CC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出料泵</w:t>
                  </w:r>
                </w:p>
              </w:tc>
              <w:tc>
                <w:tcPr>
                  <w:tcW w:w="578" w:type="pct"/>
                  <w:noWrap w:val="0"/>
                  <w:vAlign w:val="center"/>
                </w:tcPr>
                <w:p w14:paraId="289F60F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200L/h</w:t>
                  </w:r>
                </w:p>
              </w:tc>
              <w:tc>
                <w:tcPr>
                  <w:tcW w:w="1085" w:type="pct"/>
                  <w:noWrap w:val="0"/>
                  <w:vAlign w:val="center"/>
                </w:tcPr>
                <w:p w14:paraId="1C3D7B2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316L</w:t>
                  </w:r>
                  <w:r>
                    <w:rPr>
                      <w:rFonts w:hint="eastAsia" w:cs="Times New Roman"/>
                      <w:color w:val="auto"/>
                      <w:spacing w:val="20"/>
                      <w:sz w:val="21"/>
                      <w:szCs w:val="21"/>
                      <w:highlight w:val="none"/>
                      <w:lang w:val="en-US" w:eastAsia="zh-CN"/>
                    </w:rPr>
                    <w:t>（</w:t>
                  </w:r>
                  <w:r>
                    <w:rPr>
                      <w:rFonts w:hint="default" w:ascii="Times New Roman" w:hAnsi="Times New Roman" w:eastAsia="宋体" w:cs="Times New Roman"/>
                      <w:color w:val="auto"/>
                      <w:spacing w:val="20"/>
                      <w:sz w:val="21"/>
                      <w:szCs w:val="21"/>
                      <w:highlight w:val="none"/>
                      <w:lang w:val="en-US" w:eastAsia="zh-CN"/>
                    </w:rPr>
                    <w:t>EP</w:t>
                  </w:r>
                  <w:r>
                    <w:rPr>
                      <w:rFonts w:hint="eastAsia" w:cs="Times New Roman"/>
                      <w:color w:val="auto"/>
                      <w:spacing w:val="20"/>
                      <w:sz w:val="21"/>
                      <w:szCs w:val="21"/>
                      <w:highlight w:val="none"/>
                      <w:lang w:val="en-US" w:eastAsia="zh-CN"/>
                    </w:rPr>
                    <w:t>）</w:t>
                  </w:r>
                  <w:r>
                    <w:rPr>
                      <w:rFonts w:hint="default" w:ascii="Times New Roman" w:hAnsi="Times New Roman" w:eastAsia="宋体" w:cs="Times New Roman"/>
                      <w:color w:val="auto"/>
                      <w:spacing w:val="20"/>
                      <w:sz w:val="21"/>
                      <w:szCs w:val="21"/>
                      <w:highlight w:val="none"/>
                      <w:lang w:val="en-US" w:eastAsia="zh-CN"/>
                    </w:rPr>
                    <w:t>级</w:t>
                  </w:r>
                </w:p>
              </w:tc>
              <w:tc>
                <w:tcPr>
                  <w:tcW w:w="585" w:type="pct"/>
                  <w:noWrap w:val="0"/>
                  <w:vAlign w:val="center"/>
                </w:tcPr>
                <w:p w14:paraId="3BFC1B6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3</w:t>
                  </w:r>
                </w:p>
              </w:tc>
              <w:tc>
                <w:tcPr>
                  <w:tcW w:w="643" w:type="pct"/>
                  <w:noWrap w:val="0"/>
                  <w:vAlign w:val="center"/>
                </w:tcPr>
                <w:p w14:paraId="727B6F46">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w:t>
                  </w:r>
                </w:p>
              </w:tc>
              <w:tc>
                <w:tcPr>
                  <w:tcW w:w="652" w:type="pct"/>
                  <w:noWrap w:val="0"/>
                  <w:vAlign w:val="center"/>
                </w:tcPr>
                <w:p w14:paraId="586E814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6bar</w:t>
                  </w:r>
                </w:p>
              </w:tc>
              <w:tc>
                <w:tcPr>
                  <w:tcW w:w="291" w:type="pct"/>
                  <w:vMerge w:val="continue"/>
                  <w:noWrap w:val="0"/>
                  <w:vAlign w:val="center"/>
                </w:tcPr>
                <w:p w14:paraId="454A230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3068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noWrap w:val="0"/>
                  <w:vAlign w:val="center"/>
                </w:tcPr>
                <w:p w14:paraId="05B0151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16</w:t>
                  </w:r>
                </w:p>
              </w:tc>
              <w:tc>
                <w:tcPr>
                  <w:tcW w:w="872" w:type="pct"/>
                  <w:noWrap w:val="0"/>
                  <w:vAlign w:val="center"/>
                </w:tcPr>
                <w:p w14:paraId="22BD6A1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kern w:val="2"/>
                      <w:sz w:val="21"/>
                      <w:szCs w:val="21"/>
                      <w:highlight w:val="none"/>
                      <w:lang w:val="en-US" w:eastAsia="zh-CN" w:bidi="ar-SA"/>
                    </w:rPr>
                    <w:t>真空泵机组</w:t>
                  </w:r>
                </w:p>
              </w:tc>
              <w:tc>
                <w:tcPr>
                  <w:tcW w:w="578" w:type="pct"/>
                  <w:noWrap w:val="0"/>
                  <w:vAlign w:val="center"/>
                </w:tcPr>
                <w:p w14:paraId="0E42FE8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1500m³/h</w:t>
                  </w:r>
                </w:p>
              </w:tc>
              <w:tc>
                <w:tcPr>
                  <w:tcW w:w="1085" w:type="pct"/>
                  <w:noWrap w:val="0"/>
                  <w:vAlign w:val="center"/>
                </w:tcPr>
                <w:p w14:paraId="7D0E66D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585" w:type="pct"/>
                  <w:noWrap w:val="0"/>
                  <w:vAlign w:val="center"/>
                </w:tcPr>
                <w:p w14:paraId="0C970F3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3</w:t>
                  </w:r>
                </w:p>
              </w:tc>
              <w:tc>
                <w:tcPr>
                  <w:tcW w:w="643" w:type="pct"/>
                  <w:noWrap w:val="0"/>
                  <w:vAlign w:val="center"/>
                </w:tcPr>
                <w:p w14:paraId="01885BB9">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52" w:type="pct"/>
                  <w:noWrap w:val="0"/>
                  <w:vAlign w:val="center"/>
                </w:tcPr>
                <w:p w14:paraId="14155AF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真空</w:t>
                  </w:r>
                </w:p>
              </w:tc>
              <w:tc>
                <w:tcPr>
                  <w:tcW w:w="291" w:type="pct"/>
                  <w:vMerge w:val="continue"/>
                  <w:noWrap w:val="0"/>
                  <w:vAlign w:val="center"/>
                </w:tcPr>
                <w:p w14:paraId="5AE753D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p>
              </w:tc>
            </w:tr>
            <w:tr w14:paraId="4ACE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dxa"/>
                  <w:noWrap w:val="0"/>
                  <w:vAlign w:val="center"/>
                </w:tcPr>
                <w:p w14:paraId="1885542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17</w:t>
                  </w:r>
                </w:p>
              </w:tc>
              <w:tc>
                <w:tcPr>
                  <w:tcW w:w="872" w:type="pct"/>
                  <w:noWrap w:val="0"/>
                  <w:vAlign w:val="center"/>
                </w:tcPr>
                <w:p w14:paraId="2D38260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kern w:val="2"/>
                      <w:sz w:val="21"/>
                      <w:szCs w:val="21"/>
                      <w:highlight w:val="none"/>
                      <w:lang w:val="en-US" w:eastAsia="zh-CN" w:bidi="ar-SA"/>
                    </w:rPr>
                  </w:pPr>
                  <w:r>
                    <w:rPr>
                      <w:rFonts w:hint="default" w:ascii="Times New Roman" w:hAnsi="Times New Roman" w:eastAsia="宋体" w:cs="Times New Roman"/>
                      <w:color w:val="auto"/>
                      <w:spacing w:val="20"/>
                      <w:sz w:val="21"/>
                      <w:szCs w:val="21"/>
                      <w:highlight w:val="none"/>
                      <w:lang w:val="en-US" w:eastAsia="zh-CN"/>
                    </w:rPr>
                    <w:t>纯（软）水制备装置</w:t>
                  </w:r>
                </w:p>
              </w:tc>
              <w:tc>
                <w:tcPr>
                  <w:tcW w:w="578" w:type="pct"/>
                  <w:noWrap w:val="0"/>
                  <w:vAlign w:val="center"/>
                </w:tcPr>
                <w:p w14:paraId="60FC5F0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4t/h</w:t>
                  </w:r>
                </w:p>
              </w:tc>
              <w:tc>
                <w:tcPr>
                  <w:tcW w:w="1085" w:type="pct"/>
                  <w:noWrap w:val="0"/>
                  <w:vAlign w:val="center"/>
                </w:tcPr>
                <w:p w14:paraId="225EE74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585" w:type="pct"/>
                  <w:noWrap w:val="0"/>
                  <w:vAlign w:val="center"/>
                </w:tcPr>
                <w:p w14:paraId="1156014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1</w:t>
                  </w:r>
                </w:p>
              </w:tc>
              <w:tc>
                <w:tcPr>
                  <w:tcW w:w="643" w:type="pct"/>
                  <w:noWrap w:val="0"/>
                  <w:vAlign w:val="center"/>
                </w:tcPr>
                <w:p w14:paraId="39B3BB22">
                  <w:pPr>
                    <w:keepNext w:val="0"/>
                    <w:keepLines w:val="0"/>
                    <w:pageBreakBefore w:val="0"/>
                    <w:widowControl w:val="0"/>
                    <w:tabs>
                      <w:tab w:val="left" w:pos="389"/>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652" w:type="pct"/>
                  <w:noWrap w:val="0"/>
                  <w:vAlign w:val="center"/>
                </w:tcPr>
                <w:p w14:paraId="249FFF5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w:t>
                  </w:r>
                </w:p>
              </w:tc>
              <w:tc>
                <w:tcPr>
                  <w:tcW w:w="291" w:type="pct"/>
                  <w:noWrap w:val="0"/>
                  <w:vAlign w:val="center"/>
                </w:tcPr>
                <w:p w14:paraId="6AFB47A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外购</w:t>
                  </w:r>
                </w:p>
              </w:tc>
            </w:tr>
          </w:tbl>
          <w:p w14:paraId="0E188648">
            <w:pPr>
              <w:pageBreakBefore/>
              <w:spacing w:line="360" w:lineRule="auto"/>
              <w:ind w:firstLine="482" w:firstLineChars="200"/>
              <w:rPr>
                <w:b/>
                <w:color w:val="auto"/>
                <w:sz w:val="24"/>
                <w:highlight w:val="none"/>
              </w:rPr>
            </w:pPr>
            <w:r>
              <w:rPr>
                <w:rFonts w:hint="eastAsia"/>
                <w:b/>
                <w:color w:val="auto"/>
                <w:sz w:val="24"/>
                <w:highlight w:val="none"/>
              </w:rPr>
              <w:t>（6）</w:t>
            </w:r>
            <w:r>
              <w:rPr>
                <w:b/>
                <w:color w:val="auto"/>
                <w:sz w:val="24"/>
                <w:highlight w:val="none"/>
              </w:rPr>
              <w:t>总平面图布置合理性分析</w:t>
            </w:r>
          </w:p>
          <w:p w14:paraId="127A6001">
            <w:pPr>
              <w:pageBreakBefore/>
              <w:spacing w:line="360" w:lineRule="auto"/>
              <w:ind w:firstLine="480" w:firstLineChars="200"/>
              <w:rPr>
                <w:color w:val="auto"/>
                <w:spacing w:val="8"/>
                <w:kern w:val="0"/>
                <w:sz w:val="24"/>
                <w:highlight w:val="none"/>
              </w:rPr>
            </w:pPr>
            <w:r>
              <w:rPr>
                <w:color w:val="auto"/>
                <w:sz w:val="24"/>
                <w:highlight w:val="none"/>
              </w:rPr>
              <w:t>根据厂区总平面布置可知，总平面布置</w:t>
            </w:r>
            <w:r>
              <w:rPr>
                <w:color w:val="auto"/>
                <w:spacing w:val="8"/>
                <w:kern w:val="0"/>
                <w:sz w:val="24"/>
                <w:highlight w:val="none"/>
              </w:rPr>
              <w:t>集中紧凑，根据工艺使用要求和生产性质合理划分厂区，将各方面联系紧密的建、构筑物布置在相对集中的区域，同时满足建筑防火、通风、采光的要求，且满足所涉及的各类涉及规范的设计要求。</w:t>
            </w:r>
          </w:p>
          <w:p w14:paraId="04E42EE6">
            <w:pPr>
              <w:pageBreakBefore/>
              <w:spacing w:line="360" w:lineRule="auto"/>
              <w:ind w:firstLine="480" w:firstLineChars="200"/>
              <w:rPr>
                <w:color w:val="auto"/>
                <w:sz w:val="24"/>
                <w:highlight w:val="none"/>
              </w:rPr>
            </w:pPr>
            <w:r>
              <w:rPr>
                <w:color w:val="auto"/>
                <w:sz w:val="24"/>
                <w:highlight w:val="none"/>
              </w:rPr>
              <w:t>本项目厂区物流与生活人流分开设置，在</w:t>
            </w:r>
            <w:r>
              <w:rPr>
                <w:rFonts w:hint="eastAsia"/>
                <w:color w:val="auto"/>
                <w:sz w:val="24"/>
                <w:highlight w:val="none"/>
                <w:lang w:val="en-US" w:eastAsia="zh-CN"/>
              </w:rPr>
              <w:t>南侧、西南侧</w:t>
            </w:r>
            <w:r>
              <w:rPr>
                <w:color w:val="auto"/>
                <w:sz w:val="24"/>
                <w:highlight w:val="none"/>
              </w:rPr>
              <w:t>各设置1个出口，</w:t>
            </w:r>
            <w:r>
              <w:rPr>
                <w:rFonts w:hint="eastAsia"/>
                <w:color w:val="auto"/>
                <w:sz w:val="24"/>
                <w:highlight w:val="none"/>
                <w:lang w:val="en-US" w:eastAsia="zh-CN"/>
              </w:rPr>
              <w:t>南侧</w:t>
            </w:r>
            <w:r>
              <w:rPr>
                <w:color w:val="auto"/>
                <w:sz w:val="24"/>
                <w:highlight w:val="none"/>
              </w:rPr>
              <w:t>出口位于</w:t>
            </w:r>
            <w:r>
              <w:rPr>
                <w:rFonts w:hint="eastAsia"/>
                <w:color w:val="auto"/>
                <w:sz w:val="24"/>
                <w:highlight w:val="none"/>
                <w:lang w:val="en-US" w:eastAsia="zh-CN"/>
              </w:rPr>
              <w:t>大遂快捷路，主要为厂区人流通道，西南侧出口位于园区道路</w:t>
            </w:r>
            <w:r>
              <w:rPr>
                <w:color w:val="auto"/>
                <w:sz w:val="24"/>
                <w:highlight w:val="none"/>
              </w:rPr>
              <w:t>，主要为厂区物流通道。根据厂区规划，厂区各构筑物由</w:t>
            </w:r>
            <w:r>
              <w:rPr>
                <w:rFonts w:hint="eastAsia"/>
                <w:color w:val="auto"/>
                <w:sz w:val="24"/>
                <w:highlight w:val="none"/>
                <w:lang w:val="en-US" w:eastAsia="zh-CN"/>
              </w:rPr>
              <w:t>南向北按照其功能分区可大致分为办公区、生产区、辅助工程区三个区域。南侧办公区域自西向东依次为计量房、单车棚、综合办公楼、控制室及机柜间、变电所以及靠两侧门边的门卫房等</w:t>
            </w:r>
            <w:r>
              <w:rPr>
                <w:color w:val="auto"/>
                <w:sz w:val="24"/>
                <w:highlight w:val="none"/>
              </w:rPr>
              <w:t>；</w:t>
            </w:r>
            <w:r>
              <w:rPr>
                <w:rFonts w:hint="eastAsia"/>
                <w:color w:val="auto"/>
                <w:sz w:val="24"/>
                <w:highlight w:val="none"/>
                <w:lang w:val="en-US" w:eastAsia="zh-CN"/>
              </w:rPr>
              <w:t>中部生产区域主要布局生产装置及贮存区，自最西侧瞬时针布局地磅、卸车台、卸车泵棚、罐区泵棚、原料罐区、丙类仓库（现有低浓度产品）、生产装置区；北侧辅助工程区自西向东为污水处理站、消防水泵房及消防水罐、冷却塔、空压、制冷站、制氮站以及锅炉房等。本次技改增建生产车间（用于提纯现有三乙醇胺及N-甲基一乙醇胺产品），紧邻现有生产装置区南侧布置，便于物料流通，同时</w:t>
            </w:r>
            <w:r>
              <w:rPr>
                <w:rFonts w:hint="eastAsia"/>
                <w:color w:val="auto"/>
                <w:sz w:val="24"/>
                <w:szCs w:val="24"/>
                <w:highlight w:val="none"/>
                <w:lang w:val="en-US" w:eastAsia="zh-CN"/>
              </w:rPr>
              <w:t>在</w:t>
            </w:r>
            <w:r>
              <w:rPr>
                <w:rFonts w:hint="eastAsia" w:eastAsia="宋体"/>
                <w:color w:val="auto"/>
                <w:spacing w:val="1"/>
                <w:sz w:val="24"/>
                <w:szCs w:val="24"/>
                <w:highlight w:val="none"/>
                <w:lang w:val="en-US" w:eastAsia="zh-CN"/>
              </w:rPr>
              <w:t>厂</w:t>
            </w:r>
            <w:r>
              <w:rPr>
                <w:color w:val="auto"/>
                <w:spacing w:val="2"/>
                <w:sz w:val="24"/>
                <w:szCs w:val="24"/>
                <w:highlight w:val="none"/>
              </w:rPr>
              <w:t>区北侧预留</w:t>
            </w:r>
            <w:r>
              <w:rPr>
                <w:color w:val="auto"/>
                <w:spacing w:val="1"/>
                <w:sz w:val="24"/>
                <w:szCs w:val="24"/>
                <w:highlight w:val="none"/>
              </w:rPr>
              <w:t>用地增建</w:t>
            </w:r>
            <w:r>
              <w:rPr>
                <w:rFonts w:hint="eastAsia"/>
                <w:color w:val="auto"/>
                <w:sz w:val="24"/>
                <w:highlight w:val="none"/>
                <w:lang w:val="en-US" w:eastAsia="zh-CN"/>
              </w:rPr>
              <w:t>危废贮存库、备件库等配套工程，保持整体平面布局不变</w:t>
            </w:r>
            <w:r>
              <w:rPr>
                <w:color w:val="auto"/>
                <w:sz w:val="24"/>
                <w:highlight w:val="none"/>
              </w:rPr>
              <w:t>。</w:t>
            </w:r>
          </w:p>
          <w:p w14:paraId="14BD5E1C">
            <w:pPr>
              <w:pageBreakBefore/>
              <w:spacing w:line="360" w:lineRule="auto"/>
              <w:ind w:firstLine="480" w:firstLineChars="200"/>
              <w:rPr>
                <w:color w:val="auto"/>
                <w:sz w:val="24"/>
                <w:highlight w:val="none"/>
              </w:rPr>
            </w:pPr>
            <w:r>
              <w:rPr>
                <w:rFonts w:hint="eastAsia"/>
                <w:color w:val="auto"/>
                <w:sz w:val="24"/>
                <w:highlight w:val="none"/>
              </w:rPr>
              <w:t>厂区已</w:t>
            </w:r>
            <w:r>
              <w:rPr>
                <w:color w:val="auto"/>
                <w:sz w:val="24"/>
                <w:highlight w:val="none"/>
              </w:rPr>
              <w:t>设置卫生防护距离为以装置及罐区生产作业区外100m形成的包络线范围</w:t>
            </w:r>
            <w:r>
              <w:rPr>
                <w:rFonts w:hint="eastAsia"/>
                <w:color w:val="auto"/>
                <w:sz w:val="24"/>
                <w:highlight w:val="none"/>
                <w:lang w:eastAsia="zh-CN"/>
              </w:rPr>
              <w:t>（</w:t>
            </w:r>
            <w:r>
              <w:rPr>
                <w:rFonts w:hint="eastAsia"/>
                <w:color w:val="auto"/>
                <w:sz w:val="24"/>
                <w:highlight w:val="none"/>
                <w:lang w:val="en-US" w:eastAsia="zh-CN"/>
              </w:rPr>
              <w:t>覆盖以污水处理厂</w:t>
            </w:r>
            <w:r>
              <w:rPr>
                <w:color w:val="auto"/>
                <w:sz w:val="24"/>
                <w:highlight w:val="none"/>
              </w:rPr>
              <w:t>外50m形成的包络线范围</w:t>
            </w:r>
            <w:r>
              <w:rPr>
                <w:rFonts w:hint="eastAsia"/>
                <w:color w:val="auto"/>
                <w:sz w:val="24"/>
                <w:highlight w:val="none"/>
                <w:lang w:eastAsia="zh-CN"/>
              </w:rPr>
              <w:t>）</w:t>
            </w:r>
            <w:r>
              <w:rPr>
                <w:color w:val="auto"/>
                <w:sz w:val="24"/>
                <w:highlight w:val="none"/>
              </w:rPr>
              <w:t>，</w:t>
            </w:r>
            <w:r>
              <w:rPr>
                <w:rFonts w:hint="eastAsia"/>
                <w:color w:val="auto"/>
                <w:sz w:val="24"/>
                <w:highlight w:val="none"/>
                <w:lang w:val="en-US" w:eastAsia="zh-CN"/>
              </w:rPr>
              <w:t>本次新增“</w:t>
            </w:r>
            <w:r>
              <w:rPr>
                <w:rFonts w:hint="eastAsia"/>
                <w:b/>
                <w:bCs/>
                <w:color w:val="auto"/>
                <w:sz w:val="24"/>
                <w:highlight w:val="none"/>
                <w:lang w:val="en-US" w:eastAsia="zh-CN"/>
              </w:rPr>
              <w:t>现有污水处理站</w:t>
            </w:r>
            <w:r>
              <w:rPr>
                <w:rFonts w:hint="eastAsia"/>
                <w:b/>
                <w:bCs/>
                <w:color w:val="auto"/>
                <w:sz w:val="24"/>
                <w:szCs w:val="21"/>
                <w:highlight w:val="none"/>
                <w:lang w:val="en-US" w:eastAsia="zh-CN"/>
              </w:rPr>
              <w:t>北侧外延100m超出现有卫生防护距离部分区域</w:t>
            </w:r>
            <w:r>
              <w:rPr>
                <w:rFonts w:hint="eastAsia"/>
                <w:color w:val="auto"/>
                <w:sz w:val="24"/>
                <w:highlight w:val="none"/>
                <w:lang w:val="en-US" w:eastAsia="zh-CN"/>
              </w:rPr>
              <w:t>”</w:t>
            </w:r>
            <w:r>
              <w:rPr>
                <w:rFonts w:hint="eastAsia"/>
                <w:b/>
                <w:bCs/>
                <w:color w:val="auto"/>
                <w:sz w:val="24"/>
                <w:szCs w:val="21"/>
                <w:highlight w:val="none"/>
                <w:lang w:val="en-US" w:eastAsia="zh-CN"/>
              </w:rPr>
              <w:t>划入卫生防护距离范围，与现有卫生防护距离范围并集形成最终卫生防护距离范围，</w:t>
            </w:r>
            <w:r>
              <w:rPr>
                <w:color w:val="auto"/>
                <w:sz w:val="24"/>
                <w:highlight w:val="none"/>
              </w:rPr>
              <w:t>根据总平面布置</w:t>
            </w:r>
            <w:r>
              <w:rPr>
                <w:rFonts w:hint="eastAsia"/>
                <w:color w:val="auto"/>
                <w:sz w:val="24"/>
                <w:highlight w:val="none"/>
              </w:rPr>
              <w:t>图</w:t>
            </w:r>
            <w:r>
              <w:rPr>
                <w:rFonts w:hint="eastAsia"/>
                <w:color w:val="auto"/>
                <w:sz w:val="24"/>
                <w:highlight w:val="none"/>
                <w:lang w:val="en-US" w:eastAsia="zh-CN"/>
              </w:rPr>
              <w:t>及现场踏勘，厂区外500m范围均为园区工业企业或待建空地（工业用地），无居民住户、学校、医院等敏感点分布</w:t>
            </w:r>
            <w:r>
              <w:rPr>
                <w:color w:val="auto"/>
                <w:sz w:val="24"/>
                <w:highlight w:val="none"/>
              </w:rPr>
              <w:t>，满足卫生防护距离要求。</w:t>
            </w:r>
          </w:p>
          <w:p w14:paraId="3F425AAB">
            <w:pPr>
              <w:pageBreakBefore/>
              <w:spacing w:line="360" w:lineRule="auto"/>
              <w:ind w:firstLine="480" w:firstLineChars="200"/>
              <w:rPr>
                <w:bCs/>
                <w:color w:val="auto"/>
                <w:sz w:val="24"/>
                <w:highlight w:val="none"/>
              </w:rPr>
            </w:pPr>
            <w:r>
              <w:rPr>
                <w:bCs/>
                <w:color w:val="auto"/>
                <w:sz w:val="24"/>
                <w:highlight w:val="none"/>
              </w:rPr>
              <w:t>该企业结合厂区各生产装置生产可能排放物质的性质、生产的火灾危险性，厂区绿化采用点、线、面相结合的混合式布置，充分利用厂房四周的空地及道路两旁进行绿化，绿化以草坪为主，并结合种植绿篱，主要种植适合本地气候条件且抗污染力强的地被植物或草皮，并配植小灌木，让整个厂区都处在绿色环抱中，以衬托主体建筑，在绿化带布置上，充分利用非建筑地段及</w:t>
            </w:r>
            <w:r>
              <w:rPr>
                <w:rFonts w:hint="eastAsia"/>
                <w:bCs/>
                <w:color w:val="auto"/>
                <w:sz w:val="24"/>
                <w:highlight w:val="none"/>
              </w:rPr>
              <w:t>零星的绿化</w:t>
            </w:r>
            <w:r>
              <w:rPr>
                <w:bCs/>
                <w:color w:val="auto"/>
                <w:sz w:val="24"/>
                <w:highlight w:val="none"/>
              </w:rPr>
              <w:t>，将全厂区绿化有机结合，从而达到美化环境、净化空气、防止污染、降低噪声的目的，创造一个优美的外部环境空间。</w:t>
            </w:r>
          </w:p>
          <w:p w14:paraId="65C0A189">
            <w:pPr>
              <w:pageBreakBefore/>
              <w:adjustRightInd w:val="0"/>
              <w:snapToGrid w:val="0"/>
              <w:spacing w:line="348" w:lineRule="auto"/>
              <w:ind w:firstLine="480" w:firstLineChars="200"/>
              <w:rPr>
                <w:color w:val="auto"/>
                <w:sz w:val="24"/>
                <w:highlight w:val="none"/>
              </w:rPr>
            </w:pPr>
            <w:r>
              <w:rPr>
                <w:bCs/>
                <w:color w:val="auto"/>
                <w:sz w:val="24"/>
                <w:highlight w:val="none"/>
              </w:rPr>
              <w:t>综上所述，本项目总平面布置功能分区清晰，工艺流程顺畅，物流短捷，人流、物流互不交叉干扰，有机地协调了投入与产出、建设与保护的关系。评价认为，本项目总平面布置从环保角度分析基本合理。</w:t>
            </w:r>
          </w:p>
          <w:p w14:paraId="6206C04F">
            <w:pPr>
              <w:pageBreakBefore/>
              <w:spacing w:line="360" w:lineRule="auto"/>
              <w:ind w:firstLine="482" w:firstLineChars="200"/>
              <w:rPr>
                <w:b/>
                <w:color w:val="auto"/>
                <w:kern w:val="0"/>
                <w:sz w:val="24"/>
                <w:highlight w:val="none"/>
              </w:rPr>
            </w:pPr>
            <w:r>
              <w:rPr>
                <w:rFonts w:hint="eastAsia"/>
                <w:b/>
                <w:color w:val="auto"/>
                <w:sz w:val="24"/>
                <w:highlight w:val="none"/>
              </w:rPr>
              <w:t>（7）</w:t>
            </w:r>
            <w:r>
              <w:rPr>
                <w:rFonts w:hint="eastAsia"/>
                <w:b/>
                <w:color w:val="auto"/>
                <w:kern w:val="0"/>
                <w:sz w:val="24"/>
                <w:highlight w:val="none"/>
              </w:rPr>
              <w:t>用水及水平衡分析</w:t>
            </w:r>
          </w:p>
          <w:p w14:paraId="45604000">
            <w:pPr>
              <w:pageBreakBefore/>
              <w:spacing w:line="360" w:lineRule="auto"/>
              <w:ind w:firstLine="480" w:firstLineChars="200"/>
              <w:rPr>
                <w:rFonts w:hint="default" w:eastAsia="宋体"/>
                <w:color w:val="auto"/>
                <w:sz w:val="24"/>
                <w:szCs w:val="22"/>
                <w:highlight w:val="none"/>
                <w:lang w:val="en-US" w:eastAsia="zh-CN"/>
              </w:rPr>
            </w:pPr>
            <w:r>
              <w:rPr>
                <w:color w:val="auto"/>
                <w:sz w:val="24"/>
                <w:szCs w:val="22"/>
                <w:highlight w:val="none"/>
              </w:rPr>
              <w:t>本项目</w:t>
            </w:r>
            <w:r>
              <w:rPr>
                <w:rFonts w:hint="eastAsia"/>
                <w:color w:val="auto"/>
                <w:sz w:val="24"/>
                <w:szCs w:val="22"/>
                <w:highlight w:val="none"/>
              </w:rPr>
              <w:t>供水</w:t>
            </w:r>
            <w:r>
              <w:rPr>
                <w:color w:val="auto"/>
                <w:sz w:val="24"/>
                <w:szCs w:val="22"/>
                <w:highlight w:val="none"/>
              </w:rPr>
              <w:t>直接从</w:t>
            </w:r>
            <w:r>
              <w:rPr>
                <w:rFonts w:hint="eastAsia"/>
                <w:color w:val="auto"/>
                <w:sz w:val="24"/>
                <w:szCs w:val="22"/>
                <w:highlight w:val="none"/>
                <w:lang w:val="en-US" w:eastAsia="zh-CN"/>
              </w:rPr>
              <w:t>园区</w:t>
            </w:r>
            <w:r>
              <w:rPr>
                <w:color w:val="auto"/>
                <w:sz w:val="24"/>
                <w:szCs w:val="22"/>
                <w:highlight w:val="none"/>
              </w:rPr>
              <w:t>自来水管网接入项目内。</w:t>
            </w:r>
            <w:r>
              <w:rPr>
                <w:rFonts w:hint="eastAsia"/>
                <w:color w:val="auto"/>
                <w:sz w:val="24"/>
                <w:szCs w:val="22"/>
                <w:highlight w:val="none"/>
                <w:lang w:val="en-US" w:eastAsia="zh-CN"/>
              </w:rPr>
              <w:t>本项目新增劳动定员24人，</w:t>
            </w:r>
            <w:r>
              <w:rPr>
                <w:color w:val="auto"/>
                <w:sz w:val="24"/>
                <w:szCs w:val="22"/>
                <w:highlight w:val="none"/>
              </w:rPr>
              <w:t>项目用水主要为</w:t>
            </w:r>
            <w:r>
              <w:rPr>
                <w:rFonts w:hint="eastAsia"/>
                <w:color w:val="auto"/>
                <w:sz w:val="24"/>
                <w:szCs w:val="22"/>
                <w:highlight w:val="none"/>
                <w:lang w:val="en-US" w:eastAsia="zh-CN"/>
              </w:rPr>
              <w:t>冷却循环塔定期补水、地坪冲洗用水、化验分析用水、水洗塔定期补水、锅炉定期补水、员工生活用水</w:t>
            </w:r>
            <w:r>
              <w:rPr>
                <w:color w:val="auto"/>
                <w:sz w:val="24"/>
                <w:szCs w:val="22"/>
                <w:highlight w:val="none"/>
              </w:rPr>
              <w:t>。</w:t>
            </w:r>
            <w:r>
              <w:rPr>
                <w:rFonts w:hint="eastAsia"/>
                <w:color w:val="auto"/>
                <w:sz w:val="24"/>
                <w:szCs w:val="22"/>
                <w:highlight w:val="none"/>
                <w:lang w:val="en-US" w:eastAsia="zh-CN"/>
              </w:rPr>
              <w:t>其中锅炉及水洗塔定期补水需进行纯（软）水装置制备纯（软）水。</w:t>
            </w:r>
          </w:p>
          <w:p w14:paraId="0D6DCF81">
            <w:pPr>
              <w:pageBreakBefore/>
              <w:spacing w:line="360" w:lineRule="auto"/>
              <w:ind w:firstLine="482" w:firstLineChars="200"/>
              <w:rPr>
                <w:b/>
                <w:color w:val="auto"/>
                <w:sz w:val="24"/>
                <w:szCs w:val="28"/>
                <w:highlight w:val="none"/>
              </w:rPr>
            </w:pPr>
            <w:r>
              <w:rPr>
                <w:rFonts w:hint="eastAsia"/>
                <w:b/>
                <w:color w:val="auto"/>
                <w:sz w:val="24"/>
                <w:szCs w:val="28"/>
                <w:highlight w:val="none"/>
                <w:lang w:val="en-US" w:eastAsia="zh-CN"/>
              </w:rPr>
              <w:t>纯（软）水制备</w:t>
            </w:r>
            <w:r>
              <w:rPr>
                <w:b/>
                <w:color w:val="auto"/>
                <w:sz w:val="24"/>
                <w:szCs w:val="28"/>
                <w:highlight w:val="none"/>
              </w:rPr>
              <w:t>工艺流程简述：</w:t>
            </w:r>
          </w:p>
          <w:p w14:paraId="7A6C0B2B">
            <w:pPr>
              <w:pageBreakBefore/>
              <w:tabs>
                <w:tab w:val="left" w:pos="540"/>
              </w:tabs>
              <w:adjustRightInd w:val="0"/>
              <w:snapToGrid w:val="0"/>
              <w:spacing w:line="360" w:lineRule="auto"/>
              <w:ind w:firstLine="480" w:firstLineChars="200"/>
              <w:rPr>
                <w:bCs/>
                <w:color w:val="auto"/>
                <w:sz w:val="24"/>
                <w:szCs w:val="28"/>
                <w:highlight w:val="none"/>
              </w:rPr>
            </w:pPr>
            <w:r>
              <w:rPr>
                <w:bCs/>
                <w:color w:val="auto"/>
                <w:sz w:val="24"/>
                <w:szCs w:val="28"/>
                <w:highlight w:val="none"/>
              </w:rPr>
              <w:t>自来水先后经过多介质</w:t>
            </w:r>
            <w:r>
              <w:rPr>
                <w:rFonts w:hint="eastAsia"/>
                <w:bCs/>
                <w:color w:val="auto"/>
                <w:sz w:val="24"/>
                <w:szCs w:val="28"/>
                <w:highlight w:val="none"/>
                <w:lang w:eastAsia="zh-CN"/>
              </w:rPr>
              <w:t>（</w:t>
            </w:r>
            <w:r>
              <w:rPr>
                <w:rFonts w:hint="eastAsia"/>
                <w:bCs/>
                <w:color w:val="auto"/>
                <w:sz w:val="24"/>
                <w:szCs w:val="28"/>
                <w:highlight w:val="none"/>
                <w:lang w:val="en-US" w:eastAsia="zh-CN"/>
              </w:rPr>
              <w:t>石英砂</w:t>
            </w:r>
            <w:r>
              <w:rPr>
                <w:rFonts w:hint="eastAsia"/>
                <w:bCs/>
                <w:color w:val="auto"/>
                <w:sz w:val="24"/>
                <w:szCs w:val="28"/>
                <w:highlight w:val="none"/>
                <w:lang w:eastAsia="zh-CN"/>
              </w:rPr>
              <w:t>）</w:t>
            </w:r>
            <w:r>
              <w:rPr>
                <w:bCs/>
                <w:color w:val="auto"/>
                <w:sz w:val="24"/>
                <w:szCs w:val="28"/>
                <w:highlight w:val="none"/>
              </w:rPr>
              <w:t>过滤器和活性炭过滤器，去除水中较大杂质（悬浮物、泥沙、红虫等肉眼可见杂质以及部分有机物），可以减轻精密过滤器的负担并延长其使用寿命。多媒体过滤器填料主要由大小不同的砂石组成，属于水处理过程中的一种粗过滤。经过过滤的出水进入精密过滤器进一步净化后经一级RO</w:t>
            </w:r>
            <w:r>
              <w:rPr>
                <w:rFonts w:hint="eastAsia"/>
                <w:bCs/>
                <w:color w:val="auto"/>
                <w:sz w:val="24"/>
                <w:szCs w:val="28"/>
                <w:highlight w:val="none"/>
                <w:lang w:val="en-US" w:eastAsia="zh-CN"/>
              </w:rPr>
              <w:t>及紫外线（臭氧）杀菌后</w:t>
            </w:r>
            <w:r>
              <w:rPr>
                <w:bCs/>
                <w:color w:val="auto"/>
                <w:sz w:val="24"/>
                <w:szCs w:val="28"/>
                <w:highlight w:val="none"/>
              </w:rPr>
              <w:t>制得</w:t>
            </w:r>
            <w:r>
              <w:rPr>
                <w:rFonts w:hint="eastAsia"/>
                <w:bCs/>
                <w:color w:val="auto"/>
                <w:sz w:val="24"/>
                <w:szCs w:val="28"/>
                <w:highlight w:val="none"/>
                <w:lang w:val="en-US" w:eastAsia="zh-CN"/>
              </w:rPr>
              <w:t>纯（软）</w:t>
            </w:r>
            <w:r>
              <w:rPr>
                <w:bCs/>
                <w:color w:val="auto"/>
                <w:sz w:val="24"/>
                <w:szCs w:val="28"/>
                <w:highlight w:val="none"/>
              </w:rPr>
              <w:t>水。</w:t>
            </w:r>
          </w:p>
          <w:p w14:paraId="44EB32EC">
            <w:pPr>
              <w:pageBreakBefore/>
              <w:tabs>
                <w:tab w:val="left" w:pos="540"/>
              </w:tabs>
              <w:adjustRightInd w:val="0"/>
              <w:snapToGrid w:val="0"/>
              <w:spacing w:line="360" w:lineRule="auto"/>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1793875" cy="4126230"/>
                  <wp:effectExtent l="0" t="0" r="0" b="7620"/>
                  <wp:docPr id="54" name="图片 54" descr="软水制备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软水制备工艺流程图"/>
                          <pic:cNvPicPr>
                            <a:picLocks noChangeAspect="1"/>
                          </pic:cNvPicPr>
                        </pic:nvPicPr>
                        <pic:blipFill>
                          <a:blip r:embed="rId22"/>
                          <a:srcRect l="11421" t="5314" r="7056" b="4699"/>
                          <a:stretch>
                            <a:fillRect/>
                          </a:stretch>
                        </pic:blipFill>
                        <pic:spPr>
                          <a:xfrm>
                            <a:off x="0" y="0"/>
                            <a:ext cx="1793875" cy="4126230"/>
                          </a:xfrm>
                          <a:prstGeom prst="rect">
                            <a:avLst/>
                          </a:prstGeom>
                        </pic:spPr>
                      </pic:pic>
                    </a:graphicData>
                  </a:graphic>
                </wp:inline>
              </w:drawing>
            </w:r>
          </w:p>
          <w:p w14:paraId="4CB12FAA">
            <w:pPr>
              <w:pStyle w:val="130"/>
              <w:bidi w:val="0"/>
              <w:rPr>
                <w:color w:val="auto"/>
                <w:highlight w:val="none"/>
              </w:rPr>
            </w:pPr>
            <w:r>
              <w:rPr>
                <w:rFonts w:hint="eastAsia"/>
                <w:color w:val="auto"/>
                <w:highlight w:val="none"/>
                <w:lang w:val="en-US" w:eastAsia="zh-CN"/>
              </w:rPr>
              <w:t>纯（软）水</w:t>
            </w:r>
            <w:r>
              <w:rPr>
                <w:color w:val="auto"/>
                <w:highlight w:val="none"/>
              </w:rPr>
              <w:t>制备工艺流程图</w:t>
            </w:r>
          </w:p>
          <w:p w14:paraId="54B212CA">
            <w:pPr>
              <w:pageBreakBefore/>
              <w:spacing w:line="360" w:lineRule="auto"/>
              <w:ind w:firstLine="480" w:firstLineChars="200"/>
              <w:rPr>
                <w:rFonts w:hint="default" w:eastAsia="宋体"/>
                <w:bCs/>
                <w:color w:val="auto"/>
                <w:sz w:val="24"/>
                <w:szCs w:val="22"/>
                <w:highlight w:val="none"/>
                <w:lang w:val="en-US" w:eastAsia="zh-CN"/>
              </w:rPr>
            </w:pPr>
            <w:r>
              <w:rPr>
                <w:rFonts w:hint="eastAsia"/>
                <w:bCs/>
                <w:color w:val="auto"/>
                <w:sz w:val="24"/>
                <w:szCs w:val="22"/>
                <w:highlight w:val="none"/>
                <w:lang w:val="en-US" w:eastAsia="zh-CN"/>
              </w:rPr>
              <w:t>本</w:t>
            </w:r>
            <w:r>
              <w:rPr>
                <w:bCs/>
                <w:color w:val="auto"/>
                <w:sz w:val="24"/>
                <w:szCs w:val="22"/>
                <w:highlight w:val="none"/>
              </w:rPr>
              <w:t>项目</w:t>
            </w:r>
            <w:r>
              <w:rPr>
                <w:rFonts w:hint="eastAsia"/>
                <w:bCs/>
                <w:color w:val="auto"/>
                <w:sz w:val="24"/>
                <w:szCs w:val="22"/>
                <w:highlight w:val="none"/>
                <w:lang w:val="en-US" w:eastAsia="zh-CN"/>
              </w:rPr>
              <w:t>及本项目建成后全厂水平衡分别</w:t>
            </w:r>
            <w:r>
              <w:rPr>
                <w:bCs/>
                <w:color w:val="auto"/>
                <w:sz w:val="24"/>
                <w:szCs w:val="22"/>
                <w:highlight w:val="none"/>
              </w:rPr>
              <w:t>见</w:t>
            </w:r>
            <w:r>
              <w:rPr>
                <w:rFonts w:hint="eastAsia"/>
                <w:bCs/>
                <w:color w:val="auto"/>
                <w:sz w:val="24"/>
                <w:szCs w:val="22"/>
                <w:highlight w:val="none"/>
                <w:lang w:val="en-US" w:eastAsia="zh-CN"/>
              </w:rPr>
              <w:t>下</w:t>
            </w:r>
            <w:r>
              <w:rPr>
                <w:bCs/>
                <w:color w:val="auto"/>
                <w:sz w:val="24"/>
                <w:szCs w:val="22"/>
                <w:highlight w:val="none"/>
              </w:rPr>
              <w:t>图</w:t>
            </w:r>
            <w:r>
              <w:rPr>
                <w:rFonts w:hint="eastAsia"/>
                <w:bCs/>
                <w:color w:val="auto"/>
                <w:sz w:val="24"/>
                <w:szCs w:val="22"/>
                <w:highlight w:val="none"/>
                <w:lang w:val="en-US" w:eastAsia="zh-CN"/>
              </w:rPr>
              <w:t>2-2和图2-3。</w:t>
            </w:r>
          </w:p>
          <w:p w14:paraId="7CF5C1DD">
            <w:pPr>
              <w:pageBreakBefore/>
              <w:spacing w:line="360" w:lineRule="auto"/>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426075" cy="3614420"/>
                  <wp:effectExtent l="0" t="0" r="3175" b="5080"/>
                  <wp:docPr id="13" name="图片 13" descr="水平衡(12.16排除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水平衡(12.16排除锅炉)"/>
                          <pic:cNvPicPr>
                            <a:picLocks noChangeAspect="1"/>
                          </pic:cNvPicPr>
                        </pic:nvPicPr>
                        <pic:blipFill>
                          <a:blip r:embed="rId23"/>
                          <a:srcRect l="4585" t="6063" r="2571" b="53630"/>
                          <a:stretch>
                            <a:fillRect/>
                          </a:stretch>
                        </pic:blipFill>
                        <pic:spPr>
                          <a:xfrm>
                            <a:off x="0" y="0"/>
                            <a:ext cx="5426075" cy="3614420"/>
                          </a:xfrm>
                          <a:prstGeom prst="rect">
                            <a:avLst/>
                          </a:prstGeom>
                        </pic:spPr>
                      </pic:pic>
                    </a:graphicData>
                  </a:graphic>
                </wp:inline>
              </w:drawing>
            </w:r>
          </w:p>
          <w:p w14:paraId="249C5EDD">
            <w:pPr>
              <w:pStyle w:val="130"/>
              <w:bidi w:val="0"/>
              <w:rPr>
                <w:color w:val="auto"/>
                <w:szCs w:val="21"/>
                <w:highlight w:val="none"/>
              </w:rPr>
            </w:pPr>
            <w:r>
              <w:rPr>
                <w:rFonts w:hint="eastAsia"/>
                <w:color w:val="auto"/>
                <w:szCs w:val="21"/>
                <w:highlight w:val="none"/>
              </w:rPr>
              <w:t>本项目水平衡图</w:t>
            </w:r>
            <w:r>
              <w:rPr>
                <w:color w:val="auto"/>
                <w:szCs w:val="21"/>
                <w:highlight w:val="none"/>
              </w:rPr>
              <w:t>（m</w:t>
            </w:r>
            <w:r>
              <w:rPr>
                <w:color w:val="auto"/>
                <w:szCs w:val="21"/>
                <w:highlight w:val="none"/>
                <w:vertAlign w:val="superscript"/>
              </w:rPr>
              <w:t>3</w:t>
            </w:r>
            <w:r>
              <w:rPr>
                <w:color w:val="auto"/>
                <w:szCs w:val="21"/>
                <w:highlight w:val="none"/>
              </w:rPr>
              <w:t>/d）</w:t>
            </w:r>
          </w:p>
          <w:p w14:paraId="2E6E7468">
            <w:pPr>
              <w:pageBreakBefore/>
              <w:spacing w:after="120" w:line="360" w:lineRule="auto"/>
              <w:jc w:val="center"/>
              <w:rPr>
                <w:rFonts w:hint="eastAsia" w:eastAsia="宋体"/>
                <w:b/>
                <w:bCs/>
                <w:color w:val="auto"/>
                <w:highlight w:val="none"/>
                <w:lang w:eastAsia="zh-CN"/>
              </w:rPr>
            </w:pPr>
            <w:r>
              <w:rPr>
                <w:rFonts w:hint="eastAsia" w:eastAsia="宋体"/>
                <w:color w:val="auto"/>
                <w:highlight w:val="none"/>
                <w:lang w:eastAsia="zh-CN"/>
              </w:rPr>
              <w:drawing>
                <wp:inline distT="0" distB="0" distL="114300" distR="114300">
                  <wp:extent cx="5401310" cy="4066540"/>
                  <wp:effectExtent l="0" t="0" r="8890" b="10160"/>
                  <wp:docPr id="23" name="图片 23" descr="水平衡(12.16排除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水平衡(12.16排除锅炉)"/>
                          <pic:cNvPicPr>
                            <a:picLocks noChangeAspect="1"/>
                          </pic:cNvPicPr>
                        </pic:nvPicPr>
                        <pic:blipFill>
                          <a:blip r:embed="rId23"/>
                          <a:srcRect l="3472" t="52294" r="2938" b="1784"/>
                          <a:stretch>
                            <a:fillRect/>
                          </a:stretch>
                        </pic:blipFill>
                        <pic:spPr>
                          <a:xfrm>
                            <a:off x="0" y="0"/>
                            <a:ext cx="5401310" cy="4066540"/>
                          </a:xfrm>
                          <a:prstGeom prst="rect">
                            <a:avLst/>
                          </a:prstGeom>
                        </pic:spPr>
                      </pic:pic>
                    </a:graphicData>
                  </a:graphic>
                </wp:inline>
              </w:drawing>
            </w:r>
          </w:p>
          <w:p w14:paraId="583B4E3D">
            <w:pPr>
              <w:pStyle w:val="130"/>
              <w:bidi w:val="0"/>
              <w:rPr>
                <w:color w:val="auto"/>
                <w:szCs w:val="21"/>
                <w:highlight w:val="none"/>
              </w:rPr>
            </w:pPr>
            <w:r>
              <w:rPr>
                <w:rFonts w:hint="eastAsia"/>
                <w:color w:val="auto"/>
                <w:szCs w:val="21"/>
                <w:highlight w:val="none"/>
                <w:lang w:val="en-US" w:eastAsia="zh-CN"/>
              </w:rPr>
              <w:t>技改</w:t>
            </w:r>
            <w:r>
              <w:rPr>
                <w:rFonts w:hint="eastAsia"/>
                <w:color w:val="auto"/>
                <w:szCs w:val="21"/>
                <w:highlight w:val="none"/>
              </w:rPr>
              <w:t>后全厂水平衡图</w:t>
            </w:r>
            <w:r>
              <w:rPr>
                <w:color w:val="auto"/>
                <w:szCs w:val="21"/>
                <w:highlight w:val="none"/>
              </w:rPr>
              <w:t>（m</w:t>
            </w:r>
            <w:r>
              <w:rPr>
                <w:color w:val="auto"/>
                <w:szCs w:val="21"/>
                <w:highlight w:val="none"/>
                <w:vertAlign w:val="superscript"/>
              </w:rPr>
              <w:t>3</w:t>
            </w:r>
            <w:r>
              <w:rPr>
                <w:color w:val="auto"/>
                <w:szCs w:val="21"/>
                <w:highlight w:val="none"/>
              </w:rPr>
              <w:t>/d）</w:t>
            </w:r>
          </w:p>
          <w:p w14:paraId="4CEDE668">
            <w:pPr>
              <w:pageBreakBefore/>
              <w:numPr>
                <w:ilvl w:val="0"/>
                <w:numId w:val="21"/>
              </w:numPr>
              <w:spacing w:line="360" w:lineRule="auto"/>
              <w:ind w:left="420" w:leftChars="200"/>
              <w:rPr>
                <w:b/>
                <w:bCs/>
                <w:color w:val="auto"/>
                <w:sz w:val="24"/>
                <w:highlight w:val="none"/>
              </w:rPr>
            </w:pPr>
            <w:r>
              <w:rPr>
                <w:rFonts w:hint="eastAsia"/>
                <w:b/>
                <w:bCs/>
                <w:color w:val="auto"/>
                <w:sz w:val="24"/>
                <w:highlight w:val="none"/>
              </w:rPr>
              <w:t>排水</w:t>
            </w:r>
          </w:p>
          <w:p w14:paraId="41F9B975">
            <w:pPr>
              <w:pageBreakBefore/>
              <w:spacing w:line="360" w:lineRule="auto"/>
              <w:ind w:firstLine="480" w:firstLineChars="200"/>
              <w:rPr>
                <w:color w:val="auto"/>
                <w:sz w:val="22"/>
                <w:szCs w:val="22"/>
                <w:highlight w:val="none"/>
              </w:rPr>
            </w:pPr>
            <w:r>
              <w:rPr>
                <w:color w:val="auto"/>
                <w:sz w:val="24"/>
                <w:highlight w:val="none"/>
              </w:rPr>
              <w:t>本项目排水采用雨、污分流的形式。</w:t>
            </w:r>
          </w:p>
          <w:p w14:paraId="107F69A9">
            <w:pPr>
              <w:pageBreakBefore/>
              <w:spacing w:line="360" w:lineRule="auto"/>
              <w:ind w:firstLine="480" w:firstLineChars="200"/>
              <w:rPr>
                <w:color w:val="auto"/>
                <w:sz w:val="22"/>
                <w:szCs w:val="22"/>
                <w:highlight w:val="none"/>
              </w:rPr>
            </w:pPr>
            <w:r>
              <w:rPr>
                <w:color w:val="auto"/>
                <w:sz w:val="24"/>
                <w:highlight w:val="none"/>
              </w:rPr>
              <w:t>雨水系统：采用有组织排水系统，在道路两旁设置</w:t>
            </w:r>
            <w:r>
              <w:rPr>
                <w:rFonts w:hint="eastAsia"/>
                <w:color w:val="auto"/>
                <w:sz w:val="24"/>
                <w:highlight w:val="none"/>
                <w:lang w:val="en-US" w:eastAsia="zh-CN"/>
              </w:rPr>
              <w:t>雨水沟</w:t>
            </w:r>
            <w:r>
              <w:rPr>
                <w:color w:val="auto"/>
                <w:sz w:val="24"/>
                <w:highlight w:val="none"/>
              </w:rPr>
              <w:t>收集雨水，进入室外雨水管道，经管道汇总后排入市政雨水管网。</w:t>
            </w:r>
          </w:p>
          <w:p w14:paraId="78141773">
            <w:pPr>
              <w:pageBreakBefore/>
              <w:spacing w:line="360" w:lineRule="auto"/>
              <w:ind w:firstLine="480" w:firstLineChars="200"/>
              <w:rPr>
                <w:color w:val="auto"/>
                <w:sz w:val="24"/>
                <w:szCs w:val="22"/>
                <w:highlight w:val="none"/>
              </w:rPr>
            </w:pPr>
            <w:r>
              <w:rPr>
                <w:color w:val="auto"/>
                <w:sz w:val="24"/>
                <w:szCs w:val="22"/>
                <w:highlight w:val="none"/>
              </w:rPr>
              <w:t>污水系统：</w:t>
            </w:r>
            <w:r>
              <w:rPr>
                <w:rFonts w:hint="eastAsia"/>
                <w:color w:val="auto"/>
                <w:sz w:val="24"/>
                <w:szCs w:val="22"/>
                <w:highlight w:val="none"/>
              </w:rPr>
              <w:t>废水经厂区污水处理站处理后排入</w:t>
            </w:r>
            <w:r>
              <w:rPr>
                <w:rFonts w:hint="eastAsia"/>
                <w:color w:val="auto"/>
                <w:sz w:val="24"/>
                <w:szCs w:val="22"/>
                <w:highlight w:val="none"/>
                <w:lang w:val="en-US" w:eastAsia="zh-CN"/>
              </w:rPr>
              <w:t>园区污水</w:t>
            </w:r>
            <w:r>
              <w:rPr>
                <w:rFonts w:hint="eastAsia"/>
                <w:color w:val="auto"/>
                <w:sz w:val="24"/>
                <w:szCs w:val="22"/>
                <w:highlight w:val="none"/>
              </w:rPr>
              <w:t>管网，污水站处理总规模</w:t>
            </w:r>
            <w:r>
              <w:rPr>
                <w:rFonts w:hint="eastAsia"/>
                <w:color w:val="auto"/>
                <w:sz w:val="24"/>
                <w:szCs w:val="22"/>
                <w:highlight w:val="none"/>
                <w:lang w:val="en-US" w:eastAsia="zh-CN"/>
              </w:rPr>
              <w:t>3.5</w:t>
            </w:r>
            <w:r>
              <w:rPr>
                <w:rFonts w:hint="eastAsia"/>
                <w:color w:val="auto"/>
                <w:sz w:val="24"/>
                <w:szCs w:val="22"/>
                <w:highlight w:val="none"/>
              </w:rPr>
              <w:t>m</w:t>
            </w:r>
            <w:r>
              <w:rPr>
                <w:rFonts w:hint="eastAsia"/>
                <w:color w:val="auto"/>
                <w:sz w:val="24"/>
                <w:szCs w:val="22"/>
                <w:highlight w:val="none"/>
                <w:vertAlign w:val="superscript"/>
              </w:rPr>
              <w:t>3</w:t>
            </w:r>
            <w:r>
              <w:rPr>
                <w:rFonts w:hint="eastAsia"/>
                <w:color w:val="auto"/>
                <w:sz w:val="24"/>
                <w:szCs w:val="22"/>
                <w:highlight w:val="none"/>
              </w:rPr>
              <w:t>/</w:t>
            </w:r>
            <w:r>
              <w:rPr>
                <w:rFonts w:hint="eastAsia"/>
                <w:color w:val="auto"/>
                <w:sz w:val="24"/>
                <w:szCs w:val="22"/>
                <w:highlight w:val="none"/>
                <w:lang w:val="en-US" w:eastAsia="zh-CN"/>
              </w:rPr>
              <w:t>h（84</w:t>
            </w:r>
            <w:r>
              <w:rPr>
                <w:rFonts w:hint="eastAsia"/>
                <w:color w:val="auto"/>
                <w:sz w:val="24"/>
                <w:szCs w:val="22"/>
                <w:highlight w:val="none"/>
              </w:rPr>
              <w:t>m</w:t>
            </w:r>
            <w:r>
              <w:rPr>
                <w:rFonts w:hint="eastAsia"/>
                <w:color w:val="auto"/>
                <w:sz w:val="24"/>
                <w:szCs w:val="22"/>
                <w:highlight w:val="none"/>
                <w:vertAlign w:val="superscript"/>
              </w:rPr>
              <w:t>3</w:t>
            </w:r>
            <w:r>
              <w:rPr>
                <w:rFonts w:hint="eastAsia"/>
                <w:color w:val="auto"/>
                <w:sz w:val="24"/>
                <w:szCs w:val="22"/>
                <w:highlight w:val="none"/>
              </w:rPr>
              <w:t>/d</w:t>
            </w:r>
            <w:r>
              <w:rPr>
                <w:rFonts w:hint="eastAsia"/>
                <w:color w:val="auto"/>
                <w:sz w:val="24"/>
                <w:szCs w:val="22"/>
                <w:highlight w:val="none"/>
                <w:lang w:val="en-US" w:eastAsia="zh-CN"/>
              </w:rPr>
              <w:t>）</w:t>
            </w:r>
            <w:r>
              <w:rPr>
                <w:rFonts w:hint="eastAsia"/>
                <w:color w:val="auto"/>
                <w:sz w:val="24"/>
                <w:szCs w:val="22"/>
                <w:highlight w:val="none"/>
              </w:rPr>
              <w:t>，</w:t>
            </w:r>
            <w:r>
              <w:rPr>
                <w:rFonts w:hint="eastAsia"/>
                <w:color w:val="auto"/>
                <w:sz w:val="24"/>
                <w:szCs w:val="22"/>
                <w:highlight w:val="none"/>
                <w:lang w:val="en-US" w:eastAsia="zh-CN"/>
              </w:rPr>
              <w:t>采</w:t>
            </w:r>
            <w:r>
              <w:rPr>
                <w:rFonts w:hint="default" w:ascii="Times New Roman" w:hAnsi="Times New Roman" w:cs="Times New Roman"/>
                <w:color w:val="auto"/>
                <w:sz w:val="24"/>
                <w:szCs w:val="24"/>
                <w:highlight w:val="none"/>
                <w:lang w:val="en-US" w:eastAsia="zh-CN"/>
              </w:rPr>
              <w:t>用“</w:t>
            </w:r>
            <w:r>
              <w:rPr>
                <w:rFonts w:hint="eastAsia" w:cs="Times New Roman"/>
                <w:color w:val="auto"/>
                <w:sz w:val="24"/>
                <w:szCs w:val="24"/>
                <w:highlight w:val="none"/>
                <w:lang w:val="en-US" w:eastAsia="zh-CN"/>
              </w:rPr>
              <w:t>预处理（芬顿反应+铁碳内电解+混凝沉淀+生化调节）+厌氧（水解酸化法+UASB）+两级</w:t>
            </w:r>
            <w:r>
              <w:rPr>
                <w:rFonts w:hint="default" w:ascii="Times New Roman" w:hAnsi="Times New Roman" w:cs="Times New Roman"/>
                <w:color w:val="auto"/>
                <w:sz w:val="24"/>
                <w:szCs w:val="24"/>
                <w:highlight w:val="none"/>
                <w:lang w:val="en-US" w:eastAsia="zh-CN"/>
              </w:rPr>
              <w:t>”的组合废水处理工艺</w:t>
            </w:r>
            <w:r>
              <w:rPr>
                <w:color w:val="auto"/>
                <w:sz w:val="24"/>
                <w:szCs w:val="22"/>
                <w:highlight w:val="none"/>
              </w:rPr>
              <w:t>。</w:t>
            </w:r>
            <w:r>
              <w:rPr>
                <w:rFonts w:hint="eastAsia"/>
                <w:color w:val="auto"/>
                <w:sz w:val="24"/>
                <w:szCs w:val="22"/>
                <w:highlight w:val="none"/>
              </w:rPr>
              <w:t>废水处理</w:t>
            </w:r>
            <w:r>
              <w:rPr>
                <w:color w:val="auto"/>
                <w:sz w:val="24"/>
                <w:szCs w:val="22"/>
                <w:highlight w:val="none"/>
              </w:rPr>
              <w:t>达</w:t>
            </w:r>
            <w:r>
              <w:rPr>
                <w:rFonts w:hint="eastAsia"/>
                <w:color w:val="auto"/>
                <w:sz w:val="24"/>
                <w:szCs w:val="22"/>
                <w:highlight w:val="none"/>
                <w:lang w:eastAsia="zh-CN"/>
              </w:rPr>
              <w:t>《污水综合排放标准》（GB8978-1996）三级标准</w:t>
            </w:r>
            <w:r>
              <w:rPr>
                <w:color w:val="auto"/>
                <w:sz w:val="24"/>
                <w:szCs w:val="22"/>
                <w:highlight w:val="none"/>
              </w:rPr>
              <w:t>后</w:t>
            </w:r>
            <w:r>
              <w:rPr>
                <w:color w:val="auto"/>
                <w:sz w:val="24"/>
                <w:highlight w:val="none"/>
              </w:rPr>
              <w:t>进入</w:t>
            </w:r>
            <w:r>
              <w:rPr>
                <w:rFonts w:hint="eastAsia"/>
                <w:color w:val="auto"/>
                <w:sz w:val="24"/>
                <w:szCs w:val="22"/>
                <w:highlight w:val="none"/>
                <w:lang w:eastAsia="zh-CN"/>
              </w:rPr>
              <w:t>大英经济开发区污水处理厂处理达到《地表水环境质量标准》（GB3838-2002）中Ⅲ类水体标准后排入郪江。</w:t>
            </w:r>
          </w:p>
          <w:p w14:paraId="217A9245">
            <w:pPr>
              <w:pageBreakBefore/>
              <w:spacing w:line="360" w:lineRule="auto"/>
              <w:ind w:firstLine="482" w:firstLineChars="200"/>
              <w:rPr>
                <w:b/>
                <w:bCs/>
                <w:color w:val="auto"/>
                <w:sz w:val="24"/>
                <w:highlight w:val="none"/>
              </w:rPr>
            </w:pPr>
            <w:r>
              <w:rPr>
                <w:rFonts w:hint="eastAsia"/>
                <w:b/>
                <w:bCs/>
                <w:color w:val="auto"/>
                <w:sz w:val="24"/>
                <w:highlight w:val="none"/>
              </w:rPr>
              <w:t>（9）供气</w:t>
            </w:r>
          </w:p>
          <w:p w14:paraId="21DA75D2">
            <w:pPr>
              <w:pageBreakBefore/>
              <w:spacing w:line="360" w:lineRule="auto"/>
              <w:ind w:firstLine="480" w:firstLineChars="200"/>
              <w:rPr>
                <w:rFonts w:hint="eastAsia"/>
                <w:bCs/>
                <w:color w:val="auto"/>
                <w:sz w:val="24"/>
                <w:highlight w:val="none"/>
              </w:rPr>
            </w:pPr>
            <w:r>
              <w:rPr>
                <w:rFonts w:hint="eastAsia"/>
                <w:bCs/>
                <w:color w:val="auto"/>
                <w:sz w:val="24"/>
                <w:highlight w:val="none"/>
                <w:lang w:val="en-US" w:eastAsia="zh-CN"/>
              </w:rPr>
              <w:t>厂区现状用气采用天然气，由</w:t>
            </w:r>
            <w:r>
              <w:rPr>
                <w:rFonts w:hint="eastAsia"/>
                <w:bCs/>
                <w:color w:val="auto"/>
                <w:sz w:val="24"/>
                <w:highlight w:val="none"/>
              </w:rPr>
              <w:t>园区配套建设的天然气管网供给。</w:t>
            </w:r>
            <w:r>
              <w:rPr>
                <w:rFonts w:hint="eastAsia"/>
                <w:bCs/>
                <w:color w:val="auto"/>
                <w:sz w:val="24"/>
                <w:highlight w:val="none"/>
                <w:lang w:val="en-US" w:eastAsia="zh-CN"/>
              </w:rPr>
              <w:t>本次技改利旧，不改变现有供气方式</w:t>
            </w:r>
            <w:r>
              <w:rPr>
                <w:rFonts w:hint="eastAsia"/>
                <w:bCs/>
                <w:color w:val="auto"/>
                <w:sz w:val="24"/>
                <w:highlight w:val="none"/>
              </w:rPr>
              <w:t>。</w:t>
            </w:r>
          </w:p>
          <w:p w14:paraId="051CDFEE">
            <w:pPr>
              <w:pageBreakBefore/>
              <w:spacing w:line="360" w:lineRule="auto"/>
              <w:ind w:firstLine="482" w:firstLineChars="200"/>
              <w:rPr>
                <w:b/>
                <w:bCs/>
                <w:color w:val="auto"/>
                <w:sz w:val="24"/>
                <w:highlight w:val="none"/>
              </w:rPr>
            </w:pPr>
            <w:r>
              <w:rPr>
                <w:rFonts w:hint="eastAsia"/>
                <w:b/>
                <w:bCs/>
                <w:color w:val="auto"/>
                <w:sz w:val="24"/>
                <w:highlight w:val="none"/>
              </w:rPr>
              <w:t>（10）供电</w:t>
            </w:r>
          </w:p>
          <w:p w14:paraId="11A762B9">
            <w:pPr>
              <w:pageBreakBefore/>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厂区采用双电源供电，分别引自10KV青景线、10kV温园线，采用架空线路引至厂区围墙，后埋地引进厂内变配电室。本次技改利旧，不改变现有供电方式。</w:t>
            </w:r>
          </w:p>
          <w:p w14:paraId="0592078E">
            <w:pPr>
              <w:pageBreakBefore/>
              <w:spacing w:line="360" w:lineRule="auto"/>
              <w:ind w:left="420" w:leftChars="200"/>
              <w:rPr>
                <w:b/>
                <w:bCs/>
                <w:color w:val="auto"/>
                <w:sz w:val="24"/>
                <w:highlight w:val="none"/>
              </w:rPr>
            </w:pPr>
            <w:r>
              <w:rPr>
                <w:rFonts w:hint="eastAsia"/>
                <w:b/>
                <w:bCs/>
                <w:color w:val="auto"/>
                <w:sz w:val="24"/>
                <w:highlight w:val="none"/>
              </w:rPr>
              <w:t>（11）</w:t>
            </w:r>
            <w:r>
              <w:rPr>
                <w:b/>
                <w:bCs/>
                <w:color w:val="auto"/>
                <w:sz w:val="24"/>
                <w:highlight w:val="none"/>
              </w:rPr>
              <w:t>空调系统</w:t>
            </w:r>
          </w:p>
          <w:p w14:paraId="2BD1D619">
            <w:pPr>
              <w:pageBreakBefore/>
              <w:spacing w:line="360" w:lineRule="auto"/>
              <w:ind w:firstLine="480" w:firstLineChars="200"/>
              <w:rPr>
                <w:rFonts w:hint="default" w:ascii="Times New Roman" w:hAnsi="Times New Roman" w:eastAsia="宋体" w:cs="Times New Roman"/>
                <w:bCs/>
                <w:color w:val="auto"/>
                <w:sz w:val="24"/>
                <w:highlight w:val="none"/>
                <w:lang w:val="en-US"/>
              </w:rPr>
            </w:pPr>
            <w:r>
              <w:rPr>
                <w:rFonts w:hint="eastAsia" w:ascii="Times New Roman" w:hAnsi="Times New Roman" w:eastAsia="宋体" w:cs="Times New Roman"/>
                <w:bCs/>
                <w:color w:val="auto"/>
                <w:sz w:val="24"/>
                <w:highlight w:val="none"/>
                <w:lang w:val="en-US" w:eastAsia="zh-CN"/>
              </w:rPr>
              <w:t>厂区不采用中央空调，空调主要分布于综合办公楼，采用挂壁式和立柜式分体空调。</w:t>
            </w:r>
            <w:r>
              <w:rPr>
                <w:rFonts w:hint="eastAsia" w:cs="Times New Roman"/>
                <w:bCs/>
                <w:color w:val="auto"/>
                <w:sz w:val="24"/>
                <w:highlight w:val="none"/>
                <w:lang w:val="en-US" w:eastAsia="zh-CN"/>
              </w:rPr>
              <w:t>本次技改于新增生产车间的分析化验</w:t>
            </w:r>
            <w:r>
              <w:rPr>
                <w:rFonts w:hint="eastAsia" w:eastAsia="宋体" w:cs="Times New Roman"/>
                <w:bCs/>
                <w:color w:val="auto"/>
                <w:sz w:val="24"/>
                <w:highlight w:val="none"/>
                <w:lang w:val="en-US" w:eastAsia="zh-CN"/>
              </w:rPr>
              <w:t>室、机柜间等增加空调</w:t>
            </w:r>
            <w:r>
              <w:rPr>
                <w:rFonts w:hint="eastAsia" w:cs="Times New Roman"/>
                <w:bCs/>
                <w:color w:val="auto"/>
                <w:sz w:val="24"/>
                <w:highlight w:val="none"/>
                <w:lang w:val="en-US" w:eastAsia="zh-CN"/>
              </w:rPr>
              <w:t>。</w:t>
            </w:r>
          </w:p>
          <w:p w14:paraId="2397FA0F">
            <w:pPr>
              <w:pageBreakBefore/>
              <w:spacing w:line="360" w:lineRule="auto"/>
              <w:ind w:left="420" w:leftChars="200"/>
              <w:rPr>
                <w:rFonts w:hint="default"/>
                <w:b/>
                <w:bCs/>
                <w:color w:val="auto"/>
                <w:sz w:val="24"/>
                <w:highlight w:val="none"/>
                <w:lang w:val="en-US"/>
              </w:rPr>
            </w:pPr>
            <w:r>
              <w:rPr>
                <w:rFonts w:hint="eastAsia"/>
                <w:b/>
                <w:bCs/>
                <w:color w:val="auto"/>
                <w:sz w:val="24"/>
                <w:highlight w:val="none"/>
                <w:lang w:val="en-US" w:eastAsia="zh-CN"/>
              </w:rPr>
              <w:t>（12）供热</w:t>
            </w:r>
          </w:p>
          <w:p w14:paraId="4B9BB386">
            <w:pPr>
              <w:pageBreakBefore/>
              <w:spacing w:line="360" w:lineRule="auto"/>
              <w:ind w:firstLine="480" w:firstLineChars="200"/>
              <w:rPr>
                <w:rFonts w:hint="default"/>
                <w:bCs/>
                <w:color w:val="auto"/>
                <w:sz w:val="24"/>
                <w:highlight w:val="none"/>
                <w:lang w:val="en-US"/>
              </w:rPr>
            </w:pPr>
            <w:r>
              <w:rPr>
                <w:rFonts w:hint="eastAsia"/>
                <w:bCs/>
                <w:color w:val="auto"/>
                <w:sz w:val="24"/>
                <w:highlight w:val="none"/>
                <w:lang w:val="en-US" w:eastAsia="zh-CN"/>
              </w:rPr>
              <w:t>厂区已建1座锅炉房，内设1</w:t>
            </w:r>
            <w:r>
              <w:rPr>
                <w:rFonts w:hint="eastAsia"/>
                <w:bCs/>
                <w:color w:val="auto"/>
                <w:sz w:val="24"/>
                <w:highlight w:val="none"/>
              </w:rPr>
              <w:t>台</w:t>
            </w:r>
            <w:r>
              <w:rPr>
                <w:rFonts w:hint="eastAsia"/>
                <w:bCs/>
                <w:color w:val="auto"/>
                <w:sz w:val="24"/>
                <w:highlight w:val="none"/>
                <w:lang w:val="en-US" w:eastAsia="zh-CN"/>
              </w:rPr>
              <w:t>10</w:t>
            </w:r>
            <w:r>
              <w:rPr>
                <w:rFonts w:hint="eastAsia"/>
                <w:bCs/>
                <w:color w:val="auto"/>
                <w:sz w:val="24"/>
                <w:highlight w:val="none"/>
              </w:rPr>
              <w:t>t/h燃气蒸汽锅炉，</w:t>
            </w:r>
            <w:r>
              <w:rPr>
                <w:rFonts w:hint="eastAsia"/>
                <w:bCs/>
                <w:color w:val="auto"/>
                <w:sz w:val="24"/>
                <w:highlight w:val="none"/>
                <w:lang w:val="en-US" w:eastAsia="zh-CN"/>
              </w:rPr>
              <w:t>蒸汽用于新建生产车间蒸发/蒸馏设备加热，目前剩余蒸汽能力3.5t/</w:t>
            </w:r>
            <w:r>
              <w:rPr>
                <w:rFonts w:hint="eastAsia" w:eastAsia="宋体"/>
                <w:bCs/>
                <w:color w:val="auto"/>
                <w:sz w:val="24"/>
                <w:highlight w:val="none"/>
                <w:lang w:val="en-US" w:eastAsia="zh-CN"/>
              </w:rPr>
              <w:t>h。本项目供热依托现有锅炉，所需蒸汽约1.5t/h，剩余蒸汽能力满足技改需求。</w:t>
            </w:r>
          </w:p>
          <w:p w14:paraId="24B70AAF">
            <w:pPr>
              <w:pageBreakBefore/>
              <w:spacing w:line="360" w:lineRule="auto"/>
              <w:ind w:left="420" w:leftChars="200"/>
              <w:rPr>
                <w:rFonts w:hint="eastAsia"/>
                <w:b/>
                <w:bCs/>
                <w:color w:val="auto"/>
                <w:sz w:val="24"/>
                <w:highlight w:val="none"/>
                <w:lang w:val="en-US" w:eastAsia="zh-CN"/>
              </w:rPr>
            </w:pPr>
            <w:r>
              <w:rPr>
                <w:rFonts w:hint="eastAsia"/>
                <w:b/>
                <w:bCs/>
                <w:color w:val="auto"/>
                <w:sz w:val="24"/>
                <w:highlight w:val="none"/>
                <w:lang w:val="en-US" w:eastAsia="zh-CN"/>
              </w:rPr>
              <w:t>（13）制冷</w:t>
            </w:r>
          </w:p>
          <w:p w14:paraId="5A7F9C4C">
            <w:pPr>
              <w:pageBreakBefore/>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厂区已建制冷站1座，</w:t>
            </w:r>
            <w:r>
              <w:rPr>
                <w:rFonts w:hint="eastAsia" w:cs="Times New Roman"/>
                <w:color w:val="auto"/>
                <w:kern w:val="0"/>
                <w:sz w:val="24"/>
                <w:szCs w:val="24"/>
                <w:highlight w:val="none"/>
                <w:lang w:val="en-US" w:eastAsia="zh-CN" w:bidi="ar"/>
              </w:rPr>
              <w:t>内设2套（1用1备）自动螺杆低温乙二醇机组，内外循环分别装机93m³/h，富余量＞40m³/h。本次利旧，不新增冷冻水需求，仅厂内调配即可。</w:t>
            </w:r>
          </w:p>
          <w:p w14:paraId="434806A2">
            <w:pPr>
              <w:pageBreakBefore/>
              <w:numPr>
                <w:ilvl w:val="0"/>
                <w:numId w:val="22"/>
              </w:numPr>
              <w:spacing w:line="360" w:lineRule="auto"/>
              <w:ind w:firstLine="482" w:firstLineChars="200"/>
              <w:rPr>
                <w:rFonts w:hint="eastAsia"/>
                <w:b/>
                <w:bCs w:val="0"/>
                <w:color w:val="auto"/>
                <w:sz w:val="24"/>
                <w:highlight w:val="none"/>
                <w:lang w:val="en-US" w:eastAsia="zh-CN"/>
              </w:rPr>
            </w:pPr>
            <w:r>
              <w:rPr>
                <w:rFonts w:hint="eastAsia"/>
                <w:b/>
                <w:bCs w:val="0"/>
                <w:color w:val="auto"/>
                <w:sz w:val="24"/>
                <w:highlight w:val="none"/>
                <w:lang w:val="en-US" w:eastAsia="zh-CN"/>
              </w:rPr>
              <w:t>制氮</w:t>
            </w:r>
          </w:p>
          <w:p w14:paraId="65524A1F">
            <w:pPr>
              <w:pageBreakBefore/>
              <w:spacing w:line="360" w:lineRule="auto"/>
              <w:ind w:firstLine="480" w:firstLineChars="200"/>
              <w:rPr>
                <w:bCs/>
                <w:color w:val="auto"/>
                <w:szCs w:val="21"/>
                <w:highlight w:val="none"/>
              </w:rPr>
            </w:pPr>
            <w:r>
              <w:rPr>
                <w:rFonts w:hint="eastAsia"/>
                <w:bCs/>
                <w:color w:val="auto"/>
                <w:sz w:val="24"/>
                <w:szCs w:val="24"/>
                <w:highlight w:val="none"/>
                <w:lang w:val="en-US" w:eastAsia="zh-CN"/>
              </w:rPr>
              <w:t>厂区已建空压制氮站，</w:t>
            </w:r>
            <w:r>
              <w:rPr>
                <w:color w:val="auto"/>
                <w:spacing w:val="10"/>
                <w:sz w:val="24"/>
                <w:szCs w:val="24"/>
                <w:highlight w:val="none"/>
              </w:rPr>
              <w:t>包括一套</w:t>
            </w:r>
            <w:r>
              <w:rPr>
                <w:rFonts w:ascii="Times New Roman" w:hAnsi="Times New Roman" w:eastAsia="Times New Roman" w:cs="Times New Roman"/>
                <w:color w:val="auto"/>
                <w:sz w:val="24"/>
                <w:szCs w:val="24"/>
                <w:highlight w:val="none"/>
              </w:rPr>
              <w:t>PSA</w:t>
            </w:r>
            <w:r>
              <w:rPr>
                <w:color w:val="auto"/>
                <w:spacing w:val="10"/>
                <w:sz w:val="24"/>
                <w:szCs w:val="24"/>
                <w:highlight w:val="none"/>
              </w:rPr>
              <w:t>制氮单元，空压单元一套，并分别</w:t>
            </w:r>
            <w:r>
              <w:rPr>
                <w:color w:val="auto"/>
                <w:spacing w:val="8"/>
                <w:sz w:val="24"/>
                <w:szCs w:val="24"/>
                <w:highlight w:val="none"/>
              </w:rPr>
              <w:t>设置一个</w:t>
            </w:r>
            <w:r>
              <w:rPr>
                <w:rFonts w:ascii="Times New Roman" w:hAnsi="Times New Roman" w:eastAsia="Times New Roman" w:cs="Times New Roman"/>
                <w:color w:val="auto"/>
                <w:spacing w:val="8"/>
                <w:sz w:val="24"/>
                <w:szCs w:val="24"/>
                <w:highlight w:val="none"/>
              </w:rPr>
              <w:t>10</w:t>
            </w:r>
            <w:r>
              <w:rPr>
                <w:color w:val="auto"/>
                <w:spacing w:val="8"/>
                <w:sz w:val="24"/>
                <w:szCs w:val="24"/>
                <w:highlight w:val="none"/>
              </w:rPr>
              <w:t>立方米的储气缓冲罐。</w:t>
            </w:r>
            <w:r>
              <w:rPr>
                <w:rFonts w:hint="eastAsia"/>
                <w:color w:val="auto"/>
                <w:spacing w:val="8"/>
                <w:sz w:val="24"/>
                <w:szCs w:val="24"/>
                <w:highlight w:val="none"/>
                <w:lang w:val="en-US" w:eastAsia="zh-CN"/>
              </w:rPr>
              <w:t>本次技改依托现有空压制氮站，但</w:t>
            </w:r>
            <w:r>
              <w:rPr>
                <w:rFonts w:hint="eastAsia" w:cs="Times New Roman"/>
                <w:color w:val="auto"/>
                <w:kern w:val="0"/>
                <w:sz w:val="24"/>
                <w:szCs w:val="24"/>
                <w:highlight w:val="none"/>
                <w:lang w:val="en-US" w:eastAsia="zh-CN" w:bidi="ar"/>
              </w:rPr>
              <w:t>在新建生产车间内增设氮气缓冲罐及配套设施，稳定新建车间氮气压力，满足本项目的需求。</w:t>
            </w:r>
          </w:p>
        </w:tc>
      </w:tr>
      <w:tr w14:paraId="10013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 w:type="pct"/>
            <w:vAlign w:val="center"/>
          </w:tcPr>
          <w:p w14:paraId="5C86C91D">
            <w:pPr>
              <w:widowControl/>
              <w:adjustRightInd w:val="0"/>
              <w:snapToGrid w:val="0"/>
              <w:jc w:val="center"/>
              <w:rPr>
                <w:color w:val="auto"/>
                <w:kern w:val="0"/>
                <w:szCs w:val="21"/>
                <w:highlight w:val="none"/>
              </w:rPr>
            </w:pPr>
            <w:r>
              <w:rPr>
                <w:color w:val="auto"/>
                <w:kern w:val="0"/>
                <w:sz w:val="24"/>
                <w:szCs w:val="24"/>
                <w:highlight w:val="none"/>
              </w:rPr>
              <w:t>工艺流程和产排污环节</w:t>
            </w:r>
          </w:p>
        </w:tc>
        <w:tc>
          <w:tcPr>
            <w:tcW w:w="4795" w:type="pct"/>
          </w:tcPr>
          <w:p w14:paraId="34F7763C">
            <w:pPr>
              <w:adjustRightInd w:val="0"/>
              <w:snapToGrid w:val="0"/>
              <w:spacing w:line="360" w:lineRule="auto"/>
              <w:ind w:firstLine="482" w:firstLineChars="200"/>
              <w:jc w:val="left"/>
              <w:rPr>
                <w:rFonts w:hint="eastAsia"/>
                <w:b/>
                <w:color w:val="auto"/>
                <w:sz w:val="24"/>
                <w:highlight w:val="none"/>
                <w:lang w:val="en-US" w:eastAsia="zh-CN"/>
              </w:rPr>
            </w:pPr>
            <w:r>
              <w:rPr>
                <w:rFonts w:hint="eastAsia"/>
                <w:b/>
                <w:color w:val="auto"/>
                <w:sz w:val="24"/>
                <w:highlight w:val="none"/>
                <w:lang w:val="en-US" w:eastAsia="zh-CN"/>
              </w:rPr>
              <w:t>一、施工期</w:t>
            </w:r>
          </w:p>
          <w:p w14:paraId="36681233">
            <w:pPr>
              <w:spacing w:line="360" w:lineRule="auto"/>
              <w:ind w:firstLine="475" w:firstLineChars="197"/>
              <w:rPr>
                <w:b/>
                <w:bCs/>
                <w:color w:val="auto"/>
                <w:sz w:val="22"/>
                <w:szCs w:val="22"/>
                <w:highlight w:val="none"/>
              </w:rPr>
            </w:pPr>
            <w:r>
              <w:rPr>
                <w:b/>
                <w:bCs/>
                <w:color w:val="auto"/>
                <w:sz w:val="24"/>
                <w:highlight w:val="none"/>
              </w:rPr>
              <w:t>1、施工期工艺流程及产污环节</w:t>
            </w:r>
          </w:p>
          <w:p w14:paraId="2C223212">
            <w:pPr>
              <w:spacing w:line="360" w:lineRule="auto"/>
              <w:ind w:firstLine="480" w:firstLineChars="200"/>
              <w:rPr>
                <w:rFonts w:hint="eastAsia"/>
                <w:b w:val="0"/>
                <w:bCs w:val="0"/>
                <w:color w:val="auto"/>
                <w:sz w:val="24"/>
                <w:highlight w:val="none"/>
                <w:lang w:val="en-US" w:eastAsia="zh-CN"/>
              </w:rPr>
            </w:pPr>
            <w:r>
              <w:rPr>
                <w:rFonts w:hint="eastAsia"/>
                <w:b w:val="0"/>
                <w:bCs w:val="0"/>
                <w:color w:val="auto"/>
                <w:sz w:val="24"/>
                <w:highlight w:val="none"/>
              </w:rPr>
              <w:t>本项目</w:t>
            </w:r>
            <w:r>
              <w:rPr>
                <w:rFonts w:hint="eastAsia"/>
                <w:b w:val="0"/>
                <w:bCs w:val="0"/>
                <w:color w:val="auto"/>
                <w:sz w:val="24"/>
                <w:highlight w:val="none"/>
                <w:lang w:val="en-US" w:eastAsia="zh-CN"/>
              </w:rPr>
              <w:t>施工期涉及</w:t>
            </w:r>
            <w:r>
              <w:rPr>
                <w:rFonts w:hint="eastAsia"/>
                <w:b w:val="0"/>
                <w:bCs w:val="0"/>
                <w:color w:val="auto"/>
                <w:sz w:val="24"/>
                <w:highlight w:val="none"/>
              </w:rPr>
              <w:t>土建工程</w:t>
            </w:r>
            <w:r>
              <w:rPr>
                <w:rFonts w:hint="eastAsia"/>
                <w:b w:val="0"/>
                <w:bCs w:val="0"/>
                <w:color w:val="auto"/>
                <w:sz w:val="24"/>
                <w:highlight w:val="none"/>
                <w:lang w:val="en-US" w:eastAsia="zh-CN"/>
              </w:rPr>
              <w:t>及</w:t>
            </w:r>
            <w:r>
              <w:rPr>
                <w:rFonts w:hint="eastAsia"/>
                <w:b w:val="0"/>
                <w:bCs w:val="0"/>
                <w:color w:val="auto"/>
                <w:sz w:val="24"/>
                <w:highlight w:val="none"/>
              </w:rPr>
              <w:t>设备安装，</w:t>
            </w:r>
            <w:r>
              <w:rPr>
                <w:rFonts w:hint="eastAsia"/>
                <w:b w:val="0"/>
                <w:bCs w:val="0"/>
                <w:color w:val="auto"/>
                <w:sz w:val="24"/>
                <w:highlight w:val="none"/>
                <w:lang w:val="en-US" w:eastAsia="zh-CN"/>
              </w:rPr>
              <w:t>施工期产生的污染物包括施工扬尘、施工废水、施工人员生活污水、施工机械噪声、建筑垃圾、生活垃圾等。施工工艺流程及产排污节点如下图所示：</w:t>
            </w:r>
          </w:p>
          <w:p w14:paraId="2192CADB">
            <w:pPr>
              <w:spacing w:line="360" w:lineRule="auto"/>
              <w:jc w:val="center"/>
              <w:rPr>
                <w:rFonts w:hint="default"/>
                <w:b w:val="0"/>
                <w:bCs w:val="0"/>
                <w:color w:val="auto"/>
                <w:sz w:val="24"/>
                <w:highlight w:val="none"/>
                <w:lang w:val="en-US" w:eastAsia="zh-CN"/>
              </w:rPr>
            </w:pPr>
            <w:r>
              <w:rPr>
                <w:rFonts w:ascii="Times New Roman" w:hAnsi="Times New Roman" w:cs="Times New Roman"/>
                <w:color w:val="auto"/>
                <w:highlight w:val="none"/>
              </w:rPr>
              <mc:AlternateContent>
                <mc:Choice Requires="wpc">
                  <w:drawing>
                    <wp:inline distT="0" distB="0" distL="114300" distR="114300">
                      <wp:extent cx="5092700" cy="1509395"/>
                      <wp:effectExtent l="0" t="0" r="12700" b="15875"/>
                      <wp:docPr id="46" name="画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106045" y="1137920"/>
                                  <a:ext cx="742315" cy="267970"/>
                                </a:xfrm>
                                <a:prstGeom prst="rect">
                                  <a:avLst/>
                                </a:prstGeom>
                                <a:noFill/>
                                <a:ln w="6350" cap="flat" cmpd="sng">
                                  <a:solidFill>
                                    <a:srgbClr val="000000"/>
                                  </a:solidFill>
                                  <a:prstDash val="solid"/>
                                  <a:miter/>
                                  <a:headEnd type="none" w="med" len="med"/>
                                  <a:tailEnd type="none" w="med" len="med"/>
                                </a:ln>
                              </wps:spPr>
                              <wps:txbx>
                                <w:txbxContent>
                                  <w:p w14:paraId="42508FE5">
                                    <w:pPr>
                                      <w:jc w:val="center"/>
                                      <w:rPr>
                                        <w:rFonts w:hint="default" w:eastAsia="宋体"/>
                                        <w:lang w:val="en-US" w:eastAsia="zh-CN"/>
                                      </w:rPr>
                                    </w:pPr>
                                    <w:r>
                                      <w:rPr>
                                        <w:rFonts w:hint="eastAsia"/>
                                        <w:lang w:val="en-US" w:eastAsia="zh-CN"/>
                                      </w:rPr>
                                      <w:t>地基处理</w:t>
                                    </w:r>
                                  </w:p>
                                </w:txbxContent>
                              </wps:txbx>
                              <wps:bodyPr upright="1"/>
                            </wps:wsp>
                            <wps:wsp>
                              <wps:cNvPr id="2" name="文本框 2"/>
                              <wps:cNvSpPr txBox="1"/>
                              <wps:spPr>
                                <a:xfrm>
                                  <a:off x="1145540" y="1141095"/>
                                  <a:ext cx="755015" cy="252730"/>
                                </a:xfrm>
                                <a:prstGeom prst="rect">
                                  <a:avLst/>
                                </a:prstGeom>
                                <a:noFill/>
                                <a:ln w="6350" cap="flat" cmpd="sng">
                                  <a:solidFill>
                                    <a:srgbClr val="000000"/>
                                  </a:solidFill>
                                  <a:prstDash val="solid"/>
                                  <a:miter/>
                                  <a:headEnd type="none" w="med" len="med"/>
                                  <a:tailEnd type="none" w="med" len="med"/>
                                </a:ln>
                              </wps:spPr>
                              <wps:txbx>
                                <w:txbxContent>
                                  <w:p w14:paraId="69BBC865">
                                    <w:pPr>
                                      <w:jc w:val="center"/>
                                      <w:rPr>
                                        <w:rFonts w:hint="default" w:eastAsia="宋体"/>
                                        <w:lang w:val="en-US" w:eastAsia="zh-CN"/>
                                      </w:rPr>
                                    </w:pPr>
                                    <w:r>
                                      <w:rPr>
                                        <w:rFonts w:hint="eastAsia"/>
                                        <w:lang w:val="en-US" w:eastAsia="zh-CN"/>
                                      </w:rPr>
                                      <w:t>基础施工</w:t>
                                    </w:r>
                                  </w:p>
                                </w:txbxContent>
                              </wps:txbx>
                              <wps:bodyPr upright="1"/>
                            </wps:wsp>
                            <wps:wsp>
                              <wps:cNvPr id="6" name="文本框 6"/>
                              <wps:cNvSpPr txBox="1"/>
                              <wps:spPr>
                                <a:xfrm>
                                  <a:off x="3208655" y="1080135"/>
                                  <a:ext cx="872490" cy="408305"/>
                                </a:xfrm>
                                <a:prstGeom prst="rect">
                                  <a:avLst/>
                                </a:prstGeom>
                                <a:noFill/>
                                <a:ln w="6350" cap="flat" cmpd="sng">
                                  <a:solidFill>
                                    <a:srgbClr val="000000"/>
                                  </a:solidFill>
                                  <a:prstDash val="solid"/>
                                  <a:miter/>
                                  <a:headEnd type="none" w="med" len="med"/>
                                  <a:tailEnd type="none" w="med" len="med"/>
                                </a:ln>
                              </wps:spPr>
                              <wps:txbx>
                                <w:txbxContent>
                                  <w:p w14:paraId="28E484EF">
                                    <w:pPr>
                                      <w:jc w:val="center"/>
                                    </w:pPr>
                                    <w:r>
                                      <w:rPr>
                                        <w:rFonts w:hint="eastAsia"/>
                                      </w:rPr>
                                      <w:t>设备</w:t>
                                    </w:r>
                                    <w:r>
                                      <w:rPr>
                                        <w:rFonts w:hint="eastAsia"/>
                                        <w:lang w:val="en-US" w:eastAsia="zh-CN"/>
                                      </w:rPr>
                                      <w:t>安装及管线架设</w:t>
                                    </w:r>
                                  </w:p>
                                </w:txbxContent>
                              </wps:txbx>
                              <wps:bodyPr upright="1"/>
                            </wps:wsp>
                            <wps:wsp>
                              <wps:cNvPr id="19" name="文本框 19"/>
                              <wps:cNvSpPr txBox="1"/>
                              <wps:spPr>
                                <a:xfrm>
                                  <a:off x="2188845" y="1139190"/>
                                  <a:ext cx="742950" cy="266700"/>
                                </a:xfrm>
                                <a:prstGeom prst="rect">
                                  <a:avLst/>
                                </a:prstGeom>
                                <a:noFill/>
                                <a:ln w="6350" cap="flat" cmpd="sng">
                                  <a:solidFill>
                                    <a:srgbClr val="000000"/>
                                  </a:solidFill>
                                  <a:prstDash val="solid"/>
                                  <a:miter/>
                                  <a:headEnd type="none" w="med" len="med"/>
                                  <a:tailEnd type="none" w="med" len="med"/>
                                </a:ln>
                              </wps:spPr>
                              <wps:txbx>
                                <w:txbxContent>
                                  <w:p w14:paraId="6465E5B7">
                                    <w:pPr>
                                      <w:jc w:val="center"/>
                                      <w:rPr>
                                        <w:rFonts w:hint="eastAsia" w:eastAsia="宋体"/>
                                        <w:lang w:val="en-US" w:eastAsia="zh-CN"/>
                                      </w:rPr>
                                    </w:pPr>
                                    <w:r>
                                      <w:rPr>
                                        <w:rFonts w:hint="eastAsia"/>
                                        <w:lang w:val="en-US" w:eastAsia="zh-CN"/>
                                      </w:rPr>
                                      <w:t>主体工程</w:t>
                                    </w:r>
                                  </w:p>
                                </w:txbxContent>
                              </wps:txbx>
                              <wps:bodyPr upright="1"/>
                            </wps:wsp>
                            <wps:wsp>
                              <wps:cNvPr id="20" name="直接箭头连接符 20"/>
                              <wps:cNvCnPr/>
                              <wps:spPr>
                                <a:xfrm>
                                  <a:off x="880745" y="1283335"/>
                                  <a:ext cx="248285" cy="5715"/>
                                </a:xfrm>
                                <a:prstGeom prst="straightConnector1">
                                  <a:avLst/>
                                </a:prstGeom>
                                <a:ln w="9525" cap="flat" cmpd="sng">
                                  <a:solidFill>
                                    <a:srgbClr val="000000"/>
                                  </a:solidFill>
                                  <a:prstDash val="solid"/>
                                  <a:headEnd type="none" w="med" len="med"/>
                                  <a:tailEnd type="arrow" w="med" len="med"/>
                                </a:ln>
                              </wps:spPr>
                              <wps:bodyPr/>
                            </wps:wsp>
                            <wps:wsp>
                              <wps:cNvPr id="21" name="直接箭头连接符 21"/>
                              <wps:cNvCnPr>
                                <a:stCxn id="1" idx="0"/>
                              </wps:cNvCnPr>
                              <wps:spPr>
                                <a:xfrm flipV="1">
                                  <a:off x="477520" y="828675"/>
                                  <a:ext cx="10160" cy="309245"/>
                                </a:xfrm>
                                <a:prstGeom prst="straightConnector1">
                                  <a:avLst/>
                                </a:prstGeom>
                                <a:ln w="12700" cap="flat" cmpd="sng">
                                  <a:solidFill>
                                    <a:srgbClr val="000000"/>
                                  </a:solidFill>
                                  <a:prstDash val="sysDot"/>
                                  <a:headEnd type="none" w="med" len="med"/>
                                  <a:tailEnd type="arrow" w="med" len="med"/>
                                </a:ln>
                              </wps:spPr>
                              <wps:bodyPr/>
                            </wps:wsp>
                            <wps:wsp>
                              <wps:cNvPr id="35" name="直接箭头连接符 35"/>
                              <wps:cNvCnPr/>
                              <wps:spPr>
                                <a:xfrm flipV="1">
                                  <a:off x="1490980" y="810260"/>
                                  <a:ext cx="0" cy="314325"/>
                                </a:xfrm>
                                <a:prstGeom prst="straightConnector1">
                                  <a:avLst/>
                                </a:prstGeom>
                                <a:ln w="12700" cap="flat" cmpd="sng">
                                  <a:solidFill>
                                    <a:srgbClr val="000000"/>
                                  </a:solidFill>
                                  <a:prstDash val="sysDot"/>
                                  <a:headEnd type="none" w="med" len="med"/>
                                  <a:tailEnd type="arrow" w="med" len="med"/>
                                </a:ln>
                              </wps:spPr>
                              <wps:bodyPr/>
                            </wps:wsp>
                            <wps:wsp>
                              <wps:cNvPr id="37" name="直接箭头连接符 37"/>
                              <wps:cNvCnPr/>
                              <wps:spPr>
                                <a:xfrm flipV="1">
                                  <a:off x="2551430" y="845820"/>
                                  <a:ext cx="0" cy="314325"/>
                                </a:xfrm>
                                <a:prstGeom prst="straightConnector1">
                                  <a:avLst/>
                                </a:prstGeom>
                                <a:ln w="12700" cap="flat" cmpd="sng">
                                  <a:solidFill>
                                    <a:srgbClr val="000000"/>
                                  </a:solidFill>
                                  <a:prstDash val="sysDot"/>
                                  <a:headEnd type="none" w="med" len="med"/>
                                  <a:tailEnd type="arrow" w="med" len="med"/>
                                </a:ln>
                              </wps:spPr>
                              <wps:bodyPr/>
                            </wps:wsp>
                            <wps:wsp>
                              <wps:cNvPr id="38" name="文本框 38"/>
                              <wps:cNvSpPr txBox="1"/>
                              <wps:spPr>
                                <a:xfrm>
                                  <a:off x="341630" y="351790"/>
                                  <a:ext cx="3577590" cy="464185"/>
                                </a:xfrm>
                                <a:prstGeom prst="rect">
                                  <a:avLst/>
                                </a:prstGeom>
                                <a:noFill/>
                                <a:ln w="12700" cap="flat" cmpd="sng">
                                  <a:solidFill>
                                    <a:srgbClr val="000000"/>
                                  </a:solidFill>
                                  <a:prstDash val="lgDash"/>
                                  <a:miter/>
                                  <a:headEnd type="none" w="med" len="med"/>
                                  <a:tailEnd type="none" w="med" len="med"/>
                                </a:ln>
                              </wps:spPr>
                              <wps:txbx>
                                <w:txbxContent>
                                  <w:p w14:paraId="587E2065">
                                    <w:pPr>
                                      <w:jc w:val="center"/>
                                    </w:pPr>
                                    <w:r>
                                      <w:rPr>
                                        <w:rFonts w:hint="eastAsia"/>
                                      </w:rPr>
                                      <w:t>施工扬尘、</w:t>
                                    </w:r>
                                    <w:r>
                                      <w:rPr>
                                        <w:rFonts w:hint="eastAsia"/>
                                        <w:lang w:val="en-US" w:eastAsia="zh-CN"/>
                                      </w:rPr>
                                      <w:t>施工燃油废气、施工废水、</w:t>
                                    </w:r>
                                    <w:r>
                                      <w:rPr>
                                        <w:rFonts w:hint="eastAsia"/>
                                      </w:rPr>
                                      <w:t>施工人员生活污水、施工</w:t>
                                    </w:r>
                                    <w:r>
                                      <w:rPr>
                                        <w:rFonts w:hint="eastAsia"/>
                                        <w:lang w:val="en-US" w:eastAsia="zh-CN"/>
                                      </w:rPr>
                                      <w:t>机械</w:t>
                                    </w:r>
                                    <w:r>
                                      <w:rPr>
                                        <w:rFonts w:hint="eastAsia"/>
                                      </w:rPr>
                                      <w:t>噪声、建筑垃圾及生活垃圾</w:t>
                                    </w:r>
                                  </w:p>
                                </w:txbxContent>
                              </wps:txbx>
                              <wps:bodyPr upright="1"/>
                            </wps:wsp>
                            <wps:wsp>
                              <wps:cNvPr id="39" name="直接箭头连接符 39"/>
                              <wps:cNvCnPr/>
                              <wps:spPr>
                                <a:xfrm>
                                  <a:off x="1921510" y="1262380"/>
                                  <a:ext cx="248285" cy="5715"/>
                                </a:xfrm>
                                <a:prstGeom prst="straightConnector1">
                                  <a:avLst/>
                                </a:prstGeom>
                                <a:ln w="9525" cap="flat" cmpd="sng">
                                  <a:solidFill>
                                    <a:srgbClr val="000000"/>
                                  </a:solidFill>
                                  <a:prstDash val="solid"/>
                                  <a:headEnd type="none" w="med" len="med"/>
                                  <a:tailEnd type="arrow" w="med" len="med"/>
                                </a:ln>
                              </wps:spPr>
                              <wps:bodyPr/>
                            </wps:wsp>
                            <wps:wsp>
                              <wps:cNvPr id="40" name="直接箭头连接符 40"/>
                              <wps:cNvCnPr/>
                              <wps:spPr>
                                <a:xfrm>
                                  <a:off x="2931795" y="1259205"/>
                                  <a:ext cx="249555" cy="5715"/>
                                </a:xfrm>
                                <a:prstGeom prst="straightConnector1">
                                  <a:avLst/>
                                </a:prstGeom>
                                <a:ln w="9525" cap="flat" cmpd="sng">
                                  <a:solidFill>
                                    <a:srgbClr val="000000"/>
                                  </a:solidFill>
                                  <a:prstDash val="solid"/>
                                  <a:headEnd type="none" w="med" len="med"/>
                                  <a:tailEnd type="arrow" w="med" len="med"/>
                                </a:ln>
                              </wps:spPr>
                              <wps:bodyPr/>
                            </wps:wsp>
                            <wps:wsp>
                              <wps:cNvPr id="41" name="文本框 41"/>
                              <wps:cNvSpPr txBox="1"/>
                              <wps:spPr>
                                <a:xfrm>
                                  <a:off x="4314190" y="1146810"/>
                                  <a:ext cx="734695" cy="245745"/>
                                </a:xfrm>
                                <a:prstGeom prst="rect">
                                  <a:avLst/>
                                </a:prstGeom>
                                <a:noFill/>
                                <a:ln w="6350" cap="flat" cmpd="sng">
                                  <a:solidFill>
                                    <a:srgbClr val="000000"/>
                                  </a:solidFill>
                                  <a:prstDash val="solid"/>
                                  <a:miter/>
                                  <a:headEnd type="none" w="med" len="med"/>
                                  <a:tailEnd type="none" w="med" len="med"/>
                                </a:ln>
                              </wps:spPr>
                              <wps:txbx>
                                <w:txbxContent>
                                  <w:p w14:paraId="450C833B">
                                    <w:pPr>
                                      <w:jc w:val="center"/>
                                    </w:pPr>
                                    <w:r>
                                      <w:rPr>
                                        <w:rFonts w:hint="eastAsia"/>
                                      </w:rPr>
                                      <w:t>投入运行</w:t>
                                    </w:r>
                                  </w:p>
                                </w:txbxContent>
                              </wps:txbx>
                              <wps:bodyPr upright="1"/>
                            </wps:wsp>
                            <wps:wsp>
                              <wps:cNvPr id="43" name="直接箭头连接符 43"/>
                              <wps:cNvCnPr/>
                              <wps:spPr>
                                <a:xfrm>
                                  <a:off x="4058920" y="1262380"/>
                                  <a:ext cx="249555" cy="5715"/>
                                </a:xfrm>
                                <a:prstGeom prst="straightConnector1">
                                  <a:avLst/>
                                </a:prstGeom>
                                <a:ln w="9525" cap="flat" cmpd="sng">
                                  <a:solidFill>
                                    <a:srgbClr val="000000"/>
                                  </a:solidFill>
                                  <a:prstDash val="solid"/>
                                  <a:headEnd type="none" w="med" len="med"/>
                                  <a:tailEnd type="arrow" w="med" len="med"/>
                                </a:ln>
                              </wps:spPr>
                              <wps:bodyPr/>
                            </wps:wsp>
                            <wps:wsp>
                              <wps:cNvPr id="45" name="直接箭头连接符 45"/>
                              <wps:cNvCnPr/>
                              <wps:spPr>
                                <a:xfrm flipH="1" flipV="1">
                                  <a:off x="3651885" y="840105"/>
                                  <a:ext cx="15240" cy="241935"/>
                                </a:xfrm>
                                <a:prstGeom prst="straightConnector1">
                                  <a:avLst/>
                                </a:prstGeom>
                                <a:ln w="12700" cap="flat" cmpd="sng">
                                  <a:solidFill>
                                    <a:srgbClr val="000000"/>
                                  </a:solidFill>
                                  <a:prstDash val="sysDot"/>
                                  <a:headEnd type="none" w="med" len="med"/>
                                  <a:tailEnd type="arrow" w="med" len="med"/>
                                </a:ln>
                              </wps:spPr>
                              <wps:bodyPr/>
                            </wps:wsp>
                          </wpc:wpc>
                        </a:graphicData>
                      </a:graphic>
                    </wp:inline>
                  </w:drawing>
                </mc:Choice>
                <mc:Fallback>
                  <w:pict>
                    <v:group id="_x0000_s1026" o:spid="_x0000_s1026" o:spt="203" style="height:118.85pt;width:401pt;" coordsize="5092700,1509395" editas="canvas" o:gfxdata="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OZI11bW&#10;AAAABQEAAA8AAAAAAAAAAQAgAAAAIgAAAGRycy9kb3ducmV2LnhtbFBLAQIUABQAAAAIAIdO4kAm&#10;dxkcQAUAAMEhAAAOAAAAAAAAAAEAIAAAACUBAABkcnMvZTJvRG9jLnhtbFBLBQYAAAAABgAGAFkB&#10;AADXCAAAAAA=&#10;">
                      <o:lock v:ext="edit" aspectratio="f"/>
                      <v:shape id="_x0000_s1026" o:spid="_x0000_s1026" style="position:absolute;left:0;top:0;height:1509395;width:5092700;" filled="f" stroked="f" coordsize="21600,21600" o:gfxdata="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5kjXVtYAAAAFAQAA&#10;DwAAAAAAAAABACAAAAAiAAAAZHJzL2Rvd25yZXYueG1sUEsBAhQAFAAAAAgAh07iQKVb+dAABQAA&#10;PCEAAA4AAAAAAAAAAQAgAAAAJQEAAGRycy9lMm9Eb2MueG1sUEsFBgAAAAAGAAYAWQEAAJcIAAAA&#10;AA==&#10;">
                        <v:fill on="f" focussize="0,0"/>
                        <v:stroke on="f"/>
                        <v:imagedata o:title=""/>
                        <o:lock v:ext="edit" aspectratio="t"/>
                      </v:shape>
                      <v:shape id="_x0000_s1026" o:spid="_x0000_s1026" o:spt="202" type="#_x0000_t202" style="position:absolute;left:106045;top:1137920;height:267970;width:742315;" filled="f" stroked="t" coordsize="21600,21600" o:gfxdata="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MGqFNYAAAAFAQAADwAAAAAAAAABACAA&#10;AAAiAAAAZHJzL2Rvd25yZXYueG1sUEsBAhQAFAAAAAgAh07iQJXJRJsPAgAAFwQAAA4AAAAAAAAA&#10;AQAgAAAAJQEAAGRycy9lMm9Eb2MueG1sUEsFBgAAAAAGAAYAWQEAAKYFAAAAAA==&#10;">
                        <v:fill on="f" focussize="0,0"/>
                        <v:stroke weight="0.5pt" color="#000000" joinstyle="miter"/>
                        <v:imagedata o:title=""/>
                        <o:lock v:ext="edit" aspectratio="f"/>
                        <v:textbox>
                          <w:txbxContent>
                            <w:p w14:paraId="42508FE5">
                              <w:pPr>
                                <w:jc w:val="center"/>
                                <w:rPr>
                                  <w:rFonts w:hint="default" w:eastAsia="宋体"/>
                                  <w:lang w:val="en-US" w:eastAsia="zh-CN"/>
                                </w:rPr>
                              </w:pPr>
                              <w:r>
                                <w:rPr>
                                  <w:rFonts w:hint="eastAsia"/>
                                  <w:lang w:val="en-US" w:eastAsia="zh-CN"/>
                                </w:rPr>
                                <w:t>地基处理</w:t>
                              </w:r>
                            </w:p>
                          </w:txbxContent>
                        </v:textbox>
                      </v:shape>
                      <v:shape id="_x0000_s1026" o:spid="_x0000_s1026" o:spt="202" type="#_x0000_t202" style="position:absolute;left:1145540;top:1141095;height:252730;width:755015;" filled="f" stroked="t" coordsize="21600,21600" o:gfxdata="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MGqFNYAAAAFAQAADwAAAAAAAAABACAA&#10;AAAiAAAAZHJzL2Rvd25yZXYueG1sUEsBAhQAFAAAAAgAh07iQPSAFtIPAgAAGAQAAA4AAAAAAAAA&#10;AQAgAAAAJQEAAGRycy9lMm9Eb2MueG1sUEsFBgAAAAAGAAYAWQEAAKYFAAAAAA==&#10;">
                        <v:fill on="f" focussize="0,0"/>
                        <v:stroke weight="0.5pt" color="#000000" joinstyle="miter"/>
                        <v:imagedata o:title=""/>
                        <o:lock v:ext="edit" aspectratio="f"/>
                        <v:textbox>
                          <w:txbxContent>
                            <w:p w14:paraId="69BBC865">
                              <w:pPr>
                                <w:jc w:val="center"/>
                                <w:rPr>
                                  <w:rFonts w:hint="default" w:eastAsia="宋体"/>
                                  <w:lang w:val="en-US" w:eastAsia="zh-CN"/>
                                </w:rPr>
                              </w:pPr>
                              <w:r>
                                <w:rPr>
                                  <w:rFonts w:hint="eastAsia"/>
                                  <w:lang w:val="en-US" w:eastAsia="zh-CN"/>
                                </w:rPr>
                                <w:t>基础施工</w:t>
                              </w:r>
                            </w:p>
                          </w:txbxContent>
                        </v:textbox>
                      </v:shape>
                      <v:shape id="_x0000_s1026" o:spid="_x0000_s1026" o:spt="202" type="#_x0000_t202" style="position:absolute;left:3208655;top:1080135;height:408305;width:872490;" filled="f" stroked="t" coordsize="21600,21600" o:gfxdata="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DBqhTWAAAABQEAAA8AAAAAAAAAAQAg&#10;AAAAIgAAAGRycy9kb3ducmV2LnhtbFBLAQIUABQAAAAIAIdO4kCuUyoOEAIAABgEAAAOAAAAAAAA&#10;AAEAIAAAACUBAABkcnMvZTJvRG9jLnhtbFBLBQYAAAAABgAGAFkBAACnBQAAAAA=&#10;">
                        <v:fill on="f" focussize="0,0"/>
                        <v:stroke weight="0.5pt" color="#000000" joinstyle="miter"/>
                        <v:imagedata o:title=""/>
                        <o:lock v:ext="edit" aspectratio="f"/>
                        <v:textbox>
                          <w:txbxContent>
                            <w:p w14:paraId="28E484EF">
                              <w:pPr>
                                <w:jc w:val="center"/>
                              </w:pPr>
                              <w:r>
                                <w:rPr>
                                  <w:rFonts w:hint="eastAsia"/>
                                </w:rPr>
                                <w:t>设备</w:t>
                              </w:r>
                              <w:r>
                                <w:rPr>
                                  <w:rFonts w:hint="eastAsia"/>
                                  <w:lang w:val="en-US" w:eastAsia="zh-CN"/>
                                </w:rPr>
                                <w:t>安装及管线架设</w:t>
                              </w:r>
                            </w:p>
                          </w:txbxContent>
                        </v:textbox>
                      </v:shape>
                      <v:shape id="_x0000_s1026" o:spid="_x0000_s1026" o:spt="202" type="#_x0000_t202" style="position:absolute;left:2188845;top:1139190;height:266700;width:742950;" filled="f" stroked="t" coordsize="21600,21600" o:gfxdata="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aoU1gAAAAUBAAAPAAAAAAAAAAEA&#10;IAAAACIAAABkcnMvZG93bnJldi54bWxQSwECFAAUAAAACACHTuJAy109/hECAAAaBAAADgAAAAAA&#10;AAABACAAAAAlAQAAZHJzL2Uyb0RvYy54bWxQSwUGAAAAAAYABgBZAQAAqAUAAAAA&#10;">
                        <v:fill on="f" focussize="0,0"/>
                        <v:stroke weight="0.5pt" color="#000000" joinstyle="miter"/>
                        <v:imagedata o:title=""/>
                        <o:lock v:ext="edit" aspectratio="f"/>
                        <v:textbox>
                          <w:txbxContent>
                            <w:p w14:paraId="6465E5B7">
                              <w:pPr>
                                <w:jc w:val="center"/>
                                <w:rPr>
                                  <w:rFonts w:hint="eastAsia" w:eastAsia="宋体"/>
                                  <w:lang w:val="en-US" w:eastAsia="zh-CN"/>
                                </w:rPr>
                              </w:pPr>
                              <w:r>
                                <w:rPr>
                                  <w:rFonts w:hint="eastAsia"/>
                                  <w:lang w:val="en-US" w:eastAsia="zh-CN"/>
                                </w:rPr>
                                <w:t>主体工程</w:t>
                              </w:r>
                            </w:p>
                          </w:txbxContent>
                        </v:textbox>
                      </v:shape>
                      <v:shape id="_x0000_s1026" o:spid="_x0000_s1026" o:spt="32" type="#_x0000_t32" style="position:absolute;left:880745;top:1283335;height:5715;width:248285;" filled="f" stroked="t" coordsize="21600,21600" o:gfxdata="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L70HdQAAAAFAQAADwAAAAAAAAAB&#10;ACAAAAAiAAAAZHJzL2Rvd25yZXYueG1sUEsBAhQAFAAAAAgAh07iQFlvVBAUAgAA/AMAAA4AAAAA&#10;AAAAAQAgAAAAIwEAAGRycy9lMm9Eb2MueG1sUEsFBgAAAAAGAAYAWQEAAKkFAAAAAA==&#10;">
                        <v:fill on="f" focussize="0,0"/>
                        <v:stroke color="#000000" joinstyle="round" endarrow="open"/>
                        <v:imagedata o:title=""/>
                        <o:lock v:ext="edit" aspectratio="f"/>
                      </v:shape>
                      <v:shape id="_x0000_s1026" o:spid="_x0000_s1026" o:spt="32" type="#_x0000_t32" style="position:absolute;left:477520;top:828675;flip:y;height:309245;width:10160;" filled="f" stroked="t" coordsize="21600,21600" o:gfxdata="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5pob61AAAAAUBAAAPAAAAAAAAAAEAIAAAACIAAABkcnMvZG93bnJldi54bWxQSwECFAAUAAAA&#10;CACHTuJAsAFIWSsCAAAuBAAADgAAAAAAAAABACAAAAAjAQAAZHJzL2Uyb0RvYy54bWxQSwUGAAAA&#10;AAYABgBZAQAAwAUAAAAA&#10;">
                        <v:fill on="f" focussize="0,0"/>
                        <v:stroke weight="1pt" color="#000000" joinstyle="round" dashstyle="1 1" endarrow="open"/>
                        <v:imagedata o:title=""/>
                        <o:lock v:ext="edit" aspectratio="f"/>
                      </v:shape>
                      <v:shape id="_x0000_s1026" o:spid="_x0000_s1026" o:spt="32" type="#_x0000_t32" style="position:absolute;left:1490980;top:810260;flip:y;height:314325;width:0;" filled="f" stroked="t" coordsize="21600,21600" o:gfxdata="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aaG+tQAAAAFAQAADwAA&#10;AAAAAAABACAAAAAiAAAAZHJzL2Rvd25yZXYueG1sUEsBAhQAFAAAAAgAh07iQN0KbxAaAgAABQQA&#10;AA4AAAAAAAAAAQAgAAAAIwEAAGRycy9lMm9Eb2MueG1sUEsFBgAAAAAGAAYAWQEAAK8FAAAAAA==&#10;">
                        <v:fill on="f" focussize="0,0"/>
                        <v:stroke weight="1pt" color="#000000" joinstyle="round" dashstyle="1 1" endarrow="open"/>
                        <v:imagedata o:title=""/>
                        <o:lock v:ext="edit" aspectratio="f"/>
                      </v:shape>
                      <v:shape id="_x0000_s1026" o:spid="_x0000_s1026" o:spt="32" type="#_x0000_t32" style="position:absolute;left:2551430;top:845820;flip:y;height:314325;width:0;" filled="f" stroked="t" coordsize="21600,21600" o:gfxdata="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mmhvrUAAAABQEAAA8AAAAA&#10;AAAAAQAgAAAAIgAAAGRycy9kb3ducmV2LnhtbFBLAQIUABQAAAAIAIdO4kADawKRGAIAAAUEAAAO&#10;AAAAAAAAAAEAIAAAACMBAABkcnMvZTJvRG9jLnhtbFBLBQYAAAAABgAGAFkBAACtBQAAAAA=&#10;">
                        <v:fill on="f" focussize="0,0"/>
                        <v:stroke weight="1pt" color="#000000" joinstyle="round" dashstyle="1 1" endarrow="open"/>
                        <v:imagedata o:title=""/>
                        <o:lock v:ext="edit" aspectratio="f"/>
                      </v:shape>
                      <v:shape id="_x0000_s1026" o:spid="_x0000_s1026" o:spt="202" type="#_x0000_t202" style="position:absolute;left:341630;top:351790;height:464185;width:3577590;" filled="f" stroked="t" coordsize="21600,21600" o:gfxdata="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K3DZvSAAAABQEAAA8AAAAAAAAAAQAgAAAAIgAA&#10;AGRycy9kb3ducmV2LnhtbFBLAQIUABQAAAAIAIdO4kAkhOagDgIAABsEAAAOAAAAAAAAAAEAIAAA&#10;ACEBAABkcnMvZTJvRG9jLnhtbFBLBQYAAAAABgAGAFkBAAChBQAAAAA=&#10;">
                        <v:fill on="f" focussize="0,0"/>
                        <v:stroke weight="1pt" color="#000000" joinstyle="miter" dashstyle="longDash"/>
                        <v:imagedata o:title=""/>
                        <o:lock v:ext="edit" aspectratio="f"/>
                        <v:textbox>
                          <w:txbxContent>
                            <w:p w14:paraId="587E2065">
                              <w:pPr>
                                <w:jc w:val="center"/>
                              </w:pPr>
                              <w:r>
                                <w:rPr>
                                  <w:rFonts w:hint="eastAsia"/>
                                </w:rPr>
                                <w:t>施工扬尘、</w:t>
                              </w:r>
                              <w:r>
                                <w:rPr>
                                  <w:rFonts w:hint="eastAsia"/>
                                  <w:lang w:val="en-US" w:eastAsia="zh-CN"/>
                                </w:rPr>
                                <w:t>施工燃油废气、施工废水、</w:t>
                              </w:r>
                              <w:r>
                                <w:rPr>
                                  <w:rFonts w:hint="eastAsia"/>
                                </w:rPr>
                                <w:t>施工人员生活污水、施工</w:t>
                              </w:r>
                              <w:r>
                                <w:rPr>
                                  <w:rFonts w:hint="eastAsia"/>
                                  <w:lang w:val="en-US" w:eastAsia="zh-CN"/>
                                </w:rPr>
                                <w:t>机械</w:t>
                              </w:r>
                              <w:r>
                                <w:rPr>
                                  <w:rFonts w:hint="eastAsia"/>
                                </w:rPr>
                                <w:t>噪声、建筑垃圾及生活垃圾</w:t>
                              </w:r>
                            </w:p>
                          </w:txbxContent>
                        </v:textbox>
                      </v:shape>
                      <v:shape id="_x0000_s1026" o:spid="_x0000_s1026" o:spt="32" type="#_x0000_t32" style="position:absolute;left:1921510;top:1262380;height:5715;width:248285;" filled="f" stroked="t" coordsize="21600,21600" o:gfxdata="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L70HdQAAAAFAQAADwAAAAAAAAABACAA&#10;AAAiAAAAZHJzL2Rvd25yZXYueG1sUEsBAhQAFAAAAAgAh07iQNJ3Tg8RAgAA/QMAAA4AAAAAAAAA&#10;AQAgAAAAIwEAAGRycy9lMm9Eb2MueG1sUEsFBgAAAAAGAAYAWQEAAKYFAAAAAA==&#10;">
                        <v:fill on="f" focussize="0,0"/>
                        <v:stroke color="#000000" joinstyle="round" endarrow="open"/>
                        <v:imagedata o:title=""/>
                        <o:lock v:ext="edit" aspectratio="f"/>
                      </v:shape>
                      <v:shape id="_x0000_s1026" o:spid="_x0000_s1026" o:spt="32" type="#_x0000_t32" style="position:absolute;left:2931795;top:1259205;height:5715;width:249555;" filled="f" stroked="t" coordsize="21600,21600" o:gfxdata="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vvQd1AAAAAUBAAAPAAAAAAAAAAEA&#10;IAAAACIAAABkcnMvZG93bnJldi54bWxQSwECFAAUAAAACACHTuJA2xuAhRMCAAD9AwAADgAAAAAA&#10;AAABACAAAAAjAQAAZHJzL2Uyb0RvYy54bWxQSwUGAAAAAAYABgBZAQAAqAUAAAAA&#10;">
                        <v:fill on="f" focussize="0,0"/>
                        <v:stroke color="#000000" joinstyle="round" endarrow="open"/>
                        <v:imagedata o:title=""/>
                        <o:lock v:ext="edit" aspectratio="f"/>
                      </v:shape>
                      <v:shape id="_x0000_s1026" o:spid="_x0000_s1026" o:spt="202" type="#_x0000_t202" style="position:absolute;left:4314190;top:1146810;height:245745;width:734695;" filled="f" stroked="t" coordsize="21600,21600" o:gfxdata="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MGqFNYAAAAFAQAADwAAAAAAAAAB&#10;ACAAAAAiAAAAZHJzL2Rvd25yZXYueG1sUEsBAhQAFAAAAAgAh07iQEFNgskSAgAAGgQAAA4AAAAA&#10;AAAAAQAgAAAAJQEAAGRycy9lMm9Eb2MueG1sUEsFBgAAAAAGAAYAWQEAAKkFAAAAAA==&#10;">
                        <v:fill on="f" focussize="0,0"/>
                        <v:stroke weight="0.5pt" color="#000000" joinstyle="miter"/>
                        <v:imagedata o:title=""/>
                        <o:lock v:ext="edit" aspectratio="f"/>
                        <v:textbox>
                          <w:txbxContent>
                            <w:p w14:paraId="450C833B">
                              <w:pPr>
                                <w:jc w:val="center"/>
                              </w:pPr>
                              <w:r>
                                <w:rPr>
                                  <w:rFonts w:hint="eastAsia"/>
                                </w:rPr>
                                <w:t>投入运行</w:t>
                              </w:r>
                            </w:p>
                          </w:txbxContent>
                        </v:textbox>
                      </v:shape>
                      <v:shape id="_x0000_s1026" o:spid="_x0000_s1026" o:spt="32" type="#_x0000_t32" style="position:absolute;left:4058920;top:1262380;height:5715;width:249555;" filled="f" stroked="t" coordsize="21600,21600" o:gfxdata="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C+9B3UAAAABQEAAA8AAAAAAAAAAQAg&#10;AAAAIgAAAGRycy9kb3ducmV2LnhtbFBLAQIUABQAAAAIAIdO4kDVzqwVEgIAAP0DAAAOAAAAAAAA&#10;AAEAIAAAACMBAABkcnMvZTJvRG9jLnhtbFBLBQYAAAAABgAGAFkBAACnBQAAAAA=&#10;">
                        <v:fill on="f" focussize="0,0"/>
                        <v:stroke color="#000000" joinstyle="round" endarrow="open"/>
                        <v:imagedata o:title=""/>
                        <o:lock v:ext="edit" aspectratio="f"/>
                      </v:shape>
                      <v:shape id="_x0000_s1026" o:spid="_x0000_s1026" o:spt="32" type="#_x0000_t32" style="position:absolute;left:3651885;top:840105;flip:x y;height:241935;width:15240;" filled="f" stroked="t" coordsize="21600,21600" o:gfxdata="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Tj0afV&#10;AAAABQEAAA8AAAAAAAAAAQAgAAAAIgAAAGRycy9kb3ducmV2LnhtbFBLAQIUABQAAAAIAIdO4kCi&#10;c/wHIwIAABMEAAAOAAAAAAAAAAEAIAAAACQBAABkcnMvZTJvRG9jLnhtbFBLBQYAAAAABgAGAFkB&#10;AAC5BQAAAAA=&#10;">
                        <v:fill on="f" focussize="0,0"/>
                        <v:stroke weight="1pt" color="#000000" joinstyle="round" dashstyle="1 1" endarrow="open"/>
                        <v:imagedata o:title=""/>
                        <o:lock v:ext="edit" aspectratio="f"/>
                      </v:shape>
                      <w10:wrap type="none"/>
                      <w10:anchorlock/>
                    </v:group>
                  </w:pict>
                </mc:Fallback>
              </mc:AlternateContent>
            </w:r>
          </w:p>
          <w:p w14:paraId="63358813">
            <w:pPr>
              <w:pStyle w:val="130"/>
              <w:bidi w:val="0"/>
              <w:rPr>
                <w:rFonts w:hint="eastAsia"/>
                <w:color w:val="auto"/>
                <w:highlight w:val="none"/>
                <w:lang w:val="en-US" w:eastAsia="zh-CN"/>
              </w:rPr>
            </w:pPr>
            <w:r>
              <w:rPr>
                <w:color w:val="auto"/>
                <w:highlight w:val="none"/>
              </w:rPr>
              <w:t>施工期主要流程及污染物产生环节图</w:t>
            </w:r>
          </w:p>
          <w:p w14:paraId="3F99AB70">
            <w:pPr>
              <w:pStyle w:val="42"/>
              <w:rPr>
                <w:color w:val="auto"/>
                <w:highlight w:val="none"/>
              </w:rPr>
            </w:pPr>
            <w:r>
              <w:rPr>
                <w:rFonts w:hint="eastAsia"/>
                <w:color w:val="auto"/>
                <w:highlight w:val="none"/>
                <w:lang w:val="en-US" w:eastAsia="zh-CN"/>
              </w:rPr>
              <w:t>项目施工期</w:t>
            </w:r>
            <w:r>
              <w:rPr>
                <w:color w:val="auto"/>
                <w:highlight w:val="none"/>
              </w:rPr>
              <w:t>主要产污情况</w:t>
            </w:r>
          </w:p>
          <w:tbl>
            <w:tblPr>
              <w:tblStyle w:val="27"/>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957"/>
              <w:gridCol w:w="3171"/>
              <w:gridCol w:w="3143"/>
            </w:tblGrid>
            <w:tr w14:paraId="593B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Align w:val="center"/>
                </w:tcPr>
                <w:p w14:paraId="667ED3CD">
                  <w:pPr>
                    <w:jc w:val="center"/>
                    <w:rPr>
                      <w:b/>
                      <w:color w:val="auto"/>
                      <w:szCs w:val="21"/>
                      <w:highlight w:val="none"/>
                    </w:rPr>
                  </w:pPr>
                  <w:r>
                    <w:rPr>
                      <w:b/>
                      <w:color w:val="auto"/>
                      <w:szCs w:val="21"/>
                      <w:highlight w:val="none"/>
                    </w:rPr>
                    <w:t>污染类型</w:t>
                  </w:r>
                </w:p>
              </w:tc>
              <w:tc>
                <w:tcPr>
                  <w:tcW w:w="567" w:type="pct"/>
                  <w:vAlign w:val="center"/>
                </w:tcPr>
                <w:p w14:paraId="39520C57">
                  <w:pPr>
                    <w:jc w:val="center"/>
                    <w:rPr>
                      <w:b/>
                      <w:color w:val="auto"/>
                      <w:szCs w:val="21"/>
                      <w:highlight w:val="none"/>
                    </w:rPr>
                  </w:pPr>
                  <w:r>
                    <w:rPr>
                      <w:b/>
                      <w:color w:val="auto"/>
                      <w:szCs w:val="21"/>
                      <w:highlight w:val="none"/>
                    </w:rPr>
                    <w:t>污染源</w:t>
                  </w:r>
                </w:p>
              </w:tc>
              <w:tc>
                <w:tcPr>
                  <w:tcW w:w="1878" w:type="pct"/>
                  <w:vAlign w:val="center"/>
                </w:tcPr>
                <w:p w14:paraId="0BCF3F2E">
                  <w:pPr>
                    <w:jc w:val="center"/>
                    <w:rPr>
                      <w:b/>
                      <w:color w:val="auto"/>
                      <w:szCs w:val="21"/>
                      <w:highlight w:val="none"/>
                    </w:rPr>
                  </w:pPr>
                  <w:r>
                    <w:rPr>
                      <w:b/>
                      <w:color w:val="auto"/>
                      <w:szCs w:val="21"/>
                      <w:highlight w:val="none"/>
                    </w:rPr>
                    <w:t>污染工序</w:t>
                  </w:r>
                </w:p>
              </w:tc>
              <w:tc>
                <w:tcPr>
                  <w:tcW w:w="1861" w:type="pct"/>
                  <w:vAlign w:val="center"/>
                </w:tcPr>
                <w:p w14:paraId="0D9932E5">
                  <w:pPr>
                    <w:jc w:val="center"/>
                    <w:rPr>
                      <w:b/>
                      <w:color w:val="auto"/>
                      <w:szCs w:val="21"/>
                      <w:highlight w:val="none"/>
                    </w:rPr>
                  </w:pPr>
                  <w:r>
                    <w:rPr>
                      <w:b/>
                      <w:color w:val="auto"/>
                      <w:szCs w:val="21"/>
                      <w:highlight w:val="none"/>
                    </w:rPr>
                    <w:t>污染物类型</w:t>
                  </w:r>
                </w:p>
              </w:tc>
            </w:tr>
            <w:tr w14:paraId="76F0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692" w:type="pct"/>
                  <w:vMerge w:val="restart"/>
                  <w:vAlign w:val="center"/>
                </w:tcPr>
                <w:p w14:paraId="525966C8">
                  <w:pPr>
                    <w:jc w:val="center"/>
                    <w:rPr>
                      <w:color w:val="auto"/>
                      <w:szCs w:val="21"/>
                      <w:highlight w:val="none"/>
                    </w:rPr>
                  </w:pPr>
                  <w:r>
                    <w:rPr>
                      <w:color w:val="auto"/>
                      <w:szCs w:val="21"/>
                      <w:highlight w:val="none"/>
                    </w:rPr>
                    <w:t>废气</w:t>
                  </w:r>
                </w:p>
              </w:tc>
              <w:tc>
                <w:tcPr>
                  <w:tcW w:w="567" w:type="pct"/>
                  <w:vMerge w:val="restart"/>
                  <w:vAlign w:val="center"/>
                </w:tcPr>
                <w:p w14:paraId="0DACACE9">
                  <w:pPr>
                    <w:jc w:val="center"/>
                    <w:rPr>
                      <w:rFonts w:hint="default" w:eastAsia="宋体"/>
                      <w:bCs/>
                      <w:color w:val="auto"/>
                      <w:szCs w:val="21"/>
                      <w:highlight w:val="none"/>
                      <w:lang w:val="en-US" w:eastAsia="zh-CN"/>
                    </w:rPr>
                  </w:pPr>
                  <w:r>
                    <w:rPr>
                      <w:rFonts w:hint="eastAsia"/>
                      <w:bCs/>
                      <w:color w:val="auto"/>
                      <w:szCs w:val="21"/>
                      <w:highlight w:val="none"/>
                      <w:lang w:val="en-US" w:eastAsia="zh-CN"/>
                    </w:rPr>
                    <w:t>生产车间、备件库、危废贮存库、锅炉水处理间、维修间以及管廊架设等施工区域</w:t>
                  </w:r>
                </w:p>
              </w:tc>
              <w:tc>
                <w:tcPr>
                  <w:tcW w:w="1878" w:type="pct"/>
                  <w:vAlign w:val="center"/>
                </w:tcPr>
                <w:p w14:paraId="4648C31C">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土石方堆放、回填及车辆运输等过程</w:t>
                  </w:r>
                </w:p>
              </w:tc>
              <w:tc>
                <w:tcPr>
                  <w:tcW w:w="1861" w:type="pct"/>
                  <w:vAlign w:val="center"/>
                </w:tcPr>
                <w:p w14:paraId="3A6609A8">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施工扬尘</w:t>
                  </w:r>
                </w:p>
              </w:tc>
            </w:tr>
            <w:tr w14:paraId="74E5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continue"/>
                  <w:vAlign w:val="center"/>
                </w:tcPr>
                <w:p w14:paraId="77A60350">
                  <w:pPr>
                    <w:jc w:val="center"/>
                    <w:rPr>
                      <w:color w:val="auto"/>
                      <w:highlight w:val="none"/>
                    </w:rPr>
                  </w:pPr>
                </w:p>
              </w:tc>
              <w:tc>
                <w:tcPr>
                  <w:tcW w:w="567" w:type="pct"/>
                  <w:vMerge w:val="continue"/>
                  <w:vAlign w:val="center"/>
                </w:tcPr>
                <w:p w14:paraId="61A8557A">
                  <w:pPr>
                    <w:jc w:val="center"/>
                    <w:rPr>
                      <w:color w:val="auto"/>
                      <w:highlight w:val="none"/>
                    </w:rPr>
                  </w:pPr>
                </w:p>
              </w:tc>
              <w:tc>
                <w:tcPr>
                  <w:tcW w:w="1878" w:type="pct"/>
                  <w:vAlign w:val="center"/>
                </w:tcPr>
                <w:p w14:paraId="69F58698">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施工机械及车辆</w:t>
                  </w:r>
                </w:p>
              </w:tc>
              <w:tc>
                <w:tcPr>
                  <w:tcW w:w="1861" w:type="pct"/>
                  <w:vAlign w:val="center"/>
                </w:tcPr>
                <w:p w14:paraId="2BDEFFFA">
                  <w:pPr>
                    <w:jc w:val="center"/>
                    <w:rPr>
                      <w:rFonts w:hint="eastAsia"/>
                      <w:color w:val="auto"/>
                      <w:kern w:val="0"/>
                      <w:sz w:val="21"/>
                      <w:szCs w:val="21"/>
                      <w:highlight w:val="none"/>
                      <w:lang w:val="en-US" w:eastAsia="zh-CN"/>
                    </w:rPr>
                  </w:pPr>
                  <w:r>
                    <w:rPr>
                      <w:rFonts w:ascii="Times New Roman" w:hAnsi="Times New Roman" w:cs="Times New Roman"/>
                      <w:color w:val="auto"/>
                      <w:sz w:val="21"/>
                      <w:szCs w:val="21"/>
                      <w:highlight w:val="none"/>
                    </w:rPr>
                    <w:t>机械燃油废气</w:t>
                  </w:r>
                </w:p>
              </w:tc>
            </w:tr>
            <w:tr w14:paraId="01A3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continue"/>
                  <w:vAlign w:val="center"/>
                </w:tcPr>
                <w:p w14:paraId="49781039">
                  <w:pPr>
                    <w:jc w:val="center"/>
                    <w:rPr>
                      <w:rFonts w:hint="eastAsia"/>
                      <w:color w:val="auto"/>
                      <w:kern w:val="0"/>
                      <w:szCs w:val="21"/>
                      <w:highlight w:val="none"/>
                      <w:lang w:val="en-US" w:eastAsia="zh-CN"/>
                    </w:rPr>
                  </w:pPr>
                </w:p>
              </w:tc>
              <w:tc>
                <w:tcPr>
                  <w:tcW w:w="567" w:type="pct"/>
                  <w:vMerge w:val="continue"/>
                  <w:vAlign w:val="center"/>
                </w:tcPr>
                <w:p w14:paraId="294002B9">
                  <w:pPr>
                    <w:jc w:val="center"/>
                    <w:rPr>
                      <w:rFonts w:hint="eastAsia"/>
                      <w:color w:val="auto"/>
                      <w:kern w:val="0"/>
                      <w:szCs w:val="21"/>
                      <w:highlight w:val="none"/>
                      <w:lang w:val="en-US" w:eastAsia="zh-CN"/>
                    </w:rPr>
                  </w:pPr>
                </w:p>
              </w:tc>
              <w:tc>
                <w:tcPr>
                  <w:tcW w:w="1878" w:type="pct"/>
                  <w:vAlign w:val="center"/>
                </w:tcPr>
                <w:p w14:paraId="045191A7">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装饰工程</w:t>
                  </w:r>
                </w:p>
              </w:tc>
              <w:tc>
                <w:tcPr>
                  <w:tcW w:w="1861" w:type="pct"/>
                  <w:vAlign w:val="center"/>
                </w:tcPr>
                <w:p w14:paraId="641887E7">
                  <w:pPr>
                    <w:jc w:val="center"/>
                    <w:rPr>
                      <w:rFonts w:hint="eastAsia"/>
                      <w:color w:val="auto"/>
                      <w:kern w:val="0"/>
                      <w:sz w:val="21"/>
                      <w:szCs w:val="21"/>
                      <w:highlight w:val="none"/>
                      <w:lang w:val="en-US" w:eastAsia="zh-CN"/>
                    </w:rPr>
                  </w:pPr>
                  <w:r>
                    <w:rPr>
                      <w:rFonts w:ascii="Times New Roman" w:hAnsi="Times New Roman" w:cs="Times New Roman"/>
                      <w:color w:val="auto"/>
                      <w:sz w:val="21"/>
                      <w:szCs w:val="21"/>
                      <w:highlight w:val="none"/>
                    </w:rPr>
                    <w:t>有机废气</w:t>
                  </w:r>
                </w:p>
              </w:tc>
            </w:tr>
            <w:tr w14:paraId="63AD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restart"/>
                  <w:vAlign w:val="center"/>
                </w:tcPr>
                <w:p w14:paraId="3E815E27">
                  <w:pPr>
                    <w:jc w:val="center"/>
                    <w:rPr>
                      <w:rFonts w:hint="eastAsia" w:eastAsia="宋体"/>
                      <w:color w:val="auto"/>
                      <w:szCs w:val="21"/>
                      <w:highlight w:val="none"/>
                      <w:lang w:val="en-US" w:eastAsia="zh-CN"/>
                    </w:rPr>
                  </w:pPr>
                  <w:r>
                    <w:rPr>
                      <w:rFonts w:hint="eastAsia"/>
                      <w:color w:val="auto"/>
                      <w:szCs w:val="21"/>
                      <w:highlight w:val="none"/>
                      <w:lang w:val="en-US" w:eastAsia="zh-CN"/>
                    </w:rPr>
                    <w:t>废水</w:t>
                  </w:r>
                </w:p>
              </w:tc>
              <w:tc>
                <w:tcPr>
                  <w:tcW w:w="567" w:type="pct"/>
                  <w:vMerge w:val="continue"/>
                  <w:vAlign w:val="center"/>
                </w:tcPr>
                <w:p w14:paraId="021E3037">
                  <w:pPr>
                    <w:widowControl/>
                    <w:jc w:val="center"/>
                    <w:rPr>
                      <w:rFonts w:hint="default"/>
                      <w:color w:val="auto"/>
                      <w:kern w:val="0"/>
                      <w:szCs w:val="21"/>
                      <w:highlight w:val="none"/>
                      <w:lang w:val="en-US" w:eastAsia="zh-CN"/>
                    </w:rPr>
                  </w:pPr>
                </w:p>
              </w:tc>
              <w:tc>
                <w:tcPr>
                  <w:tcW w:w="1878" w:type="pct"/>
                  <w:vAlign w:val="center"/>
                </w:tcPr>
                <w:p w14:paraId="6C511EC6">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混凝土搅拌系统和施工机械</w:t>
                  </w:r>
                </w:p>
              </w:tc>
              <w:tc>
                <w:tcPr>
                  <w:tcW w:w="1861" w:type="pct"/>
                  <w:vAlign w:val="center"/>
                </w:tcPr>
                <w:p w14:paraId="71EA54C4">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冲洗废水</w:t>
                  </w:r>
                  <w:r>
                    <w:rPr>
                      <w:rFonts w:hint="eastAsia"/>
                      <w:color w:val="auto"/>
                      <w:szCs w:val="21"/>
                      <w:highlight w:val="none"/>
                      <w:lang w:val="en-US" w:eastAsia="zh-CN"/>
                    </w:rPr>
                    <w:t>（</w:t>
                  </w:r>
                  <w:r>
                    <w:rPr>
                      <w:color w:val="auto"/>
                      <w:szCs w:val="21"/>
                      <w:highlight w:val="none"/>
                    </w:rPr>
                    <w:t>COD、SS、</w:t>
                  </w:r>
                  <w:r>
                    <w:rPr>
                      <w:rFonts w:hint="eastAsia"/>
                      <w:color w:val="auto"/>
                      <w:szCs w:val="21"/>
                      <w:highlight w:val="none"/>
                      <w:lang w:val="en-US" w:eastAsia="zh-CN"/>
                    </w:rPr>
                    <w:t>石油类）</w:t>
                  </w:r>
                </w:p>
              </w:tc>
            </w:tr>
            <w:tr w14:paraId="1763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692" w:type="pct"/>
                  <w:vMerge w:val="continue"/>
                  <w:vAlign w:val="center"/>
                </w:tcPr>
                <w:p w14:paraId="28D75D29">
                  <w:pPr>
                    <w:jc w:val="center"/>
                    <w:rPr>
                      <w:color w:val="auto"/>
                      <w:szCs w:val="21"/>
                      <w:highlight w:val="none"/>
                    </w:rPr>
                  </w:pPr>
                </w:p>
              </w:tc>
              <w:tc>
                <w:tcPr>
                  <w:tcW w:w="567" w:type="pct"/>
                  <w:vMerge w:val="continue"/>
                  <w:vAlign w:val="center"/>
                </w:tcPr>
                <w:p w14:paraId="28CBEC28">
                  <w:pPr>
                    <w:widowControl/>
                    <w:jc w:val="center"/>
                    <w:rPr>
                      <w:rFonts w:hint="default"/>
                      <w:color w:val="auto"/>
                      <w:kern w:val="0"/>
                      <w:szCs w:val="21"/>
                      <w:highlight w:val="none"/>
                      <w:lang w:val="en-US" w:eastAsia="zh-CN"/>
                    </w:rPr>
                  </w:pPr>
                </w:p>
              </w:tc>
              <w:tc>
                <w:tcPr>
                  <w:tcW w:w="1878" w:type="pct"/>
                  <w:vAlign w:val="center"/>
                </w:tcPr>
                <w:p w14:paraId="17C08C6C">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施工人员</w:t>
                  </w:r>
                </w:p>
              </w:tc>
              <w:tc>
                <w:tcPr>
                  <w:tcW w:w="1861" w:type="pct"/>
                  <w:vAlign w:val="center"/>
                </w:tcPr>
                <w:p w14:paraId="40008C58">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生活污水</w:t>
                  </w:r>
                  <w:r>
                    <w:rPr>
                      <w:rFonts w:hint="eastAsia"/>
                      <w:color w:val="auto"/>
                      <w:szCs w:val="21"/>
                      <w:highlight w:val="none"/>
                      <w:lang w:val="en-US" w:eastAsia="zh-CN"/>
                    </w:rPr>
                    <w:t>（</w:t>
                  </w:r>
                  <w:r>
                    <w:rPr>
                      <w:color w:val="auto"/>
                      <w:szCs w:val="21"/>
                      <w:highlight w:val="none"/>
                    </w:rPr>
                    <w:t>COD、BOD</w:t>
                  </w:r>
                  <w:r>
                    <w:rPr>
                      <w:color w:val="auto"/>
                      <w:szCs w:val="21"/>
                      <w:highlight w:val="none"/>
                      <w:vertAlign w:val="subscript"/>
                    </w:rPr>
                    <w:t>5</w:t>
                  </w:r>
                  <w:r>
                    <w:rPr>
                      <w:color w:val="auto"/>
                      <w:szCs w:val="21"/>
                      <w:highlight w:val="none"/>
                    </w:rPr>
                    <w:t>、SS、氨氮</w:t>
                  </w:r>
                  <w:r>
                    <w:rPr>
                      <w:rFonts w:hint="eastAsia"/>
                      <w:color w:val="auto"/>
                      <w:szCs w:val="21"/>
                      <w:highlight w:val="none"/>
                      <w:lang w:eastAsia="zh-CN"/>
                    </w:rPr>
                    <w:t>、</w:t>
                  </w:r>
                  <w:r>
                    <w:rPr>
                      <w:rFonts w:hint="eastAsia"/>
                      <w:color w:val="auto"/>
                      <w:szCs w:val="21"/>
                      <w:highlight w:val="none"/>
                      <w:lang w:val="en-US" w:eastAsia="zh-CN"/>
                    </w:rPr>
                    <w:t>动植物油）</w:t>
                  </w:r>
                </w:p>
              </w:tc>
            </w:tr>
            <w:tr w14:paraId="7CC9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restart"/>
                  <w:vAlign w:val="center"/>
                </w:tcPr>
                <w:p w14:paraId="154D9AEE">
                  <w:pPr>
                    <w:jc w:val="center"/>
                    <w:rPr>
                      <w:rFonts w:hint="eastAsia" w:eastAsia="宋体"/>
                      <w:color w:val="auto"/>
                      <w:szCs w:val="21"/>
                      <w:highlight w:val="none"/>
                      <w:lang w:val="en-US" w:eastAsia="zh-CN"/>
                    </w:rPr>
                  </w:pPr>
                  <w:r>
                    <w:rPr>
                      <w:rFonts w:hint="eastAsia"/>
                      <w:color w:val="auto"/>
                      <w:szCs w:val="21"/>
                      <w:highlight w:val="none"/>
                      <w:lang w:val="en-US" w:eastAsia="zh-CN"/>
                    </w:rPr>
                    <w:t>固废</w:t>
                  </w:r>
                </w:p>
              </w:tc>
              <w:tc>
                <w:tcPr>
                  <w:tcW w:w="567" w:type="pct"/>
                  <w:vMerge w:val="continue"/>
                  <w:vAlign w:val="center"/>
                </w:tcPr>
                <w:p w14:paraId="7C4BD05A">
                  <w:pPr>
                    <w:adjustRightInd w:val="0"/>
                    <w:snapToGrid w:val="0"/>
                    <w:jc w:val="center"/>
                    <w:rPr>
                      <w:color w:val="auto"/>
                      <w:kern w:val="0"/>
                      <w:szCs w:val="21"/>
                      <w:highlight w:val="none"/>
                    </w:rPr>
                  </w:pPr>
                </w:p>
              </w:tc>
              <w:tc>
                <w:tcPr>
                  <w:tcW w:w="1878" w:type="pct"/>
                  <w:vAlign w:val="center"/>
                </w:tcPr>
                <w:p w14:paraId="14AF62A6">
                  <w:pPr>
                    <w:jc w:val="center"/>
                    <w:rPr>
                      <w:rFonts w:hint="default" w:eastAsia="宋体"/>
                      <w:color w:val="auto"/>
                      <w:szCs w:val="21"/>
                      <w:highlight w:val="none"/>
                      <w:lang w:val="en-US" w:eastAsia="zh-CN"/>
                    </w:rPr>
                  </w:pPr>
                  <w:r>
                    <w:rPr>
                      <w:rFonts w:hint="eastAsia"/>
                      <w:color w:val="auto"/>
                      <w:szCs w:val="21"/>
                      <w:highlight w:val="none"/>
                      <w:lang w:val="en-US" w:eastAsia="zh-CN"/>
                    </w:rPr>
                    <w:t>施工人员</w:t>
                  </w:r>
                </w:p>
              </w:tc>
              <w:tc>
                <w:tcPr>
                  <w:tcW w:w="1861" w:type="pct"/>
                  <w:vAlign w:val="center"/>
                </w:tcPr>
                <w:p w14:paraId="658E4E2F">
                  <w:pPr>
                    <w:widowControl/>
                    <w:adjustRightInd w:val="0"/>
                    <w:snapToGrid w:val="0"/>
                    <w:jc w:val="center"/>
                    <w:rPr>
                      <w:color w:val="auto"/>
                      <w:kern w:val="0"/>
                      <w:szCs w:val="21"/>
                      <w:highlight w:val="none"/>
                    </w:rPr>
                  </w:pPr>
                  <w:r>
                    <w:rPr>
                      <w:rFonts w:hint="eastAsia"/>
                      <w:color w:val="auto"/>
                      <w:kern w:val="0"/>
                      <w:szCs w:val="21"/>
                      <w:highlight w:val="none"/>
                      <w:lang w:val="en-US" w:eastAsia="zh-CN"/>
                    </w:rPr>
                    <w:t>生活垃圾</w:t>
                  </w:r>
                </w:p>
              </w:tc>
            </w:tr>
            <w:tr w14:paraId="6C8D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blHeader/>
                <w:jc w:val="center"/>
              </w:trPr>
              <w:tc>
                <w:tcPr>
                  <w:tcW w:w="692" w:type="pct"/>
                  <w:vMerge w:val="continue"/>
                  <w:vAlign w:val="center"/>
                </w:tcPr>
                <w:p w14:paraId="73F560BB">
                  <w:pPr>
                    <w:jc w:val="center"/>
                    <w:rPr>
                      <w:rFonts w:hint="eastAsia"/>
                      <w:color w:val="auto"/>
                      <w:szCs w:val="21"/>
                      <w:highlight w:val="none"/>
                      <w:lang w:val="en-US" w:eastAsia="zh-CN"/>
                    </w:rPr>
                  </w:pPr>
                </w:p>
              </w:tc>
              <w:tc>
                <w:tcPr>
                  <w:tcW w:w="567" w:type="pct"/>
                  <w:vMerge w:val="continue"/>
                  <w:vAlign w:val="center"/>
                </w:tcPr>
                <w:p w14:paraId="72475D0B">
                  <w:pPr>
                    <w:adjustRightInd w:val="0"/>
                    <w:snapToGrid w:val="0"/>
                    <w:jc w:val="center"/>
                    <w:rPr>
                      <w:rFonts w:hint="default"/>
                      <w:color w:val="auto"/>
                      <w:szCs w:val="21"/>
                      <w:highlight w:val="none"/>
                      <w:lang w:val="en-US" w:eastAsia="zh-CN"/>
                    </w:rPr>
                  </w:pPr>
                </w:p>
              </w:tc>
              <w:tc>
                <w:tcPr>
                  <w:tcW w:w="1878" w:type="pct"/>
                  <w:vAlign w:val="center"/>
                </w:tcPr>
                <w:p w14:paraId="7320DF60">
                  <w:pPr>
                    <w:jc w:val="center"/>
                    <w:rPr>
                      <w:rFonts w:hint="default"/>
                      <w:color w:val="auto"/>
                      <w:szCs w:val="21"/>
                      <w:highlight w:val="none"/>
                      <w:lang w:val="en-US" w:eastAsia="zh-CN"/>
                    </w:rPr>
                  </w:pPr>
                  <w:r>
                    <w:rPr>
                      <w:rFonts w:hint="eastAsia"/>
                      <w:color w:val="auto"/>
                      <w:kern w:val="0"/>
                      <w:sz w:val="21"/>
                      <w:szCs w:val="21"/>
                      <w:highlight w:val="none"/>
                      <w:lang w:val="en-US" w:eastAsia="zh-CN"/>
                    </w:rPr>
                    <w:t>构（建）筑物建设及装饰等过程</w:t>
                  </w:r>
                </w:p>
              </w:tc>
              <w:tc>
                <w:tcPr>
                  <w:tcW w:w="1861" w:type="pct"/>
                  <w:vAlign w:val="center"/>
                </w:tcPr>
                <w:p w14:paraId="77C6E153">
                  <w:pPr>
                    <w:widowControl/>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建筑垃圾</w:t>
                  </w:r>
                </w:p>
              </w:tc>
            </w:tr>
            <w:tr w14:paraId="3152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Align w:val="center"/>
                </w:tcPr>
                <w:p w14:paraId="746B38F0">
                  <w:pPr>
                    <w:jc w:val="center"/>
                    <w:rPr>
                      <w:color w:val="auto"/>
                      <w:szCs w:val="21"/>
                      <w:highlight w:val="none"/>
                    </w:rPr>
                  </w:pPr>
                  <w:r>
                    <w:rPr>
                      <w:color w:val="auto"/>
                      <w:szCs w:val="21"/>
                      <w:highlight w:val="none"/>
                    </w:rPr>
                    <w:t>噪声</w:t>
                  </w:r>
                </w:p>
              </w:tc>
              <w:tc>
                <w:tcPr>
                  <w:tcW w:w="567" w:type="pct"/>
                  <w:vMerge w:val="continue"/>
                  <w:vAlign w:val="center"/>
                </w:tcPr>
                <w:p w14:paraId="3CCF74EC">
                  <w:pPr>
                    <w:jc w:val="center"/>
                    <w:rPr>
                      <w:rFonts w:hint="default"/>
                      <w:color w:val="auto"/>
                      <w:szCs w:val="21"/>
                      <w:highlight w:val="none"/>
                      <w:lang w:val="en-US"/>
                    </w:rPr>
                  </w:pPr>
                </w:p>
              </w:tc>
              <w:tc>
                <w:tcPr>
                  <w:tcW w:w="1878" w:type="pct"/>
                  <w:vAlign w:val="center"/>
                </w:tcPr>
                <w:p w14:paraId="712AF029">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施工机械和运输车辆</w:t>
                  </w:r>
                </w:p>
              </w:tc>
              <w:tc>
                <w:tcPr>
                  <w:tcW w:w="1861" w:type="pct"/>
                  <w:vAlign w:val="center"/>
                </w:tcPr>
                <w:p w14:paraId="1D726EE0">
                  <w:pPr>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施工机械噪声和运输车辆交通噪声</w:t>
                  </w:r>
                </w:p>
              </w:tc>
            </w:tr>
          </w:tbl>
          <w:p w14:paraId="0D62E1E9">
            <w:pPr>
              <w:spacing w:line="360" w:lineRule="auto"/>
              <w:ind w:firstLine="482" w:firstLineChars="200"/>
              <w:rPr>
                <w:b/>
                <w:bCs/>
                <w:color w:val="auto"/>
                <w:sz w:val="24"/>
                <w:highlight w:val="none"/>
              </w:rPr>
            </w:pPr>
            <w:r>
              <w:rPr>
                <w:b/>
                <w:bCs/>
                <w:color w:val="auto"/>
                <w:sz w:val="24"/>
                <w:highlight w:val="none"/>
              </w:rPr>
              <w:t>二</w:t>
            </w:r>
            <w:r>
              <w:rPr>
                <w:rFonts w:hint="eastAsia"/>
                <w:b/>
                <w:bCs/>
                <w:color w:val="auto"/>
                <w:sz w:val="24"/>
                <w:highlight w:val="none"/>
                <w:lang w:eastAsia="zh-CN"/>
              </w:rPr>
              <w:t>、</w:t>
            </w:r>
            <w:r>
              <w:rPr>
                <w:b/>
                <w:bCs/>
                <w:color w:val="auto"/>
                <w:sz w:val="24"/>
                <w:highlight w:val="none"/>
              </w:rPr>
              <w:t>营运期</w:t>
            </w:r>
          </w:p>
          <w:p w14:paraId="6984101D">
            <w:pPr>
              <w:adjustRightInd w:val="0"/>
              <w:snapToGrid w:val="0"/>
              <w:spacing w:line="360" w:lineRule="auto"/>
              <w:ind w:firstLine="482" w:firstLineChars="200"/>
              <w:rPr>
                <w:b/>
                <w:bCs/>
                <w:color w:val="auto"/>
                <w:sz w:val="24"/>
                <w:highlight w:val="none"/>
              </w:rPr>
            </w:pPr>
            <w:r>
              <w:rPr>
                <w:b/>
                <w:color w:val="auto"/>
                <w:sz w:val="24"/>
                <w:highlight w:val="none"/>
              </w:rPr>
              <w:t>1、</w:t>
            </w:r>
            <w:r>
              <w:rPr>
                <w:b/>
                <w:bCs/>
                <w:color w:val="auto"/>
                <w:sz w:val="24"/>
                <w:highlight w:val="none"/>
              </w:rPr>
              <w:t>工艺流程简述</w:t>
            </w:r>
          </w:p>
          <w:p w14:paraId="060FC1CC">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本项目产品为纯度≥99.9%的三乙醇胺和纯度≥99.9%的N-甲基一乙醇胺，原料为现有工程低浓度产品，即纯度≥99.5%的三乙醇胺和纯度≥99.3%的N-甲基一乙醇胺。其工艺流程及产污节点如下图所示：</w:t>
            </w:r>
          </w:p>
          <w:p w14:paraId="2C9F3C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b w:val="0"/>
                <w:bCs/>
                <w:color w:val="auto"/>
                <w:sz w:val="24"/>
                <w:highlight w:val="none"/>
                <w:lang w:eastAsia="zh-CN"/>
              </w:rPr>
            </w:pPr>
            <w:r>
              <w:rPr>
                <w:rFonts w:hint="eastAsia" w:eastAsia="宋体"/>
                <w:b w:val="0"/>
                <w:bCs/>
                <w:color w:val="auto"/>
                <w:sz w:val="24"/>
                <w:highlight w:val="none"/>
                <w:lang w:eastAsia="zh-CN"/>
              </w:rPr>
              <w:drawing>
                <wp:inline distT="0" distB="0" distL="114300" distR="114300">
                  <wp:extent cx="5410835" cy="4898390"/>
                  <wp:effectExtent l="0" t="0" r="18415" b="16510"/>
                  <wp:docPr id="9" name="图片 9" descr="项目工艺流程及产污节点图（细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项目工艺流程及产污节点图（细化）"/>
                          <pic:cNvPicPr>
                            <a:picLocks noChangeAspect="1"/>
                          </pic:cNvPicPr>
                        </pic:nvPicPr>
                        <pic:blipFill>
                          <a:blip r:embed="rId24"/>
                          <a:srcRect l="2190" t="2993" r="2072" b="2968"/>
                          <a:stretch>
                            <a:fillRect/>
                          </a:stretch>
                        </pic:blipFill>
                        <pic:spPr>
                          <a:xfrm>
                            <a:off x="0" y="0"/>
                            <a:ext cx="5410835" cy="4898390"/>
                          </a:xfrm>
                          <a:prstGeom prst="rect">
                            <a:avLst/>
                          </a:prstGeom>
                        </pic:spPr>
                      </pic:pic>
                    </a:graphicData>
                  </a:graphic>
                </wp:inline>
              </w:drawing>
            </w:r>
          </w:p>
          <w:p w14:paraId="48A9DB4B">
            <w:pPr>
              <w:pStyle w:val="130"/>
              <w:bidi w:val="0"/>
              <w:rPr>
                <w:rFonts w:hint="default"/>
                <w:color w:val="auto"/>
                <w:highlight w:val="none"/>
                <w:lang w:val="en-US" w:eastAsia="zh-CN"/>
              </w:rPr>
            </w:pPr>
            <w:r>
              <w:rPr>
                <w:rFonts w:hint="eastAsia"/>
                <w:color w:val="auto"/>
                <w:highlight w:val="none"/>
                <w:lang w:val="en-US" w:eastAsia="zh-CN"/>
              </w:rPr>
              <w:t>本项目产品工艺流程及产污节点图</w:t>
            </w:r>
          </w:p>
          <w:p w14:paraId="68BF567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工艺流程概述：</w:t>
            </w:r>
          </w:p>
          <w:p w14:paraId="7AD19477">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通过架设物料运输管道将厂区现有产品罐区产品罐中的三乙醇胺（纯度≥99.5%）或N-甲基一乙醇胺（纯度≥99.3%）经真空泵泵送至本项目生产车间原料罐内（三乙醇胺或N-甲基一乙醇胺），然后通过进料泵将原料</w:t>
            </w:r>
            <w:r>
              <w:rPr>
                <w:rFonts w:hint="eastAsia"/>
                <w:color w:val="auto"/>
                <w:sz w:val="24"/>
                <w:highlight w:val="none"/>
              </w:rPr>
              <w:t>泵输送</w:t>
            </w:r>
            <w:r>
              <w:rPr>
                <w:rFonts w:hint="eastAsia"/>
                <w:color w:val="auto"/>
                <w:sz w:val="24"/>
                <w:highlight w:val="none"/>
                <w:lang w:val="en-US" w:eastAsia="zh-CN"/>
              </w:rPr>
              <w:t>至预热器进行预热</w:t>
            </w:r>
            <w:r>
              <w:rPr>
                <w:rFonts w:hint="eastAsia"/>
                <w:color w:val="auto"/>
                <w:sz w:val="24"/>
                <w:highlight w:val="none"/>
              </w:rPr>
              <w:t>，</w:t>
            </w:r>
            <w:r>
              <w:rPr>
                <w:rFonts w:hint="eastAsia"/>
                <w:color w:val="auto"/>
                <w:sz w:val="24"/>
                <w:highlight w:val="none"/>
                <w:lang w:val="en-US" w:eastAsia="zh-CN"/>
              </w:rPr>
              <w:t>再从膜蒸发器顶部加入，通过转子上的料液分配器连续均匀地分布在受热面上，然后薄膜刮刀将料液刮成稀薄的湍流液体并呈螺旋状向下推。在此过程中，从受热面逸出的轻分子（水分及部分三乙醇胺、N-甲基一乙醇胺成分）蒸发上浮进入蒸馏塔，经一级冷凝器冷凝成液体，顺着冷凝管流下，通过冷凝器底部的排放管排放，得到高浓度的三乙醇胺和N-甲基一乙醇胺产品，最后经出料泵泵至产品罐暂存。经膜蒸发器未蒸发的高沸液体则顺着蒸发器底部进入高沸物接收罐，该产品即为低浓度的三乙醇胺和N-甲基一乙醇胺副产品，其浓度高于99%，经出料泵泵至高沸物罐暂存。薄膜蒸发、蒸馏以及冷凝过程受热蒸发不凝的尾气则进入冷阱，经冷阱换热冷凝后，二次冷凝液进入冷阱接收罐，最后进入高沸物罐；不凝尾气则经真空机组抽入新建的水洗塔（四级水洗），水洗处理后依托现有28m高的工艺废气排气筒DA001排放。两种产品按需交替生产，交替时用氮气吹扫管线和反应设备，不进行设备清洗。其中</w:t>
            </w:r>
            <w:r>
              <w:rPr>
                <w:rFonts w:hint="eastAsia"/>
                <w:color w:val="auto"/>
                <w:sz w:val="24"/>
                <w:szCs w:val="24"/>
                <w:highlight w:val="none"/>
                <w:lang w:val="en-US" w:eastAsia="zh-CN"/>
              </w:rPr>
              <w:t>三乙醇胺约生产6000h，N-甲基一乙醇胺1200h，合计共7200h，300天。</w:t>
            </w:r>
          </w:p>
          <w:p w14:paraId="629A1D28">
            <w:pPr>
              <w:spacing w:line="360" w:lineRule="auto"/>
              <w:ind w:firstLine="482" w:firstLineChars="200"/>
              <w:rPr>
                <w:b/>
                <w:color w:val="auto"/>
                <w:sz w:val="22"/>
                <w:szCs w:val="22"/>
                <w:highlight w:val="none"/>
              </w:rPr>
            </w:pPr>
            <w:r>
              <w:rPr>
                <w:rFonts w:hint="eastAsia"/>
                <w:b/>
                <w:color w:val="auto"/>
                <w:sz w:val="24"/>
                <w:highlight w:val="none"/>
                <w:lang w:val="en-US" w:eastAsia="zh-CN"/>
              </w:rPr>
              <w:t>2</w:t>
            </w:r>
            <w:r>
              <w:rPr>
                <w:b/>
                <w:color w:val="auto"/>
                <w:sz w:val="24"/>
                <w:highlight w:val="none"/>
              </w:rPr>
              <w:t>、主要产污工序</w:t>
            </w:r>
          </w:p>
          <w:p w14:paraId="5ED94FC6">
            <w:pPr>
              <w:spacing w:line="360" w:lineRule="auto"/>
              <w:ind w:firstLine="480" w:firstLineChars="200"/>
              <w:rPr>
                <w:bCs/>
                <w:color w:val="auto"/>
                <w:sz w:val="24"/>
                <w:szCs w:val="28"/>
                <w:highlight w:val="none"/>
              </w:rPr>
            </w:pPr>
            <w:r>
              <w:rPr>
                <w:bCs/>
                <w:color w:val="auto"/>
                <w:sz w:val="24"/>
                <w:szCs w:val="28"/>
                <w:highlight w:val="none"/>
              </w:rPr>
              <w:t>本项目运营期的污染物主要有：</w:t>
            </w:r>
          </w:p>
          <w:p w14:paraId="7853744F">
            <w:pPr>
              <w:pStyle w:val="42"/>
              <w:rPr>
                <w:color w:val="auto"/>
                <w:highlight w:val="none"/>
              </w:rPr>
            </w:pPr>
            <w:r>
              <w:rPr>
                <w:color w:val="auto"/>
                <w:highlight w:val="none"/>
              </w:rPr>
              <w:t>项目主要产污情况</w:t>
            </w:r>
          </w:p>
          <w:tbl>
            <w:tblPr>
              <w:tblStyle w:val="27"/>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751"/>
              <w:gridCol w:w="2205"/>
              <w:gridCol w:w="3348"/>
            </w:tblGrid>
            <w:tr w14:paraId="53BD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Align w:val="center"/>
                </w:tcPr>
                <w:p w14:paraId="03B574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b/>
                      <w:color w:val="auto"/>
                      <w:sz w:val="21"/>
                      <w:szCs w:val="21"/>
                      <w:highlight w:val="none"/>
                    </w:rPr>
                    <w:t>污染类型</w:t>
                  </w:r>
                </w:p>
              </w:tc>
              <w:tc>
                <w:tcPr>
                  <w:tcW w:w="1037" w:type="pct"/>
                  <w:vAlign w:val="center"/>
                </w:tcPr>
                <w:p w14:paraId="0FBBD3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b/>
                      <w:color w:val="auto"/>
                      <w:sz w:val="21"/>
                      <w:szCs w:val="21"/>
                      <w:highlight w:val="none"/>
                    </w:rPr>
                    <w:t>污染源</w:t>
                  </w:r>
                </w:p>
              </w:tc>
              <w:tc>
                <w:tcPr>
                  <w:tcW w:w="1306" w:type="pct"/>
                  <w:vAlign w:val="center"/>
                </w:tcPr>
                <w:p w14:paraId="0772F8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b/>
                      <w:color w:val="auto"/>
                      <w:sz w:val="21"/>
                      <w:szCs w:val="21"/>
                      <w:highlight w:val="none"/>
                    </w:rPr>
                    <w:t>污染工序</w:t>
                  </w:r>
                </w:p>
              </w:tc>
              <w:tc>
                <w:tcPr>
                  <w:tcW w:w="1983" w:type="pct"/>
                  <w:vAlign w:val="center"/>
                </w:tcPr>
                <w:p w14:paraId="42BF44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b/>
                      <w:color w:val="auto"/>
                      <w:sz w:val="21"/>
                      <w:szCs w:val="21"/>
                      <w:highlight w:val="none"/>
                    </w:rPr>
                    <w:t>污染物类型</w:t>
                  </w:r>
                </w:p>
              </w:tc>
            </w:tr>
            <w:tr w14:paraId="53B0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restart"/>
                  <w:vAlign w:val="center"/>
                </w:tcPr>
                <w:p w14:paraId="5507EFAB">
                  <w:pPr>
                    <w:jc w:val="center"/>
                    <w:rPr>
                      <w:color w:val="auto"/>
                      <w:szCs w:val="21"/>
                      <w:highlight w:val="none"/>
                    </w:rPr>
                  </w:pPr>
                  <w:r>
                    <w:rPr>
                      <w:color w:val="auto"/>
                      <w:szCs w:val="21"/>
                      <w:highlight w:val="none"/>
                    </w:rPr>
                    <w:t>废气</w:t>
                  </w:r>
                </w:p>
              </w:tc>
              <w:tc>
                <w:tcPr>
                  <w:tcW w:w="1037" w:type="pct"/>
                  <w:vAlign w:val="center"/>
                </w:tcPr>
                <w:p w14:paraId="31DCF19D">
                  <w:pPr>
                    <w:jc w:val="center"/>
                    <w:rPr>
                      <w:bCs/>
                      <w:color w:val="auto"/>
                      <w:szCs w:val="21"/>
                      <w:highlight w:val="none"/>
                    </w:rPr>
                  </w:pPr>
                  <w:r>
                    <w:rPr>
                      <w:rFonts w:hint="eastAsia"/>
                      <w:bCs/>
                      <w:color w:val="auto"/>
                      <w:szCs w:val="21"/>
                      <w:highlight w:val="none"/>
                      <w:lang w:val="en-US" w:eastAsia="zh-CN"/>
                    </w:rPr>
                    <w:t>生产车间</w:t>
                  </w:r>
                </w:p>
              </w:tc>
              <w:tc>
                <w:tcPr>
                  <w:tcW w:w="1306" w:type="pct"/>
                  <w:vAlign w:val="center"/>
                </w:tcPr>
                <w:p w14:paraId="4B6A04D5">
                  <w:pPr>
                    <w:jc w:val="center"/>
                    <w:rPr>
                      <w:rFonts w:hint="default"/>
                      <w:bCs/>
                      <w:color w:val="auto"/>
                      <w:szCs w:val="21"/>
                      <w:highlight w:val="none"/>
                      <w:lang w:val="en-US"/>
                    </w:rPr>
                  </w:pPr>
                  <w:r>
                    <w:rPr>
                      <w:rFonts w:hint="eastAsia"/>
                      <w:bCs/>
                      <w:color w:val="auto"/>
                      <w:szCs w:val="21"/>
                      <w:highlight w:val="none"/>
                      <w:lang w:val="en-US" w:eastAsia="zh-CN"/>
                    </w:rPr>
                    <w:t>蒸馏冷凝</w:t>
                  </w:r>
                </w:p>
              </w:tc>
              <w:tc>
                <w:tcPr>
                  <w:tcW w:w="1983" w:type="pct"/>
                  <w:vAlign w:val="center"/>
                </w:tcPr>
                <w:p w14:paraId="2AF8BD96">
                  <w:pPr>
                    <w:jc w:val="center"/>
                    <w:rPr>
                      <w:rFonts w:hint="default" w:eastAsia="宋体"/>
                      <w:bCs/>
                      <w:color w:val="auto"/>
                      <w:szCs w:val="21"/>
                      <w:highlight w:val="none"/>
                      <w:lang w:val="en-US" w:eastAsia="zh-CN"/>
                    </w:rPr>
                  </w:pPr>
                  <w:r>
                    <w:rPr>
                      <w:rFonts w:hint="eastAsia"/>
                      <w:color w:val="auto"/>
                      <w:kern w:val="0"/>
                      <w:szCs w:val="21"/>
                      <w:highlight w:val="none"/>
                      <w:lang w:val="en-US" w:eastAsia="zh-CN"/>
                    </w:rPr>
                    <w:t>蒸馏尾气（以VOC</w:t>
                  </w:r>
                  <w:r>
                    <w:rPr>
                      <w:rFonts w:hint="eastAsia"/>
                      <w:color w:val="auto"/>
                      <w:kern w:val="0"/>
                      <w:szCs w:val="21"/>
                      <w:highlight w:val="none"/>
                      <w:vertAlign w:val="baseline"/>
                      <w:lang w:val="en-US" w:eastAsia="zh-CN"/>
                    </w:rPr>
                    <w:t>s计</w:t>
                  </w:r>
                  <w:r>
                    <w:rPr>
                      <w:rFonts w:hint="eastAsia"/>
                      <w:color w:val="auto"/>
                      <w:kern w:val="0"/>
                      <w:szCs w:val="21"/>
                      <w:highlight w:val="none"/>
                      <w:lang w:val="en-US" w:eastAsia="zh-CN"/>
                    </w:rPr>
                    <w:t>）</w:t>
                  </w:r>
                </w:p>
              </w:tc>
            </w:tr>
            <w:tr w14:paraId="1C97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49D3FE0D">
                  <w:pPr>
                    <w:jc w:val="center"/>
                    <w:rPr>
                      <w:color w:val="auto"/>
                      <w:szCs w:val="21"/>
                      <w:highlight w:val="none"/>
                    </w:rPr>
                  </w:pPr>
                </w:p>
              </w:tc>
              <w:tc>
                <w:tcPr>
                  <w:tcW w:w="1037" w:type="pct"/>
                  <w:vAlign w:val="center"/>
                </w:tcPr>
                <w:p w14:paraId="2C9A80FB">
                  <w:pPr>
                    <w:widowControl/>
                    <w:jc w:val="center"/>
                    <w:rPr>
                      <w:color w:val="auto"/>
                      <w:kern w:val="0"/>
                      <w:szCs w:val="21"/>
                      <w:highlight w:val="none"/>
                    </w:rPr>
                  </w:pPr>
                  <w:r>
                    <w:rPr>
                      <w:color w:val="auto"/>
                      <w:kern w:val="0"/>
                      <w:szCs w:val="21"/>
                      <w:highlight w:val="none"/>
                    </w:rPr>
                    <w:t>锅炉</w:t>
                  </w:r>
                </w:p>
              </w:tc>
              <w:tc>
                <w:tcPr>
                  <w:tcW w:w="1306" w:type="pct"/>
                  <w:vAlign w:val="center"/>
                </w:tcPr>
                <w:p w14:paraId="2B354CC4">
                  <w:pPr>
                    <w:widowControl/>
                    <w:jc w:val="center"/>
                    <w:rPr>
                      <w:color w:val="auto"/>
                      <w:kern w:val="0"/>
                      <w:szCs w:val="21"/>
                      <w:highlight w:val="none"/>
                    </w:rPr>
                  </w:pPr>
                  <w:r>
                    <w:rPr>
                      <w:color w:val="auto"/>
                      <w:kern w:val="0"/>
                      <w:szCs w:val="21"/>
                      <w:highlight w:val="none"/>
                    </w:rPr>
                    <w:t>天然气燃烧</w:t>
                  </w:r>
                </w:p>
              </w:tc>
              <w:tc>
                <w:tcPr>
                  <w:tcW w:w="1983" w:type="pct"/>
                  <w:vAlign w:val="center"/>
                </w:tcPr>
                <w:p w14:paraId="69214504">
                  <w:pPr>
                    <w:jc w:val="center"/>
                    <w:rPr>
                      <w:color w:val="auto"/>
                      <w:szCs w:val="21"/>
                      <w:highlight w:val="none"/>
                    </w:rPr>
                  </w:pPr>
                  <w:r>
                    <w:rPr>
                      <w:color w:val="auto"/>
                      <w:szCs w:val="21"/>
                      <w:highlight w:val="none"/>
                    </w:rPr>
                    <w:t>SO</w:t>
                  </w:r>
                  <w:r>
                    <w:rPr>
                      <w:color w:val="auto"/>
                      <w:szCs w:val="21"/>
                      <w:highlight w:val="none"/>
                      <w:vertAlign w:val="subscript"/>
                    </w:rPr>
                    <w:t>2</w:t>
                  </w:r>
                  <w:r>
                    <w:rPr>
                      <w:color w:val="auto"/>
                      <w:szCs w:val="21"/>
                      <w:highlight w:val="none"/>
                    </w:rPr>
                    <w:t>、NOx、烟尘</w:t>
                  </w:r>
                </w:p>
              </w:tc>
            </w:tr>
            <w:tr w14:paraId="31AB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155F35CD">
                  <w:pPr>
                    <w:jc w:val="center"/>
                    <w:rPr>
                      <w:color w:val="auto"/>
                      <w:szCs w:val="21"/>
                      <w:highlight w:val="none"/>
                    </w:rPr>
                  </w:pPr>
                </w:p>
              </w:tc>
              <w:tc>
                <w:tcPr>
                  <w:tcW w:w="1037" w:type="pct"/>
                  <w:vAlign w:val="center"/>
                </w:tcPr>
                <w:p w14:paraId="36168A54">
                  <w:pPr>
                    <w:widowControl/>
                    <w:jc w:val="center"/>
                    <w:rPr>
                      <w:color w:val="auto"/>
                      <w:kern w:val="0"/>
                      <w:szCs w:val="21"/>
                      <w:highlight w:val="none"/>
                    </w:rPr>
                  </w:pPr>
                  <w:r>
                    <w:rPr>
                      <w:color w:val="auto"/>
                      <w:kern w:val="0"/>
                      <w:szCs w:val="21"/>
                      <w:highlight w:val="none"/>
                    </w:rPr>
                    <w:t>污水处理站</w:t>
                  </w:r>
                </w:p>
              </w:tc>
              <w:tc>
                <w:tcPr>
                  <w:tcW w:w="1306" w:type="pct"/>
                  <w:vAlign w:val="center"/>
                </w:tcPr>
                <w:p w14:paraId="261FE13D">
                  <w:pPr>
                    <w:widowControl/>
                    <w:jc w:val="center"/>
                    <w:rPr>
                      <w:color w:val="auto"/>
                      <w:kern w:val="0"/>
                      <w:szCs w:val="21"/>
                      <w:highlight w:val="none"/>
                    </w:rPr>
                  </w:pPr>
                  <w:r>
                    <w:rPr>
                      <w:color w:val="auto"/>
                      <w:kern w:val="0"/>
                      <w:szCs w:val="21"/>
                      <w:highlight w:val="none"/>
                    </w:rPr>
                    <w:t>污水处理构筑物</w:t>
                  </w:r>
                </w:p>
              </w:tc>
              <w:tc>
                <w:tcPr>
                  <w:tcW w:w="1983" w:type="pct"/>
                  <w:vAlign w:val="center"/>
                </w:tcPr>
                <w:p w14:paraId="27734CA2">
                  <w:pPr>
                    <w:jc w:val="center"/>
                    <w:rPr>
                      <w:rFonts w:hint="eastAsia" w:eastAsia="宋体"/>
                      <w:color w:val="auto"/>
                      <w:szCs w:val="21"/>
                      <w:highlight w:val="none"/>
                      <w:lang w:val="en-US" w:eastAsia="zh-CN"/>
                    </w:rPr>
                  </w:pPr>
                  <w:r>
                    <w:rPr>
                      <w:color w:val="auto"/>
                      <w:szCs w:val="21"/>
                      <w:highlight w:val="none"/>
                    </w:rPr>
                    <w:t>恶臭</w:t>
                  </w:r>
                  <w:r>
                    <w:rPr>
                      <w:rFonts w:hint="eastAsia"/>
                      <w:color w:val="auto"/>
                      <w:szCs w:val="21"/>
                      <w:highlight w:val="none"/>
                      <w:lang w:eastAsia="zh-CN"/>
                    </w:rPr>
                    <w:t>（</w:t>
                  </w:r>
                  <w:r>
                    <w:rPr>
                      <w:rFonts w:hint="eastAsia"/>
                      <w:color w:val="auto"/>
                      <w:szCs w:val="21"/>
                      <w:highlight w:val="none"/>
                      <w:lang w:val="en-US" w:eastAsia="zh-CN"/>
                    </w:rPr>
                    <w:t>NH</w:t>
                  </w:r>
                  <w:r>
                    <w:rPr>
                      <w:rFonts w:hint="eastAsia"/>
                      <w:color w:val="auto"/>
                      <w:szCs w:val="21"/>
                      <w:highlight w:val="none"/>
                      <w:vertAlign w:val="subscript"/>
                      <w:lang w:val="en-US" w:eastAsia="zh-CN"/>
                    </w:rPr>
                    <w:t>3</w:t>
                  </w:r>
                  <w:r>
                    <w:rPr>
                      <w:rFonts w:hint="eastAsia"/>
                      <w:color w:val="auto"/>
                      <w:szCs w:val="21"/>
                      <w:highlight w:val="none"/>
                      <w:lang w:val="en-US" w:eastAsia="zh-CN"/>
                    </w:rPr>
                    <w:t>、H</w:t>
                  </w:r>
                  <w:r>
                    <w:rPr>
                      <w:rFonts w:hint="eastAsia"/>
                      <w:color w:val="auto"/>
                      <w:szCs w:val="21"/>
                      <w:highlight w:val="none"/>
                      <w:vertAlign w:val="subscript"/>
                      <w:lang w:val="en-US" w:eastAsia="zh-CN"/>
                    </w:rPr>
                    <w:t>2</w:t>
                  </w:r>
                  <w:r>
                    <w:rPr>
                      <w:rFonts w:hint="eastAsia"/>
                      <w:color w:val="auto"/>
                      <w:szCs w:val="21"/>
                      <w:highlight w:val="none"/>
                      <w:lang w:val="en-US" w:eastAsia="zh-CN"/>
                    </w:rPr>
                    <w:t>S</w:t>
                  </w:r>
                  <w:r>
                    <w:rPr>
                      <w:rFonts w:hint="eastAsia"/>
                      <w:color w:val="auto"/>
                      <w:szCs w:val="21"/>
                      <w:highlight w:val="none"/>
                      <w:lang w:eastAsia="zh-CN"/>
                    </w:rPr>
                    <w:t>）</w:t>
                  </w:r>
                </w:p>
              </w:tc>
            </w:tr>
            <w:tr w14:paraId="45A0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3D92CC34">
                  <w:pPr>
                    <w:jc w:val="center"/>
                    <w:rPr>
                      <w:color w:val="auto"/>
                      <w:szCs w:val="21"/>
                      <w:highlight w:val="none"/>
                    </w:rPr>
                  </w:pPr>
                </w:p>
              </w:tc>
              <w:tc>
                <w:tcPr>
                  <w:tcW w:w="1037" w:type="pct"/>
                  <w:vAlign w:val="center"/>
                </w:tcPr>
                <w:p w14:paraId="651F29BC">
                  <w:pPr>
                    <w:jc w:val="center"/>
                    <w:rPr>
                      <w:color w:val="auto"/>
                      <w:kern w:val="0"/>
                      <w:szCs w:val="21"/>
                      <w:highlight w:val="none"/>
                    </w:rPr>
                  </w:pPr>
                  <w:r>
                    <w:rPr>
                      <w:rFonts w:hint="eastAsia"/>
                      <w:bCs/>
                      <w:color w:val="auto"/>
                      <w:szCs w:val="21"/>
                      <w:highlight w:val="none"/>
                      <w:lang w:val="en-US" w:eastAsia="zh-CN"/>
                    </w:rPr>
                    <w:t>食堂</w:t>
                  </w:r>
                </w:p>
              </w:tc>
              <w:tc>
                <w:tcPr>
                  <w:tcW w:w="1306" w:type="pct"/>
                  <w:vAlign w:val="center"/>
                </w:tcPr>
                <w:p w14:paraId="5AE4ABE6">
                  <w:pPr>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烹饪</w:t>
                  </w:r>
                </w:p>
              </w:tc>
              <w:tc>
                <w:tcPr>
                  <w:tcW w:w="1983" w:type="pct"/>
                  <w:vAlign w:val="center"/>
                </w:tcPr>
                <w:p w14:paraId="7B54F040">
                  <w:pPr>
                    <w:jc w:val="center"/>
                    <w:rPr>
                      <w:color w:val="auto"/>
                      <w:szCs w:val="21"/>
                      <w:highlight w:val="none"/>
                    </w:rPr>
                  </w:pPr>
                  <w:r>
                    <w:rPr>
                      <w:rFonts w:hint="eastAsia"/>
                      <w:bCs/>
                      <w:color w:val="auto"/>
                      <w:szCs w:val="21"/>
                      <w:highlight w:val="none"/>
                      <w:lang w:val="en-US" w:eastAsia="zh-CN"/>
                    </w:rPr>
                    <w:t>油烟废气</w:t>
                  </w:r>
                </w:p>
              </w:tc>
            </w:tr>
            <w:tr w14:paraId="03D3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5998D666">
                  <w:pPr>
                    <w:jc w:val="center"/>
                    <w:rPr>
                      <w:color w:val="auto"/>
                      <w:szCs w:val="21"/>
                      <w:highlight w:val="none"/>
                    </w:rPr>
                  </w:pPr>
                </w:p>
              </w:tc>
              <w:tc>
                <w:tcPr>
                  <w:tcW w:w="1037" w:type="pct"/>
                  <w:vAlign w:val="center"/>
                </w:tcPr>
                <w:p w14:paraId="518C7FD1">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公用工程</w:t>
                  </w:r>
                </w:p>
              </w:tc>
              <w:tc>
                <w:tcPr>
                  <w:tcW w:w="1306" w:type="pct"/>
                  <w:vAlign w:val="center"/>
                </w:tcPr>
                <w:p w14:paraId="04195485">
                  <w:pPr>
                    <w:widowControl/>
                    <w:jc w:val="center"/>
                    <w:rPr>
                      <w:color w:val="auto"/>
                      <w:kern w:val="0"/>
                      <w:szCs w:val="21"/>
                      <w:highlight w:val="none"/>
                    </w:rPr>
                  </w:pPr>
                  <w:r>
                    <w:rPr>
                      <w:rFonts w:hint="eastAsia"/>
                      <w:color w:val="auto"/>
                      <w:kern w:val="0"/>
                      <w:szCs w:val="21"/>
                      <w:highlight w:val="none"/>
                      <w:lang w:val="en-US" w:eastAsia="zh-CN"/>
                    </w:rPr>
                    <w:t>危废暂存</w:t>
                  </w:r>
                </w:p>
              </w:tc>
              <w:tc>
                <w:tcPr>
                  <w:tcW w:w="1983" w:type="pct"/>
                  <w:vAlign w:val="center"/>
                </w:tcPr>
                <w:p w14:paraId="78E1B6A4">
                  <w:pPr>
                    <w:jc w:val="center"/>
                    <w:rPr>
                      <w:rFonts w:hint="default"/>
                      <w:color w:val="auto"/>
                      <w:szCs w:val="21"/>
                      <w:highlight w:val="none"/>
                      <w:lang w:val="en-US"/>
                    </w:rPr>
                  </w:pPr>
                  <w:r>
                    <w:rPr>
                      <w:rFonts w:hint="eastAsia"/>
                      <w:color w:val="auto"/>
                      <w:szCs w:val="21"/>
                      <w:highlight w:val="none"/>
                      <w:lang w:val="en-US" w:eastAsia="zh-CN"/>
                    </w:rPr>
                    <w:t>臭气浓度</w:t>
                  </w:r>
                </w:p>
              </w:tc>
            </w:tr>
            <w:tr w14:paraId="6F14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5752C0CD">
                  <w:pPr>
                    <w:jc w:val="center"/>
                    <w:rPr>
                      <w:color w:val="auto"/>
                      <w:szCs w:val="21"/>
                      <w:highlight w:val="none"/>
                    </w:rPr>
                  </w:pPr>
                </w:p>
              </w:tc>
              <w:tc>
                <w:tcPr>
                  <w:tcW w:w="1037" w:type="pct"/>
                  <w:vAlign w:val="center"/>
                </w:tcPr>
                <w:p w14:paraId="30AABF22">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生产装置区</w:t>
                  </w:r>
                </w:p>
              </w:tc>
              <w:tc>
                <w:tcPr>
                  <w:tcW w:w="1306" w:type="pct"/>
                  <w:vAlign w:val="center"/>
                </w:tcPr>
                <w:p w14:paraId="786C62CE">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密封点泄漏</w:t>
                  </w:r>
                </w:p>
              </w:tc>
              <w:tc>
                <w:tcPr>
                  <w:tcW w:w="1983" w:type="pct"/>
                  <w:vAlign w:val="center"/>
                </w:tcPr>
                <w:p w14:paraId="74BE2194">
                  <w:pPr>
                    <w:jc w:val="center"/>
                    <w:rPr>
                      <w:rFonts w:hint="default"/>
                      <w:color w:val="auto"/>
                      <w:szCs w:val="21"/>
                      <w:highlight w:val="none"/>
                      <w:lang w:val="en-US" w:eastAsia="zh-CN"/>
                    </w:rPr>
                  </w:pPr>
                  <w:r>
                    <w:rPr>
                      <w:rFonts w:hint="eastAsia"/>
                      <w:color w:val="auto"/>
                      <w:szCs w:val="21"/>
                      <w:highlight w:val="none"/>
                      <w:lang w:val="en-US" w:eastAsia="zh-CN"/>
                    </w:rPr>
                    <w:t>密封点泄漏废气（以VOCs计）</w:t>
                  </w:r>
                </w:p>
              </w:tc>
            </w:tr>
            <w:tr w14:paraId="00BC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3A052E4E">
                  <w:pPr>
                    <w:jc w:val="center"/>
                    <w:rPr>
                      <w:color w:val="auto"/>
                      <w:szCs w:val="21"/>
                      <w:highlight w:val="none"/>
                    </w:rPr>
                  </w:pPr>
                </w:p>
              </w:tc>
              <w:tc>
                <w:tcPr>
                  <w:tcW w:w="1037" w:type="pct"/>
                  <w:vAlign w:val="center"/>
                </w:tcPr>
                <w:p w14:paraId="1C8A9FCD">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罐区</w:t>
                  </w:r>
                </w:p>
              </w:tc>
              <w:tc>
                <w:tcPr>
                  <w:tcW w:w="1306" w:type="pct"/>
                  <w:vAlign w:val="center"/>
                </w:tcPr>
                <w:p w14:paraId="4E97B99F">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储罐呼吸</w:t>
                  </w:r>
                </w:p>
              </w:tc>
              <w:tc>
                <w:tcPr>
                  <w:tcW w:w="1983" w:type="pct"/>
                  <w:vAlign w:val="center"/>
                </w:tcPr>
                <w:p w14:paraId="2F451F96">
                  <w:pPr>
                    <w:jc w:val="center"/>
                    <w:rPr>
                      <w:rFonts w:hint="default"/>
                      <w:color w:val="auto"/>
                      <w:szCs w:val="21"/>
                      <w:highlight w:val="none"/>
                      <w:lang w:val="en-US" w:eastAsia="zh-CN"/>
                    </w:rPr>
                  </w:pPr>
                  <w:r>
                    <w:rPr>
                      <w:rFonts w:hint="eastAsia"/>
                      <w:color w:val="auto"/>
                      <w:szCs w:val="21"/>
                      <w:highlight w:val="none"/>
                      <w:lang w:val="en-US" w:eastAsia="zh-CN"/>
                    </w:rPr>
                    <w:t>呼吸废气（以VOCs计）</w:t>
                  </w:r>
                </w:p>
              </w:tc>
            </w:tr>
            <w:tr w14:paraId="5FE0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restart"/>
                  <w:vAlign w:val="center"/>
                </w:tcPr>
                <w:p w14:paraId="3861A224">
                  <w:pPr>
                    <w:jc w:val="center"/>
                    <w:rPr>
                      <w:rFonts w:hint="eastAsia" w:eastAsia="宋体"/>
                      <w:color w:val="auto"/>
                      <w:szCs w:val="21"/>
                      <w:highlight w:val="none"/>
                      <w:lang w:val="en-US" w:eastAsia="zh-CN"/>
                    </w:rPr>
                  </w:pPr>
                  <w:r>
                    <w:rPr>
                      <w:rFonts w:hint="eastAsia"/>
                      <w:color w:val="auto"/>
                      <w:szCs w:val="21"/>
                      <w:highlight w:val="none"/>
                      <w:lang w:val="en-US" w:eastAsia="zh-CN"/>
                    </w:rPr>
                    <w:t>废水</w:t>
                  </w:r>
                </w:p>
              </w:tc>
              <w:tc>
                <w:tcPr>
                  <w:tcW w:w="1037" w:type="pct"/>
                  <w:vAlign w:val="center"/>
                </w:tcPr>
                <w:p w14:paraId="7344388D">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锅炉水处理间</w:t>
                  </w:r>
                </w:p>
              </w:tc>
              <w:tc>
                <w:tcPr>
                  <w:tcW w:w="1306" w:type="pct"/>
                  <w:vAlign w:val="center"/>
                </w:tcPr>
                <w:p w14:paraId="670F757E">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软水制备装置</w:t>
                  </w:r>
                </w:p>
              </w:tc>
              <w:tc>
                <w:tcPr>
                  <w:tcW w:w="1983" w:type="pct"/>
                  <w:vAlign w:val="center"/>
                </w:tcPr>
                <w:p w14:paraId="7B399A58">
                  <w:pPr>
                    <w:jc w:val="center"/>
                    <w:rPr>
                      <w:color w:val="auto"/>
                      <w:szCs w:val="21"/>
                      <w:highlight w:val="none"/>
                    </w:rPr>
                  </w:pPr>
                  <w:r>
                    <w:rPr>
                      <w:rFonts w:hint="eastAsia"/>
                      <w:color w:val="auto"/>
                      <w:kern w:val="0"/>
                      <w:szCs w:val="21"/>
                      <w:highlight w:val="none"/>
                      <w:lang w:val="en-US" w:eastAsia="zh-CN"/>
                    </w:rPr>
                    <w:t>软水制备浓水（</w:t>
                  </w:r>
                  <w:r>
                    <w:rPr>
                      <w:color w:val="auto"/>
                      <w:szCs w:val="21"/>
                      <w:highlight w:val="none"/>
                    </w:rPr>
                    <w:t>COD、SS</w:t>
                  </w:r>
                  <w:r>
                    <w:rPr>
                      <w:rFonts w:hint="eastAsia"/>
                      <w:color w:val="auto"/>
                      <w:kern w:val="0"/>
                      <w:szCs w:val="21"/>
                      <w:highlight w:val="none"/>
                      <w:lang w:val="en-US" w:eastAsia="zh-CN"/>
                    </w:rPr>
                    <w:t>）</w:t>
                  </w:r>
                </w:p>
              </w:tc>
            </w:tr>
            <w:tr w14:paraId="150B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blHeader/>
                <w:jc w:val="center"/>
              </w:trPr>
              <w:tc>
                <w:tcPr>
                  <w:tcW w:w="672" w:type="pct"/>
                  <w:vMerge w:val="continue"/>
                  <w:vAlign w:val="center"/>
                </w:tcPr>
                <w:p w14:paraId="3931A1D9">
                  <w:pPr>
                    <w:jc w:val="center"/>
                    <w:rPr>
                      <w:color w:val="auto"/>
                      <w:szCs w:val="21"/>
                      <w:highlight w:val="none"/>
                    </w:rPr>
                  </w:pPr>
                </w:p>
              </w:tc>
              <w:tc>
                <w:tcPr>
                  <w:tcW w:w="1037" w:type="pct"/>
                  <w:vAlign w:val="center"/>
                </w:tcPr>
                <w:p w14:paraId="6DFD08D8">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水洗塔</w:t>
                  </w:r>
                </w:p>
              </w:tc>
              <w:tc>
                <w:tcPr>
                  <w:tcW w:w="1306" w:type="pct"/>
                  <w:vAlign w:val="center"/>
                </w:tcPr>
                <w:p w14:paraId="68B0D60A">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蒸馏尾气水洗</w:t>
                  </w:r>
                </w:p>
              </w:tc>
              <w:tc>
                <w:tcPr>
                  <w:tcW w:w="1983" w:type="pct"/>
                  <w:vAlign w:val="center"/>
                </w:tcPr>
                <w:p w14:paraId="5DC103DA">
                  <w:pPr>
                    <w:jc w:val="center"/>
                    <w:rPr>
                      <w:color w:val="auto"/>
                      <w:szCs w:val="21"/>
                      <w:highlight w:val="none"/>
                    </w:rPr>
                  </w:pPr>
                  <w:r>
                    <w:rPr>
                      <w:rFonts w:hint="eastAsia"/>
                      <w:color w:val="auto"/>
                      <w:szCs w:val="21"/>
                      <w:highlight w:val="none"/>
                      <w:lang w:val="en-US" w:eastAsia="zh-CN"/>
                    </w:rPr>
                    <w:t>水洗塔废水（</w:t>
                  </w:r>
                  <w:r>
                    <w:rPr>
                      <w:rFonts w:ascii="Times New Roman" w:eastAsia="Times New Roman"/>
                      <w:color w:val="auto"/>
                      <w:spacing w:val="-1"/>
                      <w:sz w:val="21"/>
                      <w:highlight w:val="none"/>
                    </w:rPr>
                    <w:t>COD</w:t>
                  </w:r>
                  <w:r>
                    <w:rPr>
                      <w:color w:val="auto"/>
                      <w:spacing w:val="-26"/>
                      <w:sz w:val="21"/>
                      <w:highlight w:val="none"/>
                    </w:rPr>
                    <w:t>、氨氮、</w:t>
                  </w:r>
                  <w:r>
                    <w:rPr>
                      <w:rFonts w:ascii="Times New Roman" w:eastAsia="Times New Roman"/>
                      <w:color w:val="auto"/>
                      <w:sz w:val="21"/>
                      <w:highlight w:val="none"/>
                    </w:rPr>
                    <w:t>pH</w:t>
                  </w:r>
                  <w:r>
                    <w:rPr>
                      <w:rFonts w:hint="eastAsia"/>
                      <w:color w:val="auto"/>
                      <w:szCs w:val="21"/>
                      <w:highlight w:val="none"/>
                      <w:lang w:val="en-US" w:eastAsia="zh-CN"/>
                    </w:rPr>
                    <w:t>）</w:t>
                  </w:r>
                </w:p>
              </w:tc>
            </w:tr>
            <w:tr w14:paraId="2700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blHeader/>
                <w:jc w:val="center"/>
              </w:trPr>
              <w:tc>
                <w:tcPr>
                  <w:tcW w:w="672" w:type="pct"/>
                  <w:vMerge w:val="continue"/>
                  <w:vAlign w:val="center"/>
                </w:tcPr>
                <w:p w14:paraId="39247FC0">
                  <w:pPr>
                    <w:jc w:val="center"/>
                    <w:rPr>
                      <w:color w:val="auto"/>
                      <w:szCs w:val="21"/>
                      <w:highlight w:val="none"/>
                    </w:rPr>
                  </w:pPr>
                </w:p>
              </w:tc>
              <w:tc>
                <w:tcPr>
                  <w:tcW w:w="1037" w:type="pct"/>
                  <w:vAlign w:val="center"/>
                </w:tcPr>
                <w:p w14:paraId="7C4B3E87">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厂区地坪</w:t>
                  </w:r>
                </w:p>
              </w:tc>
              <w:tc>
                <w:tcPr>
                  <w:tcW w:w="1306" w:type="pct"/>
                  <w:vAlign w:val="center"/>
                </w:tcPr>
                <w:p w14:paraId="3C427F7C">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地坪冲洗</w:t>
                  </w:r>
                </w:p>
              </w:tc>
              <w:tc>
                <w:tcPr>
                  <w:tcW w:w="1983" w:type="pct"/>
                  <w:vAlign w:val="center"/>
                </w:tcPr>
                <w:p w14:paraId="0868619D">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地坪冲洗废水</w:t>
                  </w:r>
                  <w:r>
                    <w:rPr>
                      <w:rFonts w:hint="eastAsia"/>
                      <w:color w:val="auto"/>
                      <w:szCs w:val="21"/>
                      <w:highlight w:val="none"/>
                      <w:lang w:val="en-US" w:eastAsia="zh-CN"/>
                    </w:rPr>
                    <w:t>（</w:t>
                  </w:r>
                  <w:r>
                    <w:rPr>
                      <w:color w:val="auto"/>
                      <w:szCs w:val="21"/>
                      <w:highlight w:val="none"/>
                    </w:rPr>
                    <w:t>COD、BOD</w:t>
                  </w:r>
                  <w:r>
                    <w:rPr>
                      <w:color w:val="auto"/>
                      <w:szCs w:val="21"/>
                      <w:highlight w:val="none"/>
                      <w:vertAlign w:val="subscript"/>
                    </w:rPr>
                    <w:t>5</w:t>
                  </w:r>
                  <w:r>
                    <w:rPr>
                      <w:color w:val="auto"/>
                      <w:szCs w:val="21"/>
                      <w:highlight w:val="none"/>
                    </w:rPr>
                    <w:t>、SS、氨氮</w:t>
                  </w:r>
                  <w:r>
                    <w:rPr>
                      <w:rFonts w:hint="eastAsia"/>
                      <w:color w:val="auto"/>
                      <w:szCs w:val="21"/>
                      <w:highlight w:val="none"/>
                      <w:lang w:val="en-US" w:eastAsia="zh-CN"/>
                    </w:rPr>
                    <w:t>）</w:t>
                  </w:r>
                </w:p>
              </w:tc>
            </w:tr>
            <w:tr w14:paraId="4F02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4314615D">
                  <w:pPr>
                    <w:jc w:val="center"/>
                    <w:rPr>
                      <w:color w:val="auto"/>
                      <w:szCs w:val="21"/>
                      <w:highlight w:val="none"/>
                    </w:rPr>
                  </w:pPr>
                </w:p>
              </w:tc>
              <w:tc>
                <w:tcPr>
                  <w:tcW w:w="1037" w:type="pct"/>
                  <w:vAlign w:val="center"/>
                </w:tcPr>
                <w:p w14:paraId="63DDA54B">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综合办公楼</w:t>
                  </w:r>
                </w:p>
              </w:tc>
              <w:tc>
                <w:tcPr>
                  <w:tcW w:w="1306" w:type="pct"/>
                  <w:vAlign w:val="center"/>
                </w:tcPr>
                <w:p w14:paraId="1A18AA18">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员工生活办公</w:t>
                  </w:r>
                </w:p>
              </w:tc>
              <w:tc>
                <w:tcPr>
                  <w:tcW w:w="1983" w:type="pct"/>
                  <w:vAlign w:val="center"/>
                </w:tcPr>
                <w:p w14:paraId="4AD8E8BB">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生活污水</w:t>
                  </w:r>
                  <w:r>
                    <w:rPr>
                      <w:rFonts w:hint="eastAsia"/>
                      <w:color w:val="auto"/>
                      <w:szCs w:val="21"/>
                      <w:highlight w:val="none"/>
                      <w:lang w:val="en-US" w:eastAsia="zh-CN"/>
                    </w:rPr>
                    <w:t>（</w:t>
                  </w:r>
                  <w:r>
                    <w:rPr>
                      <w:color w:val="auto"/>
                      <w:szCs w:val="21"/>
                      <w:highlight w:val="none"/>
                    </w:rPr>
                    <w:t>COD、BOD</w:t>
                  </w:r>
                  <w:r>
                    <w:rPr>
                      <w:color w:val="auto"/>
                      <w:szCs w:val="21"/>
                      <w:highlight w:val="none"/>
                      <w:vertAlign w:val="subscript"/>
                    </w:rPr>
                    <w:t>5</w:t>
                  </w:r>
                  <w:r>
                    <w:rPr>
                      <w:color w:val="auto"/>
                      <w:szCs w:val="21"/>
                      <w:highlight w:val="none"/>
                    </w:rPr>
                    <w:t>、SS、氨氮</w:t>
                  </w:r>
                  <w:r>
                    <w:rPr>
                      <w:rFonts w:hint="eastAsia"/>
                      <w:color w:val="auto"/>
                      <w:szCs w:val="21"/>
                      <w:highlight w:val="none"/>
                      <w:lang w:val="en-US" w:eastAsia="zh-CN"/>
                    </w:rPr>
                    <w:t>）</w:t>
                  </w:r>
                </w:p>
              </w:tc>
            </w:tr>
            <w:tr w14:paraId="4E4D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0BD1A2B7">
                  <w:pPr>
                    <w:jc w:val="center"/>
                    <w:rPr>
                      <w:color w:val="auto"/>
                      <w:szCs w:val="21"/>
                      <w:highlight w:val="none"/>
                    </w:rPr>
                  </w:pPr>
                </w:p>
              </w:tc>
              <w:tc>
                <w:tcPr>
                  <w:tcW w:w="1037" w:type="pct"/>
                  <w:vAlign w:val="center"/>
                </w:tcPr>
                <w:p w14:paraId="55685C15">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锅炉房</w:t>
                  </w:r>
                </w:p>
              </w:tc>
              <w:tc>
                <w:tcPr>
                  <w:tcW w:w="1306" w:type="pct"/>
                  <w:vAlign w:val="center"/>
                </w:tcPr>
                <w:p w14:paraId="7089153F">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锅炉水循环过程</w:t>
                  </w:r>
                </w:p>
              </w:tc>
              <w:tc>
                <w:tcPr>
                  <w:tcW w:w="1983" w:type="pct"/>
                  <w:vAlign w:val="center"/>
                </w:tcPr>
                <w:p w14:paraId="39288EBB">
                  <w:pPr>
                    <w:jc w:val="center"/>
                    <w:rPr>
                      <w:color w:val="auto"/>
                      <w:szCs w:val="21"/>
                      <w:highlight w:val="none"/>
                    </w:rPr>
                  </w:pPr>
                  <w:r>
                    <w:rPr>
                      <w:rFonts w:hint="eastAsia"/>
                      <w:color w:val="auto"/>
                      <w:szCs w:val="21"/>
                      <w:highlight w:val="none"/>
                      <w:lang w:val="en-US" w:eastAsia="zh-CN"/>
                    </w:rPr>
                    <w:t>锅炉定排水（</w:t>
                  </w:r>
                  <w:r>
                    <w:rPr>
                      <w:color w:val="auto"/>
                      <w:szCs w:val="21"/>
                      <w:highlight w:val="none"/>
                    </w:rPr>
                    <w:t>COD、</w:t>
                  </w:r>
                  <w:r>
                    <w:rPr>
                      <w:rFonts w:hint="eastAsia"/>
                      <w:color w:val="auto"/>
                      <w:szCs w:val="21"/>
                      <w:highlight w:val="none"/>
                      <w:lang w:val="en-US" w:eastAsia="zh-CN"/>
                    </w:rPr>
                    <w:t>全盐量）</w:t>
                  </w:r>
                </w:p>
              </w:tc>
            </w:tr>
            <w:tr w14:paraId="3E65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023E47B1">
                  <w:pPr>
                    <w:jc w:val="center"/>
                    <w:rPr>
                      <w:color w:val="auto"/>
                      <w:szCs w:val="21"/>
                      <w:highlight w:val="none"/>
                    </w:rPr>
                  </w:pPr>
                </w:p>
              </w:tc>
              <w:tc>
                <w:tcPr>
                  <w:tcW w:w="1037" w:type="pct"/>
                  <w:vAlign w:val="center"/>
                </w:tcPr>
                <w:p w14:paraId="6095D64E">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循环水池</w:t>
                  </w:r>
                </w:p>
              </w:tc>
              <w:tc>
                <w:tcPr>
                  <w:tcW w:w="1306" w:type="pct"/>
                  <w:vAlign w:val="center"/>
                </w:tcPr>
                <w:p w14:paraId="7B626E03">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设备、产品等冷却</w:t>
                  </w:r>
                </w:p>
              </w:tc>
              <w:tc>
                <w:tcPr>
                  <w:tcW w:w="1983" w:type="pct"/>
                  <w:vAlign w:val="center"/>
                </w:tcPr>
                <w:p w14:paraId="70DD7720">
                  <w:pPr>
                    <w:jc w:val="center"/>
                    <w:rPr>
                      <w:rFonts w:hint="eastAsia"/>
                      <w:color w:val="auto"/>
                      <w:szCs w:val="21"/>
                      <w:highlight w:val="none"/>
                      <w:lang w:val="en-US" w:eastAsia="zh-CN"/>
                    </w:rPr>
                  </w:pPr>
                  <w:r>
                    <w:rPr>
                      <w:rFonts w:hint="eastAsia"/>
                      <w:color w:val="auto"/>
                      <w:kern w:val="0"/>
                      <w:szCs w:val="21"/>
                      <w:highlight w:val="none"/>
                      <w:lang w:val="en-US" w:eastAsia="zh-CN"/>
                    </w:rPr>
                    <w:t>冷却废水（</w:t>
                  </w:r>
                  <w:r>
                    <w:rPr>
                      <w:color w:val="auto"/>
                      <w:szCs w:val="21"/>
                      <w:highlight w:val="none"/>
                    </w:rPr>
                    <w:t>COD、SS</w:t>
                  </w:r>
                  <w:r>
                    <w:rPr>
                      <w:rFonts w:hint="eastAsia"/>
                      <w:color w:val="auto"/>
                      <w:kern w:val="0"/>
                      <w:szCs w:val="21"/>
                      <w:highlight w:val="none"/>
                      <w:lang w:val="en-US" w:eastAsia="zh-CN"/>
                    </w:rPr>
                    <w:t>）</w:t>
                  </w:r>
                </w:p>
              </w:tc>
            </w:tr>
            <w:tr w14:paraId="2C91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36D739A4">
                  <w:pPr>
                    <w:jc w:val="center"/>
                    <w:rPr>
                      <w:color w:val="auto"/>
                      <w:szCs w:val="21"/>
                      <w:highlight w:val="none"/>
                    </w:rPr>
                  </w:pPr>
                </w:p>
              </w:tc>
              <w:tc>
                <w:tcPr>
                  <w:tcW w:w="1037" w:type="pct"/>
                  <w:vAlign w:val="center"/>
                </w:tcPr>
                <w:p w14:paraId="313D7C7D">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厂区新增硬化地面区域</w:t>
                  </w:r>
                </w:p>
              </w:tc>
              <w:tc>
                <w:tcPr>
                  <w:tcW w:w="1306" w:type="pct"/>
                  <w:vAlign w:val="center"/>
                </w:tcPr>
                <w:p w14:paraId="6A204173">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雨水冲刷</w:t>
                  </w:r>
                </w:p>
              </w:tc>
              <w:tc>
                <w:tcPr>
                  <w:tcW w:w="1983" w:type="pct"/>
                  <w:vAlign w:val="center"/>
                </w:tcPr>
                <w:p w14:paraId="45F5D713">
                  <w:pPr>
                    <w:jc w:val="center"/>
                    <w:rPr>
                      <w:rFonts w:hint="eastAsia"/>
                      <w:color w:val="auto"/>
                      <w:kern w:val="0"/>
                      <w:szCs w:val="21"/>
                      <w:highlight w:val="none"/>
                      <w:lang w:val="en-US" w:eastAsia="zh-CN"/>
                    </w:rPr>
                  </w:pPr>
                  <w:r>
                    <w:rPr>
                      <w:rFonts w:hint="eastAsia"/>
                      <w:color w:val="auto"/>
                      <w:kern w:val="0"/>
                      <w:szCs w:val="21"/>
                      <w:highlight w:val="none"/>
                      <w:lang w:val="en-US" w:eastAsia="zh-CN"/>
                    </w:rPr>
                    <w:t>初期雨水（</w:t>
                  </w:r>
                  <w:r>
                    <w:rPr>
                      <w:color w:val="auto"/>
                      <w:szCs w:val="21"/>
                      <w:highlight w:val="none"/>
                    </w:rPr>
                    <w:t>SS</w:t>
                  </w:r>
                  <w:r>
                    <w:rPr>
                      <w:rFonts w:hint="eastAsia"/>
                      <w:color w:val="auto"/>
                      <w:szCs w:val="21"/>
                      <w:highlight w:val="none"/>
                      <w:lang w:eastAsia="zh-CN"/>
                    </w:rPr>
                    <w:t>、</w:t>
                  </w:r>
                  <w:r>
                    <w:rPr>
                      <w:rFonts w:hint="eastAsia"/>
                      <w:color w:val="auto"/>
                      <w:szCs w:val="21"/>
                      <w:highlight w:val="none"/>
                      <w:lang w:val="en-US" w:eastAsia="zh-CN"/>
                    </w:rPr>
                    <w:t>石油类</w:t>
                  </w:r>
                  <w:r>
                    <w:rPr>
                      <w:rFonts w:hint="eastAsia"/>
                      <w:color w:val="auto"/>
                      <w:kern w:val="0"/>
                      <w:szCs w:val="21"/>
                      <w:highlight w:val="none"/>
                      <w:lang w:val="en-US" w:eastAsia="zh-CN"/>
                    </w:rPr>
                    <w:t>）</w:t>
                  </w:r>
                </w:p>
              </w:tc>
            </w:tr>
            <w:tr w14:paraId="49DB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restart"/>
                  <w:vAlign w:val="center"/>
                </w:tcPr>
                <w:p w14:paraId="2F20B9E3">
                  <w:pPr>
                    <w:jc w:val="center"/>
                    <w:rPr>
                      <w:rFonts w:hint="eastAsia" w:eastAsia="宋体"/>
                      <w:color w:val="auto"/>
                      <w:szCs w:val="21"/>
                      <w:highlight w:val="none"/>
                      <w:lang w:val="en-US" w:eastAsia="zh-CN"/>
                    </w:rPr>
                  </w:pPr>
                  <w:r>
                    <w:rPr>
                      <w:rFonts w:hint="eastAsia"/>
                      <w:color w:val="auto"/>
                      <w:szCs w:val="21"/>
                      <w:highlight w:val="none"/>
                      <w:lang w:val="en-US" w:eastAsia="zh-CN"/>
                    </w:rPr>
                    <w:t>固废</w:t>
                  </w:r>
                </w:p>
              </w:tc>
              <w:tc>
                <w:tcPr>
                  <w:tcW w:w="1037" w:type="pct"/>
                  <w:vAlign w:val="center"/>
                </w:tcPr>
                <w:p w14:paraId="68341149">
                  <w:pPr>
                    <w:adjustRightInd w:val="0"/>
                    <w:snapToGrid w:val="0"/>
                    <w:jc w:val="center"/>
                    <w:rPr>
                      <w:color w:val="auto"/>
                      <w:kern w:val="0"/>
                      <w:szCs w:val="21"/>
                      <w:highlight w:val="none"/>
                    </w:rPr>
                  </w:pPr>
                  <w:r>
                    <w:rPr>
                      <w:rFonts w:hint="eastAsia"/>
                      <w:color w:val="auto"/>
                      <w:szCs w:val="21"/>
                      <w:highlight w:val="none"/>
                      <w:lang w:val="en-US" w:eastAsia="zh-CN"/>
                    </w:rPr>
                    <w:t>综合办公楼</w:t>
                  </w:r>
                </w:p>
              </w:tc>
              <w:tc>
                <w:tcPr>
                  <w:tcW w:w="1306" w:type="pct"/>
                  <w:vAlign w:val="center"/>
                </w:tcPr>
                <w:p w14:paraId="2F15D64F">
                  <w:pPr>
                    <w:jc w:val="center"/>
                    <w:rPr>
                      <w:rFonts w:hint="default" w:eastAsia="宋体"/>
                      <w:color w:val="auto"/>
                      <w:szCs w:val="21"/>
                      <w:highlight w:val="none"/>
                      <w:lang w:val="en-US" w:eastAsia="zh-CN"/>
                    </w:rPr>
                  </w:pPr>
                  <w:r>
                    <w:rPr>
                      <w:rFonts w:hint="eastAsia"/>
                      <w:color w:val="auto"/>
                      <w:szCs w:val="21"/>
                      <w:highlight w:val="none"/>
                      <w:lang w:val="en-US" w:eastAsia="zh-CN"/>
                    </w:rPr>
                    <w:t>员工生活办公</w:t>
                  </w:r>
                </w:p>
              </w:tc>
              <w:tc>
                <w:tcPr>
                  <w:tcW w:w="1983" w:type="pct"/>
                  <w:vAlign w:val="center"/>
                </w:tcPr>
                <w:p w14:paraId="2F1D9802">
                  <w:pPr>
                    <w:widowControl/>
                    <w:adjustRightInd w:val="0"/>
                    <w:snapToGrid w:val="0"/>
                    <w:jc w:val="center"/>
                    <w:rPr>
                      <w:color w:val="auto"/>
                      <w:kern w:val="0"/>
                      <w:szCs w:val="21"/>
                      <w:highlight w:val="none"/>
                    </w:rPr>
                  </w:pPr>
                  <w:r>
                    <w:rPr>
                      <w:rFonts w:hint="eastAsia"/>
                      <w:color w:val="auto"/>
                      <w:kern w:val="0"/>
                      <w:szCs w:val="21"/>
                      <w:highlight w:val="none"/>
                      <w:lang w:val="en-US" w:eastAsia="zh-CN"/>
                    </w:rPr>
                    <w:t>生活垃圾</w:t>
                  </w:r>
                </w:p>
              </w:tc>
            </w:tr>
            <w:tr w14:paraId="5A81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51A8E144">
                  <w:pPr>
                    <w:jc w:val="center"/>
                    <w:rPr>
                      <w:rFonts w:hint="eastAsia"/>
                      <w:color w:val="auto"/>
                      <w:szCs w:val="21"/>
                      <w:highlight w:val="none"/>
                      <w:lang w:val="en-US" w:eastAsia="zh-CN"/>
                    </w:rPr>
                  </w:pPr>
                </w:p>
              </w:tc>
              <w:tc>
                <w:tcPr>
                  <w:tcW w:w="1037" w:type="pct"/>
                  <w:vAlign w:val="center"/>
                </w:tcPr>
                <w:p w14:paraId="1920A0DC">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隔油-预处理池</w:t>
                  </w:r>
                </w:p>
              </w:tc>
              <w:tc>
                <w:tcPr>
                  <w:tcW w:w="1306" w:type="pct"/>
                  <w:vAlign w:val="center"/>
                </w:tcPr>
                <w:p w14:paraId="74D41286">
                  <w:pPr>
                    <w:jc w:val="center"/>
                    <w:rPr>
                      <w:rFonts w:hint="default"/>
                      <w:color w:val="auto"/>
                      <w:szCs w:val="21"/>
                      <w:highlight w:val="none"/>
                      <w:lang w:val="en-US" w:eastAsia="zh-CN"/>
                    </w:rPr>
                  </w:pPr>
                  <w:r>
                    <w:rPr>
                      <w:rFonts w:hint="eastAsia"/>
                      <w:color w:val="auto"/>
                      <w:szCs w:val="21"/>
                      <w:highlight w:val="none"/>
                      <w:lang w:val="en-US" w:eastAsia="zh-CN"/>
                    </w:rPr>
                    <w:t>生活污水预处理</w:t>
                  </w:r>
                </w:p>
              </w:tc>
              <w:tc>
                <w:tcPr>
                  <w:tcW w:w="1983" w:type="pct"/>
                  <w:vAlign w:val="center"/>
                </w:tcPr>
                <w:p w14:paraId="50C36B1D">
                  <w:pPr>
                    <w:widowControl/>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预处理池污泥</w:t>
                  </w:r>
                </w:p>
              </w:tc>
            </w:tr>
            <w:tr w14:paraId="52B9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5E75F23E">
                  <w:pPr>
                    <w:jc w:val="center"/>
                    <w:rPr>
                      <w:rFonts w:hint="eastAsia"/>
                      <w:color w:val="auto"/>
                      <w:szCs w:val="21"/>
                      <w:highlight w:val="none"/>
                      <w:lang w:val="en-US" w:eastAsia="zh-CN"/>
                    </w:rPr>
                  </w:pPr>
                </w:p>
              </w:tc>
              <w:tc>
                <w:tcPr>
                  <w:tcW w:w="1037" w:type="pct"/>
                  <w:vAlign w:val="center"/>
                </w:tcPr>
                <w:p w14:paraId="583C1B3A">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生产装置</w:t>
                  </w:r>
                </w:p>
              </w:tc>
              <w:tc>
                <w:tcPr>
                  <w:tcW w:w="1306" w:type="pct"/>
                  <w:vAlign w:val="center"/>
                </w:tcPr>
                <w:p w14:paraId="56B1F436">
                  <w:pPr>
                    <w:jc w:val="center"/>
                    <w:rPr>
                      <w:rFonts w:hint="default"/>
                      <w:color w:val="auto"/>
                      <w:szCs w:val="21"/>
                      <w:highlight w:val="none"/>
                      <w:lang w:val="en-US" w:eastAsia="zh-CN"/>
                    </w:rPr>
                  </w:pPr>
                  <w:r>
                    <w:rPr>
                      <w:rFonts w:hint="eastAsia"/>
                      <w:color w:val="auto"/>
                      <w:szCs w:val="21"/>
                      <w:highlight w:val="none"/>
                      <w:lang w:val="en-US" w:eastAsia="zh-CN"/>
                    </w:rPr>
                    <w:t>设备维修保养</w:t>
                  </w:r>
                </w:p>
              </w:tc>
              <w:tc>
                <w:tcPr>
                  <w:tcW w:w="1983" w:type="pct"/>
                  <w:vAlign w:val="center"/>
                </w:tcPr>
                <w:p w14:paraId="4A258CCF">
                  <w:pPr>
                    <w:adjustRightInd w:val="0"/>
                    <w:snapToGrid w:val="0"/>
                    <w:jc w:val="center"/>
                    <w:rPr>
                      <w:rFonts w:hint="default" w:eastAsia="宋体"/>
                      <w:color w:val="auto"/>
                      <w:kern w:val="0"/>
                      <w:szCs w:val="21"/>
                      <w:highlight w:val="none"/>
                      <w:lang w:val="en-US" w:eastAsia="zh-CN"/>
                    </w:rPr>
                  </w:pPr>
                  <w:r>
                    <w:rPr>
                      <w:rFonts w:hint="eastAsia" w:ascii="Times New Roman" w:hAnsi="Times New Roman" w:eastAsia="宋体" w:cs="Times New Roman"/>
                      <w:color w:val="auto"/>
                      <w:szCs w:val="21"/>
                      <w:highlight w:val="none"/>
                      <w:lang w:val="en-US" w:eastAsia="zh-CN"/>
                    </w:rPr>
                    <w:t>废含油棉纱、手套</w:t>
                  </w:r>
                </w:p>
              </w:tc>
            </w:tr>
            <w:tr w14:paraId="58C5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33151E8E">
                  <w:pPr>
                    <w:jc w:val="center"/>
                    <w:rPr>
                      <w:rFonts w:hint="eastAsia"/>
                      <w:color w:val="auto"/>
                      <w:szCs w:val="21"/>
                      <w:highlight w:val="none"/>
                      <w:lang w:val="en-US" w:eastAsia="zh-CN"/>
                    </w:rPr>
                  </w:pPr>
                </w:p>
              </w:tc>
              <w:tc>
                <w:tcPr>
                  <w:tcW w:w="1037" w:type="pct"/>
                  <w:vAlign w:val="center"/>
                </w:tcPr>
                <w:p w14:paraId="56A21B90">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生产装置</w:t>
                  </w:r>
                </w:p>
              </w:tc>
              <w:tc>
                <w:tcPr>
                  <w:tcW w:w="1306" w:type="pct"/>
                  <w:vAlign w:val="center"/>
                </w:tcPr>
                <w:p w14:paraId="5CADDFAF">
                  <w:pPr>
                    <w:jc w:val="center"/>
                    <w:rPr>
                      <w:rFonts w:hint="eastAsia"/>
                      <w:color w:val="auto"/>
                      <w:szCs w:val="21"/>
                      <w:highlight w:val="none"/>
                      <w:lang w:val="en-US" w:eastAsia="zh-CN"/>
                    </w:rPr>
                  </w:pPr>
                  <w:r>
                    <w:rPr>
                      <w:rFonts w:hint="eastAsia"/>
                      <w:color w:val="auto"/>
                      <w:szCs w:val="21"/>
                      <w:highlight w:val="none"/>
                      <w:lang w:val="en-US" w:eastAsia="zh-CN"/>
                    </w:rPr>
                    <w:t>设备维修保养</w:t>
                  </w:r>
                </w:p>
              </w:tc>
              <w:tc>
                <w:tcPr>
                  <w:tcW w:w="1983" w:type="pct"/>
                  <w:vAlign w:val="center"/>
                </w:tcPr>
                <w:p w14:paraId="38AEB78A">
                  <w:pPr>
                    <w:adjustRightInd w:val="0"/>
                    <w:snapToGrid w:val="0"/>
                    <w:jc w:val="center"/>
                    <w:rPr>
                      <w:rFonts w:hint="default" w:eastAsia="宋体"/>
                      <w:color w:val="auto"/>
                      <w:kern w:val="0"/>
                      <w:szCs w:val="21"/>
                      <w:highlight w:val="none"/>
                      <w:lang w:val="en-US" w:eastAsia="zh-CN"/>
                    </w:rPr>
                  </w:pPr>
                  <w:r>
                    <w:rPr>
                      <w:rFonts w:hint="eastAsia" w:ascii="Times New Roman" w:hAnsi="Times New Roman" w:eastAsia="宋体" w:cs="Times New Roman"/>
                      <w:color w:val="auto"/>
                      <w:szCs w:val="21"/>
                      <w:highlight w:val="none"/>
                      <w:lang w:val="en-US" w:eastAsia="zh-CN"/>
                    </w:rPr>
                    <w:t>废润滑油</w:t>
                  </w:r>
                </w:p>
              </w:tc>
            </w:tr>
            <w:tr w14:paraId="7B80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2AFF1789">
                  <w:pPr>
                    <w:jc w:val="center"/>
                    <w:rPr>
                      <w:rFonts w:hint="eastAsia"/>
                      <w:color w:val="auto"/>
                      <w:szCs w:val="21"/>
                      <w:highlight w:val="none"/>
                      <w:lang w:val="en-US" w:eastAsia="zh-CN"/>
                    </w:rPr>
                  </w:pPr>
                </w:p>
              </w:tc>
              <w:tc>
                <w:tcPr>
                  <w:tcW w:w="1037" w:type="pct"/>
                  <w:vAlign w:val="center"/>
                </w:tcPr>
                <w:p w14:paraId="126F6F2D">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厂区污水处理站</w:t>
                  </w:r>
                </w:p>
              </w:tc>
              <w:tc>
                <w:tcPr>
                  <w:tcW w:w="1306" w:type="pct"/>
                  <w:vAlign w:val="center"/>
                </w:tcPr>
                <w:p w14:paraId="59075AA1">
                  <w:pPr>
                    <w:jc w:val="center"/>
                    <w:rPr>
                      <w:rFonts w:hint="default"/>
                      <w:color w:val="auto"/>
                      <w:szCs w:val="21"/>
                      <w:highlight w:val="none"/>
                      <w:lang w:val="en-US" w:eastAsia="zh-CN"/>
                    </w:rPr>
                  </w:pPr>
                  <w:r>
                    <w:rPr>
                      <w:rFonts w:hint="eastAsia"/>
                      <w:color w:val="auto"/>
                      <w:szCs w:val="21"/>
                      <w:highlight w:val="none"/>
                      <w:lang w:val="en-US" w:eastAsia="zh-CN"/>
                    </w:rPr>
                    <w:t>污泥压滤</w:t>
                  </w:r>
                </w:p>
              </w:tc>
              <w:tc>
                <w:tcPr>
                  <w:tcW w:w="1983" w:type="pct"/>
                  <w:vAlign w:val="center"/>
                </w:tcPr>
                <w:p w14:paraId="731AAFDE">
                  <w:pPr>
                    <w:adjustRightInd w:val="0"/>
                    <w:snapToGrid w:val="0"/>
                    <w:jc w:val="center"/>
                    <w:rPr>
                      <w:rFonts w:hint="default" w:eastAsia="宋体"/>
                      <w:color w:val="auto"/>
                      <w:kern w:val="0"/>
                      <w:szCs w:val="21"/>
                      <w:highlight w:val="none"/>
                      <w:lang w:val="en-US" w:eastAsia="zh-CN"/>
                    </w:rPr>
                  </w:pPr>
                  <w:r>
                    <w:rPr>
                      <w:rFonts w:hint="eastAsia" w:ascii="Times New Roman" w:hAnsi="Times New Roman" w:eastAsia="宋体" w:cs="Times New Roman"/>
                      <w:color w:val="auto"/>
                      <w:szCs w:val="21"/>
                      <w:highlight w:val="none"/>
                      <w:lang w:val="en-US" w:eastAsia="zh-CN"/>
                    </w:rPr>
                    <w:t>污水处理站污泥</w:t>
                  </w:r>
                </w:p>
              </w:tc>
            </w:tr>
            <w:tr w14:paraId="6753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Merge w:val="continue"/>
                  <w:vAlign w:val="center"/>
                </w:tcPr>
                <w:p w14:paraId="61A827EE">
                  <w:pPr>
                    <w:jc w:val="center"/>
                    <w:rPr>
                      <w:rFonts w:hint="eastAsia"/>
                      <w:color w:val="auto"/>
                      <w:szCs w:val="21"/>
                      <w:highlight w:val="none"/>
                      <w:lang w:val="en-US" w:eastAsia="zh-CN"/>
                    </w:rPr>
                  </w:pPr>
                </w:p>
              </w:tc>
              <w:tc>
                <w:tcPr>
                  <w:tcW w:w="1037" w:type="pct"/>
                  <w:vAlign w:val="center"/>
                </w:tcPr>
                <w:p w14:paraId="3CB54673">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污水处理站废气处理装置</w:t>
                  </w:r>
                </w:p>
              </w:tc>
              <w:tc>
                <w:tcPr>
                  <w:tcW w:w="1306" w:type="pct"/>
                  <w:vAlign w:val="center"/>
                </w:tcPr>
                <w:p w14:paraId="4E7CDA79">
                  <w:pPr>
                    <w:jc w:val="center"/>
                    <w:rPr>
                      <w:rFonts w:hint="default"/>
                      <w:color w:val="auto"/>
                      <w:szCs w:val="21"/>
                      <w:highlight w:val="none"/>
                      <w:lang w:val="en-US" w:eastAsia="zh-CN"/>
                    </w:rPr>
                  </w:pPr>
                  <w:r>
                    <w:rPr>
                      <w:rFonts w:hint="eastAsia" w:ascii="Times New Roman" w:hAnsi="Times New Roman" w:eastAsia="宋体" w:cs="Times New Roman"/>
                      <w:color w:val="auto"/>
                      <w:highlight w:val="none"/>
                      <w:lang w:val="en-US" w:eastAsia="zh-CN"/>
                    </w:rPr>
                    <w:t>废气处理设施活性炭更换</w:t>
                  </w:r>
                </w:p>
              </w:tc>
              <w:tc>
                <w:tcPr>
                  <w:tcW w:w="1983" w:type="pct"/>
                  <w:vAlign w:val="center"/>
                </w:tcPr>
                <w:p w14:paraId="7A8BEC73">
                  <w:pPr>
                    <w:adjustRightInd w:val="0"/>
                    <w:snapToGrid w:val="0"/>
                    <w:jc w:val="center"/>
                    <w:rPr>
                      <w:rFonts w:hint="default" w:eastAsia="宋体"/>
                      <w:color w:val="auto"/>
                      <w:kern w:val="0"/>
                      <w:szCs w:val="21"/>
                      <w:highlight w:val="none"/>
                      <w:lang w:val="en-US" w:eastAsia="zh-CN"/>
                    </w:rPr>
                  </w:pPr>
                  <w:r>
                    <w:rPr>
                      <w:rFonts w:hint="eastAsia"/>
                      <w:color w:val="auto"/>
                      <w:szCs w:val="21"/>
                      <w:highlight w:val="none"/>
                    </w:rPr>
                    <w:t>废活性炭</w:t>
                  </w:r>
                </w:p>
              </w:tc>
            </w:tr>
            <w:tr w14:paraId="69CE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2" w:type="pct"/>
                  <w:vAlign w:val="center"/>
                </w:tcPr>
                <w:p w14:paraId="7AB9A6E3">
                  <w:pPr>
                    <w:jc w:val="center"/>
                    <w:rPr>
                      <w:color w:val="auto"/>
                      <w:szCs w:val="21"/>
                      <w:highlight w:val="none"/>
                    </w:rPr>
                  </w:pPr>
                  <w:r>
                    <w:rPr>
                      <w:color w:val="auto"/>
                      <w:szCs w:val="21"/>
                      <w:highlight w:val="none"/>
                    </w:rPr>
                    <w:t>噪声</w:t>
                  </w:r>
                </w:p>
              </w:tc>
              <w:tc>
                <w:tcPr>
                  <w:tcW w:w="1037" w:type="pct"/>
                  <w:vAlign w:val="center"/>
                </w:tcPr>
                <w:p w14:paraId="7558EC6C">
                  <w:pPr>
                    <w:jc w:val="center"/>
                    <w:rPr>
                      <w:rFonts w:hint="default"/>
                      <w:color w:val="auto"/>
                      <w:szCs w:val="21"/>
                      <w:highlight w:val="none"/>
                      <w:lang w:val="en-US"/>
                    </w:rPr>
                  </w:pPr>
                  <w:r>
                    <w:rPr>
                      <w:rFonts w:hint="eastAsia"/>
                      <w:color w:val="auto"/>
                      <w:szCs w:val="21"/>
                      <w:highlight w:val="none"/>
                      <w:lang w:val="en-US" w:eastAsia="zh-CN"/>
                    </w:rPr>
                    <w:t>生产车间、公用工程等</w:t>
                  </w:r>
                </w:p>
              </w:tc>
              <w:tc>
                <w:tcPr>
                  <w:tcW w:w="1306" w:type="pct"/>
                  <w:vAlign w:val="center"/>
                </w:tcPr>
                <w:p w14:paraId="517852EA">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设备运行及工艺操作过程</w:t>
                  </w:r>
                </w:p>
              </w:tc>
              <w:tc>
                <w:tcPr>
                  <w:tcW w:w="1983" w:type="pct"/>
                  <w:vAlign w:val="center"/>
                </w:tcPr>
                <w:p w14:paraId="2D11A5DB">
                  <w:pPr>
                    <w:adjustRightInd w:val="0"/>
                    <w:snapToGrid w:val="0"/>
                    <w:jc w:val="center"/>
                    <w:rPr>
                      <w:rFonts w:hint="eastAsia" w:ascii="Times New Roman" w:hAnsi="Times New Roman" w:eastAsia="宋体" w:cs="Times New Roman"/>
                      <w:color w:val="auto"/>
                      <w:szCs w:val="21"/>
                      <w:highlight w:val="none"/>
                      <w:lang w:val="en-GB" w:eastAsia="zh-CN"/>
                    </w:rPr>
                  </w:pPr>
                  <w:r>
                    <w:rPr>
                      <w:rFonts w:hint="eastAsia" w:ascii="Times New Roman" w:hAnsi="Times New Roman" w:eastAsia="宋体" w:cs="Times New Roman"/>
                      <w:color w:val="auto"/>
                      <w:szCs w:val="21"/>
                      <w:highlight w:val="none"/>
                      <w:lang w:val="en-US" w:eastAsia="zh-CN"/>
                    </w:rPr>
                    <w:t>生产装置成套设备及配套电机、泵类以及</w:t>
                  </w:r>
                  <w:r>
                    <w:rPr>
                      <w:rFonts w:hint="eastAsia" w:cs="Times New Roman"/>
                      <w:color w:val="auto"/>
                      <w:szCs w:val="21"/>
                      <w:highlight w:val="none"/>
                      <w:lang w:val="en-US" w:eastAsia="zh-CN"/>
                    </w:rPr>
                    <w:t>纯（软）</w:t>
                  </w:r>
                  <w:r>
                    <w:rPr>
                      <w:rFonts w:hint="eastAsia" w:ascii="Times New Roman" w:hAnsi="Times New Roman" w:eastAsia="宋体" w:cs="Times New Roman"/>
                      <w:color w:val="auto"/>
                      <w:szCs w:val="21"/>
                      <w:highlight w:val="none"/>
                      <w:lang w:val="en-US" w:eastAsia="zh-CN"/>
                    </w:rPr>
                    <w:t>水制备装置配套水泵等</w:t>
                  </w:r>
                </w:p>
              </w:tc>
            </w:tr>
          </w:tbl>
          <w:p w14:paraId="2B81FC14">
            <w:pPr>
              <w:spacing w:line="360" w:lineRule="auto"/>
              <w:ind w:left="420" w:leftChars="200"/>
              <w:rPr>
                <w:b/>
                <w:color w:val="auto"/>
                <w:sz w:val="24"/>
                <w:highlight w:val="none"/>
              </w:rPr>
            </w:pPr>
            <w:r>
              <w:rPr>
                <w:rFonts w:hint="eastAsia"/>
                <w:b/>
                <w:color w:val="auto"/>
                <w:sz w:val="24"/>
                <w:highlight w:val="none"/>
                <w:lang w:val="en-US" w:eastAsia="zh-CN"/>
              </w:rPr>
              <w:t>3</w:t>
            </w:r>
            <w:r>
              <w:rPr>
                <w:b/>
                <w:color w:val="auto"/>
                <w:sz w:val="24"/>
                <w:highlight w:val="none"/>
              </w:rPr>
              <w:t>、物料平衡</w:t>
            </w:r>
          </w:p>
          <w:p w14:paraId="480C5AFB">
            <w:pPr>
              <w:pStyle w:val="42"/>
              <w:rPr>
                <w:color w:val="auto"/>
                <w:highlight w:val="none"/>
              </w:rPr>
            </w:pPr>
            <w:r>
              <w:rPr>
                <w:rFonts w:hint="eastAsia"/>
                <w:color w:val="auto"/>
                <w:highlight w:val="none"/>
                <w:lang w:val="en-US" w:eastAsia="zh-CN"/>
              </w:rPr>
              <w:t>本项目</w:t>
            </w:r>
            <w:r>
              <w:rPr>
                <w:color w:val="auto"/>
                <w:highlight w:val="none"/>
              </w:rPr>
              <w:t>物料平衡表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764"/>
              <w:gridCol w:w="1523"/>
              <w:gridCol w:w="2715"/>
              <w:gridCol w:w="1454"/>
            </w:tblGrid>
            <w:tr w14:paraId="224D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634" w:type="pct"/>
                  <w:shd w:val="clear" w:color="auto" w:fill="FFFFFF"/>
                  <w:vAlign w:val="center"/>
                </w:tcPr>
                <w:p w14:paraId="4355EA9E">
                  <w:pPr>
                    <w:keepNext w:val="0"/>
                    <w:keepLines w:val="0"/>
                    <w:widowControl/>
                    <w:suppressLineNumbers w:val="0"/>
                    <w:jc w:val="center"/>
                    <w:textAlignment w:val="center"/>
                    <w:rPr>
                      <w:rFonts w:hint="default" w:ascii="Times New Roman" w:hAnsi="Times New Roman" w:eastAsia="宋体" w:cs="Times New Roman"/>
                      <w:b/>
                      <w:bCs w:val="0"/>
                      <w:i w:val="0"/>
                      <w:iCs w:val="0"/>
                      <w:color w:val="auto"/>
                      <w:sz w:val="21"/>
                      <w:szCs w:val="21"/>
                      <w:highlight w:val="none"/>
                      <w:u w:val="none"/>
                    </w:rPr>
                  </w:pPr>
                  <w:r>
                    <w:rPr>
                      <w:rFonts w:hint="default" w:ascii="Times New Roman" w:hAnsi="Times New Roman" w:eastAsia="宋体" w:cs="Times New Roman"/>
                      <w:b/>
                      <w:bCs w:val="0"/>
                      <w:i w:val="0"/>
                      <w:iCs w:val="0"/>
                      <w:color w:val="auto"/>
                      <w:kern w:val="0"/>
                      <w:sz w:val="21"/>
                      <w:szCs w:val="21"/>
                      <w:highlight w:val="none"/>
                      <w:u w:val="none"/>
                      <w:lang w:val="en-US" w:eastAsia="zh-CN" w:bidi="ar"/>
                    </w:rPr>
                    <w:t>物料名称</w:t>
                  </w:r>
                </w:p>
              </w:tc>
              <w:tc>
                <w:tcPr>
                  <w:tcW w:w="900" w:type="pct"/>
                  <w:shd w:val="clear" w:color="auto" w:fill="FFFFFF"/>
                  <w:vAlign w:val="center"/>
                </w:tcPr>
                <w:p w14:paraId="44CC6B25">
                  <w:pPr>
                    <w:keepNext w:val="0"/>
                    <w:keepLines w:val="0"/>
                    <w:widowControl/>
                    <w:suppressLineNumbers w:val="0"/>
                    <w:jc w:val="center"/>
                    <w:textAlignment w:val="center"/>
                    <w:rPr>
                      <w:rFonts w:hint="default" w:ascii="Times New Roman" w:hAnsi="Times New Roman" w:eastAsia="宋体" w:cs="Times New Roman"/>
                      <w:b/>
                      <w:bCs w:val="0"/>
                      <w:i w:val="0"/>
                      <w:iCs w:val="0"/>
                      <w:color w:val="auto"/>
                      <w:sz w:val="21"/>
                      <w:szCs w:val="21"/>
                      <w:highlight w:val="none"/>
                      <w:u w:val="none"/>
                    </w:rPr>
                  </w:pPr>
                  <w:r>
                    <w:rPr>
                      <w:rFonts w:hint="eastAsia" w:cs="Times New Roman"/>
                      <w:b/>
                      <w:bCs w:val="0"/>
                      <w:i w:val="0"/>
                      <w:iCs w:val="0"/>
                      <w:color w:val="auto"/>
                      <w:kern w:val="0"/>
                      <w:sz w:val="21"/>
                      <w:szCs w:val="21"/>
                      <w:highlight w:val="none"/>
                      <w:u w:val="none"/>
                      <w:lang w:val="en-US" w:eastAsia="zh-CN" w:bidi="ar"/>
                    </w:rPr>
                    <w:t>投入（t/a）</w:t>
                  </w:r>
                </w:p>
              </w:tc>
              <w:tc>
                <w:tcPr>
                  <w:tcW w:w="1605" w:type="pct"/>
                  <w:shd w:val="clear" w:color="auto" w:fill="FFFFFF"/>
                  <w:vAlign w:val="center"/>
                </w:tcPr>
                <w:p w14:paraId="1EA8C79C">
                  <w:pPr>
                    <w:keepNext w:val="0"/>
                    <w:keepLines w:val="0"/>
                    <w:widowControl/>
                    <w:suppressLineNumbers w:val="0"/>
                    <w:jc w:val="center"/>
                    <w:textAlignment w:val="center"/>
                    <w:rPr>
                      <w:rFonts w:hint="default" w:ascii="Times New Roman" w:hAnsi="Times New Roman" w:eastAsia="宋体" w:cs="Times New Roman"/>
                      <w:b/>
                      <w:bCs w:val="0"/>
                      <w:i w:val="0"/>
                      <w:iCs w:val="0"/>
                      <w:color w:val="auto"/>
                      <w:sz w:val="21"/>
                      <w:szCs w:val="21"/>
                      <w:highlight w:val="none"/>
                      <w:u w:val="none"/>
                    </w:rPr>
                  </w:pPr>
                  <w:r>
                    <w:rPr>
                      <w:rFonts w:hint="default" w:ascii="Times New Roman" w:hAnsi="Times New Roman" w:eastAsia="宋体" w:cs="Times New Roman"/>
                      <w:b/>
                      <w:bCs w:val="0"/>
                      <w:i w:val="0"/>
                      <w:iCs w:val="0"/>
                      <w:color w:val="auto"/>
                      <w:kern w:val="0"/>
                      <w:sz w:val="21"/>
                      <w:szCs w:val="21"/>
                      <w:highlight w:val="none"/>
                      <w:u w:val="none"/>
                      <w:lang w:val="en-US" w:eastAsia="zh-CN" w:bidi="ar"/>
                    </w:rPr>
                    <w:t>去向</w:t>
                  </w:r>
                </w:p>
              </w:tc>
              <w:tc>
                <w:tcPr>
                  <w:tcW w:w="859" w:type="pct"/>
                  <w:shd w:val="clear" w:color="auto" w:fill="FFFFFF"/>
                  <w:vAlign w:val="center"/>
                </w:tcPr>
                <w:p w14:paraId="42965651">
                  <w:pPr>
                    <w:keepNext w:val="0"/>
                    <w:keepLines w:val="0"/>
                    <w:widowControl/>
                    <w:suppressLineNumbers w:val="0"/>
                    <w:jc w:val="center"/>
                    <w:textAlignment w:val="center"/>
                    <w:rPr>
                      <w:rFonts w:hint="default" w:ascii="Times New Roman" w:hAnsi="Times New Roman" w:eastAsia="宋体" w:cs="Times New Roman"/>
                      <w:b/>
                      <w:bCs w:val="0"/>
                      <w:i w:val="0"/>
                      <w:iCs w:val="0"/>
                      <w:color w:val="auto"/>
                      <w:sz w:val="21"/>
                      <w:szCs w:val="21"/>
                      <w:highlight w:val="none"/>
                      <w:u w:val="none"/>
                    </w:rPr>
                  </w:pPr>
                  <w:r>
                    <w:rPr>
                      <w:rFonts w:hint="eastAsia" w:cs="Times New Roman"/>
                      <w:b/>
                      <w:bCs w:val="0"/>
                      <w:i w:val="0"/>
                      <w:iCs w:val="0"/>
                      <w:color w:val="auto"/>
                      <w:kern w:val="0"/>
                      <w:sz w:val="21"/>
                      <w:szCs w:val="21"/>
                      <w:highlight w:val="none"/>
                      <w:u w:val="none"/>
                      <w:lang w:val="en-US" w:eastAsia="zh-CN" w:bidi="ar"/>
                    </w:rPr>
                    <w:t>产出（t/a）</w:t>
                  </w:r>
                </w:p>
              </w:tc>
            </w:tr>
            <w:tr w14:paraId="341E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pct"/>
                  <w:shd w:val="clear" w:color="auto" w:fill="FFFFFF"/>
                  <w:vAlign w:val="center"/>
                </w:tcPr>
                <w:p w14:paraId="399985ED">
                  <w:pPr>
                    <w:keepNext w:val="0"/>
                    <w:keepLines w:val="0"/>
                    <w:widowControl/>
                    <w:suppressLineNumbers w:val="0"/>
                    <w:jc w:val="center"/>
                    <w:textAlignment w:val="center"/>
                    <w:rPr>
                      <w:rFonts w:hint="eastAsia"/>
                      <w:color w:val="auto"/>
                      <w:sz w:val="21"/>
                      <w:highlight w:val="none"/>
                      <w:lang w:val="en-US" w:eastAsia="zh-CN"/>
                    </w:rPr>
                  </w:pPr>
                  <w:r>
                    <w:rPr>
                      <w:rFonts w:hint="eastAsia"/>
                      <w:color w:val="auto"/>
                      <w:sz w:val="21"/>
                      <w:highlight w:val="none"/>
                      <w:lang w:val="en-US" w:eastAsia="zh-CN"/>
                    </w:rPr>
                    <w:t>三乙醇胺（纯度≥99.5%）</w:t>
                  </w:r>
                </w:p>
              </w:tc>
              <w:tc>
                <w:tcPr>
                  <w:tcW w:w="900" w:type="pct"/>
                  <w:shd w:val="clear" w:color="auto" w:fill="FFFFFF"/>
                  <w:vAlign w:val="center"/>
                </w:tcPr>
                <w:p w14:paraId="70E13372">
                  <w:pPr>
                    <w:keepNext w:val="0"/>
                    <w:keepLines w:val="0"/>
                    <w:widowControl/>
                    <w:suppressLineNumbers w:val="0"/>
                    <w:jc w:val="center"/>
                    <w:textAlignment w:val="center"/>
                    <w:rPr>
                      <w:rFonts w:hint="default"/>
                      <w:color w:val="auto"/>
                      <w:sz w:val="21"/>
                      <w:highlight w:val="none"/>
                      <w:lang w:val="en-US" w:eastAsia="zh-CN"/>
                    </w:rPr>
                  </w:pPr>
                  <w:r>
                    <w:rPr>
                      <w:rFonts w:hint="eastAsia"/>
                      <w:color w:val="auto"/>
                      <w:sz w:val="21"/>
                      <w:highlight w:val="none"/>
                      <w:lang w:val="en-US" w:eastAsia="zh-CN"/>
                    </w:rPr>
                    <w:t>2500</w:t>
                  </w:r>
                </w:p>
              </w:tc>
              <w:tc>
                <w:tcPr>
                  <w:tcW w:w="1605" w:type="pct"/>
                  <w:shd w:val="clear" w:color="auto" w:fill="FFFFFF"/>
                  <w:vAlign w:val="center"/>
                </w:tcPr>
                <w:p w14:paraId="282217B9">
                  <w:pPr>
                    <w:keepNext w:val="0"/>
                    <w:keepLines w:val="0"/>
                    <w:widowControl/>
                    <w:suppressLineNumbers w:val="0"/>
                    <w:jc w:val="center"/>
                    <w:textAlignment w:val="center"/>
                    <w:rPr>
                      <w:rFonts w:hint="default"/>
                      <w:color w:val="auto"/>
                      <w:sz w:val="21"/>
                      <w:highlight w:val="none"/>
                      <w:lang w:val="en-US" w:eastAsia="zh-CN"/>
                    </w:rPr>
                  </w:pPr>
                  <w:r>
                    <w:rPr>
                      <w:rFonts w:hint="eastAsia"/>
                      <w:color w:val="auto"/>
                      <w:sz w:val="21"/>
                      <w:highlight w:val="none"/>
                      <w:lang w:val="en-US" w:eastAsia="zh-CN"/>
                    </w:rPr>
                    <w:t>三乙醇胺（纯度≥99.9%）</w:t>
                  </w:r>
                </w:p>
              </w:tc>
              <w:tc>
                <w:tcPr>
                  <w:tcW w:w="859" w:type="pct"/>
                  <w:shd w:val="clear" w:color="auto" w:fill="FFFFFF"/>
                  <w:vAlign w:val="center"/>
                </w:tcPr>
                <w:p w14:paraId="7E47EBC8">
                  <w:pPr>
                    <w:keepNext w:val="0"/>
                    <w:keepLines w:val="0"/>
                    <w:widowControl/>
                    <w:suppressLineNumbers w:val="0"/>
                    <w:jc w:val="center"/>
                    <w:textAlignment w:val="center"/>
                    <w:rPr>
                      <w:rFonts w:hint="default"/>
                      <w:color w:val="auto"/>
                      <w:sz w:val="21"/>
                      <w:highlight w:val="none"/>
                      <w:lang w:val="en-US" w:eastAsia="zh-CN"/>
                    </w:rPr>
                  </w:pPr>
                  <w:r>
                    <w:rPr>
                      <w:rFonts w:hint="eastAsia"/>
                      <w:color w:val="auto"/>
                      <w:sz w:val="21"/>
                      <w:highlight w:val="none"/>
                      <w:lang w:val="en-US" w:eastAsia="zh-CN"/>
                    </w:rPr>
                    <w:t>2250</w:t>
                  </w:r>
                </w:p>
              </w:tc>
            </w:tr>
            <w:tr w14:paraId="0DEA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34" w:type="pct"/>
                  <w:shd w:val="clear" w:color="auto" w:fill="FFFFFF"/>
                  <w:vAlign w:val="center"/>
                </w:tcPr>
                <w:p w14:paraId="1678E958">
                  <w:pPr>
                    <w:keepNext w:val="0"/>
                    <w:keepLines w:val="0"/>
                    <w:widowControl/>
                    <w:suppressLineNumbers w:val="0"/>
                    <w:jc w:val="center"/>
                    <w:textAlignment w:val="center"/>
                    <w:rPr>
                      <w:rFonts w:hint="default"/>
                      <w:color w:val="auto"/>
                      <w:sz w:val="21"/>
                      <w:highlight w:val="none"/>
                      <w:lang w:val="en-US" w:eastAsia="zh-CN"/>
                    </w:rPr>
                  </w:pPr>
                  <w:r>
                    <w:rPr>
                      <w:rFonts w:hint="eastAsia"/>
                      <w:color w:val="auto"/>
                      <w:sz w:val="21"/>
                      <w:highlight w:val="none"/>
                      <w:lang w:val="en-US" w:eastAsia="zh-CN"/>
                    </w:rPr>
                    <w:t>N-甲基一乙醇胺（≥99.3%）</w:t>
                  </w:r>
                </w:p>
              </w:tc>
              <w:tc>
                <w:tcPr>
                  <w:tcW w:w="900" w:type="pct"/>
                  <w:shd w:val="clear" w:color="auto" w:fill="FFFFFF"/>
                  <w:vAlign w:val="center"/>
                </w:tcPr>
                <w:p w14:paraId="0F955499">
                  <w:pPr>
                    <w:keepNext w:val="0"/>
                    <w:keepLines w:val="0"/>
                    <w:widowControl/>
                    <w:suppressLineNumbers w:val="0"/>
                    <w:jc w:val="center"/>
                    <w:textAlignment w:val="center"/>
                    <w:rPr>
                      <w:rFonts w:hint="default"/>
                      <w:color w:val="auto"/>
                      <w:sz w:val="21"/>
                      <w:highlight w:val="none"/>
                      <w:lang w:val="en-US" w:eastAsia="zh-CN"/>
                    </w:rPr>
                  </w:pPr>
                  <w:r>
                    <w:rPr>
                      <w:rFonts w:hint="eastAsia"/>
                      <w:color w:val="auto"/>
                      <w:sz w:val="21"/>
                      <w:highlight w:val="none"/>
                      <w:lang w:val="en-US" w:eastAsia="zh-CN"/>
                    </w:rPr>
                    <w:t>500</w:t>
                  </w:r>
                </w:p>
              </w:tc>
              <w:tc>
                <w:tcPr>
                  <w:tcW w:w="1605" w:type="pct"/>
                  <w:shd w:val="clear" w:color="auto" w:fill="FFFFFF"/>
                  <w:vAlign w:val="center"/>
                </w:tcPr>
                <w:p w14:paraId="6A120197">
                  <w:pPr>
                    <w:keepNext w:val="0"/>
                    <w:keepLines w:val="0"/>
                    <w:widowControl/>
                    <w:suppressLineNumbers w:val="0"/>
                    <w:jc w:val="center"/>
                    <w:textAlignment w:val="center"/>
                    <w:rPr>
                      <w:rFonts w:hint="default"/>
                      <w:color w:val="auto"/>
                      <w:sz w:val="21"/>
                      <w:highlight w:val="none"/>
                      <w:lang w:val="en-US" w:eastAsia="zh-CN"/>
                    </w:rPr>
                  </w:pPr>
                  <w:r>
                    <w:rPr>
                      <w:rFonts w:hint="eastAsia"/>
                      <w:color w:val="auto"/>
                      <w:sz w:val="21"/>
                      <w:highlight w:val="none"/>
                      <w:lang w:val="en-US" w:eastAsia="zh-CN"/>
                    </w:rPr>
                    <w:t>三乙醇胺（纯度≥99%）</w:t>
                  </w:r>
                </w:p>
              </w:tc>
              <w:tc>
                <w:tcPr>
                  <w:tcW w:w="859" w:type="pct"/>
                  <w:shd w:val="clear" w:color="auto" w:fill="FFFFFF"/>
                  <w:vAlign w:val="center"/>
                </w:tcPr>
                <w:p w14:paraId="460A7D2A">
                  <w:pPr>
                    <w:keepNext w:val="0"/>
                    <w:keepLines w:val="0"/>
                    <w:widowControl/>
                    <w:suppressLineNumbers w:val="0"/>
                    <w:jc w:val="center"/>
                    <w:textAlignment w:val="center"/>
                    <w:rPr>
                      <w:rFonts w:hint="default"/>
                      <w:color w:val="auto"/>
                      <w:sz w:val="21"/>
                      <w:highlight w:val="none"/>
                      <w:lang w:val="en-US" w:eastAsia="zh-CN"/>
                    </w:rPr>
                  </w:pPr>
                  <w:r>
                    <w:rPr>
                      <w:rFonts w:hint="eastAsia"/>
                      <w:color w:val="auto"/>
                      <w:sz w:val="21"/>
                      <w:highlight w:val="none"/>
                      <w:lang w:val="en-US" w:eastAsia="zh-CN"/>
                    </w:rPr>
                    <w:t>249.5</w:t>
                  </w:r>
                </w:p>
              </w:tc>
            </w:tr>
            <w:tr w14:paraId="2BEF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 w:hRule="atLeast"/>
                <w:jc w:val="center"/>
              </w:trPr>
              <w:tc>
                <w:tcPr>
                  <w:tcW w:w="1634" w:type="pct"/>
                  <w:shd w:val="clear" w:color="auto" w:fill="FFFFFF"/>
                  <w:vAlign w:val="center"/>
                </w:tcPr>
                <w:p w14:paraId="635C4573">
                  <w:pPr>
                    <w:keepNext w:val="0"/>
                    <w:keepLines w:val="0"/>
                    <w:widowControl/>
                    <w:suppressLineNumbers w:val="0"/>
                    <w:jc w:val="center"/>
                    <w:textAlignment w:val="center"/>
                    <w:rPr>
                      <w:rFonts w:hint="eastAsia"/>
                      <w:color w:val="auto"/>
                      <w:sz w:val="21"/>
                      <w:highlight w:val="none"/>
                      <w:lang w:val="en-US" w:eastAsia="zh-CN"/>
                    </w:rPr>
                  </w:pPr>
                </w:p>
              </w:tc>
              <w:tc>
                <w:tcPr>
                  <w:tcW w:w="900" w:type="pct"/>
                  <w:shd w:val="clear" w:color="auto" w:fill="FFFFFF"/>
                  <w:vAlign w:val="center"/>
                </w:tcPr>
                <w:p w14:paraId="3185D63C">
                  <w:pPr>
                    <w:keepNext w:val="0"/>
                    <w:keepLines w:val="0"/>
                    <w:widowControl/>
                    <w:suppressLineNumbers w:val="0"/>
                    <w:jc w:val="center"/>
                    <w:textAlignment w:val="center"/>
                    <w:rPr>
                      <w:rFonts w:hint="eastAsia"/>
                      <w:color w:val="auto"/>
                      <w:sz w:val="21"/>
                      <w:highlight w:val="none"/>
                      <w:lang w:val="en-US" w:eastAsia="zh-CN"/>
                    </w:rPr>
                  </w:pPr>
                </w:p>
              </w:tc>
              <w:tc>
                <w:tcPr>
                  <w:tcW w:w="2715" w:type="dxa"/>
                  <w:shd w:val="clear" w:color="auto" w:fill="FFFFFF"/>
                  <w:vAlign w:val="center"/>
                </w:tcPr>
                <w:p w14:paraId="7FD86155">
                  <w:pPr>
                    <w:keepNext w:val="0"/>
                    <w:keepLines w:val="0"/>
                    <w:widowControl/>
                    <w:suppressLineNumbers w:val="0"/>
                    <w:jc w:val="center"/>
                    <w:textAlignment w:val="center"/>
                    <w:rPr>
                      <w:rFonts w:hint="eastAsia"/>
                      <w:color w:val="auto"/>
                      <w:sz w:val="21"/>
                      <w:highlight w:val="none"/>
                      <w:lang w:val="en-US" w:eastAsia="zh-CN"/>
                    </w:rPr>
                  </w:pPr>
                  <w:r>
                    <w:rPr>
                      <w:rFonts w:hint="eastAsia"/>
                      <w:color w:val="auto"/>
                      <w:sz w:val="21"/>
                      <w:highlight w:val="none"/>
                      <w:lang w:val="en-US" w:eastAsia="zh-CN"/>
                    </w:rPr>
                    <w:t>N-甲基一乙醇胺（≥99.9%）</w:t>
                  </w:r>
                </w:p>
              </w:tc>
              <w:tc>
                <w:tcPr>
                  <w:tcW w:w="1454" w:type="dxa"/>
                  <w:shd w:val="clear" w:color="auto" w:fill="FFFFFF"/>
                  <w:vAlign w:val="center"/>
                </w:tcPr>
                <w:p w14:paraId="17C183D4">
                  <w:pPr>
                    <w:keepNext w:val="0"/>
                    <w:keepLines w:val="0"/>
                    <w:widowControl/>
                    <w:suppressLineNumbers w:val="0"/>
                    <w:jc w:val="center"/>
                    <w:textAlignment w:val="center"/>
                    <w:rPr>
                      <w:rFonts w:hint="default"/>
                      <w:color w:val="auto"/>
                      <w:sz w:val="21"/>
                      <w:highlight w:val="none"/>
                      <w:lang w:val="en-US" w:eastAsia="zh-CN"/>
                    </w:rPr>
                  </w:pPr>
                  <w:r>
                    <w:rPr>
                      <w:rFonts w:hint="eastAsia"/>
                      <w:color w:val="auto"/>
                      <w:sz w:val="21"/>
                      <w:highlight w:val="none"/>
                      <w:lang w:val="en-US" w:eastAsia="zh-CN"/>
                    </w:rPr>
                    <w:t>450</w:t>
                  </w:r>
                </w:p>
              </w:tc>
            </w:tr>
            <w:tr w14:paraId="0F25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34" w:type="pct"/>
                  <w:shd w:val="clear" w:color="auto" w:fill="FFFFFF"/>
                  <w:vAlign w:val="center"/>
                </w:tcPr>
                <w:p w14:paraId="0125AC48">
                  <w:pPr>
                    <w:keepNext w:val="0"/>
                    <w:keepLines w:val="0"/>
                    <w:widowControl/>
                    <w:suppressLineNumbers w:val="0"/>
                    <w:jc w:val="center"/>
                    <w:textAlignment w:val="center"/>
                    <w:rPr>
                      <w:rFonts w:hint="eastAsia"/>
                      <w:color w:val="auto"/>
                      <w:sz w:val="21"/>
                      <w:highlight w:val="none"/>
                      <w:lang w:val="en-US" w:eastAsia="zh-CN"/>
                    </w:rPr>
                  </w:pPr>
                </w:p>
              </w:tc>
              <w:tc>
                <w:tcPr>
                  <w:tcW w:w="900" w:type="pct"/>
                  <w:shd w:val="clear" w:color="auto" w:fill="FFFFFF"/>
                  <w:vAlign w:val="center"/>
                </w:tcPr>
                <w:p w14:paraId="42D0B034">
                  <w:pPr>
                    <w:keepNext w:val="0"/>
                    <w:keepLines w:val="0"/>
                    <w:widowControl/>
                    <w:suppressLineNumbers w:val="0"/>
                    <w:jc w:val="center"/>
                    <w:textAlignment w:val="center"/>
                    <w:rPr>
                      <w:rFonts w:hint="eastAsia"/>
                      <w:color w:val="auto"/>
                      <w:sz w:val="21"/>
                      <w:highlight w:val="none"/>
                      <w:lang w:val="en-US" w:eastAsia="zh-CN"/>
                    </w:rPr>
                  </w:pPr>
                </w:p>
              </w:tc>
              <w:tc>
                <w:tcPr>
                  <w:tcW w:w="2715" w:type="dxa"/>
                  <w:shd w:val="clear" w:color="auto" w:fill="FFFFFF"/>
                  <w:vAlign w:val="center"/>
                </w:tcPr>
                <w:p w14:paraId="7550C906">
                  <w:pPr>
                    <w:keepNext w:val="0"/>
                    <w:keepLines w:val="0"/>
                    <w:widowControl/>
                    <w:suppressLineNumbers w:val="0"/>
                    <w:jc w:val="center"/>
                    <w:textAlignment w:val="center"/>
                    <w:rPr>
                      <w:rFonts w:hint="eastAsia"/>
                      <w:color w:val="auto"/>
                      <w:sz w:val="21"/>
                      <w:highlight w:val="none"/>
                      <w:lang w:val="en-US" w:eastAsia="zh-CN"/>
                    </w:rPr>
                  </w:pPr>
                  <w:r>
                    <w:rPr>
                      <w:rFonts w:hint="eastAsia"/>
                      <w:color w:val="auto"/>
                      <w:sz w:val="21"/>
                      <w:highlight w:val="none"/>
                      <w:lang w:val="en-US" w:eastAsia="zh-CN"/>
                    </w:rPr>
                    <w:t>N-甲基一乙醇胺（≥99%）</w:t>
                  </w:r>
                </w:p>
              </w:tc>
              <w:tc>
                <w:tcPr>
                  <w:tcW w:w="1454" w:type="dxa"/>
                  <w:shd w:val="clear" w:color="auto" w:fill="FFFFFF"/>
                  <w:vAlign w:val="center"/>
                </w:tcPr>
                <w:p w14:paraId="2FA407F4">
                  <w:pPr>
                    <w:keepNext w:val="0"/>
                    <w:keepLines w:val="0"/>
                    <w:widowControl/>
                    <w:suppressLineNumbers w:val="0"/>
                    <w:jc w:val="center"/>
                    <w:textAlignment w:val="center"/>
                    <w:rPr>
                      <w:rFonts w:hint="default"/>
                      <w:color w:val="auto"/>
                      <w:sz w:val="21"/>
                      <w:highlight w:val="none"/>
                      <w:lang w:val="en-US" w:eastAsia="zh-CN"/>
                    </w:rPr>
                  </w:pPr>
                  <w:r>
                    <w:rPr>
                      <w:rFonts w:hint="eastAsia"/>
                      <w:color w:val="auto"/>
                      <w:sz w:val="21"/>
                      <w:highlight w:val="none"/>
                      <w:lang w:val="en-US" w:eastAsia="zh-CN"/>
                    </w:rPr>
                    <w:t>49.915</w:t>
                  </w:r>
                </w:p>
              </w:tc>
            </w:tr>
            <w:tr w14:paraId="124C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pct"/>
                  <w:shd w:val="clear" w:color="auto" w:fill="FFFFFF"/>
                  <w:vAlign w:val="center"/>
                </w:tcPr>
                <w:p w14:paraId="6CCAD62C">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lang w:val="en-US" w:eastAsia="zh-CN"/>
                    </w:rPr>
                  </w:pPr>
                </w:p>
              </w:tc>
              <w:tc>
                <w:tcPr>
                  <w:tcW w:w="900" w:type="pct"/>
                  <w:shd w:val="clear" w:color="auto" w:fill="FFFFFF"/>
                  <w:vAlign w:val="center"/>
                </w:tcPr>
                <w:p w14:paraId="6700D504">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lang w:val="en-US" w:eastAsia="zh-CN"/>
                    </w:rPr>
                  </w:pPr>
                </w:p>
              </w:tc>
              <w:tc>
                <w:tcPr>
                  <w:tcW w:w="1605" w:type="pct"/>
                  <w:shd w:val="clear" w:color="auto" w:fill="FFFFFF"/>
                  <w:vAlign w:val="center"/>
                </w:tcPr>
                <w:p w14:paraId="3747DA68">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eastAsia"/>
                      <w:color w:val="auto"/>
                      <w:kern w:val="0"/>
                      <w:szCs w:val="21"/>
                      <w:highlight w:val="none"/>
                      <w:lang w:val="en-US" w:eastAsia="zh-CN"/>
                    </w:rPr>
                    <w:t>蒸馏尾气</w:t>
                  </w:r>
                </w:p>
              </w:tc>
              <w:tc>
                <w:tcPr>
                  <w:tcW w:w="859" w:type="pct"/>
                  <w:shd w:val="clear" w:color="auto" w:fill="FFFFFF"/>
                  <w:vAlign w:val="center"/>
                </w:tcPr>
                <w:p w14:paraId="36DDC0E7">
                  <w:pPr>
                    <w:keepNext w:val="0"/>
                    <w:keepLines w:val="0"/>
                    <w:widowControl/>
                    <w:suppressLineNumbers w:val="0"/>
                    <w:jc w:val="center"/>
                    <w:textAlignment w:val="center"/>
                    <w:rPr>
                      <w:rFonts w:hint="default"/>
                      <w:color w:val="auto"/>
                      <w:sz w:val="21"/>
                      <w:highlight w:val="none"/>
                      <w:lang w:val="en-US" w:eastAsia="zh-CN"/>
                    </w:rPr>
                  </w:pPr>
                  <w:r>
                    <w:rPr>
                      <w:rFonts w:hint="eastAsia" w:cs="Times New Roman"/>
                      <w:i w:val="0"/>
                      <w:iCs w:val="0"/>
                      <w:color w:val="auto"/>
                      <w:kern w:val="0"/>
                      <w:sz w:val="21"/>
                      <w:szCs w:val="21"/>
                      <w:highlight w:val="none"/>
                      <w:u w:val="none"/>
                      <w:lang w:val="en-US" w:eastAsia="zh-CN" w:bidi="ar"/>
                    </w:rPr>
                    <w:t>0.6</w:t>
                  </w:r>
                </w:p>
              </w:tc>
            </w:tr>
            <w:tr w14:paraId="4FFA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1634" w:type="pct"/>
                  <w:shd w:val="clear" w:color="auto" w:fill="FFFFFF"/>
                  <w:vAlign w:val="center"/>
                </w:tcPr>
                <w:p w14:paraId="29C9919D">
                  <w:pPr>
                    <w:keepNext w:val="0"/>
                    <w:keepLines w:val="0"/>
                    <w:widowControl/>
                    <w:suppressLineNumbers w:val="0"/>
                    <w:jc w:val="center"/>
                    <w:textAlignment w:val="center"/>
                    <w:rPr>
                      <w:rFonts w:hint="default" w:ascii="Times New Roman" w:hAnsi="Times New Roman" w:eastAsia="宋体" w:cs="Times New Roman"/>
                      <w:b w:val="0"/>
                      <w:i w:val="0"/>
                      <w:iCs w:val="0"/>
                      <w:color w:val="auto"/>
                      <w:kern w:val="0"/>
                      <w:sz w:val="21"/>
                      <w:szCs w:val="21"/>
                      <w:highlight w:val="none"/>
                      <w:u w:val="none"/>
                      <w:lang w:val="en-US" w:eastAsia="zh-CN" w:bidi="ar"/>
                    </w:rPr>
                  </w:pPr>
                  <w:r>
                    <w:rPr>
                      <w:rFonts w:hint="eastAsia" w:cs="Times New Roman"/>
                      <w:b w:val="0"/>
                      <w:i w:val="0"/>
                      <w:iCs w:val="0"/>
                      <w:color w:val="auto"/>
                      <w:kern w:val="0"/>
                      <w:sz w:val="21"/>
                      <w:szCs w:val="21"/>
                      <w:highlight w:val="none"/>
                      <w:u w:val="none"/>
                      <w:lang w:val="en-US" w:eastAsia="zh-CN" w:bidi="ar"/>
                    </w:rPr>
                    <w:t>小计</w:t>
                  </w:r>
                </w:p>
              </w:tc>
              <w:tc>
                <w:tcPr>
                  <w:tcW w:w="900" w:type="pct"/>
                  <w:shd w:val="clear" w:color="auto" w:fill="FFFFFF"/>
                  <w:vAlign w:val="center"/>
                </w:tcPr>
                <w:p w14:paraId="52A3BEC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2"/>
                      <w:sz w:val="22"/>
                      <w:szCs w:val="22"/>
                      <w:highlight w:val="none"/>
                      <w:u w:val="none"/>
                      <w:lang w:val="en-US" w:eastAsia="zh-CN" w:bidi="ar-SA"/>
                    </w:rPr>
                    <w:t>3000</w:t>
                  </w:r>
                </w:p>
              </w:tc>
              <w:tc>
                <w:tcPr>
                  <w:tcW w:w="1605" w:type="pct"/>
                  <w:shd w:val="clear" w:color="auto" w:fill="FFFFFF"/>
                  <w:vAlign w:val="center"/>
                </w:tcPr>
                <w:p w14:paraId="1A6EB469">
                  <w:pPr>
                    <w:jc w:val="center"/>
                    <w:rPr>
                      <w:rFonts w:hint="eastAsia" w:ascii="Times New Roman" w:hAnsi="Times New Roman" w:eastAsia="宋体" w:cs="Times New Roman"/>
                      <w:b w:val="0"/>
                      <w:i w:val="0"/>
                      <w:iCs w:val="0"/>
                      <w:color w:val="auto"/>
                      <w:sz w:val="21"/>
                      <w:szCs w:val="21"/>
                      <w:highlight w:val="none"/>
                      <w:u w:val="none"/>
                      <w:lang w:val="en-US" w:eastAsia="zh-CN"/>
                    </w:rPr>
                  </w:pPr>
                  <w:r>
                    <w:rPr>
                      <w:rFonts w:hint="eastAsia" w:cs="Times New Roman"/>
                      <w:b w:val="0"/>
                      <w:i w:val="0"/>
                      <w:iCs w:val="0"/>
                      <w:color w:val="auto"/>
                      <w:sz w:val="21"/>
                      <w:szCs w:val="21"/>
                      <w:highlight w:val="none"/>
                      <w:u w:val="none"/>
                      <w:lang w:val="en-US" w:eastAsia="zh-CN"/>
                    </w:rPr>
                    <w:t>/</w:t>
                  </w:r>
                </w:p>
              </w:tc>
              <w:tc>
                <w:tcPr>
                  <w:tcW w:w="859" w:type="pct"/>
                  <w:shd w:val="clear" w:color="auto" w:fill="FFFFFF"/>
                  <w:vAlign w:val="center"/>
                </w:tcPr>
                <w:p w14:paraId="28C7556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3</w:t>
                  </w:r>
                  <w:r>
                    <w:rPr>
                      <w:rFonts w:hint="default" w:ascii="Times New Roman" w:hAnsi="Times New Roman" w:eastAsia="宋体" w:cs="Times New Roman"/>
                      <w:i w:val="0"/>
                      <w:iCs w:val="0"/>
                      <w:color w:val="auto"/>
                      <w:kern w:val="0"/>
                      <w:sz w:val="22"/>
                      <w:szCs w:val="22"/>
                      <w:highlight w:val="none"/>
                      <w:u w:val="none"/>
                      <w:lang w:val="en-US" w:eastAsia="zh-CN" w:bidi="ar"/>
                    </w:rPr>
                    <w:t>000</w:t>
                  </w:r>
                </w:p>
              </w:tc>
            </w:tr>
          </w:tbl>
          <w:p w14:paraId="1612AA8A">
            <w:pPr>
              <w:adjustRightInd w:val="0"/>
              <w:snapToGrid w:val="0"/>
              <w:rPr>
                <w:b/>
                <w:color w:val="auto"/>
                <w:szCs w:val="21"/>
                <w:highlight w:val="none"/>
              </w:rPr>
            </w:pPr>
          </w:p>
        </w:tc>
      </w:tr>
      <w:tr w14:paraId="10D31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 w:type="pct"/>
            <w:vAlign w:val="center"/>
          </w:tcPr>
          <w:p w14:paraId="5DFDCC82">
            <w:pPr>
              <w:widowControl/>
              <w:adjustRightInd w:val="0"/>
              <w:snapToGrid w:val="0"/>
              <w:jc w:val="center"/>
              <w:rPr>
                <w:color w:val="auto"/>
                <w:kern w:val="0"/>
                <w:sz w:val="24"/>
                <w:highlight w:val="none"/>
              </w:rPr>
            </w:pPr>
            <w:r>
              <w:rPr>
                <w:bCs/>
                <w:color w:val="auto"/>
                <w:sz w:val="24"/>
                <w:highlight w:val="none"/>
              </w:rPr>
              <w:t>与项目有关的原有环境污染问题</w:t>
            </w:r>
          </w:p>
        </w:tc>
        <w:tc>
          <w:tcPr>
            <w:tcW w:w="4795" w:type="pct"/>
          </w:tcPr>
          <w:p w14:paraId="1D5D3B4B">
            <w:pPr>
              <w:pStyle w:val="9"/>
              <w:numPr>
                <w:ilvl w:val="0"/>
                <w:numId w:val="0"/>
              </w:numPr>
              <w:bidi w:val="0"/>
              <w:ind w:right="113" w:rightChars="0"/>
              <w:rPr>
                <w:rFonts w:hint="default" w:ascii="Times New Roman" w:hAnsi="Times New Roman" w:eastAsia="宋体" w:cs="Times New Roman"/>
                <w:b/>
                <w:bCs/>
                <w:color w:val="auto"/>
                <w:sz w:val="24"/>
                <w:szCs w:val="24"/>
                <w:highlight w:val="none"/>
                <w:lang w:eastAsia="zh-CN"/>
              </w:rPr>
            </w:pPr>
            <w:r>
              <w:rPr>
                <w:rFonts w:hint="eastAsia"/>
                <w:b/>
                <w:bCs/>
                <w:color w:val="auto"/>
                <w:sz w:val="24"/>
                <w:highlight w:val="none"/>
              </w:rPr>
              <w:t>一</w:t>
            </w:r>
            <w:r>
              <w:rPr>
                <w:rFonts w:hint="eastAsia"/>
                <w:b/>
                <w:bCs/>
                <w:color w:val="auto"/>
                <w:sz w:val="24"/>
                <w:highlight w:val="none"/>
                <w:lang w:eastAsia="zh-CN"/>
              </w:rPr>
              <w:t>、</w:t>
            </w:r>
            <w:r>
              <w:rPr>
                <w:rFonts w:hint="default" w:ascii="Times New Roman" w:hAnsi="Times New Roman" w:eastAsia="宋体" w:cs="Times New Roman"/>
                <w:b/>
                <w:bCs/>
                <w:color w:val="auto"/>
                <w:sz w:val="24"/>
                <w:szCs w:val="24"/>
                <w:highlight w:val="none"/>
                <w:lang w:eastAsia="zh-CN"/>
              </w:rPr>
              <w:t>现有项目履行环评、验收手续</w:t>
            </w:r>
            <w:r>
              <w:rPr>
                <w:rFonts w:hint="eastAsia" w:cs="Times New Roman"/>
                <w:b/>
                <w:bCs/>
                <w:color w:val="auto"/>
                <w:sz w:val="24"/>
                <w:szCs w:val="24"/>
                <w:highlight w:val="none"/>
                <w:lang w:val="en-US" w:eastAsia="zh-CN"/>
              </w:rPr>
              <w:t>履行</w:t>
            </w:r>
            <w:r>
              <w:rPr>
                <w:rFonts w:hint="default" w:ascii="Times New Roman" w:hAnsi="Times New Roman" w:eastAsia="宋体" w:cs="Times New Roman"/>
                <w:b/>
                <w:bCs/>
                <w:color w:val="auto"/>
                <w:sz w:val="24"/>
                <w:szCs w:val="24"/>
                <w:highlight w:val="none"/>
                <w:lang w:eastAsia="zh-CN"/>
              </w:rPr>
              <w:t>情况</w:t>
            </w:r>
          </w:p>
          <w:p w14:paraId="011A75B9">
            <w:pPr>
              <w:spacing w:line="360" w:lineRule="auto"/>
              <w:ind w:firstLine="480" w:firstLineChars="200"/>
              <w:rPr>
                <w:rFonts w:hint="default"/>
                <w:color w:val="auto"/>
                <w:sz w:val="24"/>
                <w:highlight w:val="none"/>
                <w:lang w:val="en-US" w:eastAsia="zh-CN"/>
              </w:rPr>
            </w:pPr>
            <w:r>
              <w:rPr>
                <w:color w:val="auto"/>
                <w:kern w:val="0"/>
                <w:sz w:val="24"/>
                <w:highlight w:val="none"/>
              </w:rPr>
              <w:t>2019年，</w:t>
            </w:r>
            <w:r>
              <w:rPr>
                <w:rFonts w:hint="eastAsia"/>
                <w:color w:val="auto"/>
                <w:kern w:val="0"/>
                <w:sz w:val="24"/>
                <w:highlight w:val="none"/>
                <w:lang w:val="en-US" w:eastAsia="zh-CN"/>
              </w:rPr>
              <w:t>四川</w:t>
            </w:r>
            <w:r>
              <w:rPr>
                <w:color w:val="auto"/>
                <w:kern w:val="0"/>
                <w:sz w:val="24"/>
                <w:highlight w:val="none"/>
              </w:rPr>
              <w:t>屹光</w:t>
            </w:r>
            <w:r>
              <w:rPr>
                <w:rFonts w:hint="eastAsia"/>
                <w:color w:val="auto"/>
                <w:kern w:val="0"/>
                <w:sz w:val="24"/>
                <w:highlight w:val="none"/>
                <w:lang w:val="en-US" w:eastAsia="zh-CN"/>
              </w:rPr>
              <w:t>新材料制造有限</w:t>
            </w:r>
            <w:r>
              <w:rPr>
                <w:color w:val="auto"/>
                <w:kern w:val="0"/>
                <w:sz w:val="24"/>
                <w:highlight w:val="none"/>
              </w:rPr>
              <w:t>公司通过缜密的市场调研，结合省内环氧乙烷原料供应优势，投资12000万人民币，在大英县工业集中发展区梁家下坝新增工业用地89.68亩，建设1万吨/年醇胺项目，建设醇胺生产装置及配套公用工程、辅助生产设施，实现年产</w:t>
            </w:r>
            <w:r>
              <w:rPr>
                <w:rFonts w:hint="eastAsia"/>
                <w:color w:val="auto"/>
                <w:kern w:val="0"/>
                <w:sz w:val="24"/>
                <w:highlight w:val="none"/>
                <w:lang w:val="en-US" w:eastAsia="zh-CN"/>
              </w:rPr>
              <w:t>1</w:t>
            </w:r>
            <w:r>
              <w:rPr>
                <w:color w:val="auto"/>
                <w:kern w:val="0"/>
                <w:sz w:val="24"/>
                <w:highlight w:val="none"/>
              </w:rPr>
              <w:t>万吨/年醇胺的生产能力，包括5000吨乙醇胺类产品和5000吨N-甲基乙醇胺类产品。</w:t>
            </w:r>
            <w:r>
              <w:rPr>
                <w:rFonts w:hint="eastAsia"/>
                <w:color w:val="auto"/>
                <w:kern w:val="0"/>
                <w:sz w:val="24"/>
                <w:highlight w:val="none"/>
                <w:lang w:val="en-US" w:eastAsia="zh-CN"/>
              </w:rPr>
              <w:t>该项目于2019年7月16日取得遂宁市生态环境局批复（遂环评函</w:t>
            </w:r>
            <w:r>
              <w:rPr>
                <w:rFonts w:hint="eastAsia"/>
                <w:color w:val="auto"/>
                <w:szCs w:val="21"/>
                <w:highlight w:val="none"/>
                <w:lang w:eastAsia="zh-CN"/>
              </w:rPr>
              <w:t>〔</w:t>
            </w:r>
            <w:r>
              <w:rPr>
                <w:color w:val="auto"/>
                <w:szCs w:val="21"/>
                <w:highlight w:val="none"/>
              </w:rPr>
              <w:t>201</w:t>
            </w:r>
            <w:r>
              <w:rPr>
                <w:rFonts w:hint="eastAsia"/>
                <w:color w:val="auto"/>
                <w:szCs w:val="21"/>
                <w:highlight w:val="none"/>
                <w:lang w:val="en-US" w:eastAsia="zh-CN"/>
              </w:rPr>
              <w:t>9</w:t>
            </w:r>
            <w:r>
              <w:rPr>
                <w:rFonts w:hint="eastAsia"/>
                <w:color w:val="auto"/>
                <w:szCs w:val="21"/>
                <w:highlight w:val="none"/>
                <w:lang w:eastAsia="zh-CN"/>
              </w:rPr>
              <w:t>〕</w:t>
            </w:r>
            <w:r>
              <w:rPr>
                <w:rFonts w:hint="eastAsia"/>
                <w:color w:val="auto"/>
                <w:szCs w:val="21"/>
                <w:highlight w:val="none"/>
                <w:lang w:val="en-US" w:eastAsia="zh-CN"/>
              </w:rPr>
              <w:t>65</w:t>
            </w:r>
            <w:r>
              <w:rPr>
                <w:color w:val="auto"/>
                <w:szCs w:val="21"/>
                <w:highlight w:val="none"/>
              </w:rPr>
              <w:t>号</w:t>
            </w:r>
            <w:r>
              <w:rPr>
                <w:rFonts w:hint="eastAsia"/>
                <w:color w:val="auto"/>
                <w:kern w:val="0"/>
                <w:sz w:val="24"/>
                <w:highlight w:val="none"/>
                <w:lang w:val="en-US" w:eastAsia="zh-CN"/>
              </w:rPr>
              <w:t>）</w:t>
            </w:r>
            <w:r>
              <w:rPr>
                <w:rFonts w:hint="eastAsia"/>
                <w:color w:val="auto"/>
                <w:sz w:val="24"/>
                <w:highlight w:val="none"/>
                <w:lang w:val="en-US" w:eastAsia="zh-CN"/>
              </w:rPr>
              <w:t>，并于2021年11月通过自主竣工环保验收。</w:t>
            </w:r>
          </w:p>
          <w:p w14:paraId="17E325B6">
            <w:pPr>
              <w:spacing w:line="360" w:lineRule="auto"/>
              <w:ind w:firstLine="480" w:firstLineChars="200"/>
              <w:rPr>
                <w:rFonts w:hint="eastAsia"/>
                <w:color w:val="auto"/>
                <w:sz w:val="24"/>
                <w:highlight w:val="none"/>
              </w:rPr>
            </w:pPr>
            <w:r>
              <w:rPr>
                <w:rFonts w:hint="eastAsia"/>
                <w:color w:val="auto"/>
                <w:sz w:val="24"/>
                <w:highlight w:val="none"/>
                <w:lang w:val="en-US" w:eastAsia="zh-CN"/>
              </w:rPr>
              <w:t>此外，企业于2021年制定突发环境事件应急预案，并于10月14日取得遂宁市大英生态环境局应急备案回执（备案编号：510923-2021-029-M），并于2021年取得“排污许可证”，</w:t>
            </w:r>
            <w:r>
              <w:rPr>
                <w:rFonts w:hint="eastAsia"/>
                <w:color w:val="auto"/>
                <w:sz w:val="24"/>
                <w:highlight w:val="none"/>
              </w:rPr>
              <w:t>（证书编号：</w:t>
            </w:r>
            <w:r>
              <w:rPr>
                <w:rFonts w:hint="eastAsia"/>
                <w:color w:val="auto"/>
                <w:sz w:val="24"/>
                <w:highlight w:val="none"/>
                <w:lang w:eastAsia="zh-CN"/>
              </w:rPr>
              <w:t>91510923MA67N8FW9E001P</w:t>
            </w:r>
            <w:r>
              <w:rPr>
                <w:rFonts w:hint="eastAsia"/>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至今共变更7次，最新变更日期为2024年10月8日</w:t>
            </w:r>
            <w:r>
              <w:rPr>
                <w:rFonts w:hint="eastAsia"/>
                <w:color w:val="auto"/>
                <w:sz w:val="24"/>
                <w:highlight w:val="none"/>
              </w:rPr>
              <w:t>。</w:t>
            </w:r>
          </w:p>
          <w:p w14:paraId="11039772">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本次为技改项目，现有生产车间及辅助设施不变，本次主要在现有产品生产工艺末端增加提纯工艺，将现有产品中2500t/a的三乙醇胺和500t/a的N-甲基一乙醇胺纯度提高，同时配套建设提纯所需的供水、供汽、供热、环保设施等辅助设施或改造增加其处理能力。</w:t>
            </w:r>
          </w:p>
          <w:p w14:paraId="12A6BA07">
            <w:pPr>
              <w:pStyle w:val="42"/>
              <w:rPr>
                <w:color w:val="auto"/>
                <w:highlight w:val="none"/>
              </w:rPr>
            </w:pPr>
            <w:r>
              <w:rPr>
                <w:color w:val="auto"/>
                <w:highlight w:val="none"/>
              </w:rPr>
              <w:t>公司环保手续履行情况</w:t>
            </w:r>
          </w:p>
          <w:tbl>
            <w:tblPr>
              <w:tblStyle w:val="27"/>
              <w:tblW w:w="846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340"/>
              <w:gridCol w:w="928"/>
              <w:gridCol w:w="1515"/>
              <w:gridCol w:w="1169"/>
              <w:gridCol w:w="1366"/>
              <w:gridCol w:w="1321"/>
            </w:tblGrid>
            <w:tr w14:paraId="37609C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tcBorders>
                    <w:left w:val="single" w:color="auto" w:sz="4" w:space="0"/>
                  </w:tcBorders>
                  <w:vAlign w:val="center"/>
                </w:tcPr>
                <w:p w14:paraId="101890BC">
                  <w:pPr>
                    <w:jc w:val="center"/>
                    <w:rPr>
                      <w:b/>
                      <w:color w:val="auto"/>
                      <w:sz w:val="21"/>
                      <w:szCs w:val="21"/>
                      <w:highlight w:val="none"/>
                    </w:rPr>
                  </w:pPr>
                  <w:r>
                    <w:rPr>
                      <w:b/>
                      <w:color w:val="auto"/>
                      <w:sz w:val="21"/>
                      <w:szCs w:val="21"/>
                      <w:highlight w:val="none"/>
                    </w:rPr>
                    <w:t>时间</w:t>
                  </w:r>
                </w:p>
              </w:tc>
              <w:tc>
                <w:tcPr>
                  <w:tcW w:w="791" w:type="pct"/>
                  <w:vAlign w:val="center"/>
                </w:tcPr>
                <w:p w14:paraId="41106153">
                  <w:pPr>
                    <w:jc w:val="center"/>
                    <w:rPr>
                      <w:b/>
                      <w:color w:val="auto"/>
                      <w:sz w:val="21"/>
                      <w:szCs w:val="21"/>
                      <w:highlight w:val="none"/>
                    </w:rPr>
                  </w:pPr>
                  <w:r>
                    <w:rPr>
                      <w:b/>
                      <w:color w:val="auto"/>
                      <w:sz w:val="21"/>
                      <w:szCs w:val="21"/>
                      <w:highlight w:val="none"/>
                    </w:rPr>
                    <w:t>工程名称</w:t>
                  </w:r>
                </w:p>
              </w:tc>
              <w:tc>
                <w:tcPr>
                  <w:tcW w:w="548" w:type="pct"/>
                  <w:vAlign w:val="center"/>
                </w:tcPr>
                <w:p w14:paraId="4464A3DC">
                  <w:pPr>
                    <w:jc w:val="center"/>
                    <w:rPr>
                      <w:b/>
                      <w:color w:val="auto"/>
                      <w:sz w:val="21"/>
                      <w:szCs w:val="21"/>
                      <w:highlight w:val="none"/>
                    </w:rPr>
                  </w:pPr>
                  <w:r>
                    <w:rPr>
                      <w:b/>
                      <w:color w:val="auto"/>
                      <w:sz w:val="21"/>
                      <w:szCs w:val="21"/>
                      <w:highlight w:val="none"/>
                    </w:rPr>
                    <w:t>环评批复部门</w:t>
                  </w:r>
                </w:p>
              </w:tc>
              <w:tc>
                <w:tcPr>
                  <w:tcW w:w="894" w:type="pct"/>
                  <w:vAlign w:val="center"/>
                </w:tcPr>
                <w:p w14:paraId="5C76D53A">
                  <w:pPr>
                    <w:jc w:val="center"/>
                    <w:rPr>
                      <w:b/>
                      <w:color w:val="auto"/>
                      <w:sz w:val="21"/>
                      <w:szCs w:val="21"/>
                      <w:highlight w:val="none"/>
                    </w:rPr>
                  </w:pPr>
                  <w:r>
                    <w:rPr>
                      <w:b/>
                      <w:color w:val="auto"/>
                      <w:sz w:val="21"/>
                      <w:szCs w:val="21"/>
                      <w:highlight w:val="none"/>
                    </w:rPr>
                    <w:t>批复文号</w:t>
                  </w:r>
                </w:p>
              </w:tc>
              <w:tc>
                <w:tcPr>
                  <w:tcW w:w="690" w:type="pct"/>
                  <w:vAlign w:val="center"/>
                </w:tcPr>
                <w:p w14:paraId="60DE4075">
                  <w:pPr>
                    <w:jc w:val="center"/>
                    <w:rPr>
                      <w:b/>
                      <w:color w:val="auto"/>
                      <w:sz w:val="21"/>
                      <w:szCs w:val="21"/>
                      <w:highlight w:val="none"/>
                    </w:rPr>
                  </w:pPr>
                  <w:r>
                    <w:rPr>
                      <w:b/>
                      <w:color w:val="auto"/>
                      <w:sz w:val="21"/>
                      <w:szCs w:val="21"/>
                      <w:highlight w:val="none"/>
                    </w:rPr>
                    <w:t>建设情况</w:t>
                  </w:r>
                </w:p>
              </w:tc>
              <w:tc>
                <w:tcPr>
                  <w:tcW w:w="806" w:type="pct"/>
                  <w:tcBorders>
                    <w:right w:val="single" w:color="auto" w:sz="4" w:space="0"/>
                  </w:tcBorders>
                  <w:vAlign w:val="center"/>
                </w:tcPr>
                <w:p w14:paraId="7F25A5A1">
                  <w:pPr>
                    <w:jc w:val="center"/>
                    <w:rPr>
                      <w:b/>
                      <w:color w:val="auto"/>
                      <w:sz w:val="21"/>
                      <w:szCs w:val="21"/>
                      <w:highlight w:val="none"/>
                    </w:rPr>
                  </w:pPr>
                  <w:r>
                    <w:rPr>
                      <w:rFonts w:hint="eastAsia"/>
                      <w:b/>
                      <w:color w:val="auto"/>
                      <w:sz w:val="21"/>
                      <w:szCs w:val="21"/>
                      <w:highlight w:val="none"/>
                    </w:rPr>
                    <w:t>建设规模</w:t>
                  </w:r>
                </w:p>
              </w:tc>
              <w:tc>
                <w:tcPr>
                  <w:tcW w:w="780" w:type="pct"/>
                  <w:tcBorders>
                    <w:right w:val="single" w:color="auto" w:sz="4" w:space="0"/>
                  </w:tcBorders>
                  <w:vAlign w:val="center"/>
                </w:tcPr>
                <w:p w14:paraId="3BEF4CCB">
                  <w:pPr>
                    <w:jc w:val="center"/>
                    <w:rPr>
                      <w:b/>
                      <w:color w:val="auto"/>
                      <w:sz w:val="21"/>
                      <w:szCs w:val="21"/>
                      <w:highlight w:val="none"/>
                    </w:rPr>
                  </w:pPr>
                  <w:r>
                    <w:rPr>
                      <w:b/>
                      <w:color w:val="auto"/>
                      <w:sz w:val="21"/>
                      <w:szCs w:val="21"/>
                      <w:highlight w:val="none"/>
                    </w:rPr>
                    <w:t>验收情况</w:t>
                  </w:r>
                </w:p>
              </w:tc>
            </w:tr>
            <w:tr w14:paraId="02EC1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88" w:type="pct"/>
                  <w:tcBorders>
                    <w:left w:val="single" w:color="auto" w:sz="4" w:space="0"/>
                  </w:tcBorders>
                  <w:vAlign w:val="center"/>
                </w:tcPr>
                <w:p w14:paraId="1314A552">
                  <w:pPr>
                    <w:jc w:val="center"/>
                    <w:rPr>
                      <w:color w:val="auto"/>
                      <w:sz w:val="21"/>
                      <w:szCs w:val="21"/>
                      <w:highlight w:val="none"/>
                    </w:rPr>
                  </w:pPr>
                  <w:r>
                    <w:rPr>
                      <w:bCs/>
                      <w:color w:val="auto"/>
                      <w:sz w:val="21"/>
                      <w:szCs w:val="21"/>
                      <w:highlight w:val="none"/>
                    </w:rPr>
                    <w:t>201</w:t>
                  </w:r>
                  <w:r>
                    <w:rPr>
                      <w:rFonts w:hint="eastAsia"/>
                      <w:bCs/>
                      <w:color w:val="auto"/>
                      <w:sz w:val="21"/>
                      <w:szCs w:val="21"/>
                      <w:highlight w:val="none"/>
                      <w:lang w:val="en-US" w:eastAsia="zh-CN"/>
                    </w:rPr>
                    <w:t>9</w:t>
                  </w:r>
                  <w:r>
                    <w:rPr>
                      <w:bCs/>
                      <w:color w:val="auto"/>
                      <w:sz w:val="21"/>
                      <w:szCs w:val="21"/>
                      <w:highlight w:val="none"/>
                    </w:rPr>
                    <w:t>年</w:t>
                  </w:r>
                  <w:r>
                    <w:rPr>
                      <w:rFonts w:hint="eastAsia"/>
                      <w:bCs/>
                      <w:color w:val="auto"/>
                      <w:sz w:val="21"/>
                      <w:szCs w:val="21"/>
                      <w:highlight w:val="none"/>
                      <w:lang w:val="en-US" w:eastAsia="zh-CN"/>
                    </w:rPr>
                    <w:t>7</w:t>
                  </w:r>
                  <w:r>
                    <w:rPr>
                      <w:bCs/>
                      <w:color w:val="auto"/>
                      <w:sz w:val="21"/>
                      <w:szCs w:val="21"/>
                      <w:highlight w:val="none"/>
                    </w:rPr>
                    <w:t>月</w:t>
                  </w:r>
                  <w:r>
                    <w:rPr>
                      <w:rFonts w:hint="eastAsia"/>
                      <w:bCs/>
                      <w:color w:val="auto"/>
                      <w:sz w:val="21"/>
                      <w:szCs w:val="21"/>
                      <w:highlight w:val="none"/>
                      <w:lang w:val="en-US" w:eastAsia="zh-CN"/>
                    </w:rPr>
                    <w:t>16</w:t>
                  </w:r>
                  <w:r>
                    <w:rPr>
                      <w:rFonts w:hint="eastAsia"/>
                      <w:bCs/>
                      <w:color w:val="auto"/>
                      <w:sz w:val="21"/>
                      <w:szCs w:val="21"/>
                      <w:highlight w:val="none"/>
                    </w:rPr>
                    <w:t>日</w:t>
                  </w:r>
                </w:p>
              </w:tc>
              <w:tc>
                <w:tcPr>
                  <w:tcW w:w="791" w:type="pct"/>
                  <w:vAlign w:val="center"/>
                </w:tcPr>
                <w:p w14:paraId="026D5C6B">
                  <w:pPr>
                    <w:jc w:val="center"/>
                    <w:rPr>
                      <w:color w:val="auto"/>
                      <w:sz w:val="21"/>
                      <w:szCs w:val="21"/>
                      <w:highlight w:val="none"/>
                    </w:rPr>
                  </w:pPr>
                  <w:r>
                    <w:rPr>
                      <w:rFonts w:hint="eastAsia"/>
                      <w:color w:val="auto"/>
                      <w:sz w:val="21"/>
                      <w:szCs w:val="21"/>
                      <w:highlight w:val="none"/>
                      <w:lang w:val="en-US" w:eastAsia="zh-CN"/>
                    </w:rPr>
                    <w:t>1万吨/年醇胺项目</w:t>
                  </w:r>
                </w:p>
              </w:tc>
              <w:tc>
                <w:tcPr>
                  <w:tcW w:w="548" w:type="pct"/>
                  <w:vAlign w:val="center"/>
                </w:tcPr>
                <w:p w14:paraId="1DE33DEE">
                  <w:pPr>
                    <w:jc w:val="center"/>
                    <w:rPr>
                      <w:color w:val="auto"/>
                      <w:sz w:val="21"/>
                      <w:szCs w:val="21"/>
                      <w:highlight w:val="none"/>
                    </w:rPr>
                  </w:pPr>
                  <w:r>
                    <w:rPr>
                      <w:rFonts w:hint="eastAsia"/>
                      <w:color w:val="auto"/>
                      <w:sz w:val="21"/>
                      <w:szCs w:val="21"/>
                      <w:highlight w:val="none"/>
                      <w:lang w:eastAsia="zh-CN"/>
                    </w:rPr>
                    <w:t>遂宁</w:t>
                  </w:r>
                  <w:r>
                    <w:rPr>
                      <w:rFonts w:hint="eastAsia"/>
                      <w:color w:val="auto"/>
                      <w:sz w:val="21"/>
                      <w:szCs w:val="21"/>
                      <w:highlight w:val="none"/>
                      <w:lang w:val="en-US" w:eastAsia="zh-CN"/>
                    </w:rPr>
                    <w:t>市生态环境</w:t>
                  </w:r>
                  <w:r>
                    <w:rPr>
                      <w:rFonts w:hint="eastAsia"/>
                      <w:color w:val="auto"/>
                      <w:sz w:val="21"/>
                      <w:szCs w:val="21"/>
                      <w:highlight w:val="none"/>
                    </w:rPr>
                    <w:t>局</w:t>
                  </w:r>
                </w:p>
              </w:tc>
              <w:tc>
                <w:tcPr>
                  <w:tcW w:w="894" w:type="pct"/>
                  <w:vAlign w:val="center"/>
                </w:tcPr>
                <w:p w14:paraId="5010F990">
                  <w:pPr>
                    <w:jc w:val="center"/>
                    <w:rPr>
                      <w:color w:val="auto"/>
                      <w:sz w:val="21"/>
                      <w:szCs w:val="21"/>
                      <w:highlight w:val="none"/>
                    </w:rPr>
                  </w:pPr>
                  <w:r>
                    <w:rPr>
                      <w:rFonts w:hint="eastAsia"/>
                      <w:color w:val="auto"/>
                      <w:sz w:val="21"/>
                      <w:szCs w:val="21"/>
                      <w:highlight w:val="none"/>
                      <w:lang w:val="en-US" w:eastAsia="zh-CN"/>
                    </w:rPr>
                    <w:t>遂环评函</w:t>
                  </w:r>
                  <w:r>
                    <w:rPr>
                      <w:rFonts w:hint="eastAsia"/>
                      <w:color w:val="auto"/>
                      <w:sz w:val="21"/>
                      <w:szCs w:val="21"/>
                      <w:highlight w:val="none"/>
                      <w:lang w:eastAsia="zh-CN"/>
                    </w:rPr>
                    <w:t>〔</w:t>
                  </w:r>
                  <w:r>
                    <w:rPr>
                      <w:color w:val="auto"/>
                      <w:sz w:val="21"/>
                      <w:szCs w:val="21"/>
                      <w:highlight w:val="none"/>
                    </w:rPr>
                    <w:t>201</w:t>
                  </w:r>
                  <w:r>
                    <w:rPr>
                      <w:rFonts w:hint="eastAsia"/>
                      <w:color w:val="auto"/>
                      <w:sz w:val="21"/>
                      <w:szCs w:val="21"/>
                      <w:highlight w:val="none"/>
                      <w:lang w:val="en-US" w:eastAsia="zh-CN"/>
                    </w:rPr>
                    <w:t>9</w:t>
                  </w:r>
                  <w:r>
                    <w:rPr>
                      <w:rFonts w:hint="eastAsia"/>
                      <w:color w:val="auto"/>
                      <w:sz w:val="21"/>
                      <w:szCs w:val="21"/>
                      <w:highlight w:val="none"/>
                      <w:lang w:eastAsia="zh-CN"/>
                    </w:rPr>
                    <w:t>〕</w:t>
                  </w:r>
                  <w:r>
                    <w:rPr>
                      <w:rFonts w:hint="eastAsia"/>
                      <w:color w:val="auto"/>
                      <w:sz w:val="21"/>
                      <w:szCs w:val="21"/>
                      <w:highlight w:val="none"/>
                      <w:lang w:val="en-US" w:eastAsia="zh-CN"/>
                    </w:rPr>
                    <w:t>65</w:t>
                  </w:r>
                  <w:r>
                    <w:rPr>
                      <w:color w:val="auto"/>
                      <w:sz w:val="21"/>
                      <w:szCs w:val="21"/>
                      <w:highlight w:val="none"/>
                    </w:rPr>
                    <w:t>号</w:t>
                  </w:r>
                </w:p>
              </w:tc>
              <w:tc>
                <w:tcPr>
                  <w:tcW w:w="690" w:type="pct"/>
                  <w:vAlign w:val="center"/>
                </w:tcPr>
                <w:p w14:paraId="602C1E01">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已建成</w:t>
                  </w:r>
                </w:p>
              </w:tc>
              <w:tc>
                <w:tcPr>
                  <w:tcW w:w="806" w:type="pct"/>
                  <w:tcBorders>
                    <w:right w:val="single" w:color="auto" w:sz="4" w:space="0"/>
                  </w:tcBorders>
                  <w:vAlign w:val="center"/>
                </w:tcPr>
                <w:p w14:paraId="01EFA0A4">
                  <w:pPr>
                    <w:jc w:val="center"/>
                    <w:rPr>
                      <w:color w:val="auto"/>
                      <w:sz w:val="21"/>
                      <w:szCs w:val="21"/>
                      <w:highlight w:val="none"/>
                    </w:rPr>
                  </w:pPr>
                  <w:r>
                    <w:rPr>
                      <w:rFonts w:hint="eastAsia"/>
                      <w:color w:val="auto"/>
                      <w:sz w:val="21"/>
                      <w:szCs w:val="21"/>
                      <w:highlight w:val="none"/>
                      <w:lang w:val="en-US" w:eastAsia="zh-CN"/>
                    </w:rPr>
                    <w:t>年产1万吨/年醇胺</w:t>
                  </w:r>
                </w:p>
              </w:tc>
              <w:tc>
                <w:tcPr>
                  <w:tcW w:w="780" w:type="pct"/>
                  <w:tcBorders>
                    <w:right w:val="single" w:color="auto" w:sz="4" w:space="0"/>
                  </w:tcBorders>
                  <w:vAlign w:val="center"/>
                </w:tcPr>
                <w:p w14:paraId="4D10D25C">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2021年11月27日完成自主验收</w:t>
                  </w:r>
                </w:p>
              </w:tc>
            </w:tr>
          </w:tbl>
          <w:p w14:paraId="019777DE">
            <w:pPr>
              <w:spacing w:line="360" w:lineRule="auto"/>
              <w:rPr>
                <w:b/>
                <w:bCs/>
                <w:color w:val="auto"/>
                <w:sz w:val="24"/>
                <w:highlight w:val="none"/>
              </w:rPr>
            </w:pPr>
            <w:r>
              <w:rPr>
                <w:b/>
                <w:bCs/>
                <w:color w:val="auto"/>
                <w:sz w:val="24"/>
                <w:highlight w:val="none"/>
              </w:rPr>
              <w:t>二、</w:t>
            </w:r>
            <w:r>
              <w:rPr>
                <w:rFonts w:hint="eastAsia"/>
                <w:b/>
                <w:bCs/>
                <w:color w:val="auto"/>
                <w:sz w:val="24"/>
                <w:highlight w:val="none"/>
                <w:lang w:val="en-US" w:eastAsia="zh-CN"/>
              </w:rPr>
              <w:t>企业现有工程基本情况</w:t>
            </w:r>
          </w:p>
          <w:p w14:paraId="473F584E">
            <w:pPr>
              <w:spacing w:line="360" w:lineRule="auto"/>
              <w:ind w:firstLine="482"/>
              <w:rPr>
                <w:b/>
                <w:color w:val="auto"/>
                <w:sz w:val="24"/>
                <w:highlight w:val="none"/>
              </w:rPr>
            </w:pPr>
            <w:r>
              <w:rPr>
                <w:b/>
                <w:color w:val="auto"/>
                <w:sz w:val="24"/>
                <w:highlight w:val="none"/>
              </w:rPr>
              <w:t>1、</w:t>
            </w:r>
            <w:r>
              <w:rPr>
                <w:rFonts w:hint="eastAsia"/>
                <w:b/>
                <w:color w:val="auto"/>
                <w:sz w:val="24"/>
                <w:highlight w:val="none"/>
              </w:rPr>
              <w:t>现有工程</w:t>
            </w:r>
            <w:r>
              <w:rPr>
                <w:rFonts w:hint="eastAsia"/>
                <w:b/>
                <w:color w:val="auto"/>
                <w:sz w:val="24"/>
                <w:highlight w:val="none"/>
                <w:lang w:val="en-US" w:eastAsia="zh-CN"/>
              </w:rPr>
              <w:t>项目组成及建设情况</w:t>
            </w:r>
          </w:p>
          <w:p w14:paraId="0E3DD14B">
            <w:pPr>
              <w:spacing w:line="360" w:lineRule="auto"/>
              <w:ind w:firstLine="480" w:firstLineChars="200"/>
              <w:rPr>
                <w:rFonts w:eastAsia="黑体"/>
                <w:b/>
                <w:bCs/>
                <w:color w:val="auto"/>
                <w:sz w:val="24"/>
                <w:highlight w:val="none"/>
              </w:rPr>
            </w:pPr>
            <w:r>
              <w:rPr>
                <w:color w:val="auto"/>
                <w:sz w:val="24"/>
                <w:highlight w:val="none"/>
              </w:rPr>
              <w:t>根据</w:t>
            </w:r>
            <w:r>
              <w:rPr>
                <w:rFonts w:hint="eastAsia"/>
                <w:color w:val="auto"/>
                <w:sz w:val="24"/>
                <w:highlight w:val="none"/>
              </w:rPr>
              <w:t>现有工程验收及实际建设情况</w:t>
            </w:r>
            <w:r>
              <w:rPr>
                <w:color w:val="auto"/>
                <w:sz w:val="24"/>
                <w:highlight w:val="none"/>
              </w:rPr>
              <w:t>，</w:t>
            </w:r>
            <w:r>
              <w:rPr>
                <w:rFonts w:hint="eastAsia"/>
                <w:color w:val="auto"/>
                <w:sz w:val="24"/>
                <w:highlight w:val="none"/>
              </w:rPr>
              <w:t>现有工程</w:t>
            </w:r>
            <w:r>
              <w:rPr>
                <w:color w:val="auto"/>
                <w:sz w:val="24"/>
                <w:highlight w:val="none"/>
              </w:rPr>
              <w:t>组成情况如下表所示。</w:t>
            </w:r>
          </w:p>
          <w:p w14:paraId="63BDBB47">
            <w:pPr>
              <w:pStyle w:val="42"/>
              <w:keepNext w:val="0"/>
              <w:keepLines w:val="0"/>
              <w:pageBreakBefore w:val="0"/>
              <w:widowControl w:val="0"/>
              <w:kinsoku/>
              <w:wordWrap/>
              <w:overflowPunct/>
              <w:topLinePunct w:val="0"/>
              <w:autoSpaceDE/>
              <w:autoSpaceDN/>
              <w:bidi w:val="0"/>
              <w:adjustRightInd/>
              <w:snapToGrid/>
              <w:spacing w:line="240" w:lineRule="auto"/>
              <w:ind w:left="0" w:firstLine="0"/>
              <w:textAlignment w:val="auto"/>
              <w:rPr>
                <w:color w:val="auto"/>
                <w:highlight w:val="none"/>
              </w:rPr>
            </w:pPr>
            <w:r>
              <w:rPr>
                <w:rFonts w:hint="eastAsia"/>
                <w:color w:val="auto"/>
                <w:highlight w:val="none"/>
              </w:rPr>
              <w:t>现有工程</w:t>
            </w:r>
            <w:r>
              <w:rPr>
                <w:color w:val="auto"/>
                <w:highlight w:val="none"/>
              </w:rPr>
              <w:t>实际建设组成一览表</w:t>
            </w:r>
          </w:p>
          <w:tbl>
            <w:tblPr>
              <w:tblStyle w:val="121"/>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7"/>
              <w:gridCol w:w="1051"/>
              <w:gridCol w:w="6221"/>
              <w:gridCol w:w="658"/>
            </w:tblGrid>
            <w:tr w14:paraId="7447D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 w:hRule="atLeast"/>
                <w:jc w:val="center"/>
              </w:trPr>
              <w:tc>
                <w:tcPr>
                  <w:tcW w:w="306" w:type="pct"/>
                  <w:vAlign w:val="center"/>
                </w:tcPr>
                <w:p w14:paraId="2F7D0121">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工程</w:t>
                  </w:r>
                  <w:r>
                    <w:rPr>
                      <w:rFonts w:hint="default" w:ascii="Times New Roman" w:hAnsi="Times New Roman" w:eastAsia="宋体" w:cs="Times New Roman"/>
                      <w:b/>
                      <w:bCs/>
                      <w:color w:val="auto"/>
                      <w:spacing w:val="4"/>
                      <w:sz w:val="21"/>
                      <w:szCs w:val="21"/>
                      <w:highlight w:val="none"/>
                    </w:rPr>
                    <w:t>类别</w:t>
                  </w:r>
                </w:p>
              </w:tc>
              <w:tc>
                <w:tcPr>
                  <w:tcW w:w="622" w:type="pct"/>
                  <w:vAlign w:val="center"/>
                </w:tcPr>
                <w:p w14:paraId="5589FB19">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项目组成</w:t>
                  </w:r>
                </w:p>
              </w:tc>
              <w:tc>
                <w:tcPr>
                  <w:tcW w:w="3682" w:type="pct"/>
                  <w:vAlign w:val="center"/>
                </w:tcPr>
                <w:p w14:paraId="781F73B4">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建设内容</w:t>
                  </w:r>
                </w:p>
              </w:tc>
              <w:tc>
                <w:tcPr>
                  <w:tcW w:w="389" w:type="pct"/>
                  <w:vAlign w:val="center"/>
                </w:tcPr>
                <w:p w14:paraId="121EABB6">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备注</w:t>
                  </w:r>
                </w:p>
              </w:tc>
            </w:tr>
            <w:tr w14:paraId="0E625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6" w:type="pct"/>
                  <w:vAlign w:val="center"/>
                </w:tcPr>
                <w:p w14:paraId="2DA1F77F">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主体工程</w:t>
                  </w:r>
                </w:p>
              </w:tc>
              <w:tc>
                <w:tcPr>
                  <w:tcW w:w="622" w:type="pct"/>
                  <w:vAlign w:val="center"/>
                </w:tcPr>
                <w:p w14:paraId="4974E7AE">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position w:val="12"/>
                      <w:sz w:val="21"/>
                      <w:szCs w:val="21"/>
                      <w:highlight w:val="none"/>
                    </w:rPr>
                    <w:t>环氧乙烷</w:t>
                  </w:r>
                </w:p>
                <w:p w14:paraId="6451B4DF">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pacing w:val="8"/>
                      <w:sz w:val="21"/>
                      <w:szCs w:val="21"/>
                      <w:highlight w:val="none"/>
                      <w:lang w:eastAsia="zh-CN"/>
                    </w:rPr>
                    <w:t>胺基化</w:t>
                  </w:r>
                  <w:r>
                    <w:rPr>
                      <w:rFonts w:hint="default" w:ascii="Times New Roman" w:hAnsi="Times New Roman" w:eastAsia="宋体" w:cs="Times New Roman"/>
                      <w:color w:val="auto"/>
                      <w:spacing w:val="8"/>
                      <w:sz w:val="21"/>
                      <w:szCs w:val="21"/>
                      <w:highlight w:val="none"/>
                    </w:rPr>
                    <w:t>生产线</w:t>
                  </w:r>
                </w:p>
              </w:tc>
              <w:tc>
                <w:tcPr>
                  <w:tcW w:w="3682" w:type="pct"/>
                  <w:vAlign w:val="center"/>
                </w:tcPr>
                <w:p w14:paraId="50FCC664">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环氧乙烷</w:t>
                  </w:r>
                  <w:r>
                    <w:rPr>
                      <w:rFonts w:hint="eastAsia" w:ascii="Times New Roman" w:hAnsi="Times New Roman" w:cs="Times New Roman"/>
                      <w:color w:val="auto"/>
                      <w:spacing w:val="7"/>
                      <w:sz w:val="21"/>
                      <w:szCs w:val="21"/>
                      <w:highlight w:val="none"/>
                      <w:lang w:eastAsia="zh-CN"/>
                    </w:rPr>
                    <w:t>胺基化</w:t>
                  </w:r>
                  <w:r>
                    <w:rPr>
                      <w:rFonts w:hint="default" w:ascii="Times New Roman" w:hAnsi="Times New Roman" w:eastAsia="宋体" w:cs="Times New Roman"/>
                      <w:color w:val="auto"/>
                      <w:spacing w:val="7"/>
                      <w:sz w:val="21"/>
                      <w:szCs w:val="21"/>
                      <w:highlight w:val="none"/>
                    </w:rPr>
                    <w:t>生产线及生产装置，位于厂区中部，占地约2500m</w:t>
                  </w:r>
                  <w:r>
                    <w:rPr>
                      <w:rFonts w:hint="default" w:ascii="Times New Roman" w:hAnsi="Times New Roman" w:eastAsia="宋体" w:cs="Times New Roman"/>
                      <w:color w:val="auto"/>
                      <w:spacing w:val="7"/>
                      <w:sz w:val="21"/>
                      <w:szCs w:val="21"/>
                      <w:highlight w:val="none"/>
                      <w:vertAlign w:val="superscript"/>
                      <w:lang w:val="en-US" w:eastAsia="zh-CN"/>
                    </w:rPr>
                    <w:t>2</w:t>
                  </w:r>
                  <w:r>
                    <w:rPr>
                      <w:rFonts w:hint="default" w:ascii="Times New Roman" w:hAnsi="Times New Roman" w:eastAsia="宋体" w:cs="Times New Roman"/>
                      <w:color w:val="auto"/>
                      <w:spacing w:val="6"/>
                      <w:sz w:val="21"/>
                      <w:szCs w:val="21"/>
                      <w:highlight w:val="none"/>
                    </w:rPr>
                    <w:t>，包括醇胺合</w:t>
                  </w:r>
                  <w:r>
                    <w:rPr>
                      <w:rFonts w:hint="default" w:ascii="Times New Roman" w:hAnsi="Times New Roman" w:eastAsia="宋体" w:cs="Times New Roman"/>
                      <w:color w:val="auto"/>
                      <w:spacing w:val="9"/>
                      <w:sz w:val="21"/>
                      <w:szCs w:val="21"/>
                      <w:highlight w:val="none"/>
                    </w:rPr>
                    <w:t>成单元、分离单元、精制单元及生产过程中使用</w:t>
                  </w:r>
                  <w:r>
                    <w:rPr>
                      <w:rFonts w:hint="default" w:ascii="Times New Roman" w:hAnsi="Times New Roman" w:eastAsia="宋体" w:cs="Times New Roman"/>
                      <w:color w:val="auto"/>
                      <w:spacing w:val="8"/>
                      <w:sz w:val="21"/>
                      <w:szCs w:val="21"/>
                      <w:highlight w:val="none"/>
                    </w:rPr>
                    <w:t>的各类风机和泵等。</w:t>
                  </w:r>
                </w:p>
              </w:tc>
              <w:tc>
                <w:tcPr>
                  <w:tcW w:w="389" w:type="pct"/>
                  <w:vAlign w:val="center"/>
                </w:tcPr>
                <w:p w14:paraId="34CDAD9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7"/>
                      <w:sz w:val="21"/>
                      <w:szCs w:val="21"/>
                      <w:highlight w:val="none"/>
                      <w:lang w:val="en-US" w:eastAsia="zh-CN"/>
                    </w:rPr>
                  </w:pPr>
                  <w:r>
                    <w:rPr>
                      <w:rFonts w:hint="eastAsia" w:ascii="Times New Roman" w:hAnsi="Times New Roman" w:eastAsia="宋体" w:cs="Times New Roman"/>
                      <w:color w:val="auto"/>
                      <w:spacing w:val="7"/>
                      <w:sz w:val="21"/>
                      <w:szCs w:val="21"/>
                      <w:highlight w:val="none"/>
                      <w:lang w:val="en-US" w:eastAsia="zh-CN"/>
                    </w:rPr>
                    <w:t>已建</w:t>
                  </w:r>
                </w:p>
              </w:tc>
            </w:tr>
            <w:tr w14:paraId="7CEF1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6" w:type="pct"/>
                  <w:vMerge w:val="restart"/>
                  <w:tcBorders>
                    <w:bottom w:val="nil"/>
                  </w:tcBorders>
                  <w:vAlign w:val="center"/>
                </w:tcPr>
                <w:p w14:paraId="12F87109">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公辅</w:t>
                  </w:r>
                  <w:r>
                    <w:rPr>
                      <w:rFonts w:hint="default" w:ascii="Times New Roman" w:hAnsi="Times New Roman" w:eastAsia="宋体" w:cs="Times New Roman"/>
                      <w:color w:val="auto"/>
                      <w:spacing w:val="3"/>
                      <w:sz w:val="21"/>
                      <w:szCs w:val="21"/>
                      <w:highlight w:val="none"/>
                    </w:rPr>
                    <w:t>工程</w:t>
                  </w:r>
                </w:p>
              </w:tc>
              <w:tc>
                <w:tcPr>
                  <w:tcW w:w="622" w:type="pct"/>
                  <w:vAlign w:val="center"/>
                </w:tcPr>
                <w:p w14:paraId="1A4774DC">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供配电</w:t>
                  </w:r>
                </w:p>
              </w:tc>
              <w:tc>
                <w:tcPr>
                  <w:tcW w:w="3682" w:type="pct"/>
                  <w:vAlign w:val="center"/>
                </w:tcPr>
                <w:p w14:paraId="29ABA09A">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项目新建10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9"/>
                      <w:sz w:val="21"/>
                      <w:szCs w:val="21"/>
                      <w:highlight w:val="none"/>
                    </w:rPr>
                    <w:t>变配电室（带</w:t>
                  </w:r>
                  <w:r>
                    <w:rPr>
                      <w:rFonts w:hint="default" w:ascii="Times New Roman" w:hAnsi="Times New Roman" w:eastAsia="宋体" w:cs="Times New Roman"/>
                      <w:color w:val="auto"/>
                      <w:sz w:val="21"/>
                      <w:szCs w:val="21"/>
                      <w:highlight w:val="none"/>
                    </w:rPr>
                    <w:t>MCC</w:t>
                  </w:r>
                  <w:r>
                    <w:rPr>
                      <w:rFonts w:hint="default" w:ascii="Times New Roman" w:hAnsi="Times New Roman" w:eastAsia="宋体" w:cs="Times New Roman"/>
                      <w:color w:val="auto"/>
                      <w:spacing w:val="16"/>
                      <w:sz w:val="21"/>
                      <w:szCs w:val="21"/>
                      <w:highlight w:val="none"/>
                    </w:rPr>
                    <w:t>），</w:t>
                  </w:r>
                  <w:r>
                    <w:rPr>
                      <w:rFonts w:hint="default" w:ascii="Times New Roman" w:hAnsi="Times New Roman" w:eastAsia="宋体" w:cs="Times New Roman"/>
                      <w:color w:val="auto"/>
                      <w:spacing w:val="9"/>
                      <w:sz w:val="21"/>
                      <w:szCs w:val="21"/>
                      <w:highlight w:val="none"/>
                    </w:rPr>
                    <w:t>设1台1600</w:t>
                  </w:r>
                  <w:r>
                    <w:rPr>
                      <w:rFonts w:hint="default" w:ascii="Times New Roman" w:hAnsi="Times New Roman" w:eastAsia="宋体" w:cs="Times New Roman"/>
                      <w:color w:val="auto"/>
                      <w:sz w:val="21"/>
                      <w:szCs w:val="21"/>
                      <w:highlight w:val="none"/>
                    </w:rPr>
                    <w:t>kVA</w:t>
                  </w:r>
                  <w:r>
                    <w:rPr>
                      <w:rFonts w:hint="default" w:ascii="Times New Roman" w:hAnsi="Times New Roman" w:eastAsia="宋体" w:cs="Times New Roman"/>
                      <w:color w:val="auto"/>
                      <w:spacing w:val="9"/>
                      <w:sz w:val="21"/>
                      <w:szCs w:val="21"/>
                      <w:highlight w:val="none"/>
                    </w:rPr>
                    <w:t>变压器。</w:t>
                  </w:r>
                </w:p>
              </w:tc>
              <w:tc>
                <w:tcPr>
                  <w:tcW w:w="389" w:type="pct"/>
                  <w:vAlign w:val="center"/>
                </w:tcPr>
                <w:p w14:paraId="3828D018">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5492D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6" w:type="pct"/>
                  <w:vMerge w:val="continue"/>
                  <w:tcBorders>
                    <w:top w:val="nil"/>
                    <w:bottom w:val="nil"/>
                  </w:tcBorders>
                  <w:vAlign w:val="center"/>
                </w:tcPr>
                <w:p w14:paraId="3460ED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vAlign w:val="center"/>
                </w:tcPr>
                <w:p w14:paraId="5AF0AB38">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给排水</w:t>
                  </w:r>
                </w:p>
              </w:tc>
              <w:tc>
                <w:tcPr>
                  <w:tcW w:w="3682" w:type="pct"/>
                  <w:vAlign w:val="center"/>
                </w:tcPr>
                <w:p w14:paraId="0E53F252">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项目建设给水管网、给水泵，由园区给水管网供</w:t>
                  </w:r>
                  <w:r>
                    <w:rPr>
                      <w:rFonts w:hint="default" w:ascii="Times New Roman" w:hAnsi="Times New Roman" w:eastAsia="宋体" w:cs="Times New Roman"/>
                      <w:color w:val="auto"/>
                      <w:spacing w:val="8"/>
                      <w:sz w:val="21"/>
                      <w:szCs w:val="21"/>
                      <w:highlight w:val="none"/>
                    </w:rPr>
                    <w:t>应。</w:t>
                  </w:r>
                </w:p>
              </w:tc>
              <w:tc>
                <w:tcPr>
                  <w:tcW w:w="389" w:type="pct"/>
                  <w:vAlign w:val="center"/>
                </w:tcPr>
                <w:p w14:paraId="1D096D00">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7099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6" w:type="pct"/>
                  <w:vMerge w:val="continue"/>
                  <w:tcBorders>
                    <w:top w:val="nil"/>
                    <w:bottom w:val="nil"/>
                  </w:tcBorders>
                  <w:vAlign w:val="center"/>
                </w:tcPr>
                <w:p w14:paraId="0EAC8C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vAlign w:val="center"/>
                </w:tcPr>
                <w:p w14:paraId="02BF5EDD">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锅炉房</w:t>
                  </w:r>
                </w:p>
              </w:tc>
              <w:tc>
                <w:tcPr>
                  <w:tcW w:w="3682" w:type="pct"/>
                  <w:vAlign w:val="center"/>
                </w:tcPr>
                <w:p w14:paraId="0B8241FC">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项目</w:t>
                  </w:r>
                  <w:r>
                    <w:rPr>
                      <w:rFonts w:hint="eastAsia" w:ascii="Times New Roman" w:hAnsi="Times New Roman" w:cs="Times New Roman"/>
                      <w:color w:val="auto"/>
                      <w:spacing w:val="7"/>
                      <w:sz w:val="21"/>
                      <w:szCs w:val="21"/>
                      <w:highlight w:val="none"/>
                      <w:lang w:eastAsia="zh-CN"/>
                    </w:rPr>
                    <w:t>建设</w:t>
                  </w:r>
                  <w:r>
                    <w:rPr>
                      <w:rFonts w:hint="default" w:ascii="Times New Roman" w:hAnsi="Times New Roman" w:eastAsia="宋体" w:cs="Times New Roman"/>
                      <w:color w:val="auto"/>
                      <w:spacing w:val="7"/>
                      <w:sz w:val="21"/>
                      <w:szCs w:val="21"/>
                      <w:highlight w:val="none"/>
                    </w:rPr>
                    <w:t>燃气锅炉一座（10t/h</w:t>
                  </w:r>
                  <w:r>
                    <w:rPr>
                      <w:rFonts w:hint="default" w:ascii="Times New Roman" w:hAnsi="Times New Roman" w:eastAsia="宋体" w:cs="Times New Roman"/>
                      <w:color w:val="auto"/>
                      <w:spacing w:val="16"/>
                      <w:sz w:val="21"/>
                      <w:szCs w:val="21"/>
                      <w:highlight w:val="none"/>
                    </w:rPr>
                    <w:t>），</w:t>
                  </w:r>
                  <w:r>
                    <w:rPr>
                      <w:rFonts w:hint="eastAsia" w:ascii="Times New Roman" w:hAnsi="Times New Roman" w:cs="Times New Roman"/>
                      <w:color w:val="auto"/>
                      <w:spacing w:val="16"/>
                      <w:sz w:val="21"/>
                      <w:szCs w:val="21"/>
                      <w:highlight w:val="none"/>
                      <w:lang w:eastAsia="zh-CN"/>
                    </w:rPr>
                    <w:t>饱和蒸汽压</w:t>
                  </w:r>
                  <w:r>
                    <w:rPr>
                      <w:rFonts w:hint="default" w:ascii="Times New Roman" w:hAnsi="Times New Roman" w:eastAsia="宋体" w:cs="Times New Roman"/>
                      <w:color w:val="auto"/>
                      <w:spacing w:val="7"/>
                      <w:sz w:val="21"/>
                      <w:szCs w:val="21"/>
                      <w:highlight w:val="none"/>
                    </w:rPr>
                    <w:t>2.0</w:t>
                  </w:r>
                  <w:r>
                    <w:rPr>
                      <w:rFonts w:hint="default" w:ascii="Times New Roman" w:hAnsi="Times New Roman" w:eastAsia="宋体" w:cs="Times New Roman"/>
                      <w:color w:val="auto"/>
                      <w:sz w:val="21"/>
                      <w:szCs w:val="21"/>
                      <w:highlight w:val="none"/>
                    </w:rPr>
                    <w:t>Mpa</w:t>
                  </w:r>
                  <w:r>
                    <w:rPr>
                      <w:rFonts w:hint="default" w:ascii="Times New Roman" w:hAnsi="Times New Roman" w:eastAsia="宋体" w:cs="Times New Roman"/>
                      <w:color w:val="auto"/>
                      <w:spacing w:val="7"/>
                      <w:sz w:val="21"/>
                      <w:szCs w:val="21"/>
                      <w:highlight w:val="none"/>
                    </w:rPr>
                    <w:t>。</w:t>
                  </w:r>
                </w:p>
              </w:tc>
              <w:tc>
                <w:tcPr>
                  <w:tcW w:w="389" w:type="pct"/>
                  <w:vAlign w:val="center"/>
                </w:tcPr>
                <w:p w14:paraId="5D59204E">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1C583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jc w:val="center"/>
              </w:trPr>
              <w:tc>
                <w:tcPr>
                  <w:tcW w:w="306" w:type="pct"/>
                  <w:vMerge w:val="continue"/>
                  <w:tcBorders>
                    <w:top w:val="nil"/>
                    <w:bottom w:val="nil"/>
                  </w:tcBorders>
                  <w:vAlign w:val="center"/>
                </w:tcPr>
                <w:p w14:paraId="78BDFE5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vAlign w:val="center"/>
                </w:tcPr>
                <w:p w14:paraId="1B95F022">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空压制氮站</w:t>
                  </w:r>
                </w:p>
              </w:tc>
              <w:tc>
                <w:tcPr>
                  <w:tcW w:w="3682" w:type="pct"/>
                  <w:vAlign w:val="center"/>
                </w:tcPr>
                <w:p w14:paraId="5E330A78">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项目建设空压制氮系统，包括项目一套</w:t>
                  </w:r>
                  <w:r>
                    <w:rPr>
                      <w:rFonts w:hint="default" w:ascii="Times New Roman" w:hAnsi="Times New Roman" w:eastAsia="宋体" w:cs="Times New Roman"/>
                      <w:color w:val="auto"/>
                      <w:sz w:val="21"/>
                      <w:szCs w:val="21"/>
                      <w:highlight w:val="none"/>
                    </w:rPr>
                    <w:t>PSA</w:t>
                  </w:r>
                  <w:r>
                    <w:rPr>
                      <w:rFonts w:hint="default" w:ascii="Times New Roman" w:hAnsi="Times New Roman" w:eastAsia="宋体" w:cs="Times New Roman"/>
                      <w:color w:val="auto"/>
                      <w:spacing w:val="10"/>
                      <w:sz w:val="21"/>
                      <w:szCs w:val="21"/>
                      <w:highlight w:val="none"/>
                    </w:rPr>
                    <w:t>制氮单元，空压单元一套，并分别</w:t>
                  </w:r>
                  <w:r>
                    <w:rPr>
                      <w:rFonts w:hint="default" w:ascii="Times New Roman" w:hAnsi="Times New Roman" w:eastAsia="宋体" w:cs="Times New Roman"/>
                      <w:color w:val="auto"/>
                      <w:spacing w:val="8"/>
                      <w:sz w:val="21"/>
                      <w:szCs w:val="21"/>
                      <w:highlight w:val="none"/>
                    </w:rPr>
                    <w:t>设置一个10立方米的储气缓冲罐。</w:t>
                  </w:r>
                </w:p>
              </w:tc>
              <w:tc>
                <w:tcPr>
                  <w:tcW w:w="389" w:type="pct"/>
                  <w:vAlign w:val="center"/>
                </w:tcPr>
                <w:p w14:paraId="5F189714">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0"/>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2ACC7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306" w:type="pct"/>
                  <w:vMerge w:val="continue"/>
                  <w:tcBorders>
                    <w:top w:val="nil"/>
                    <w:bottom w:val="nil"/>
                  </w:tcBorders>
                  <w:vAlign w:val="center"/>
                </w:tcPr>
                <w:p w14:paraId="64019B6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vAlign w:val="center"/>
                </w:tcPr>
                <w:p w14:paraId="0F5BAAE7">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制冷站</w:t>
                  </w:r>
                </w:p>
              </w:tc>
              <w:tc>
                <w:tcPr>
                  <w:tcW w:w="3682" w:type="pct"/>
                  <w:vAlign w:val="center"/>
                </w:tcPr>
                <w:p w14:paraId="5A50E57E">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新建制冷站一座，新建</w:t>
                  </w:r>
                  <w:r>
                    <w:rPr>
                      <w:rFonts w:hint="eastAsia" w:ascii="Times New Roman" w:hAnsi="Times New Roman" w:cs="Times New Roman"/>
                      <w:color w:val="auto"/>
                      <w:spacing w:val="7"/>
                      <w:sz w:val="21"/>
                      <w:szCs w:val="21"/>
                      <w:highlight w:val="none"/>
                      <w:lang w:val="en-US" w:eastAsia="zh-CN"/>
                    </w:rPr>
                    <w:t>2</w:t>
                  </w:r>
                  <w:r>
                    <w:rPr>
                      <w:rFonts w:hint="default" w:ascii="Times New Roman" w:hAnsi="Times New Roman" w:eastAsia="宋体" w:cs="Times New Roman"/>
                      <w:color w:val="auto"/>
                      <w:spacing w:val="7"/>
                      <w:sz w:val="21"/>
                      <w:szCs w:val="21"/>
                      <w:highlight w:val="none"/>
                    </w:rPr>
                    <w:t>套</w:t>
                  </w:r>
                  <w:r>
                    <w:rPr>
                      <w:rFonts w:hint="eastAsia" w:ascii="Times New Roman" w:hAnsi="Times New Roman" w:cs="Times New Roman"/>
                      <w:color w:val="auto"/>
                      <w:spacing w:val="7"/>
                      <w:sz w:val="21"/>
                      <w:szCs w:val="21"/>
                      <w:highlight w:val="none"/>
                      <w:lang w:eastAsia="zh-CN"/>
                    </w:rPr>
                    <w:t>（</w:t>
                  </w:r>
                  <w:r>
                    <w:rPr>
                      <w:rFonts w:hint="eastAsia" w:ascii="Times New Roman" w:hAnsi="Times New Roman" w:cs="Times New Roman"/>
                      <w:color w:val="auto"/>
                      <w:spacing w:val="7"/>
                      <w:sz w:val="21"/>
                      <w:szCs w:val="21"/>
                      <w:highlight w:val="none"/>
                      <w:lang w:val="en-US" w:eastAsia="zh-CN"/>
                    </w:rPr>
                    <w:t>1用1备</w:t>
                  </w:r>
                  <w:r>
                    <w:rPr>
                      <w:rFonts w:hint="eastAsia" w:ascii="Times New Roman" w:hAnsi="Times New Roman"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rPr>
                    <w:t>自动螺杆低温乙二醇机组，制冷量为</w:t>
                  </w:r>
                  <w:r>
                    <w:rPr>
                      <w:rFonts w:hint="eastAsia" w:ascii="Times New Roman" w:hAnsi="Times New Roman" w:cs="Times New Roman"/>
                      <w:color w:val="auto"/>
                      <w:spacing w:val="7"/>
                      <w:sz w:val="21"/>
                      <w:szCs w:val="21"/>
                      <w:highlight w:val="none"/>
                      <w:lang w:val="en-US" w:eastAsia="zh-CN"/>
                    </w:rPr>
                    <w:t>93</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rPr>
                    <w:t>/h。</w:t>
                  </w:r>
                </w:p>
              </w:tc>
              <w:tc>
                <w:tcPr>
                  <w:tcW w:w="389" w:type="pct"/>
                  <w:vAlign w:val="center"/>
                </w:tcPr>
                <w:p w14:paraId="510349D6">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445AF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jc w:val="center"/>
              </w:trPr>
              <w:tc>
                <w:tcPr>
                  <w:tcW w:w="306" w:type="pct"/>
                  <w:vMerge w:val="continue"/>
                  <w:tcBorders>
                    <w:top w:val="nil"/>
                    <w:bottom w:val="nil"/>
                  </w:tcBorders>
                  <w:vAlign w:val="center"/>
                </w:tcPr>
                <w:p w14:paraId="059230D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vAlign w:val="center"/>
                </w:tcPr>
                <w:p w14:paraId="32EEA2BF">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循环水泵房</w:t>
                  </w:r>
                </w:p>
              </w:tc>
              <w:tc>
                <w:tcPr>
                  <w:tcW w:w="3682" w:type="pct"/>
                  <w:vAlign w:val="center"/>
                </w:tcPr>
                <w:p w14:paraId="012CF9CE">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建设循环水泵房一座，循环水池容积为</w:t>
                  </w:r>
                  <w:r>
                    <w:rPr>
                      <w:rFonts w:hint="eastAsia" w:ascii="Times New Roman" w:hAnsi="Times New Roman" w:cs="Times New Roman"/>
                      <w:color w:val="auto"/>
                      <w:spacing w:val="8"/>
                      <w:sz w:val="21"/>
                      <w:szCs w:val="21"/>
                      <w:highlight w:val="none"/>
                      <w:lang w:val="en-US" w:eastAsia="zh-CN"/>
                    </w:rPr>
                    <w:t>3</w:t>
                  </w:r>
                  <w:r>
                    <w:rPr>
                      <w:rFonts w:hint="default" w:ascii="Times New Roman" w:hAnsi="Times New Roman" w:eastAsia="宋体" w:cs="Times New Roman"/>
                      <w:color w:val="auto"/>
                      <w:spacing w:val="8"/>
                      <w:sz w:val="21"/>
                      <w:szCs w:val="21"/>
                      <w:highlight w:val="none"/>
                    </w:rPr>
                    <w:t>00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8"/>
                      <w:sz w:val="21"/>
                      <w:szCs w:val="21"/>
                      <w:highlight w:val="none"/>
                    </w:rPr>
                    <w:t>，2个逆流式钢筋混凝土冷却塔及</w:t>
                  </w:r>
                  <w:r>
                    <w:rPr>
                      <w:rFonts w:hint="default" w:ascii="Times New Roman" w:hAnsi="Times New Roman" w:eastAsia="宋体" w:cs="Times New Roman"/>
                      <w:color w:val="auto"/>
                      <w:spacing w:val="5"/>
                      <w:sz w:val="21"/>
                      <w:szCs w:val="21"/>
                      <w:highlight w:val="none"/>
                    </w:rPr>
                    <w:t>两台卧式蜗壳双吸离心泵（单台流量</w:t>
                  </w:r>
                  <w:r>
                    <w:rPr>
                      <w:rFonts w:hint="eastAsia" w:ascii="Times New Roman" w:hAnsi="Times New Roman" w:cs="Times New Roman"/>
                      <w:color w:val="auto"/>
                      <w:spacing w:val="5"/>
                      <w:sz w:val="21"/>
                      <w:szCs w:val="21"/>
                      <w:highlight w:val="none"/>
                      <w:lang w:val="en-US" w:eastAsia="zh-CN"/>
                    </w:rPr>
                    <w:t>450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/h，扬程60m，电机功率</w:t>
                  </w:r>
                  <w:r>
                    <w:rPr>
                      <w:rFonts w:hint="eastAsia" w:ascii="Times New Roman" w:hAnsi="Times New Roman" w:cs="Times New Roman"/>
                      <w:color w:val="auto"/>
                      <w:spacing w:val="5"/>
                      <w:sz w:val="21"/>
                      <w:szCs w:val="21"/>
                      <w:highlight w:val="none"/>
                      <w:lang w:val="en-US" w:eastAsia="zh-CN"/>
                    </w:rPr>
                    <w:t>9</w:t>
                  </w:r>
                  <w:r>
                    <w:rPr>
                      <w:rFonts w:hint="default" w:ascii="Times New Roman" w:hAnsi="Times New Roman" w:eastAsia="宋体" w:cs="Times New Roman"/>
                      <w:color w:val="auto"/>
                      <w:spacing w:val="5"/>
                      <w:sz w:val="21"/>
                      <w:szCs w:val="21"/>
                      <w:highlight w:val="none"/>
                    </w:rPr>
                    <w:t>0</w:t>
                  </w:r>
                  <w:r>
                    <w:rPr>
                      <w:rFonts w:hint="default" w:ascii="Times New Roman" w:hAnsi="Times New Roman" w:eastAsia="宋体" w:cs="Times New Roman"/>
                      <w:color w:val="auto"/>
                      <w:sz w:val="21"/>
                      <w:szCs w:val="21"/>
                      <w:highlight w:val="none"/>
                    </w:rPr>
                    <w:t>kW</w:t>
                  </w:r>
                  <w:r>
                    <w:rPr>
                      <w:rFonts w:hint="default" w:ascii="Times New Roman" w:hAnsi="Times New Roman" w:eastAsia="宋体" w:cs="Times New Roman"/>
                      <w:color w:val="auto"/>
                      <w:spacing w:val="5"/>
                      <w:sz w:val="21"/>
                      <w:szCs w:val="21"/>
                      <w:highlight w:val="none"/>
                    </w:rPr>
                    <w:t>）。</w:t>
                  </w:r>
                </w:p>
              </w:tc>
              <w:tc>
                <w:tcPr>
                  <w:tcW w:w="389" w:type="pct"/>
                  <w:vAlign w:val="center"/>
                </w:tcPr>
                <w:p w14:paraId="518DCB97">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01804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 w:hRule="atLeast"/>
                <w:jc w:val="center"/>
              </w:trPr>
              <w:tc>
                <w:tcPr>
                  <w:tcW w:w="306" w:type="pct"/>
                  <w:vMerge w:val="continue"/>
                  <w:tcBorders>
                    <w:top w:val="nil"/>
                    <w:bottom w:val="nil"/>
                  </w:tcBorders>
                  <w:vAlign w:val="center"/>
                </w:tcPr>
                <w:p w14:paraId="5DE8113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vAlign w:val="center"/>
                </w:tcPr>
                <w:p w14:paraId="68B7F88C">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消防系统</w:t>
                  </w:r>
                </w:p>
              </w:tc>
              <w:tc>
                <w:tcPr>
                  <w:tcW w:w="3682" w:type="pct"/>
                  <w:vAlign w:val="center"/>
                </w:tcPr>
                <w:p w14:paraId="0D9FAA10">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项目建设1500m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rPr>
                    <w:t>消防水罐两个，消防水泵两个及配套稳压设施。</w:t>
                  </w:r>
                </w:p>
              </w:tc>
              <w:tc>
                <w:tcPr>
                  <w:tcW w:w="389" w:type="pct"/>
                  <w:vAlign w:val="center"/>
                </w:tcPr>
                <w:p w14:paraId="05F8E0A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619A5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306" w:type="pct"/>
                  <w:vMerge w:val="continue"/>
                  <w:tcBorders>
                    <w:top w:val="nil"/>
                    <w:bottom w:val="nil"/>
                  </w:tcBorders>
                  <w:vAlign w:val="center"/>
                </w:tcPr>
                <w:p w14:paraId="245BB5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vAlign w:val="center"/>
                </w:tcPr>
                <w:p w14:paraId="251180CA">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控制系统</w:t>
                  </w:r>
                </w:p>
              </w:tc>
              <w:tc>
                <w:tcPr>
                  <w:tcW w:w="3682" w:type="pct"/>
                  <w:vAlign w:val="center"/>
                </w:tcPr>
                <w:p w14:paraId="5BE0984D">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sz w:val="21"/>
                      <w:szCs w:val="21"/>
                      <w:highlight w:val="none"/>
                    </w:rPr>
                    <w:t>装置控制室采用一套</w:t>
                  </w:r>
                  <w:r>
                    <w:rPr>
                      <w:rFonts w:hint="default" w:ascii="Times New Roman" w:hAnsi="Times New Roman" w:eastAsia="宋体" w:cs="Times New Roman"/>
                      <w:color w:val="auto"/>
                      <w:sz w:val="21"/>
                      <w:szCs w:val="21"/>
                      <w:highlight w:val="none"/>
                    </w:rPr>
                    <w:t>DCS</w:t>
                  </w:r>
                  <w:r>
                    <w:rPr>
                      <w:rFonts w:hint="default" w:ascii="Times New Roman" w:hAnsi="Times New Roman" w:eastAsia="宋体" w:cs="Times New Roman"/>
                      <w:color w:val="auto"/>
                      <w:spacing w:val="11"/>
                      <w:sz w:val="21"/>
                      <w:szCs w:val="21"/>
                      <w:highlight w:val="none"/>
                    </w:rPr>
                    <w:t>系统、</w:t>
                  </w:r>
                  <w:r>
                    <w:rPr>
                      <w:rFonts w:hint="default" w:ascii="Times New Roman" w:hAnsi="Times New Roman" w:eastAsia="宋体" w:cs="Times New Roman"/>
                      <w:color w:val="auto"/>
                      <w:sz w:val="21"/>
                      <w:szCs w:val="21"/>
                      <w:highlight w:val="none"/>
                    </w:rPr>
                    <w:t>SIS</w:t>
                  </w:r>
                  <w:r>
                    <w:rPr>
                      <w:rFonts w:hint="default" w:ascii="Times New Roman" w:hAnsi="Times New Roman" w:eastAsia="宋体" w:cs="Times New Roman"/>
                      <w:color w:val="auto"/>
                      <w:spacing w:val="11"/>
                      <w:sz w:val="21"/>
                      <w:szCs w:val="21"/>
                      <w:highlight w:val="none"/>
                    </w:rPr>
                    <w:t>系统、气体检测系统（</w:t>
                  </w:r>
                  <w:r>
                    <w:rPr>
                      <w:rFonts w:hint="default" w:ascii="Times New Roman" w:hAnsi="Times New Roman" w:eastAsia="宋体" w:cs="Times New Roman"/>
                      <w:color w:val="auto"/>
                      <w:sz w:val="21"/>
                      <w:szCs w:val="21"/>
                      <w:highlight w:val="none"/>
                    </w:rPr>
                    <w:t>GDS</w:t>
                  </w:r>
                  <w:r>
                    <w:rPr>
                      <w:rFonts w:hint="default" w:ascii="Times New Roman" w:hAnsi="Times New Roman" w:eastAsia="宋体" w:cs="Times New Roman"/>
                      <w:color w:val="auto"/>
                      <w:spacing w:val="11"/>
                      <w:sz w:val="21"/>
                      <w:szCs w:val="21"/>
                      <w:highlight w:val="none"/>
                    </w:rPr>
                    <w:t>）。</w:t>
                  </w:r>
                </w:p>
              </w:tc>
              <w:tc>
                <w:tcPr>
                  <w:tcW w:w="389" w:type="pct"/>
                  <w:vAlign w:val="center"/>
                </w:tcPr>
                <w:p w14:paraId="1D2B9CBB">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501EF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6" w:type="pct"/>
                  <w:vMerge w:val="continue"/>
                  <w:tcBorders>
                    <w:top w:val="nil"/>
                  </w:tcBorders>
                  <w:vAlign w:val="center"/>
                </w:tcPr>
                <w:p w14:paraId="36233B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vAlign w:val="center"/>
                </w:tcPr>
                <w:p w14:paraId="5304382B">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检化验、机</w:t>
                  </w:r>
                  <w:r>
                    <w:rPr>
                      <w:rFonts w:hint="default" w:ascii="Times New Roman" w:hAnsi="Times New Roman" w:eastAsia="宋体" w:cs="Times New Roman"/>
                      <w:color w:val="auto"/>
                      <w:sz w:val="21"/>
                      <w:szCs w:val="21"/>
                      <w:highlight w:val="none"/>
                    </w:rPr>
                    <w:t>修</w:t>
                  </w:r>
                </w:p>
              </w:tc>
              <w:tc>
                <w:tcPr>
                  <w:tcW w:w="3682" w:type="pct"/>
                  <w:vAlign w:val="center"/>
                </w:tcPr>
                <w:p w14:paraId="2958BA86">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项目建设检化验室和机修设施。</w:t>
                  </w:r>
                </w:p>
              </w:tc>
              <w:tc>
                <w:tcPr>
                  <w:tcW w:w="389" w:type="pct"/>
                  <w:vAlign w:val="center"/>
                </w:tcPr>
                <w:p w14:paraId="56B3A510">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347C6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jc w:val="center"/>
              </w:trPr>
              <w:tc>
                <w:tcPr>
                  <w:tcW w:w="306" w:type="pct"/>
                  <w:vMerge w:val="restart"/>
                  <w:vAlign w:val="center"/>
                </w:tcPr>
                <w:p w14:paraId="10A71ECE">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储运</w:t>
                  </w:r>
                  <w:r>
                    <w:rPr>
                      <w:rFonts w:hint="default" w:ascii="Times New Roman" w:hAnsi="Times New Roman" w:eastAsia="宋体" w:cs="Times New Roman"/>
                      <w:color w:val="auto"/>
                      <w:spacing w:val="3"/>
                      <w:sz w:val="21"/>
                      <w:szCs w:val="21"/>
                      <w:highlight w:val="none"/>
                    </w:rPr>
                    <w:t>工程</w:t>
                  </w:r>
                </w:p>
              </w:tc>
              <w:tc>
                <w:tcPr>
                  <w:tcW w:w="622" w:type="pct"/>
                  <w:vMerge w:val="restart"/>
                  <w:tcBorders>
                    <w:bottom w:val="nil"/>
                  </w:tcBorders>
                  <w:vAlign w:val="center"/>
                </w:tcPr>
                <w:p w14:paraId="2B9012E9">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罐区</w:t>
                  </w:r>
                </w:p>
              </w:tc>
              <w:tc>
                <w:tcPr>
                  <w:tcW w:w="3682" w:type="pct"/>
                  <w:vAlign w:val="center"/>
                </w:tcPr>
                <w:p w14:paraId="2F2BF3E0">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原料储罐：建设2个50m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rPr>
                    <w:t>液氨储罐（</w:t>
                  </w:r>
                  <w:r>
                    <w:rPr>
                      <w:rFonts w:hint="default" w:ascii="Times New Roman" w:hAnsi="Times New Roman" w:eastAsia="宋体" w:cs="Times New Roman"/>
                      <w:color w:val="auto"/>
                      <w:spacing w:val="6"/>
                      <w:sz w:val="21"/>
                      <w:szCs w:val="21"/>
                      <w:highlight w:val="none"/>
                    </w:rPr>
                    <w:t>卧式压力储罐</w:t>
                  </w:r>
                  <w:r>
                    <w:rPr>
                      <w:rFonts w:hint="default" w:ascii="Times New Roman" w:hAnsi="Times New Roman" w:eastAsia="宋体" w:cs="Times New Roman"/>
                      <w:color w:val="auto"/>
                      <w:spacing w:val="13"/>
                      <w:sz w:val="21"/>
                      <w:szCs w:val="21"/>
                      <w:highlight w:val="none"/>
                    </w:rPr>
                    <w:t>），</w:t>
                  </w:r>
                  <w:r>
                    <w:rPr>
                      <w:rFonts w:hint="default" w:ascii="Times New Roman" w:hAnsi="Times New Roman" w:eastAsia="宋体" w:cs="Times New Roman"/>
                      <w:color w:val="auto"/>
                      <w:spacing w:val="6"/>
                      <w:sz w:val="21"/>
                      <w:szCs w:val="21"/>
                      <w:highlight w:val="none"/>
                    </w:rPr>
                    <w:t>2个50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6"/>
                      <w:sz w:val="21"/>
                      <w:szCs w:val="21"/>
                      <w:highlight w:val="none"/>
                    </w:rPr>
                    <w:t>环氧乙烷储罐</w:t>
                  </w:r>
                  <w:r>
                    <w:rPr>
                      <w:rFonts w:hint="default" w:ascii="Times New Roman" w:hAnsi="Times New Roman" w:eastAsia="宋体" w:cs="Times New Roman"/>
                      <w:color w:val="auto"/>
                      <w:spacing w:val="7"/>
                      <w:sz w:val="21"/>
                      <w:szCs w:val="21"/>
                      <w:highlight w:val="none"/>
                    </w:rPr>
                    <w:t>（卧式压力储罐），2个50m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rPr>
                    <w:t>一甲胺储罐（卧式压力储罐）罐底防渗</w:t>
                  </w:r>
                  <w:r>
                    <w:rPr>
                      <w:rFonts w:hint="default" w:ascii="Times New Roman" w:hAnsi="Times New Roman" w:eastAsia="宋体" w:cs="Times New Roman"/>
                      <w:color w:val="auto"/>
                      <w:spacing w:val="6"/>
                      <w:sz w:val="21"/>
                      <w:szCs w:val="21"/>
                      <w:highlight w:val="none"/>
                    </w:rPr>
                    <w:t>，并设置</w:t>
                  </w:r>
                  <w:r>
                    <w:rPr>
                      <w:rFonts w:hint="default" w:ascii="Times New Roman" w:hAnsi="Times New Roman" w:eastAsia="宋体" w:cs="Times New Roman"/>
                      <w:color w:val="auto"/>
                      <w:spacing w:val="-4"/>
                      <w:sz w:val="21"/>
                      <w:szCs w:val="21"/>
                      <w:highlight w:val="none"/>
                    </w:rPr>
                    <w:t>围堰。</w:t>
                  </w:r>
                </w:p>
              </w:tc>
              <w:tc>
                <w:tcPr>
                  <w:tcW w:w="389" w:type="pct"/>
                  <w:vAlign w:val="center"/>
                </w:tcPr>
                <w:p w14:paraId="29A925C5">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263D5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06" w:type="pct"/>
                  <w:vMerge w:val="continue"/>
                  <w:vAlign w:val="center"/>
                </w:tcPr>
                <w:p w14:paraId="1E20EAB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vMerge w:val="continue"/>
                  <w:tcBorders>
                    <w:top w:val="nil"/>
                    <w:bottom w:val="single" w:color="auto" w:sz="4" w:space="0"/>
                  </w:tcBorders>
                  <w:vAlign w:val="center"/>
                </w:tcPr>
                <w:p w14:paraId="35EC1D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3682" w:type="pct"/>
                  <w:tcBorders>
                    <w:bottom w:val="single" w:color="auto" w:sz="4" w:space="0"/>
                  </w:tcBorders>
                  <w:vAlign w:val="center"/>
                </w:tcPr>
                <w:p w14:paraId="5525CEB1">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建设生产</w:t>
                  </w:r>
                  <w:r>
                    <w:rPr>
                      <w:rFonts w:hint="eastAsia" w:ascii="Times New Roman" w:hAnsi="Times New Roman" w:cs="Times New Roman"/>
                      <w:color w:val="auto"/>
                      <w:spacing w:val="9"/>
                      <w:sz w:val="21"/>
                      <w:szCs w:val="21"/>
                      <w:highlight w:val="none"/>
                      <w:lang w:eastAsia="zh-CN"/>
                    </w:rPr>
                    <w:t>装置</w:t>
                  </w:r>
                  <w:r>
                    <w:rPr>
                      <w:rFonts w:hint="default" w:ascii="Times New Roman" w:hAnsi="Times New Roman" w:eastAsia="宋体" w:cs="Times New Roman"/>
                      <w:color w:val="auto"/>
                      <w:spacing w:val="9"/>
                      <w:sz w:val="21"/>
                      <w:szCs w:val="21"/>
                      <w:highlight w:val="none"/>
                    </w:rPr>
                    <w:t>内储罐，包括原料中间罐、冷凝水罐、产品中间罐等。</w:t>
                  </w:r>
                </w:p>
                <w:p w14:paraId="3F1692C0">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5"/>
                      <w:sz w:val="21"/>
                      <w:szCs w:val="21"/>
                      <w:highlight w:val="none"/>
                    </w:rPr>
                    <w:t>产品储罐：建设1个100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一乙醇胺成品储罐（立式拱顶储罐</w:t>
                  </w:r>
                  <w:r>
                    <w:rPr>
                      <w:rFonts w:hint="default" w:ascii="Times New Roman" w:hAnsi="Times New Roman" w:eastAsia="宋体" w:cs="Times New Roman"/>
                      <w:color w:val="auto"/>
                      <w:spacing w:val="29"/>
                      <w:sz w:val="21"/>
                      <w:szCs w:val="21"/>
                      <w:highlight w:val="none"/>
                    </w:rPr>
                    <w:t>），</w:t>
                  </w:r>
                  <w:r>
                    <w:rPr>
                      <w:rFonts w:hint="default" w:ascii="Times New Roman" w:hAnsi="Times New Roman" w:eastAsia="宋体" w:cs="Times New Roman"/>
                      <w:color w:val="auto"/>
                      <w:spacing w:val="5"/>
                      <w:sz w:val="21"/>
                      <w:szCs w:val="21"/>
                      <w:highlight w:val="none"/>
                    </w:rPr>
                    <w:t>1个100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二</w:t>
                  </w:r>
                  <w:r>
                    <w:rPr>
                      <w:rFonts w:hint="default" w:ascii="Times New Roman" w:hAnsi="Times New Roman" w:eastAsia="宋体" w:cs="Times New Roman"/>
                      <w:color w:val="auto"/>
                      <w:spacing w:val="6"/>
                      <w:sz w:val="21"/>
                      <w:szCs w:val="21"/>
                      <w:highlight w:val="none"/>
                    </w:rPr>
                    <w:t>乙醇胺成品储罐（立罐区式拱顶储罐</w:t>
                  </w:r>
                  <w:r>
                    <w:rPr>
                      <w:rFonts w:hint="default" w:ascii="Times New Roman" w:hAnsi="Times New Roman" w:eastAsia="宋体" w:cs="Times New Roman"/>
                      <w:color w:val="auto"/>
                      <w:spacing w:val="23"/>
                      <w:sz w:val="21"/>
                      <w:szCs w:val="21"/>
                      <w:highlight w:val="none"/>
                    </w:rPr>
                    <w:t>），</w:t>
                  </w:r>
                  <w:r>
                    <w:rPr>
                      <w:rFonts w:hint="default" w:ascii="Times New Roman" w:hAnsi="Times New Roman" w:eastAsia="宋体" w:cs="Times New Roman"/>
                      <w:color w:val="auto"/>
                      <w:spacing w:val="6"/>
                      <w:sz w:val="21"/>
                      <w:szCs w:val="21"/>
                      <w:highlight w:val="none"/>
                    </w:rPr>
                    <w:t>1个100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6"/>
                      <w:sz w:val="21"/>
                      <w:szCs w:val="21"/>
                      <w:highlight w:val="none"/>
                    </w:rPr>
                    <w:t>三乙醇胺</w:t>
                  </w:r>
                  <w:r>
                    <w:rPr>
                      <w:rFonts w:hint="default" w:ascii="Times New Roman" w:hAnsi="Times New Roman" w:eastAsia="宋体" w:cs="Times New Roman"/>
                      <w:color w:val="auto"/>
                      <w:spacing w:val="5"/>
                      <w:sz w:val="21"/>
                      <w:szCs w:val="21"/>
                      <w:highlight w:val="none"/>
                    </w:rPr>
                    <w:t>成品储罐（立储</w:t>
                  </w:r>
                  <w:r>
                    <w:rPr>
                      <w:rFonts w:hint="default" w:ascii="Times New Roman" w:hAnsi="Times New Roman" w:eastAsia="宋体" w:cs="Times New Roman"/>
                      <w:color w:val="auto"/>
                      <w:spacing w:val="6"/>
                      <w:sz w:val="21"/>
                      <w:szCs w:val="21"/>
                      <w:highlight w:val="none"/>
                    </w:rPr>
                    <w:t>运式拱顶储罐</w:t>
                  </w:r>
                  <w:r>
                    <w:rPr>
                      <w:rFonts w:hint="default" w:ascii="Times New Roman" w:hAnsi="Times New Roman" w:eastAsia="宋体" w:cs="Times New Roman"/>
                      <w:color w:val="auto"/>
                      <w:spacing w:val="11"/>
                      <w:sz w:val="21"/>
                      <w:szCs w:val="21"/>
                      <w:highlight w:val="none"/>
                    </w:rPr>
                    <w:t>），</w:t>
                  </w:r>
                  <w:r>
                    <w:rPr>
                      <w:rFonts w:hint="default" w:ascii="Times New Roman" w:hAnsi="Times New Roman" w:eastAsia="宋体" w:cs="Times New Roman"/>
                      <w:color w:val="auto"/>
                      <w:spacing w:val="6"/>
                      <w:sz w:val="21"/>
                      <w:szCs w:val="21"/>
                      <w:highlight w:val="none"/>
                    </w:rPr>
                    <w:t>1个100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6"/>
                      <w:sz w:val="21"/>
                      <w:szCs w:val="21"/>
                      <w:highlight w:val="none"/>
                    </w:rPr>
                    <w:t>N-甲基一乙醇胺成品储工程</w:t>
                  </w:r>
                  <w:r>
                    <w:rPr>
                      <w:rFonts w:hint="default" w:ascii="Times New Roman" w:hAnsi="Times New Roman" w:eastAsia="宋体" w:cs="Times New Roman"/>
                      <w:color w:val="auto"/>
                      <w:spacing w:val="5"/>
                      <w:sz w:val="21"/>
                      <w:szCs w:val="21"/>
                      <w:highlight w:val="none"/>
                    </w:rPr>
                    <w:t>罐（立式拱顶储罐</w:t>
                  </w:r>
                  <w:r>
                    <w:rPr>
                      <w:rFonts w:hint="default" w:ascii="Times New Roman" w:hAnsi="Times New Roman" w:eastAsia="宋体" w:cs="Times New Roman"/>
                      <w:color w:val="auto"/>
                      <w:spacing w:val="11"/>
                      <w:sz w:val="21"/>
                      <w:szCs w:val="21"/>
                      <w:highlight w:val="none"/>
                    </w:rPr>
                    <w:t>），</w:t>
                  </w:r>
                  <w:r>
                    <w:rPr>
                      <w:rFonts w:hint="default" w:ascii="Times New Roman" w:hAnsi="Times New Roman" w:eastAsia="宋体" w:cs="Times New Roman"/>
                      <w:color w:val="auto"/>
                      <w:spacing w:val="4"/>
                      <w:sz w:val="21"/>
                      <w:szCs w:val="21"/>
                      <w:highlight w:val="none"/>
                    </w:rPr>
                    <w:t>1个100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4"/>
                      <w:sz w:val="21"/>
                      <w:szCs w:val="21"/>
                      <w:highlight w:val="none"/>
                    </w:rPr>
                    <w:t>N-甲基二乙醇胺成品储罐（立式拱顶储罐</w:t>
                  </w:r>
                  <w:r>
                    <w:rPr>
                      <w:rFonts w:hint="default" w:ascii="Times New Roman" w:hAnsi="Times New Roman" w:eastAsia="宋体" w:cs="Times New Roman"/>
                      <w:color w:val="auto"/>
                      <w:spacing w:val="22"/>
                      <w:sz w:val="21"/>
                      <w:szCs w:val="21"/>
                      <w:highlight w:val="none"/>
                    </w:rPr>
                    <w:t>），</w:t>
                  </w:r>
                  <w:r>
                    <w:rPr>
                      <w:rFonts w:hint="default" w:ascii="Times New Roman" w:hAnsi="Times New Roman" w:eastAsia="宋体" w:cs="Times New Roman"/>
                      <w:color w:val="auto"/>
                      <w:spacing w:val="4"/>
                      <w:sz w:val="21"/>
                      <w:szCs w:val="21"/>
                      <w:highlight w:val="none"/>
                    </w:rPr>
                    <w:t>1个100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4"/>
                      <w:sz w:val="21"/>
                      <w:szCs w:val="21"/>
                      <w:highlight w:val="none"/>
                    </w:rPr>
                    <w:t>不</w:t>
                  </w:r>
                  <w:r>
                    <w:rPr>
                      <w:rFonts w:hint="default" w:ascii="Times New Roman" w:hAnsi="Times New Roman" w:eastAsia="宋体" w:cs="Times New Roman"/>
                      <w:color w:val="auto"/>
                      <w:spacing w:val="3"/>
                      <w:sz w:val="21"/>
                      <w:szCs w:val="21"/>
                      <w:highlight w:val="none"/>
                    </w:rPr>
                    <w:t>合格品储</w:t>
                  </w:r>
                  <w:r>
                    <w:rPr>
                      <w:rFonts w:hint="default" w:ascii="Times New Roman" w:hAnsi="Times New Roman" w:eastAsia="宋体" w:cs="Times New Roman"/>
                      <w:color w:val="auto"/>
                      <w:spacing w:val="8"/>
                      <w:sz w:val="21"/>
                      <w:szCs w:val="21"/>
                      <w:highlight w:val="none"/>
                    </w:rPr>
                    <w:t>罐（立式拱顶储罐</w:t>
                  </w:r>
                  <w:r>
                    <w:rPr>
                      <w:rFonts w:hint="default" w:ascii="Times New Roman" w:hAnsi="Times New Roman" w:eastAsia="宋体" w:cs="Times New Roman"/>
                      <w:color w:val="auto"/>
                      <w:spacing w:val="17"/>
                      <w:sz w:val="21"/>
                      <w:szCs w:val="21"/>
                      <w:highlight w:val="none"/>
                    </w:rPr>
                    <w:t>），</w:t>
                  </w:r>
                  <w:r>
                    <w:rPr>
                      <w:rFonts w:hint="default" w:ascii="Times New Roman" w:hAnsi="Times New Roman" w:eastAsia="宋体" w:cs="Times New Roman"/>
                      <w:color w:val="auto"/>
                      <w:spacing w:val="8"/>
                      <w:sz w:val="21"/>
                      <w:szCs w:val="21"/>
                      <w:highlight w:val="none"/>
                    </w:rPr>
                    <w:t>罐底防渗，并设置围堰。</w:t>
                  </w:r>
                </w:p>
              </w:tc>
              <w:tc>
                <w:tcPr>
                  <w:tcW w:w="389" w:type="pct"/>
                  <w:tcBorders>
                    <w:bottom w:val="single" w:color="auto" w:sz="4" w:space="0"/>
                  </w:tcBorders>
                  <w:vAlign w:val="center"/>
                </w:tcPr>
                <w:p w14:paraId="5ED65C0E">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0FCBD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6" w:type="pct"/>
                  <w:vMerge w:val="continue"/>
                  <w:tcBorders>
                    <w:bottom w:val="single" w:color="auto" w:sz="4" w:space="0"/>
                  </w:tcBorders>
                  <w:vAlign w:val="center"/>
                </w:tcPr>
                <w:p w14:paraId="351814B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tcBorders>
                    <w:top w:val="single" w:color="auto" w:sz="4" w:space="0"/>
                    <w:left w:val="single" w:color="auto" w:sz="4" w:space="0"/>
                    <w:bottom w:val="single" w:color="auto" w:sz="4" w:space="0"/>
                    <w:right w:val="single" w:color="auto" w:sz="4" w:space="0"/>
                  </w:tcBorders>
                  <w:vAlign w:val="center"/>
                </w:tcPr>
                <w:p w14:paraId="7BDB17ED">
                  <w:pPr>
                    <w:pStyle w:val="12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装车栈台</w:t>
                  </w:r>
                </w:p>
              </w:tc>
              <w:tc>
                <w:tcPr>
                  <w:tcW w:w="3682" w:type="pct"/>
                  <w:tcBorders>
                    <w:top w:val="single" w:color="auto" w:sz="4" w:space="0"/>
                    <w:left w:val="single" w:color="auto" w:sz="4" w:space="0"/>
                    <w:bottom w:val="single" w:color="auto" w:sz="4" w:space="0"/>
                    <w:right w:val="single" w:color="auto" w:sz="4" w:space="0"/>
                  </w:tcBorders>
                  <w:vAlign w:val="center"/>
                </w:tcPr>
                <w:p w14:paraId="483F0F7B">
                  <w:pPr>
                    <w:pStyle w:val="12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7"/>
                      <w:sz w:val="21"/>
                      <w:szCs w:val="21"/>
                      <w:highlight w:val="none"/>
                    </w:rPr>
                    <w:t>新建1座装卸车栈台，装车鹤管6个，</w:t>
                  </w:r>
                  <w:r>
                    <w:rPr>
                      <w:rFonts w:hint="eastAsia" w:ascii="Times New Roman" w:hAnsi="Times New Roman" w:cs="Times New Roman"/>
                      <w:color w:val="auto"/>
                      <w:spacing w:val="7"/>
                      <w:sz w:val="21"/>
                      <w:szCs w:val="21"/>
                      <w:highlight w:val="none"/>
                      <w:lang w:val="en-US" w:eastAsia="zh-CN"/>
                    </w:rPr>
                    <w:t>用于</w:t>
                  </w:r>
                  <w:r>
                    <w:rPr>
                      <w:rFonts w:hint="default" w:ascii="Times New Roman" w:hAnsi="Times New Roman" w:eastAsia="宋体" w:cs="Times New Roman"/>
                      <w:color w:val="auto"/>
                      <w:spacing w:val="7"/>
                      <w:sz w:val="21"/>
                      <w:szCs w:val="21"/>
                      <w:highlight w:val="none"/>
                    </w:rPr>
                    <w:t>原料卸车。</w:t>
                  </w:r>
                </w:p>
              </w:tc>
              <w:tc>
                <w:tcPr>
                  <w:tcW w:w="389" w:type="pct"/>
                  <w:tcBorders>
                    <w:top w:val="single" w:color="auto" w:sz="4" w:space="0"/>
                    <w:left w:val="single" w:color="auto" w:sz="4" w:space="0"/>
                    <w:bottom w:val="single" w:color="auto" w:sz="4" w:space="0"/>
                    <w:right w:val="single" w:color="auto" w:sz="4" w:space="0"/>
                  </w:tcBorders>
                  <w:vAlign w:val="center"/>
                </w:tcPr>
                <w:p w14:paraId="33565CB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1D13D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306" w:type="pct"/>
                  <w:vMerge w:val="restart"/>
                  <w:tcBorders>
                    <w:top w:val="single" w:color="auto" w:sz="4" w:space="0"/>
                    <w:left w:val="single" w:color="auto" w:sz="4" w:space="0"/>
                    <w:right w:val="single" w:color="auto" w:sz="4" w:space="0"/>
                  </w:tcBorders>
                  <w:vAlign w:val="center"/>
                </w:tcPr>
                <w:p w14:paraId="328FF1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5"/>
                      <w:sz w:val="21"/>
                      <w:szCs w:val="21"/>
                      <w:highlight w:val="none"/>
                    </w:rPr>
                    <w:t>环保工程</w:t>
                  </w:r>
                </w:p>
              </w:tc>
              <w:tc>
                <w:tcPr>
                  <w:tcW w:w="622" w:type="pct"/>
                  <w:tcBorders>
                    <w:top w:val="single" w:color="auto" w:sz="4" w:space="0"/>
                    <w:left w:val="single" w:color="auto" w:sz="4" w:space="0"/>
                    <w:bottom w:val="single" w:color="auto" w:sz="4" w:space="0"/>
                    <w:right w:val="single" w:color="auto" w:sz="4" w:space="0"/>
                  </w:tcBorders>
                  <w:vAlign w:val="center"/>
                </w:tcPr>
                <w:p w14:paraId="325072DA">
                  <w:pPr>
                    <w:pStyle w:val="12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废气治理</w:t>
                  </w:r>
                </w:p>
              </w:tc>
              <w:tc>
                <w:tcPr>
                  <w:tcW w:w="3682" w:type="pct"/>
                  <w:tcBorders>
                    <w:top w:val="single" w:color="auto" w:sz="4" w:space="0"/>
                    <w:left w:val="single" w:color="auto" w:sz="4" w:space="0"/>
                    <w:bottom w:val="single" w:color="auto" w:sz="4" w:space="0"/>
                    <w:right w:val="single" w:color="auto" w:sz="4" w:space="0"/>
                  </w:tcBorders>
                  <w:vAlign w:val="center"/>
                </w:tcPr>
                <w:p w14:paraId="61BB68E2">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1、蒸氨脱水工序后尾气进入吸收塔（四段式）吸</w:t>
                  </w:r>
                  <w:r>
                    <w:rPr>
                      <w:rFonts w:hint="default" w:ascii="Times New Roman" w:hAnsi="Times New Roman" w:eastAsia="宋体" w:cs="Times New Roman"/>
                      <w:color w:val="auto"/>
                      <w:spacing w:val="8"/>
                      <w:sz w:val="21"/>
                      <w:szCs w:val="21"/>
                      <w:highlight w:val="none"/>
                    </w:rPr>
                    <w:t>收，再进入尾气水洗塔（四段式</w:t>
                  </w:r>
                  <w:r>
                    <w:rPr>
                      <w:rFonts w:hint="default" w:ascii="Times New Roman" w:hAnsi="Times New Roman" w:eastAsia="宋体" w:cs="Times New Roman"/>
                      <w:color w:val="auto"/>
                      <w:spacing w:val="20"/>
                      <w:sz w:val="21"/>
                      <w:szCs w:val="21"/>
                      <w:highlight w:val="none"/>
                    </w:rPr>
                    <w:t>）；</w:t>
                  </w:r>
                  <w:r>
                    <w:rPr>
                      <w:rFonts w:hint="default" w:ascii="Times New Roman" w:hAnsi="Times New Roman" w:eastAsia="宋体" w:cs="Times New Roman"/>
                      <w:color w:val="auto"/>
                      <w:spacing w:val="8"/>
                      <w:sz w:val="21"/>
                      <w:szCs w:val="21"/>
                      <w:highlight w:val="none"/>
                    </w:rPr>
                    <w:t>产品</w:t>
                  </w:r>
                  <w:r>
                    <w:rPr>
                      <w:rFonts w:hint="eastAsia" w:ascii="Times New Roman" w:hAnsi="Times New Roman" w:cs="Times New Roman"/>
                      <w:color w:val="auto"/>
                      <w:spacing w:val="8"/>
                      <w:sz w:val="21"/>
                      <w:szCs w:val="21"/>
                      <w:highlight w:val="none"/>
                      <w:lang w:eastAsia="zh-CN"/>
                    </w:rPr>
                    <w:t>精制</w:t>
                  </w:r>
                  <w:r>
                    <w:rPr>
                      <w:rFonts w:hint="default" w:ascii="Times New Roman" w:hAnsi="Times New Roman" w:eastAsia="宋体" w:cs="Times New Roman"/>
                      <w:color w:val="auto"/>
                      <w:spacing w:val="8"/>
                      <w:sz w:val="21"/>
                      <w:szCs w:val="21"/>
                      <w:highlight w:val="none"/>
                    </w:rPr>
                    <w:t>工序尾气进入水洗塔，经28m排气筒</w:t>
                  </w:r>
                  <w:r>
                    <w:rPr>
                      <w:rFonts w:hint="eastAsia" w:ascii="Times New Roman" w:hAnsi="Times New Roman" w:eastAsia="宋体" w:cs="Times New Roman"/>
                      <w:color w:val="auto"/>
                      <w:spacing w:val="7"/>
                      <w:sz w:val="21"/>
                      <w:szCs w:val="21"/>
                      <w:highlight w:val="none"/>
                      <w:lang w:val="en-US" w:eastAsia="zh-CN"/>
                    </w:rPr>
                    <w:t>DA00</w:t>
                  </w:r>
                  <w:r>
                    <w:rPr>
                      <w:rFonts w:hint="eastAsia" w:ascii="Times New Roman" w:hAnsi="Times New Roman" w:cs="Times New Roman"/>
                      <w:color w:val="auto"/>
                      <w:spacing w:val="7"/>
                      <w:sz w:val="21"/>
                      <w:szCs w:val="21"/>
                      <w:highlight w:val="none"/>
                      <w:lang w:val="en-US" w:eastAsia="zh-CN"/>
                    </w:rPr>
                    <w:t>1</w:t>
                  </w:r>
                  <w:r>
                    <w:rPr>
                      <w:rFonts w:hint="default" w:ascii="Times New Roman" w:hAnsi="Times New Roman" w:eastAsia="宋体" w:cs="Times New Roman"/>
                      <w:color w:val="auto"/>
                      <w:spacing w:val="8"/>
                      <w:sz w:val="21"/>
                      <w:szCs w:val="21"/>
                      <w:highlight w:val="none"/>
                    </w:rPr>
                    <w:t>排放；</w:t>
                  </w:r>
                </w:p>
                <w:p w14:paraId="149118D1">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2、燃气锅炉采用天然气作为加热燃料，采用“低氮</w:t>
                  </w:r>
                  <w:r>
                    <w:rPr>
                      <w:rFonts w:hint="default" w:ascii="Times New Roman" w:hAnsi="Times New Roman" w:eastAsia="宋体" w:cs="Times New Roman"/>
                      <w:color w:val="auto"/>
                      <w:spacing w:val="7"/>
                      <w:sz w:val="21"/>
                      <w:szCs w:val="21"/>
                      <w:highlight w:val="none"/>
                    </w:rPr>
                    <w:t>燃烧器+烟气再循环技术”，燃烧后废气经1根15m排</w:t>
                  </w:r>
                  <w:r>
                    <w:rPr>
                      <w:rFonts w:hint="default" w:ascii="Times New Roman" w:hAnsi="Times New Roman" w:eastAsia="宋体" w:cs="Times New Roman"/>
                      <w:color w:val="auto"/>
                      <w:spacing w:val="5"/>
                      <w:sz w:val="21"/>
                      <w:szCs w:val="21"/>
                      <w:highlight w:val="none"/>
                    </w:rPr>
                    <w:t>气筒</w:t>
                  </w:r>
                  <w:r>
                    <w:rPr>
                      <w:rFonts w:hint="eastAsia" w:ascii="Times New Roman" w:hAnsi="Times New Roman" w:eastAsia="宋体" w:cs="Times New Roman"/>
                      <w:color w:val="auto"/>
                      <w:spacing w:val="7"/>
                      <w:sz w:val="21"/>
                      <w:szCs w:val="21"/>
                      <w:highlight w:val="none"/>
                      <w:lang w:val="en-US" w:eastAsia="zh-CN"/>
                    </w:rPr>
                    <w:t>DA00</w:t>
                  </w:r>
                  <w:r>
                    <w:rPr>
                      <w:rFonts w:hint="eastAsia" w:ascii="Times New Roman" w:hAnsi="Times New Roman" w:cs="Times New Roman"/>
                      <w:color w:val="auto"/>
                      <w:spacing w:val="7"/>
                      <w:sz w:val="21"/>
                      <w:szCs w:val="21"/>
                      <w:highlight w:val="none"/>
                      <w:lang w:val="en-US" w:eastAsia="zh-CN"/>
                    </w:rPr>
                    <w:t>2</w:t>
                  </w:r>
                  <w:r>
                    <w:rPr>
                      <w:rFonts w:hint="default" w:ascii="Times New Roman" w:hAnsi="Times New Roman" w:eastAsia="宋体" w:cs="Times New Roman"/>
                      <w:color w:val="auto"/>
                      <w:spacing w:val="5"/>
                      <w:sz w:val="21"/>
                      <w:szCs w:val="21"/>
                      <w:highlight w:val="none"/>
                    </w:rPr>
                    <w:t>排放。</w:t>
                  </w:r>
                </w:p>
                <w:p w14:paraId="629A3D3F">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3、项目对污水处理站所有构筑物采取钢筋混凝土池盖封顶，池盖上设有臭气收集口，通过“吸气罩</w:t>
                  </w:r>
                  <w:r>
                    <w:rPr>
                      <w:rFonts w:hint="default" w:ascii="Times New Roman" w:hAnsi="Times New Roman" w:eastAsia="宋体" w:cs="Times New Roman"/>
                      <w:color w:val="auto"/>
                      <w:spacing w:val="7"/>
                      <w:sz w:val="21"/>
                      <w:szCs w:val="21"/>
                      <w:highlight w:val="none"/>
                    </w:rPr>
                    <w:t>+引</w:t>
                  </w:r>
                  <w:r>
                    <w:rPr>
                      <w:rFonts w:hint="default" w:ascii="Times New Roman" w:hAnsi="Times New Roman" w:eastAsia="宋体" w:cs="Times New Roman"/>
                      <w:color w:val="auto"/>
                      <w:spacing w:val="9"/>
                      <w:sz w:val="21"/>
                      <w:szCs w:val="21"/>
                      <w:highlight w:val="none"/>
                    </w:rPr>
                    <w:t>风机”集中收集废气，经“稀碱液循环洗涤</w:t>
                  </w:r>
                  <w:r>
                    <w:rPr>
                      <w:rFonts w:hint="default" w:ascii="Times New Roman" w:hAnsi="Times New Roman" w:eastAsia="宋体" w:cs="Times New Roman"/>
                      <w:color w:val="auto"/>
                      <w:spacing w:val="8"/>
                      <w:sz w:val="21"/>
                      <w:szCs w:val="21"/>
                      <w:highlight w:val="none"/>
                    </w:rPr>
                    <w:t>+活性炭吸</w:t>
                  </w:r>
                  <w:r>
                    <w:rPr>
                      <w:rFonts w:hint="default" w:ascii="Times New Roman" w:hAnsi="Times New Roman" w:eastAsia="宋体" w:cs="Times New Roman"/>
                      <w:color w:val="auto"/>
                      <w:spacing w:val="7"/>
                      <w:sz w:val="21"/>
                      <w:szCs w:val="21"/>
                      <w:highlight w:val="none"/>
                    </w:rPr>
                    <w:t>附”系统净化后，经1根15m排气筒</w:t>
                  </w:r>
                  <w:r>
                    <w:rPr>
                      <w:rFonts w:hint="eastAsia" w:ascii="Times New Roman" w:hAnsi="Times New Roman" w:eastAsia="宋体" w:cs="Times New Roman"/>
                      <w:color w:val="auto"/>
                      <w:spacing w:val="7"/>
                      <w:sz w:val="21"/>
                      <w:szCs w:val="21"/>
                      <w:highlight w:val="none"/>
                      <w:lang w:val="en-US" w:eastAsia="zh-CN"/>
                    </w:rPr>
                    <w:t>DA003</w:t>
                  </w:r>
                  <w:r>
                    <w:rPr>
                      <w:rFonts w:hint="default" w:ascii="Times New Roman" w:hAnsi="Times New Roman" w:eastAsia="宋体" w:cs="Times New Roman"/>
                      <w:color w:val="auto"/>
                      <w:spacing w:val="7"/>
                      <w:sz w:val="21"/>
                      <w:szCs w:val="21"/>
                      <w:highlight w:val="none"/>
                    </w:rPr>
                    <w:t>排放。</w:t>
                  </w:r>
                </w:p>
                <w:p w14:paraId="727C1976">
                  <w:pPr>
                    <w:pStyle w:val="1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4、实验室废气经活性炭吸附后经1根15m排气筒</w:t>
                  </w:r>
                  <w:r>
                    <w:rPr>
                      <w:rFonts w:hint="default" w:ascii="Times New Roman" w:hAnsi="Times New Roman" w:eastAsia="宋体" w:cs="Times New Roman"/>
                      <w:color w:val="auto"/>
                      <w:spacing w:val="3"/>
                      <w:sz w:val="21"/>
                      <w:szCs w:val="21"/>
                      <w:highlight w:val="none"/>
                    </w:rPr>
                    <w:t>排放。</w:t>
                  </w:r>
                </w:p>
              </w:tc>
              <w:tc>
                <w:tcPr>
                  <w:tcW w:w="389" w:type="pct"/>
                  <w:tcBorders>
                    <w:top w:val="single" w:color="auto" w:sz="4" w:space="0"/>
                    <w:left w:val="single" w:color="auto" w:sz="4" w:space="0"/>
                    <w:bottom w:val="single" w:color="auto" w:sz="4" w:space="0"/>
                    <w:right w:val="single" w:color="auto" w:sz="4" w:space="0"/>
                  </w:tcBorders>
                  <w:vAlign w:val="center"/>
                </w:tcPr>
                <w:p w14:paraId="4212FF0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06B3F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06" w:type="pct"/>
                  <w:vMerge w:val="continue"/>
                  <w:tcBorders>
                    <w:left w:val="single" w:color="auto" w:sz="4" w:space="0"/>
                    <w:right w:val="single" w:color="auto" w:sz="4" w:space="0"/>
                  </w:tcBorders>
                  <w:vAlign w:val="center"/>
                </w:tcPr>
                <w:p w14:paraId="7CF9006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tcBorders>
                    <w:top w:val="single" w:color="auto" w:sz="4" w:space="0"/>
                    <w:left w:val="single" w:color="auto" w:sz="4" w:space="0"/>
                    <w:bottom w:val="single" w:color="auto" w:sz="4" w:space="0"/>
                    <w:right w:val="single" w:color="auto" w:sz="4" w:space="0"/>
                  </w:tcBorders>
                  <w:vAlign w:val="center"/>
                </w:tcPr>
                <w:p w14:paraId="33DA5A5D">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废水治理</w:t>
                  </w:r>
                </w:p>
              </w:tc>
              <w:tc>
                <w:tcPr>
                  <w:tcW w:w="3682" w:type="pct"/>
                  <w:tcBorders>
                    <w:top w:val="single" w:color="auto" w:sz="4" w:space="0"/>
                    <w:left w:val="single" w:color="auto" w:sz="4" w:space="0"/>
                    <w:bottom w:val="single" w:color="auto" w:sz="4" w:space="0"/>
                    <w:right w:val="single" w:color="auto" w:sz="4" w:space="0"/>
                  </w:tcBorders>
                  <w:vAlign w:val="center"/>
                </w:tcPr>
                <w:p w14:paraId="0EE0B234">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1、项目产生的生活污水先经隔油+预处理池处理后、产生的生产废水经厂区污水处理站处理达</w:t>
                  </w:r>
                  <w:bookmarkStart w:id="13" w:name="OLE_LINK4"/>
                  <w:r>
                    <w:rPr>
                      <w:rFonts w:hint="default" w:ascii="Times New Roman" w:hAnsi="Times New Roman" w:eastAsia="宋体" w:cs="Times New Roman"/>
                      <w:color w:val="auto"/>
                      <w:spacing w:val="8"/>
                      <w:sz w:val="21"/>
                      <w:szCs w:val="21"/>
                      <w:highlight w:val="none"/>
                    </w:rPr>
                    <w:t>《污水综合排放标准》（GB8978-1996）三级标准后进入园区污水处理厂。厂区污水处理站处理能力为3.5</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8"/>
                      <w:sz w:val="21"/>
                      <w:szCs w:val="21"/>
                      <w:highlight w:val="none"/>
                    </w:rPr>
                    <w:t>/h，采用“</w:t>
                  </w:r>
                  <w:r>
                    <w:rPr>
                      <w:rFonts w:hint="eastAsia" w:ascii="Times New Roman" w:hAnsi="Times New Roman" w:cs="Times New Roman"/>
                      <w:color w:val="auto"/>
                      <w:spacing w:val="8"/>
                      <w:sz w:val="21"/>
                      <w:szCs w:val="21"/>
                      <w:highlight w:val="none"/>
                      <w:lang w:eastAsia="zh-CN"/>
                    </w:rPr>
                    <w:t>预处理（芬顿反应+铁碳内电解+混凝沉淀+生化调节）+厌氧（水解酸化法+UASB）+两级</w:t>
                  </w:r>
                  <w:r>
                    <w:rPr>
                      <w:rFonts w:hint="default" w:ascii="Times New Roman" w:hAnsi="Times New Roman" w:eastAsia="宋体" w:cs="Times New Roman"/>
                      <w:color w:val="auto"/>
                      <w:spacing w:val="8"/>
                      <w:sz w:val="21"/>
                      <w:szCs w:val="21"/>
                      <w:highlight w:val="none"/>
                    </w:rPr>
                    <w:t>”的组合废水处理工艺。</w:t>
                  </w:r>
                </w:p>
                <w:bookmarkEnd w:id="13"/>
                <w:p w14:paraId="5AA1493F">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2、项目建设事故收集池，体积1740</w:t>
                  </w:r>
                  <w:r>
                    <w:rPr>
                      <w:rFonts w:hint="default" w:ascii="Times New Roman" w:hAnsi="Times New Roman" w:eastAsia="宋体" w:cs="Times New Roman"/>
                      <w:color w:val="auto"/>
                      <w:spacing w:val="7"/>
                      <w:sz w:val="21"/>
                      <w:szCs w:val="21"/>
                      <w:highlight w:val="none"/>
                    </w:rPr>
                    <w:t>m</w:t>
                  </w:r>
                  <w:r>
                    <w:rPr>
                      <w:rFonts w:hint="default" w:ascii="Times New Roman" w:hAnsi="Times New Roman"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8"/>
                      <w:sz w:val="21"/>
                      <w:szCs w:val="21"/>
                      <w:highlight w:val="none"/>
                    </w:rPr>
                    <w:t>。</w:t>
                  </w:r>
                </w:p>
              </w:tc>
              <w:tc>
                <w:tcPr>
                  <w:tcW w:w="389" w:type="pct"/>
                  <w:tcBorders>
                    <w:top w:val="single" w:color="auto" w:sz="4" w:space="0"/>
                    <w:left w:val="single" w:color="auto" w:sz="4" w:space="0"/>
                    <w:bottom w:val="single" w:color="auto" w:sz="4" w:space="0"/>
                    <w:right w:val="single" w:color="auto" w:sz="4" w:space="0"/>
                  </w:tcBorders>
                  <w:vAlign w:val="center"/>
                </w:tcPr>
                <w:p w14:paraId="21816FA5">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r w14:paraId="5E3A8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6" w:type="pct"/>
                  <w:vMerge w:val="continue"/>
                  <w:tcBorders>
                    <w:left w:val="single" w:color="auto" w:sz="4" w:space="0"/>
                    <w:bottom w:val="single" w:color="auto" w:sz="4" w:space="0"/>
                    <w:right w:val="single" w:color="auto" w:sz="4" w:space="0"/>
                  </w:tcBorders>
                  <w:vAlign w:val="center"/>
                </w:tcPr>
                <w:p w14:paraId="74F8908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2" w:type="pct"/>
                  <w:tcBorders>
                    <w:top w:val="single" w:color="auto" w:sz="4" w:space="0"/>
                    <w:left w:val="single" w:color="auto" w:sz="4" w:space="0"/>
                    <w:bottom w:val="single" w:color="auto" w:sz="4" w:space="0"/>
                    <w:right w:val="single" w:color="auto" w:sz="4" w:space="0"/>
                  </w:tcBorders>
                  <w:vAlign w:val="center"/>
                </w:tcPr>
                <w:p w14:paraId="3A370BD0">
                  <w:pPr>
                    <w:pStyle w:val="12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4"/>
                      <w:sz w:val="21"/>
                      <w:szCs w:val="21"/>
                      <w:highlight w:val="none"/>
                    </w:rPr>
                    <w:t>噪声治理</w:t>
                  </w:r>
                </w:p>
              </w:tc>
              <w:tc>
                <w:tcPr>
                  <w:tcW w:w="3682" w:type="pct"/>
                  <w:tcBorders>
                    <w:top w:val="single" w:color="auto" w:sz="4" w:space="0"/>
                    <w:left w:val="single" w:color="auto" w:sz="4" w:space="0"/>
                    <w:bottom w:val="single" w:color="auto" w:sz="4" w:space="0"/>
                    <w:right w:val="single" w:color="auto" w:sz="4" w:space="0"/>
                  </w:tcBorders>
                  <w:vAlign w:val="center"/>
                </w:tcPr>
                <w:p w14:paraId="6E31A4E1">
                  <w:pPr>
                    <w:pStyle w:val="120"/>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9"/>
                      <w:sz w:val="21"/>
                      <w:szCs w:val="21"/>
                      <w:highlight w:val="none"/>
                    </w:rPr>
                    <w:t>选用转速较低的设备，风机出口采用消声器，设置泵房等。</w:t>
                  </w:r>
                </w:p>
              </w:tc>
              <w:tc>
                <w:tcPr>
                  <w:tcW w:w="389" w:type="pct"/>
                  <w:tcBorders>
                    <w:top w:val="single" w:color="auto" w:sz="4" w:space="0"/>
                    <w:left w:val="single" w:color="auto" w:sz="4" w:space="0"/>
                    <w:bottom w:val="single" w:color="auto" w:sz="4" w:space="0"/>
                    <w:right w:val="single" w:color="auto" w:sz="4" w:space="0"/>
                  </w:tcBorders>
                  <w:vAlign w:val="center"/>
                </w:tcPr>
                <w:p w14:paraId="5DF490EA">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7"/>
                      <w:sz w:val="21"/>
                      <w:szCs w:val="21"/>
                      <w:highlight w:val="none"/>
                      <w:lang w:val="en-US" w:eastAsia="zh-CN"/>
                    </w:rPr>
                    <w:t>已建</w:t>
                  </w:r>
                </w:p>
              </w:tc>
            </w:tr>
          </w:tbl>
          <w:p w14:paraId="1CFDDFE1">
            <w:pPr>
              <w:spacing w:line="360" w:lineRule="auto"/>
              <w:ind w:firstLine="482"/>
              <w:rPr>
                <w:b/>
                <w:color w:val="auto"/>
                <w:sz w:val="24"/>
                <w:highlight w:val="none"/>
              </w:rPr>
            </w:pPr>
            <w:r>
              <w:rPr>
                <w:rFonts w:hint="eastAsia"/>
                <w:b/>
                <w:color w:val="auto"/>
                <w:sz w:val="24"/>
                <w:highlight w:val="none"/>
                <w:lang w:val="en-US" w:eastAsia="zh-CN"/>
              </w:rPr>
              <w:t>2</w:t>
            </w:r>
            <w:r>
              <w:rPr>
                <w:b/>
                <w:color w:val="auto"/>
                <w:sz w:val="24"/>
                <w:highlight w:val="none"/>
              </w:rPr>
              <w:t>、</w:t>
            </w:r>
            <w:r>
              <w:rPr>
                <w:rFonts w:hint="eastAsia"/>
                <w:b/>
                <w:color w:val="auto"/>
                <w:sz w:val="24"/>
                <w:highlight w:val="none"/>
              </w:rPr>
              <w:t>企业现有工程产品方案</w:t>
            </w:r>
          </w:p>
          <w:p w14:paraId="638ECCC4">
            <w:pPr>
              <w:spacing w:line="360" w:lineRule="auto"/>
              <w:ind w:firstLine="480"/>
              <w:rPr>
                <w:color w:val="auto"/>
                <w:highlight w:val="none"/>
              </w:rPr>
            </w:pPr>
            <w:r>
              <w:rPr>
                <w:rFonts w:hint="eastAsia"/>
                <w:color w:val="auto"/>
                <w:sz w:val="24"/>
                <w:highlight w:val="none"/>
              </w:rPr>
              <w:t>现有工程</w:t>
            </w:r>
            <w:r>
              <w:rPr>
                <w:rFonts w:hint="eastAsia"/>
                <w:color w:val="auto"/>
                <w:sz w:val="24"/>
                <w:highlight w:val="none"/>
                <w:lang w:val="en-US" w:eastAsia="zh-CN"/>
              </w:rPr>
              <w:t>产品规模及产品</w:t>
            </w:r>
            <w:r>
              <w:rPr>
                <w:color w:val="auto"/>
                <w:sz w:val="24"/>
                <w:highlight w:val="none"/>
              </w:rPr>
              <w:t>方案详见下表所示：</w:t>
            </w:r>
          </w:p>
          <w:p w14:paraId="1DB8B6EB">
            <w:pPr>
              <w:pStyle w:val="42"/>
              <w:rPr>
                <w:color w:val="auto"/>
                <w:highlight w:val="none"/>
              </w:rPr>
            </w:pPr>
            <w:r>
              <w:rPr>
                <w:color w:val="auto"/>
                <w:highlight w:val="none"/>
              </w:rPr>
              <w:t>企业</w:t>
            </w:r>
            <w:r>
              <w:rPr>
                <w:rFonts w:hint="eastAsia"/>
                <w:color w:val="auto"/>
                <w:highlight w:val="none"/>
              </w:rPr>
              <w:t>现有工程</w:t>
            </w:r>
            <w:r>
              <w:rPr>
                <w:color w:val="auto"/>
                <w:highlight w:val="none"/>
              </w:rPr>
              <w:t>产品</w:t>
            </w:r>
            <w:r>
              <w:rPr>
                <w:rFonts w:hint="eastAsia"/>
                <w:color w:val="auto"/>
                <w:highlight w:val="none"/>
                <w:lang w:val="en-US" w:eastAsia="zh-CN"/>
              </w:rPr>
              <w:t>规模</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6"/>
              <w:gridCol w:w="1602"/>
              <w:gridCol w:w="951"/>
              <w:gridCol w:w="990"/>
              <w:gridCol w:w="978"/>
              <w:gridCol w:w="3189"/>
            </w:tblGrid>
            <w:tr w14:paraId="704A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441" w:type="pct"/>
                  <w:vAlign w:val="center"/>
                </w:tcPr>
                <w:p w14:paraId="414DBAE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highlight w:val="none"/>
                    </w:rPr>
                  </w:pPr>
                  <w:r>
                    <w:rPr>
                      <w:b/>
                      <w:bCs/>
                      <w:color w:val="auto"/>
                      <w:sz w:val="21"/>
                      <w:highlight w:val="none"/>
                    </w:rPr>
                    <w:t>项目</w:t>
                  </w:r>
                </w:p>
              </w:tc>
              <w:tc>
                <w:tcPr>
                  <w:tcW w:w="947" w:type="pct"/>
                  <w:vAlign w:val="center"/>
                </w:tcPr>
                <w:p w14:paraId="626FEB16">
                  <w:pPr>
                    <w:pStyle w:val="72"/>
                    <w:keepNext w:val="0"/>
                    <w:keepLines w:val="0"/>
                    <w:pageBreakBefore w:val="0"/>
                    <w:widowControl w:val="0"/>
                    <w:tabs>
                      <w:tab w:val="left" w:pos="452"/>
                    </w:tabs>
                    <w:kinsoku/>
                    <w:wordWrap/>
                    <w:overflowPunct/>
                    <w:topLinePunct w:val="0"/>
                    <w:autoSpaceDE/>
                    <w:autoSpaceDN/>
                    <w:bidi w:val="0"/>
                    <w:adjustRightInd/>
                    <w:snapToGrid/>
                    <w:spacing w:line="240" w:lineRule="auto"/>
                    <w:ind w:left="0" w:right="0" w:firstLine="0"/>
                    <w:jc w:val="center"/>
                    <w:textAlignment w:val="auto"/>
                    <w:rPr>
                      <w:b/>
                      <w:bCs/>
                      <w:color w:val="auto"/>
                      <w:sz w:val="21"/>
                      <w:highlight w:val="none"/>
                    </w:rPr>
                  </w:pPr>
                  <w:r>
                    <w:rPr>
                      <w:b/>
                      <w:bCs/>
                      <w:color w:val="auto"/>
                      <w:sz w:val="21"/>
                      <w:highlight w:val="none"/>
                    </w:rPr>
                    <w:t>名称</w:t>
                  </w:r>
                </w:p>
              </w:tc>
              <w:tc>
                <w:tcPr>
                  <w:tcW w:w="562" w:type="pct"/>
                  <w:vAlign w:val="center"/>
                </w:tcPr>
                <w:p w14:paraId="2D297AA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highlight w:val="none"/>
                    </w:rPr>
                  </w:pPr>
                  <w:r>
                    <w:rPr>
                      <w:b/>
                      <w:bCs/>
                      <w:color w:val="auto"/>
                      <w:sz w:val="21"/>
                      <w:highlight w:val="none"/>
                    </w:rPr>
                    <w:t>产量（</w:t>
                  </w:r>
                  <w:r>
                    <w:rPr>
                      <w:rFonts w:ascii="Times New Roman" w:eastAsia="Times New Roman"/>
                      <w:b/>
                      <w:bCs/>
                      <w:color w:val="auto"/>
                      <w:sz w:val="21"/>
                      <w:highlight w:val="none"/>
                    </w:rPr>
                    <w:t>t/a</w:t>
                  </w:r>
                  <w:r>
                    <w:rPr>
                      <w:b/>
                      <w:bCs/>
                      <w:color w:val="auto"/>
                      <w:sz w:val="21"/>
                      <w:highlight w:val="none"/>
                    </w:rPr>
                    <w:t>）</w:t>
                  </w:r>
                </w:p>
              </w:tc>
              <w:tc>
                <w:tcPr>
                  <w:tcW w:w="585" w:type="pct"/>
                  <w:vAlign w:val="center"/>
                </w:tcPr>
                <w:p w14:paraId="3E1ED10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color w:val="auto"/>
                      <w:sz w:val="21"/>
                      <w:highlight w:val="none"/>
                    </w:rPr>
                  </w:pPr>
                  <w:r>
                    <w:rPr>
                      <w:rFonts w:hint="eastAsia" w:ascii="Times New Roman"/>
                      <w:b/>
                      <w:bCs/>
                      <w:color w:val="auto"/>
                      <w:sz w:val="21"/>
                      <w:highlight w:val="none"/>
                    </w:rPr>
                    <w:t>规格</w:t>
                  </w:r>
                  <w:r>
                    <w:rPr>
                      <w:rFonts w:hint="eastAsia" w:ascii="Times New Roman"/>
                      <w:b/>
                      <w:bCs/>
                      <w:color w:val="auto"/>
                      <w:sz w:val="21"/>
                      <w:highlight w:val="none"/>
                      <w:lang w:eastAsia="zh-CN"/>
                    </w:rPr>
                    <w:t>（</w:t>
                  </w:r>
                  <w:r>
                    <w:rPr>
                      <w:rFonts w:hint="eastAsia" w:ascii="Times New Roman"/>
                      <w:b/>
                      <w:bCs/>
                      <w:color w:val="auto"/>
                      <w:sz w:val="21"/>
                      <w:highlight w:val="none"/>
                      <w:lang w:val="en-US" w:eastAsia="zh-CN"/>
                    </w:rPr>
                    <w:t>%）</w:t>
                  </w:r>
                </w:p>
              </w:tc>
              <w:tc>
                <w:tcPr>
                  <w:tcW w:w="578" w:type="pct"/>
                  <w:vAlign w:val="center"/>
                </w:tcPr>
                <w:p w14:paraId="24C2F3D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highlight w:val="none"/>
                    </w:rPr>
                  </w:pPr>
                  <w:r>
                    <w:rPr>
                      <w:b/>
                      <w:bCs/>
                      <w:color w:val="auto"/>
                      <w:sz w:val="21"/>
                      <w:highlight w:val="none"/>
                    </w:rPr>
                    <w:t>合计（</w:t>
                  </w:r>
                  <w:r>
                    <w:rPr>
                      <w:rFonts w:ascii="Times New Roman" w:eastAsia="Times New Roman"/>
                      <w:b/>
                      <w:bCs/>
                      <w:color w:val="auto"/>
                      <w:sz w:val="21"/>
                      <w:highlight w:val="none"/>
                    </w:rPr>
                    <w:t>t/a</w:t>
                  </w:r>
                  <w:r>
                    <w:rPr>
                      <w:b/>
                      <w:bCs/>
                      <w:color w:val="auto"/>
                      <w:sz w:val="21"/>
                      <w:highlight w:val="none"/>
                    </w:rPr>
                    <w:t>）</w:t>
                  </w:r>
                </w:p>
              </w:tc>
              <w:tc>
                <w:tcPr>
                  <w:tcW w:w="1885" w:type="pct"/>
                  <w:vAlign w:val="center"/>
                </w:tcPr>
                <w:p w14:paraId="5C2A5B4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z w:val="21"/>
                      <w:highlight w:val="none"/>
                    </w:rPr>
                  </w:pPr>
                  <w:r>
                    <w:rPr>
                      <w:b/>
                      <w:bCs/>
                      <w:color w:val="auto"/>
                      <w:sz w:val="21"/>
                      <w:highlight w:val="none"/>
                    </w:rPr>
                    <w:t>产品质量标准</w:t>
                  </w:r>
                </w:p>
              </w:tc>
            </w:tr>
            <w:tr w14:paraId="2C8F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441" w:type="pct"/>
                  <w:vMerge w:val="restart"/>
                  <w:vAlign w:val="center"/>
                </w:tcPr>
                <w:p w14:paraId="729866D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color w:val="auto"/>
                      <w:sz w:val="21"/>
                      <w:highlight w:val="none"/>
                    </w:rPr>
                    <w:t>乙醇胺类产品</w:t>
                  </w:r>
                </w:p>
              </w:tc>
              <w:tc>
                <w:tcPr>
                  <w:tcW w:w="947" w:type="pct"/>
                  <w:vAlign w:val="center"/>
                </w:tcPr>
                <w:p w14:paraId="2DE6D14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color w:val="auto"/>
                      <w:sz w:val="21"/>
                      <w:highlight w:val="none"/>
                    </w:rPr>
                    <w:t>一乙醇胺（</w:t>
                  </w:r>
                  <w:r>
                    <w:rPr>
                      <w:rFonts w:ascii="Times New Roman" w:eastAsia="Times New Roman"/>
                      <w:color w:val="auto"/>
                      <w:sz w:val="21"/>
                      <w:highlight w:val="none"/>
                    </w:rPr>
                    <w:t>MEA</w:t>
                  </w:r>
                  <w:r>
                    <w:rPr>
                      <w:color w:val="auto"/>
                      <w:sz w:val="21"/>
                      <w:highlight w:val="none"/>
                    </w:rPr>
                    <w:t>）</w:t>
                  </w:r>
                </w:p>
              </w:tc>
              <w:tc>
                <w:tcPr>
                  <w:tcW w:w="562" w:type="pct"/>
                  <w:vAlign w:val="center"/>
                </w:tcPr>
                <w:p w14:paraId="2774A52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1200</w:t>
                  </w:r>
                </w:p>
              </w:tc>
              <w:tc>
                <w:tcPr>
                  <w:tcW w:w="585" w:type="pct"/>
                  <w:vAlign w:val="center"/>
                </w:tcPr>
                <w:p w14:paraId="033F4B3C">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color w:val="auto"/>
                      <w:sz w:val="21"/>
                      <w:highlight w:val="none"/>
                    </w:rPr>
                  </w:pPr>
                  <w:r>
                    <w:rPr>
                      <w:rFonts w:hint="eastAsia" w:ascii="Times New Roman"/>
                      <w:color w:val="auto"/>
                      <w:sz w:val="21"/>
                      <w:highlight w:val="none"/>
                    </w:rPr>
                    <w:t>≥99.</w:t>
                  </w:r>
                  <w:r>
                    <w:rPr>
                      <w:rFonts w:hint="eastAsia" w:ascii="Times New Roman"/>
                      <w:color w:val="auto"/>
                      <w:sz w:val="21"/>
                      <w:highlight w:val="none"/>
                      <w:lang w:val="en-US" w:eastAsia="zh-CN"/>
                    </w:rPr>
                    <w:t>5</w:t>
                  </w:r>
                </w:p>
              </w:tc>
              <w:tc>
                <w:tcPr>
                  <w:tcW w:w="578" w:type="pct"/>
                  <w:vMerge w:val="restart"/>
                  <w:vAlign w:val="center"/>
                </w:tcPr>
                <w:p w14:paraId="4DE0536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color w:val="auto"/>
                      <w:sz w:val="22"/>
                      <w:highlight w:val="none"/>
                    </w:rPr>
                  </w:pPr>
                </w:p>
                <w:p w14:paraId="773EBD8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color w:val="auto"/>
                      <w:sz w:val="32"/>
                      <w:highlight w:val="none"/>
                    </w:rPr>
                  </w:pPr>
                </w:p>
                <w:p w14:paraId="3C43679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5000</w:t>
                  </w:r>
                </w:p>
              </w:tc>
              <w:tc>
                <w:tcPr>
                  <w:tcW w:w="1885" w:type="pct"/>
                  <w:vAlign w:val="center"/>
                </w:tcPr>
                <w:p w14:paraId="7125718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color w:val="auto"/>
                      <w:sz w:val="21"/>
                      <w:highlight w:val="none"/>
                    </w:rPr>
                    <w:t>工业用一乙醇胺（</w:t>
                  </w:r>
                  <w:r>
                    <w:rPr>
                      <w:rFonts w:ascii="Times New Roman" w:eastAsia="Times New Roman"/>
                      <w:color w:val="auto"/>
                      <w:sz w:val="21"/>
                      <w:highlight w:val="none"/>
                    </w:rPr>
                    <w:t>HG/T2915-1997</w:t>
                  </w:r>
                  <w:r>
                    <w:rPr>
                      <w:color w:val="auto"/>
                      <w:sz w:val="21"/>
                      <w:highlight w:val="none"/>
                    </w:rPr>
                    <w:t>）</w:t>
                  </w:r>
                </w:p>
              </w:tc>
            </w:tr>
            <w:tr w14:paraId="631D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441" w:type="pct"/>
                  <w:vMerge w:val="continue"/>
                  <w:vAlign w:val="center"/>
                </w:tcPr>
                <w:p w14:paraId="190765B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
                      <w:szCs w:val="2"/>
                      <w:highlight w:val="none"/>
                    </w:rPr>
                  </w:pPr>
                </w:p>
              </w:tc>
              <w:tc>
                <w:tcPr>
                  <w:tcW w:w="947" w:type="pct"/>
                  <w:vAlign w:val="center"/>
                </w:tcPr>
                <w:p w14:paraId="537B804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color w:val="auto"/>
                      <w:sz w:val="21"/>
                      <w:highlight w:val="none"/>
                    </w:rPr>
                    <w:t>二乙醇胺（</w:t>
                  </w:r>
                  <w:r>
                    <w:rPr>
                      <w:rFonts w:ascii="Times New Roman" w:eastAsia="Times New Roman"/>
                      <w:color w:val="auto"/>
                      <w:sz w:val="21"/>
                      <w:highlight w:val="none"/>
                    </w:rPr>
                    <w:t>DEA</w:t>
                  </w:r>
                  <w:r>
                    <w:rPr>
                      <w:color w:val="auto"/>
                      <w:sz w:val="21"/>
                      <w:highlight w:val="none"/>
                    </w:rPr>
                    <w:t>）</w:t>
                  </w:r>
                </w:p>
              </w:tc>
              <w:tc>
                <w:tcPr>
                  <w:tcW w:w="562" w:type="pct"/>
                  <w:vAlign w:val="center"/>
                </w:tcPr>
                <w:p w14:paraId="2BB53FD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1300</w:t>
                  </w:r>
                </w:p>
              </w:tc>
              <w:tc>
                <w:tcPr>
                  <w:tcW w:w="585" w:type="pct"/>
                  <w:vAlign w:val="center"/>
                </w:tcPr>
                <w:p w14:paraId="03489B5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hint="eastAsia" w:ascii="Times New Roman"/>
                      <w:color w:val="auto"/>
                      <w:sz w:val="21"/>
                      <w:highlight w:val="none"/>
                    </w:rPr>
                    <w:t>≥99.</w:t>
                  </w:r>
                  <w:r>
                    <w:rPr>
                      <w:rFonts w:hint="eastAsia" w:ascii="Times New Roman"/>
                      <w:color w:val="auto"/>
                      <w:sz w:val="21"/>
                      <w:highlight w:val="none"/>
                      <w:lang w:val="en-US" w:eastAsia="zh-CN"/>
                    </w:rPr>
                    <w:t>5</w:t>
                  </w:r>
                </w:p>
              </w:tc>
              <w:tc>
                <w:tcPr>
                  <w:tcW w:w="578" w:type="pct"/>
                  <w:vMerge w:val="continue"/>
                  <w:vAlign w:val="center"/>
                </w:tcPr>
                <w:p w14:paraId="4CBABD0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
                      <w:szCs w:val="2"/>
                      <w:highlight w:val="none"/>
                    </w:rPr>
                  </w:pPr>
                </w:p>
              </w:tc>
              <w:tc>
                <w:tcPr>
                  <w:tcW w:w="1885" w:type="pct"/>
                  <w:vAlign w:val="center"/>
                </w:tcPr>
                <w:p w14:paraId="770D218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color w:val="auto"/>
                      <w:sz w:val="21"/>
                      <w:highlight w:val="none"/>
                    </w:rPr>
                    <w:t>工业用二乙醇胺（</w:t>
                  </w:r>
                  <w:r>
                    <w:rPr>
                      <w:rFonts w:ascii="Times New Roman" w:eastAsia="Times New Roman"/>
                      <w:color w:val="auto"/>
                      <w:sz w:val="21"/>
                      <w:highlight w:val="none"/>
                    </w:rPr>
                    <w:t>HG/T2916-1997</w:t>
                  </w:r>
                  <w:r>
                    <w:rPr>
                      <w:color w:val="auto"/>
                      <w:sz w:val="21"/>
                      <w:highlight w:val="none"/>
                    </w:rPr>
                    <w:t>）</w:t>
                  </w:r>
                </w:p>
              </w:tc>
            </w:tr>
            <w:tr w14:paraId="036B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trPr>
              <w:tc>
                <w:tcPr>
                  <w:tcW w:w="441" w:type="pct"/>
                  <w:vMerge w:val="continue"/>
                  <w:vAlign w:val="center"/>
                </w:tcPr>
                <w:p w14:paraId="1DA64B3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
                      <w:szCs w:val="2"/>
                      <w:highlight w:val="none"/>
                    </w:rPr>
                  </w:pPr>
                </w:p>
              </w:tc>
              <w:tc>
                <w:tcPr>
                  <w:tcW w:w="947" w:type="pct"/>
                  <w:vAlign w:val="center"/>
                </w:tcPr>
                <w:p w14:paraId="740A0D3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color w:val="auto"/>
                      <w:sz w:val="21"/>
                      <w:highlight w:val="none"/>
                    </w:rPr>
                    <w:t>三乙醇胺（</w:t>
                  </w:r>
                  <w:r>
                    <w:rPr>
                      <w:rFonts w:ascii="Times New Roman" w:eastAsia="Times New Roman"/>
                      <w:color w:val="auto"/>
                      <w:sz w:val="21"/>
                      <w:highlight w:val="none"/>
                    </w:rPr>
                    <w:t>TEA-I</w:t>
                  </w:r>
                  <w:r>
                    <w:rPr>
                      <w:color w:val="auto"/>
                      <w:sz w:val="21"/>
                      <w:highlight w:val="none"/>
                    </w:rPr>
                    <w:t>和</w:t>
                  </w:r>
                  <w:r>
                    <w:rPr>
                      <w:rFonts w:ascii="Times New Roman" w:eastAsia="Times New Roman"/>
                      <w:color w:val="auto"/>
                      <w:sz w:val="21"/>
                      <w:highlight w:val="none"/>
                    </w:rPr>
                    <w:t>TEA-II</w:t>
                  </w:r>
                  <w:r>
                    <w:rPr>
                      <w:rFonts w:hint="eastAsia"/>
                      <w:color w:val="auto"/>
                      <w:sz w:val="21"/>
                      <w:highlight w:val="none"/>
                      <w:lang w:eastAsia="zh-CN"/>
                    </w:rPr>
                    <w:t>）</w:t>
                  </w:r>
                </w:p>
              </w:tc>
              <w:tc>
                <w:tcPr>
                  <w:tcW w:w="562" w:type="pct"/>
                  <w:vAlign w:val="center"/>
                </w:tcPr>
                <w:p w14:paraId="5C5C4F4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2500</w:t>
                  </w:r>
                </w:p>
              </w:tc>
              <w:tc>
                <w:tcPr>
                  <w:tcW w:w="585" w:type="pct"/>
                  <w:vAlign w:val="center"/>
                </w:tcPr>
                <w:p w14:paraId="7B0B3E9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hint="eastAsia" w:ascii="Times New Roman"/>
                      <w:color w:val="auto"/>
                      <w:sz w:val="21"/>
                      <w:highlight w:val="none"/>
                    </w:rPr>
                    <w:t>≥99.</w:t>
                  </w:r>
                  <w:r>
                    <w:rPr>
                      <w:rFonts w:hint="eastAsia" w:ascii="Times New Roman"/>
                      <w:color w:val="auto"/>
                      <w:sz w:val="21"/>
                      <w:highlight w:val="none"/>
                      <w:lang w:val="en-US" w:eastAsia="zh-CN"/>
                    </w:rPr>
                    <w:t>5</w:t>
                  </w:r>
                </w:p>
              </w:tc>
              <w:tc>
                <w:tcPr>
                  <w:tcW w:w="578" w:type="pct"/>
                  <w:vMerge w:val="continue"/>
                  <w:vAlign w:val="center"/>
                </w:tcPr>
                <w:p w14:paraId="06347E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
                      <w:szCs w:val="2"/>
                      <w:highlight w:val="none"/>
                    </w:rPr>
                  </w:pPr>
                </w:p>
              </w:tc>
              <w:tc>
                <w:tcPr>
                  <w:tcW w:w="1885" w:type="pct"/>
                  <w:vAlign w:val="center"/>
                </w:tcPr>
                <w:p w14:paraId="3F29174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color w:val="auto"/>
                      <w:sz w:val="21"/>
                      <w:highlight w:val="none"/>
                    </w:rPr>
                    <w:t>工业用三乙醇胺（</w:t>
                  </w:r>
                  <w:r>
                    <w:rPr>
                      <w:rFonts w:ascii="Times New Roman" w:eastAsia="Times New Roman"/>
                      <w:color w:val="auto"/>
                      <w:sz w:val="21"/>
                      <w:highlight w:val="none"/>
                    </w:rPr>
                    <w:t>HG/T3268-2002</w:t>
                  </w:r>
                  <w:r>
                    <w:rPr>
                      <w:color w:val="auto"/>
                      <w:sz w:val="21"/>
                      <w:highlight w:val="none"/>
                    </w:rPr>
                    <w:t>）</w:t>
                  </w:r>
                </w:p>
              </w:tc>
            </w:tr>
            <w:tr w14:paraId="5C32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441" w:type="pct"/>
                  <w:vMerge w:val="restart"/>
                  <w:vAlign w:val="center"/>
                </w:tcPr>
                <w:p w14:paraId="4144751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rFonts w:ascii="Times New Roman" w:eastAsia="Times New Roman"/>
                      <w:color w:val="auto"/>
                      <w:sz w:val="21"/>
                      <w:highlight w:val="none"/>
                    </w:rPr>
                    <w:t>N-</w:t>
                  </w:r>
                  <w:r>
                    <w:rPr>
                      <w:color w:val="auto"/>
                      <w:sz w:val="21"/>
                      <w:highlight w:val="none"/>
                    </w:rPr>
                    <w:t>甲基乙醇胺类产品</w:t>
                  </w:r>
                </w:p>
              </w:tc>
              <w:tc>
                <w:tcPr>
                  <w:tcW w:w="947" w:type="pct"/>
                  <w:vAlign w:val="center"/>
                </w:tcPr>
                <w:p w14:paraId="07D01A6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rFonts w:ascii="Times New Roman" w:eastAsia="Times New Roman"/>
                      <w:color w:val="auto"/>
                      <w:sz w:val="21"/>
                      <w:highlight w:val="none"/>
                    </w:rPr>
                    <w:t>N-</w:t>
                  </w:r>
                  <w:r>
                    <w:rPr>
                      <w:color w:val="auto"/>
                      <w:sz w:val="21"/>
                      <w:highlight w:val="none"/>
                    </w:rPr>
                    <w:t>甲基一乙醇胺（</w:t>
                  </w:r>
                  <w:r>
                    <w:rPr>
                      <w:rFonts w:ascii="Times New Roman" w:eastAsia="Times New Roman"/>
                      <w:color w:val="auto"/>
                      <w:sz w:val="21"/>
                      <w:highlight w:val="none"/>
                    </w:rPr>
                    <w:t>MMEA</w:t>
                  </w:r>
                  <w:r>
                    <w:rPr>
                      <w:color w:val="auto"/>
                      <w:sz w:val="21"/>
                      <w:highlight w:val="none"/>
                    </w:rPr>
                    <w:t>）</w:t>
                  </w:r>
                </w:p>
              </w:tc>
              <w:tc>
                <w:tcPr>
                  <w:tcW w:w="562" w:type="pct"/>
                  <w:vAlign w:val="center"/>
                </w:tcPr>
                <w:p w14:paraId="7B1DEC2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1500</w:t>
                  </w:r>
                </w:p>
              </w:tc>
              <w:tc>
                <w:tcPr>
                  <w:tcW w:w="585" w:type="pct"/>
                  <w:vAlign w:val="center"/>
                </w:tcPr>
                <w:p w14:paraId="4B7AB42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hint="eastAsia" w:ascii="Times New Roman"/>
                      <w:color w:val="auto"/>
                      <w:sz w:val="21"/>
                      <w:highlight w:val="none"/>
                    </w:rPr>
                    <w:t>≥99.</w:t>
                  </w:r>
                  <w:r>
                    <w:rPr>
                      <w:rFonts w:hint="eastAsia" w:ascii="Times New Roman"/>
                      <w:color w:val="auto"/>
                      <w:sz w:val="21"/>
                      <w:highlight w:val="none"/>
                      <w:lang w:val="en-US" w:eastAsia="zh-CN"/>
                    </w:rPr>
                    <w:t>3</w:t>
                  </w:r>
                </w:p>
              </w:tc>
              <w:tc>
                <w:tcPr>
                  <w:tcW w:w="578" w:type="pct"/>
                  <w:vMerge w:val="restart"/>
                  <w:vAlign w:val="center"/>
                </w:tcPr>
                <w:p w14:paraId="0C31421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color w:val="auto"/>
                      <w:sz w:val="32"/>
                      <w:highlight w:val="none"/>
                    </w:rPr>
                  </w:pPr>
                </w:p>
                <w:p w14:paraId="2BF1668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5000</w:t>
                  </w:r>
                </w:p>
              </w:tc>
              <w:tc>
                <w:tcPr>
                  <w:tcW w:w="1885" w:type="pct"/>
                  <w:vAlign w:val="center"/>
                </w:tcPr>
                <w:p w14:paraId="561E5F1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rFonts w:ascii="Times New Roman" w:eastAsia="Times New Roman"/>
                      <w:color w:val="auto"/>
                      <w:sz w:val="21"/>
                      <w:highlight w:val="none"/>
                    </w:rPr>
                    <w:t>N-</w:t>
                  </w:r>
                  <w:r>
                    <w:rPr>
                      <w:color w:val="auto"/>
                      <w:sz w:val="21"/>
                      <w:highlight w:val="none"/>
                    </w:rPr>
                    <w:t>甲基一乙醇胺</w:t>
                  </w:r>
                  <w:r>
                    <w:rPr>
                      <w:color w:val="auto"/>
                      <w:spacing w:val="-1"/>
                      <w:w w:val="100"/>
                      <w:sz w:val="21"/>
                      <w:highlight w:val="none"/>
                    </w:rPr>
                    <w:t>（</w:t>
                  </w:r>
                  <w:r>
                    <w:rPr>
                      <w:rFonts w:ascii="Times New Roman" w:hAnsi="Times New Roman" w:eastAsia="Times New Roman"/>
                      <w:color w:val="auto"/>
                      <w:spacing w:val="1"/>
                      <w:w w:val="100"/>
                      <w:sz w:val="21"/>
                      <w:highlight w:val="none"/>
                    </w:rPr>
                    <w:t>Q</w:t>
                  </w:r>
                  <w:r>
                    <w:rPr>
                      <w:rFonts w:ascii="Times New Roman" w:hAnsi="Times New Roman" w:eastAsia="Times New Roman"/>
                      <w:color w:val="auto"/>
                      <w:spacing w:val="-2"/>
                      <w:w w:val="100"/>
                      <w:sz w:val="21"/>
                      <w:highlight w:val="none"/>
                    </w:rPr>
                    <w:t>/</w:t>
                  </w:r>
                  <w:r>
                    <w:rPr>
                      <w:rFonts w:ascii="Times New Roman" w:hAnsi="Times New Roman" w:eastAsia="Times New Roman"/>
                      <w:color w:val="auto"/>
                      <w:w w:val="100"/>
                      <w:sz w:val="21"/>
                      <w:highlight w:val="none"/>
                    </w:rPr>
                    <w:t>4</w:t>
                  </w:r>
                  <w:r>
                    <w:rPr>
                      <w:rFonts w:ascii="Times New Roman" w:hAnsi="Times New Roman" w:eastAsia="Times New Roman"/>
                      <w:color w:val="auto"/>
                      <w:spacing w:val="-3"/>
                      <w:w w:val="100"/>
                      <w:sz w:val="21"/>
                      <w:highlight w:val="none"/>
                    </w:rPr>
                    <w:t>5</w:t>
                  </w:r>
                  <w:r>
                    <w:rPr>
                      <w:rFonts w:ascii="Times New Roman" w:hAnsi="Times New Roman" w:eastAsia="Times New Roman"/>
                      <w:color w:val="auto"/>
                      <w:w w:val="100"/>
                      <w:sz w:val="21"/>
                      <w:highlight w:val="none"/>
                    </w:rPr>
                    <w:t>090</w:t>
                  </w:r>
                  <w:r>
                    <w:rPr>
                      <w:rFonts w:ascii="Times New Roman" w:hAnsi="Times New Roman" w:eastAsia="Times New Roman"/>
                      <w:color w:val="auto"/>
                      <w:spacing w:val="-3"/>
                      <w:w w:val="100"/>
                      <w:sz w:val="21"/>
                      <w:highlight w:val="none"/>
                    </w:rPr>
                    <w:t>4</w:t>
                  </w:r>
                  <w:r>
                    <w:rPr>
                      <w:rFonts w:ascii="Times New Roman" w:hAnsi="Times New Roman" w:eastAsia="Times New Roman"/>
                      <w:color w:val="auto"/>
                      <w:w w:val="100"/>
                      <w:sz w:val="21"/>
                      <w:highlight w:val="none"/>
                    </w:rPr>
                    <w:t>47</w:t>
                  </w:r>
                  <w:r>
                    <w:rPr>
                      <w:rFonts w:ascii="Times New Roman" w:hAnsi="Times New Roman" w:eastAsia="Times New Roman"/>
                      <w:color w:val="auto"/>
                      <w:spacing w:val="-4"/>
                      <w:w w:val="100"/>
                      <w:sz w:val="21"/>
                      <w:highlight w:val="none"/>
                    </w:rPr>
                    <w:t>-</w:t>
                  </w:r>
                  <w:r>
                    <w:rPr>
                      <w:rFonts w:ascii="Times New Roman" w:hAnsi="Times New Roman" w:eastAsia="Times New Roman"/>
                      <w:color w:val="auto"/>
                      <w:spacing w:val="1"/>
                      <w:w w:val="100"/>
                      <w:sz w:val="21"/>
                      <w:highlight w:val="none"/>
                    </w:rPr>
                    <w:t>X</w:t>
                  </w:r>
                  <w:r>
                    <w:rPr>
                      <w:rFonts w:ascii="FontAwesome" w:hAnsi="FontAwesome" w:eastAsia="FontAwesome"/>
                      <w:color w:val="auto"/>
                      <w:spacing w:val="-1"/>
                      <w:w w:val="33"/>
                      <w:sz w:val="21"/>
                      <w:highlight w:val="none"/>
                    </w:rPr>
                    <w:t></w:t>
                  </w:r>
                  <w:r>
                    <w:rPr>
                      <w:rFonts w:ascii="Times New Roman" w:hAnsi="Times New Roman" w:eastAsia="Times New Roman"/>
                      <w:color w:val="auto"/>
                      <w:w w:val="100"/>
                      <w:sz w:val="21"/>
                      <w:highlight w:val="none"/>
                    </w:rPr>
                    <w:t>17</w:t>
                  </w:r>
                  <w:r>
                    <w:rPr>
                      <w:rFonts w:ascii="Times New Roman" w:hAnsi="Times New Roman" w:eastAsia="Times New Roman"/>
                      <w:color w:val="auto"/>
                      <w:spacing w:val="-4"/>
                      <w:w w:val="100"/>
                      <w:sz w:val="21"/>
                      <w:highlight w:val="none"/>
                    </w:rPr>
                    <w:t>-</w:t>
                  </w:r>
                  <w:r>
                    <w:rPr>
                      <w:rFonts w:ascii="Times New Roman" w:hAnsi="Times New Roman" w:eastAsia="Times New Roman"/>
                      <w:color w:val="auto"/>
                      <w:w w:val="100"/>
                      <w:sz w:val="21"/>
                      <w:highlight w:val="none"/>
                    </w:rPr>
                    <w:t>2016</w:t>
                  </w:r>
                  <w:r>
                    <w:rPr>
                      <w:color w:val="auto"/>
                      <w:w w:val="100"/>
                      <w:sz w:val="21"/>
                      <w:highlight w:val="none"/>
                    </w:rPr>
                    <w:t>）</w:t>
                  </w:r>
                </w:p>
              </w:tc>
            </w:tr>
            <w:tr w14:paraId="5026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441" w:type="pct"/>
                  <w:vMerge w:val="continue"/>
                  <w:vAlign w:val="center"/>
                </w:tcPr>
                <w:p w14:paraId="693E43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
                      <w:szCs w:val="2"/>
                      <w:highlight w:val="none"/>
                    </w:rPr>
                  </w:pPr>
                </w:p>
              </w:tc>
              <w:tc>
                <w:tcPr>
                  <w:tcW w:w="947" w:type="pct"/>
                  <w:vAlign w:val="center"/>
                </w:tcPr>
                <w:p w14:paraId="5674DBE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rFonts w:ascii="Times New Roman" w:eastAsia="Times New Roman"/>
                      <w:color w:val="auto"/>
                      <w:sz w:val="21"/>
                      <w:highlight w:val="none"/>
                    </w:rPr>
                    <w:t>N-</w:t>
                  </w:r>
                  <w:r>
                    <w:rPr>
                      <w:color w:val="auto"/>
                      <w:sz w:val="21"/>
                      <w:highlight w:val="none"/>
                    </w:rPr>
                    <w:t>甲基二乙醇胺（</w:t>
                  </w:r>
                  <w:r>
                    <w:rPr>
                      <w:rFonts w:ascii="Times New Roman" w:eastAsia="Times New Roman"/>
                      <w:color w:val="auto"/>
                      <w:sz w:val="21"/>
                      <w:highlight w:val="none"/>
                    </w:rPr>
                    <w:t>MDEA</w:t>
                  </w:r>
                  <w:r>
                    <w:rPr>
                      <w:color w:val="auto"/>
                      <w:sz w:val="21"/>
                      <w:highlight w:val="none"/>
                    </w:rPr>
                    <w:t>）</w:t>
                  </w:r>
                </w:p>
              </w:tc>
              <w:tc>
                <w:tcPr>
                  <w:tcW w:w="562" w:type="pct"/>
                  <w:vAlign w:val="center"/>
                </w:tcPr>
                <w:p w14:paraId="3B220BC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ascii="Times New Roman"/>
                      <w:color w:val="auto"/>
                      <w:sz w:val="21"/>
                      <w:highlight w:val="none"/>
                    </w:rPr>
                    <w:t>3500</w:t>
                  </w:r>
                </w:p>
              </w:tc>
              <w:tc>
                <w:tcPr>
                  <w:tcW w:w="585" w:type="pct"/>
                  <w:vAlign w:val="center"/>
                </w:tcPr>
                <w:p w14:paraId="5C4EB85C">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color w:val="auto"/>
                      <w:sz w:val="21"/>
                      <w:highlight w:val="none"/>
                    </w:rPr>
                  </w:pPr>
                  <w:r>
                    <w:rPr>
                      <w:rFonts w:hint="eastAsia" w:ascii="Times New Roman"/>
                      <w:color w:val="auto"/>
                      <w:sz w:val="21"/>
                      <w:highlight w:val="none"/>
                    </w:rPr>
                    <w:t>≥99</w:t>
                  </w:r>
                </w:p>
              </w:tc>
              <w:tc>
                <w:tcPr>
                  <w:tcW w:w="578" w:type="pct"/>
                  <w:vMerge w:val="continue"/>
                  <w:vAlign w:val="center"/>
                </w:tcPr>
                <w:p w14:paraId="073B0E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
                      <w:szCs w:val="2"/>
                      <w:highlight w:val="none"/>
                    </w:rPr>
                  </w:pPr>
                </w:p>
              </w:tc>
              <w:tc>
                <w:tcPr>
                  <w:tcW w:w="1885" w:type="pct"/>
                  <w:vAlign w:val="center"/>
                </w:tcPr>
                <w:p w14:paraId="31C8B4A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highlight w:val="none"/>
                    </w:rPr>
                  </w:pPr>
                  <w:r>
                    <w:rPr>
                      <w:rFonts w:ascii="Times New Roman" w:eastAsia="Times New Roman"/>
                      <w:color w:val="auto"/>
                      <w:sz w:val="21"/>
                      <w:highlight w:val="none"/>
                    </w:rPr>
                    <w:t>N-</w:t>
                  </w:r>
                  <w:r>
                    <w:rPr>
                      <w:color w:val="auto"/>
                      <w:sz w:val="21"/>
                      <w:highlight w:val="none"/>
                    </w:rPr>
                    <w:t>甲基二乙醇胺</w:t>
                  </w:r>
                  <w:r>
                    <w:rPr>
                      <w:color w:val="auto"/>
                      <w:spacing w:val="-1"/>
                      <w:w w:val="100"/>
                      <w:sz w:val="21"/>
                      <w:highlight w:val="none"/>
                    </w:rPr>
                    <w:t>（</w:t>
                  </w:r>
                  <w:r>
                    <w:rPr>
                      <w:rFonts w:ascii="Times New Roman" w:hAnsi="Times New Roman" w:eastAsia="Times New Roman"/>
                      <w:color w:val="auto"/>
                      <w:spacing w:val="1"/>
                      <w:w w:val="100"/>
                      <w:sz w:val="21"/>
                      <w:highlight w:val="none"/>
                    </w:rPr>
                    <w:t>Q</w:t>
                  </w:r>
                  <w:r>
                    <w:rPr>
                      <w:rFonts w:ascii="Times New Roman" w:hAnsi="Times New Roman" w:eastAsia="Times New Roman"/>
                      <w:color w:val="auto"/>
                      <w:spacing w:val="-2"/>
                      <w:w w:val="100"/>
                      <w:sz w:val="21"/>
                      <w:highlight w:val="none"/>
                    </w:rPr>
                    <w:t>/</w:t>
                  </w:r>
                  <w:r>
                    <w:rPr>
                      <w:rFonts w:ascii="Times New Roman" w:hAnsi="Times New Roman" w:eastAsia="Times New Roman"/>
                      <w:color w:val="auto"/>
                      <w:w w:val="100"/>
                      <w:sz w:val="21"/>
                      <w:highlight w:val="none"/>
                    </w:rPr>
                    <w:t>4</w:t>
                  </w:r>
                  <w:r>
                    <w:rPr>
                      <w:rFonts w:ascii="Times New Roman" w:hAnsi="Times New Roman" w:eastAsia="Times New Roman"/>
                      <w:color w:val="auto"/>
                      <w:spacing w:val="-3"/>
                      <w:w w:val="100"/>
                      <w:sz w:val="21"/>
                      <w:highlight w:val="none"/>
                    </w:rPr>
                    <w:t>5</w:t>
                  </w:r>
                  <w:r>
                    <w:rPr>
                      <w:rFonts w:ascii="Times New Roman" w:hAnsi="Times New Roman" w:eastAsia="Times New Roman"/>
                      <w:color w:val="auto"/>
                      <w:w w:val="100"/>
                      <w:sz w:val="21"/>
                      <w:highlight w:val="none"/>
                    </w:rPr>
                    <w:t>090</w:t>
                  </w:r>
                  <w:r>
                    <w:rPr>
                      <w:rFonts w:ascii="Times New Roman" w:hAnsi="Times New Roman" w:eastAsia="Times New Roman"/>
                      <w:color w:val="auto"/>
                      <w:spacing w:val="-3"/>
                      <w:w w:val="100"/>
                      <w:sz w:val="21"/>
                      <w:highlight w:val="none"/>
                    </w:rPr>
                    <w:t>4</w:t>
                  </w:r>
                  <w:r>
                    <w:rPr>
                      <w:rFonts w:ascii="Times New Roman" w:hAnsi="Times New Roman" w:eastAsia="Times New Roman"/>
                      <w:color w:val="auto"/>
                      <w:w w:val="100"/>
                      <w:sz w:val="21"/>
                      <w:highlight w:val="none"/>
                    </w:rPr>
                    <w:t>47</w:t>
                  </w:r>
                  <w:r>
                    <w:rPr>
                      <w:rFonts w:ascii="Times New Roman" w:hAnsi="Times New Roman" w:eastAsia="Times New Roman"/>
                      <w:color w:val="auto"/>
                      <w:spacing w:val="-4"/>
                      <w:w w:val="100"/>
                      <w:sz w:val="21"/>
                      <w:highlight w:val="none"/>
                    </w:rPr>
                    <w:t>-</w:t>
                  </w:r>
                  <w:r>
                    <w:rPr>
                      <w:rFonts w:ascii="Times New Roman" w:hAnsi="Times New Roman" w:eastAsia="Times New Roman"/>
                      <w:color w:val="auto"/>
                      <w:spacing w:val="1"/>
                      <w:w w:val="100"/>
                      <w:sz w:val="21"/>
                      <w:highlight w:val="none"/>
                    </w:rPr>
                    <w:t>X</w:t>
                  </w:r>
                  <w:r>
                    <w:rPr>
                      <w:rFonts w:ascii="FontAwesome" w:hAnsi="FontAwesome" w:eastAsia="FontAwesome"/>
                      <w:color w:val="auto"/>
                      <w:spacing w:val="-1"/>
                      <w:w w:val="33"/>
                      <w:sz w:val="21"/>
                      <w:highlight w:val="none"/>
                    </w:rPr>
                    <w:t></w:t>
                  </w:r>
                  <w:r>
                    <w:rPr>
                      <w:rFonts w:ascii="Times New Roman" w:hAnsi="Times New Roman" w:eastAsia="Times New Roman"/>
                      <w:color w:val="auto"/>
                      <w:w w:val="100"/>
                      <w:sz w:val="21"/>
                      <w:highlight w:val="none"/>
                    </w:rPr>
                    <w:t>4</w:t>
                  </w:r>
                  <w:r>
                    <w:rPr>
                      <w:rFonts w:ascii="Times New Roman" w:hAnsi="Times New Roman" w:eastAsia="Times New Roman"/>
                      <w:color w:val="auto"/>
                      <w:spacing w:val="-4"/>
                      <w:w w:val="100"/>
                      <w:sz w:val="21"/>
                      <w:highlight w:val="none"/>
                    </w:rPr>
                    <w:t>-</w:t>
                  </w:r>
                  <w:r>
                    <w:rPr>
                      <w:rFonts w:ascii="Times New Roman" w:hAnsi="Times New Roman" w:eastAsia="Times New Roman"/>
                      <w:color w:val="auto"/>
                      <w:w w:val="100"/>
                      <w:sz w:val="21"/>
                      <w:highlight w:val="none"/>
                    </w:rPr>
                    <w:t>2016</w:t>
                  </w:r>
                  <w:r>
                    <w:rPr>
                      <w:color w:val="auto"/>
                      <w:w w:val="100"/>
                      <w:sz w:val="21"/>
                      <w:highlight w:val="none"/>
                    </w:rPr>
                    <w:t>）</w:t>
                  </w:r>
                </w:p>
              </w:tc>
            </w:tr>
          </w:tbl>
          <w:p w14:paraId="4AECC68E">
            <w:pPr>
              <w:spacing w:line="360" w:lineRule="auto"/>
              <w:ind w:firstLine="482"/>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3、企业现有工程原辅材料消耗</w:t>
            </w:r>
          </w:p>
          <w:p w14:paraId="301FFE7F">
            <w:pPr>
              <w:pStyle w:val="144"/>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现有工程生产过程中主要原辅材料使用情况见下表</w:t>
            </w:r>
            <w:r>
              <w:rPr>
                <w:rFonts w:hint="eastAsia" w:ascii="Times New Roman" w:hAnsi="Times New Roman" w:cs="Times New Roman"/>
                <w:b w:val="0"/>
                <w:bCs/>
                <w:color w:val="auto"/>
                <w:kern w:val="2"/>
                <w:sz w:val="24"/>
                <w:szCs w:val="24"/>
                <w:highlight w:val="none"/>
                <w:lang w:val="en-US" w:eastAsia="zh-CN" w:bidi="ar-SA"/>
              </w:rPr>
              <w:t>。</w:t>
            </w:r>
          </w:p>
          <w:p w14:paraId="39978472">
            <w:pPr>
              <w:pStyle w:val="4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现有主要工程原辅材料一览表</w:t>
            </w:r>
          </w:p>
          <w:tbl>
            <w:tblPr>
              <w:tblStyle w:val="27"/>
              <w:tblW w:w="8441" w:type="dxa"/>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2"/>
              <w:gridCol w:w="1305"/>
              <w:gridCol w:w="1290"/>
              <w:gridCol w:w="1245"/>
              <w:gridCol w:w="585"/>
              <w:gridCol w:w="600"/>
              <w:gridCol w:w="615"/>
              <w:gridCol w:w="1869"/>
            </w:tblGrid>
            <w:tr w14:paraId="7AD4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932" w:type="dxa"/>
                  <w:vAlign w:val="center"/>
                </w:tcPr>
                <w:p w14:paraId="2D1D8FD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分类</w:t>
                  </w:r>
                </w:p>
              </w:tc>
              <w:tc>
                <w:tcPr>
                  <w:tcW w:w="1305" w:type="dxa"/>
                  <w:vAlign w:val="center"/>
                </w:tcPr>
                <w:p w14:paraId="46E6D67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物料名称</w:t>
                  </w:r>
                </w:p>
              </w:tc>
              <w:tc>
                <w:tcPr>
                  <w:tcW w:w="1290" w:type="dxa"/>
                  <w:vAlign w:val="center"/>
                </w:tcPr>
                <w:p w14:paraId="5178C44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规格（wt%）</w:t>
                  </w:r>
                </w:p>
              </w:tc>
              <w:tc>
                <w:tcPr>
                  <w:tcW w:w="1245" w:type="dxa"/>
                  <w:vAlign w:val="center"/>
                </w:tcPr>
                <w:p w14:paraId="3B0D4F2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用量（吨/年）</w:t>
                  </w:r>
                </w:p>
              </w:tc>
              <w:tc>
                <w:tcPr>
                  <w:tcW w:w="585" w:type="dxa"/>
                  <w:vAlign w:val="center"/>
                </w:tcPr>
                <w:p w14:paraId="50273193">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状态</w:t>
                  </w:r>
                </w:p>
              </w:tc>
              <w:tc>
                <w:tcPr>
                  <w:tcW w:w="600" w:type="dxa"/>
                  <w:vAlign w:val="center"/>
                </w:tcPr>
                <w:p w14:paraId="360DC29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运输方式</w:t>
                  </w:r>
                </w:p>
              </w:tc>
              <w:tc>
                <w:tcPr>
                  <w:tcW w:w="615" w:type="dxa"/>
                  <w:vAlign w:val="center"/>
                </w:tcPr>
                <w:p w14:paraId="48CD304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储存方式</w:t>
                  </w:r>
                </w:p>
              </w:tc>
              <w:tc>
                <w:tcPr>
                  <w:tcW w:w="1869" w:type="dxa"/>
                  <w:vAlign w:val="center"/>
                </w:tcPr>
                <w:p w14:paraId="6E6C09C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来源</w:t>
                  </w:r>
                </w:p>
              </w:tc>
            </w:tr>
            <w:tr w14:paraId="7411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932" w:type="dxa"/>
                  <w:vMerge w:val="restart"/>
                  <w:vAlign w:val="center"/>
                </w:tcPr>
                <w:p w14:paraId="30728C0C">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原辅料</w:t>
                  </w:r>
                </w:p>
              </w:tc>
              <w:tc>
                <w:tcPr>
                  <w:tcW w:w="1305" w:type="dxa"/>
                  <w:vAlign w:val="center"/>
                </w:tcPr>
                <w:p w14:paraId="1EB041E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环氧乙烷</w:t>
                  </w:r>
                </w:p>
              </w:tc>
              <w:tc>
                <w:tcPr>
                  <w:tcW w:w="1290" w:type="dxa"/>
                  <w:vAlign w:val="center"/>
                </w:tcPr>
                <w:p w14:paraId="4506AD9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w:t>
                  </w:r>
                </w:p>
              </w:tc>
              <w:tc>
                <w:tcPr>
                  <w:tcW w:w="1245" w:type="dxa"/>
                  <w:vAlign w:val="center"/>
                </w:tcPr>
                <w:p w14:paraId="2CF12A1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7640</w:t>
                  </w:r>
                </w:p>
              </w:tc>
              <w:tc>
                <w:tcPr>
                  <w:tcW w:w="585" w:type="dxa"/>
                  <w:vAlign w:val="center"/>
                </w:tcPr>
                <w:p w14:paraId="6D2E897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液态</w:t>
                  </w:r>
                </w:p>
              </w:tc>
              <w:tc>
                <w:tcPr>
                  <w:tcW w:w="600" w:type="dxa"/>
                  <w:vAlign w:val="center"/>
                </w:tcPr>
                <w:p w14:paraId="732D085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槽车</w:t>
                  </w:r>
                </w:p>
              </w:tc>
              <w:tc>
                <w:tcPr>
                  <w:tcW w:w="615" w:type="dxa"/>
                  <w:vAlign w:val="center"/>
                </w:tcPr>
                <w:p w14:paraId="0C2A2C8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储罐</w:t>
                  </w:r>
                </w:p>
              </w:tc>
              <w:tc>
                <w:tcPr>
                  <w:tcW w:w="1869" w:type="dxa"/>
                  <w:vAlign w:val="center"/>
                </w:tcPr>
                <w:p w14:paraId="7C486AF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中国石油四川石化有限责任公司</w:t>
                  </w:r>
                </w:p>
              </w:tc>
            </w:tr>
            <w:tr w14:paraId="269A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932" w:type="dxa"/>
                  <w:vMerge w:val="continue"/>
                  <w:vAlign w:val="center"/>
                </w:tcPr>
                <w:p w14:paraId="6361E05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305" w:type="dxa"/>
                  <w:vAlign w:val="center"/>
                </w:tcPr>
                <w:p w14:paraId="1C4647DC">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液氨</w:t>
                  </w:r>
                </w:p>
              </w:tc>
              <w:tc>
                <w:tcPr>
                  <w:tcW w:w="1290" w:type="dxa"/>
                  <w:vAlign w:val="center"/>
                </w:tcPr>
                <w:p w14:paraId="151830E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≥99.9</w:t>
                  </w:r>
                </w:p>
              </w:tc>
              <w:tc>
                <w:tcPr>
                  <w:tcW w:w="1245" w:type="dxa"/>
                  <w:vAlign w:val="center"/>
                </w:tcPr>
                <w:p w14:paraId="1B33F6C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880</w:t>
                  </w:r>
                </w:p>
              </w:tc>
              <w:tc>
                <w:tcPr>
                  <w:tcW w:w="585" w:type="dxa"/>
                  <w:vAlign w:val="center"/>
                </w:tcPr>
                <w:p w14:paraId="6261BDCD">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液态</w:t>
                  </w:r>
                </w:p>
              </w:tc>
              <w:tc>
                <w:tcPr>
                  <w:tcW w:w="600" w:type="dxa"/>
                  <w:vAlign w:val="center"/>
                </w:tcPr>
                <w:p w14:paraId="68A566A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槽车</w:t>
                  </w:r>
                </w:p>
              </w:tc>
              <w:tc>
                <w:tcPr>
                  <w:tcW w:w="615" w:type="dxa"/>
                  <w:vAlign w:val="center"/>
                </w:tcPr>
                <w:p w14:paraId="7AFC69E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储罐</w:t>
                  </w:r>
                </w:p>
              </w:tc>
              <w:tc>
                <w:tcPr>
                  <w:tcW w:w="1869" w:type="dxa"/>
                  <w:vAlign w:val="center"/>
                </w:tcPr>
                <w:p w14:paraId="2FD2A6C3">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四川省大英蓥峰化工有限责任公司</w:t>
                  </w:r>
                </w:p>
              </w:tc>
            </w:tr>
            <w:tr w14:paraId="03F3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trPr>
              <w:tc>
                <w:tcPr>
                  <w:tcW w:w="932" w:type="dxa"/>
                  <w:vMerge w:val="continue"/>
                  <w:vAlign w:val="center"/>
                </w:tcPr>
                <w:p w14:paraId="76ED25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305" w:type="dxa"/>
                  <w:vAlign w:val="center"/>
                </w:tcPr>
                <w:p w14:paraId="6F18D97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一甲胺</w:t>
                  </w:r>
                </w:p>
              </w:tc>
              <w:tc>
                <w:tcPr>
                  <w:tcW w:w="1290" w:type="dxa"/>
                  <w:vAlign w:val="center"/>
                </w:tcPr>
                <w:p w14:paraId="435239E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国标GB</w:t>
                  </w:r>
                  <w:r>
                    <w:rPr>
                      <w:rFonts w:hint="eastAsia"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338-2011</w:t>
                  </w:r>
                </w:p>
                <w:p w14:paraId="4427EB3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一等品</w:t>
                  </w:r>
                </w:p>
              </w:tc>
              <w:tc>
                <w:tcPr>
                  <w:tcW w:w="1245" w:type="dxa"/>
                  <w:vAlign w:val="center"/>
                </w:tcPr>
                <w:p w14:paraId="6835368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1610</w:t>
                  </w:r>
                </w:p>
              </w:tc>
              <w:tc>
                <w:tcPr>
                  <w:tcW w:w="585" w:type="dxa"/>
                  <w:vAlign w:val="center"/>
                </w:tcPr>
                <w:p w14:paraId="79CD8AFF">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液态</w:t>
                  </w:r>
                </w:p>
              </w:tc>
              <w:tc>
                <w:tcPr>
                  <w:tcW w:w="600" w:type="dxa"/>
                  <w:vAlign w:val="center"/>
                </w:tcPr>
                <w:p w14:paraId="1C353FC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槽车</w:t>
                  </w:r>
                </w:p>
              </w:tc>
              <w:tc>
                <w:tcPr>
                  <w:tcW w:w="615" w:type="dxa"/>
                  <w:vAlign w:val="center"/>
                </w:tcPr>
                <w:p w14:paraId="6629869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储罐</w:t>
                  </w:r>
                </w:p>
              </w:tc>
              <w:tc>
                <w:tcPr>
                  <w:tcW w:w="1869" w:type="dxa"/>
                  <w:vAlign w:val="center"/>
                </w:tcPr>
                <w:p w14:paraId="1AF1F253">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陕西延长石油兴化化工有限公司</w:t>
                  </w:r>
                </w:p>
              </w:tc>
            </w:tr>
            <w:tr w14:paraId="1673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 w:hRule="atLeast"/>
              </w:trPr>
              <w:tc>
                <w:tcPr>
                  <w:tcW w:w="932" w:type="dxa"/>
                  <w:vAlign w:val="center"/>
                </w:tcPr>
                <w:p w14:paraId="2F2C7D5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包装材料</w:t>
                  </w:r>
                </w:p>
              </w:tc>
              <w:tc>
                <w:tcPr>
                  <w:tcW w:w="1305" w:type="dxa"/>
                  <w:vAlign w:val="center"/>
                </w:tcPr>
                <w:p w14:paraId="3466F30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包装桶</w:t>
                  </w:r>
                </w:p>
              </w:tc>
              <w:tc>
                <w:tcPr>
                  <w:tcW w:w="1290" w:type="dxa"/>
                  <w:vAlign w:val="center"/>
                </w:tcPr>
                <w:p w14:paraId="21C82C2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150kg</w:t>
                  </w:r>
                </w:p>
              </w:tc>
              <w:tc>
                <w:tcPr>
                  <w:tcW w:w="1245" w:type="dxa"/>
                  <w:vAlign w:val="center"/>
                </w:tcPr>
                <w:p w14:paraId="6141137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0.5万只</w:t>
                  </w:r>
                </w:p>
              </w:tc>
              <w:tc>
                <w:tcPr>
                  <w:tcW w:w="585" w:type="dxa"/>
                  <w:vAlign w:val="center"/>
                </w:tcPr>
                <w:p w14:paraId="56B1BD6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00" w:type="dxa"/>
                  <w:vAlign w:val="center"/>
                </w:tcPr>
                <w:p w14:paraId="0CE9A81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汽车</w:t>
                  </w:r>
                </w:p>
              </w:tc>
              <w:tc>
                <w:tcPr>
                  <w:tcW w:w="615" w:type="dxa"/>
                  <w:vAlign w:val="center"/>
                </w:tcPr>
                <w:p w14:paraId="0FB936E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869" w:type="dxa"/>
                  <w:vAlign w:val="center"/>
                </w:tcPr>
                <w:p w14:paraId="3590117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7571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 w:hRule="atLeast"/>
              </w:trPr>
              <w:tc>
                <w:tcPr>
                  <w:tcW w:w="932" w:type="dxa"/>
                  <w:vAlign w:val="center"/>
                </w:tcPr>
                <w:p w14:paraId="7A49B93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燃料</w:t>
                  </w:r>
                </w:p>
              </w:tc>
              <w:tc>
                <w:tcPr>
                  <w:tcW w:w="1305" w:type="dxa"/>
                  <w:vAlign w:val="center"/>
                </w:tcPr>
                <w:p w14:paraId="6C14BDC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天然气</w:t>
                  </w:r>
                </w:p>
              </w:tc>
              <w:tc>
                <w:tcPr>
                  <w:tcW w:w="1290" w:type="dxa"/>
                  <w:vAlign w:val="center"/>
                </w:tcPr>
                <w:p w14:paraId="6627989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工业级</w:t>
                  </w:r>
                </w:p>
              </w:tc>
              <w:tc>
                <w:tcPr>
                  <w:tcW w:w="1245" w:type="dxa"/>
                  <w:vAlign w:val="center"/>
                </w:tcPr>
                <w:p w14:paraId="4D408C8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87万m</w:t>
                  </w:r>
                  <w:r>
                    <w:rPr>
                      <w:rFonts w:hint="default" w:ascii="Times New Roman" w:hAnsi="Times New Roman" w:eastAsia="宋体" w:cs="Times New Roman"/>
                      <w:color w:val="auto"/>
                      <w:sz w:val="21"/>
                      <w:szCs w:val="21"/>
                      <w:highlight w:val="none"/>
                      <w:vertAlign w:val="superscript"/>
                    </w:rPr>
                    <w:t>3</w:t>
                  </w:r>
                </w:p>
              </w:tc>
              <w:tc>
                <w:tcPr>
                  <w:tcW w:w="585" w:type="dxa"/>
                  <w:vAlign w:val="center"/>
                </w:tcPr>
                <w:p w14:paraId="5DB9859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w:t>
                  </w:r>
                </w:p>
              </w:tc>
              <w:tc>
                <w:tcPr>
                  <w:tcW w:w="600" w:type="dxa"/>
                  <w:vAlign w:val="center"/>
                </w:tcPr>
                <w:p w14:paraId="7CC29C5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管道</w:t>
                  </w:r>
                </w:p>
              </w:tc>
              <w:tc>
                <w:tcPr>
                  <w:tcW w:w="615" w:type="dxa"/>
                  <w:vAlign w:val="center"/>
                </w:tcPr>
                <w:p w14:paraId="7846DC5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869" w:type="dxa"/>
                  <w:vAlign w:val="center"/>
                </w:tcPr>
                <w:p w14:paraId="0CD0D02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园区供气网</w:t>
                  </w:r>
                </w:p>
              </w:tc>
            </w:tr>
            <w:tr w14:paraId="3AA4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932" w:type="dxa"/>
                  <w:vAlign w:val="center"/>
                </w:tcPr>
                <w:p w14:paraId="3160830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水耗</w:t>
                  </w:r>
                </w:p>
              </w:tc>
              <w:tc>
                <w:tcPr>
                  <w:tcW w:w="1305" w:type="dxa"/>
                  <w:vAlign w:val="center"/>
                </w:tcPr>
                <w:p w14:paraId="562501D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新水</w:t>
                  </w:r>
                </w:p>
              </w:tc>
              <w:tc>
                <w:tcPr>
                  <w:tcW w:w="1290" w:type="dxa"/>
                  <w:vAlign w:val="center"/>
                </w:tcPr>
                <w:p w14:paraId="2E04D6FD">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45" w:type="dxa"/>
                  <w:vAlign w:val="center"/>
                </w:tcPr>
                <w:p w14:paraId="69C5F6BD">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1.63万</w:t>
                  </w:r>
                </w:p>
              </w:tc>
              <w:tc>
                <w:tcPr>
                  <w:tcW w:w="585" w:type="dxa"/>
                  <w:vAlign w:val="center"/>
                </w:tcPr>
                <w:p w14:paraId="236CC1F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w:t>
                  </w:r>
                </w:p>
              </w:tc>
              <w:tc>
                <w:tcPr>
                  <w:tcW w:w="600" w:type="dxa"/>
                  <w:vAlign w:val="center"/>
                </w:tcPr>
                <w:p w14:paraId="3EA4751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管网</w:t>
                  </w:r>
                </w:p>
              </w:tc>
              <w:tc>
                <w:tcPr>
                  <w:tcW w:w="615" w:type="dxa"/>
                  <w:vAlign w:val="center"/>
                </w:tcPr>
                <w:p w14:paraId="4E81EAA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869" w:type="dxa"/>
                  <w:vAlign w:val="center"/>
                </w:tcPr>
                <w:p w14:paraId="595765F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园区供水网</w:t>
                  </w:r>
                </w:p>
              </w:tc>
            </w:tr>
            <w:tr w14:paraId="300E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rPr>
              <w:tc>
                <w:tcPr>
                  <w:tcW w:w="932" w:type="dxa"/>
                  <w:vAlign w:val="center"/>
                </w:tcPr>
                <w:p w14:paraId="7D3E66B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电耗</w:t>
                  </w:r>
                </w:p>
              </w:tc>
              <w:tc>
                <w:tcPr>
                  <w:tcW w:w="1305" w:type="dxa"/>
                  <w:vAlign w:val="center"/>
                </w:tcPr>
                <w:p w14:paraId="106D4DE3">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1290" w:type="dxa"/>
                  <w:vAlign w:val="center"/>
                </w:tcPr>
                <w:p w14:paraId="6B69CE1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45" w:type="dxa"/>
                  <w:vAlign w:val="center"/>
                </w:tcPr>
                <w:p w14:paraId="7D03334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394万kWh</w:t>
                  </w:r>
                </w:p>
              </w:tc>
              <w:tc>
                <w:tcPr>
                  <w:tcW w:w="585" w:type="dxa"/>
                  <w:vAlign w:val="center"/>
                </w:tcPr>
                <w:p w14:paraId="0017692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00" w:type="dxa"/>
                  <w:vAlign w:val="center"/>
                </w:tcPr>
                <w:p w14:paraId="2D97A03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电网</w:t>
                  </w:r>
                </w:p>
              </w:tc>
              <w:tc>
                <w:tcPr>
                  <w:tcW w:w="615" w:type="dxa"/>
                  <w:vAlign w:val="center"/>
                </w:tcPr>
                <w:p w14:paraId="7D30019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869" w:type="dxa"/>
                  <w:vAlign w:val="center"/>
                </w:tcPr>
                <w:p w14:paraId="6B03E34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园区供电网</w:t>
                  </w:r>
                </w:p>
              </w:tc>
            </w:tr>
            <w:tr w14:paraId="77D0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932" w:type="dxa"/>
                  <w:vAlign w:val="center"/>
                </w:tcPr>
                <w:p w14:paraId="4298C72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c>
                <w:tcPr>
                  <w:tcW w:w="1305" w:type="dxa"/>
                  <w:vAlign w:val="center"/>
                </w:tcPr>
                <w:p w14:paraId="3C9162E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仪表空气</w:t>
                  </w:r>
                </w:p>
              </w:tc>
              <w:tc>
                <w:tcPr>
                  <w:tcW w:w="1290" w:type="dxa"/>
                  <w:vAlign w:val="center"/>
                </w:tcPr>
                <w:p w14:paraId="06E4AA3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45" w:type="dxa"/>
                  <w:vAlign w:val="center"/>
                </w:tcPr>
                <w:p w14:paraId="1C52727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96万m</w:t>
                  </w:r>
                  <w:r>
                    <w:rPr>
                      <w:rFonts w:hint="default" w:ascii="Times New Roman" w:hAnsi="Times New Roman" w:eastAsia="宋体" w:cs="Times New Roman"/>
                      <w:color w:val="auto"/>
                      <w:sz w:val="21"/>
                      <w:szCs w:val="21"/>
                      <w:highlight w:val="none"/>
                      <w:vertAlign w:val="superscript"/>
                    </w:rPr>
                    <w:t>3</w:t>
                  </w:r>
                </w:p>
              </w:tc>
              <w:tc>
                <w:tcPr>
                  <w:tcW w:w="585" w:type="dxa"/>
                  <w:vAlign w:val="center"/>
                </w:tcPr>
                <w:p w14:paraId="01B1C16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w:t>
                  </w:r>
                </w:p>
              </w:tc>
              <w:tc>
                <w:tcPr>
                  <w:tcW w:w="600" w:type="dxa"/>
                  <w:vAlign w:val="center"/>
                </w:tcPr>
                <w:p w14:paraId="1A633CB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管道</w:t>
                  </w:r>
                </w:p>
              </w:tc>
              <w:tc>
                <w:tcPr>
                  <w:tcW w:w="615" w:type="dxa"/>
                  <w:vAlign w:val="center"/>
                </w:tcPr>
                <w:p w14:paraId="33C5041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869" w:type="dxa"/>
                  <w:vAlign w:val="center"/>
                </w:tcPr>
                <w:p w14:paraId="38D3718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制氮站提供</w:t>
                  </w:r>
                </w:p>
              </w:tc>
            </w:tr>
          </w:tbl>
          <w:p w14:paraId="1365CFD5">
            <w:pPr>
              <w:spacing w:line="360" w:lineRule="auto"/>
              <w:ind w:firstLine="482"/>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4、企业现有工程设备清单</w:t>
            </w:r>
          </w:p>
          <w:p w14:paraId="556472E9">
            <w:pPr>
              <w:pStyle w:val="144"/>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cs="Times New Roman"/>
                <w:b w:val="0"/>
                <w:bCs/>
                <w:color w:val="auto"/>
                <w:sz w:val="24"/>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bidi="ar-SA"/>
              </w:rPr>
              <w:t>现有工程生产过程中主要</w:t>
            </w:r>
            <w:r>
              <w:rPr>
                <w:rFonts w:hint="eastAsia" w:cs="Times New Roman"/>
                <w:b w:val="0"/>
                <w:bCs/>
                <w:color w:val="auto"/>
                <w:kern w:val="2"/>
                <w:sz w:val="24"/>
                <w:szCs w:val="24"/>
                <w:highlight w:val="none"/>
                <w:lang w:val="en-US" w:eastAsia="zh-CN" w:bidi="ar-SA"/>
              </w:rPr>
              <w:t>工艺设备</w:t>
            </w:r>
            <w:r>
              <w:rPr>
                <w:rFonts w:hint="default" w:ascii="Times New Roman" w:hAnsi="Times New Roman" w:eastAsia="宋体" w:cs="Times New Roman"/>
                <w:b w:val="0"/>
                <w:bCs/>
                <w:color w:val="auto"/>
                <w:kern w:val="2"/>
                <w:sz w:val="24"/>
                <w:szCs w:val="24"/>
                <w:highlight w:val="none"/>
                <w:lang w:val="en-US" w:eastAsia="zh-CN" w:bidi="ar-SA"/>
              </w:rPr>
              <w:t>使用情况见下表</w:t>
            </w:r>
            <w:r>
              <w:rPr>
                <w:rFonts w:hint="eastAsia" w:ascii="Times New Roman" w:hAnsi="Times New Roman" w:cs="Times New Roman"/>
                <w:b w:val="0"/>
                <w:bCs/>
                <w:color w:val="auto"/>
                <w:sz w:val="24"/>
                <w:highlight w:val="none"/>
                <w:lang w:val="en-US" w:eastAsia="zh-CN"/>
              </w:rPr>
              <w:t>。</w:t>
            </w:r>
          </w:p>
          <w:p w14:paraId="0F0FECF7">
            <w:pPr>
              <w:pStyle w:val="144"/>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cs="Times New Roman"/>
                <w:b w:val="0"/>
                <w:bCs/>
                <w:color w:val="auto"/>
                <w:sz w:val="24"/>
                <w:highlight w:val="none"/>
                <w:lang w:val="en-US" w:eastAsia="zh-CN"/>
              </w:rPr>
            </w:pPr>
          </w:p>
          <w:p w14:paraId="117DA65F">
            <w:pPr>
              <w:adjustRightInd w:val="0"/>
              <w:snapToGrid w:val="0"/>
              <w:spacing w:line="360" w:lineRule="auto"/>
              <w:ind w:firstLine="480" w:firstLineChars="200"/>
              <w:rPr>
                <w:rFonts w:hint="eastAsia"/>
                <w:b w:val="0"/>
                <w:bCs w:val="0"/>
                <w:color w:val="auto"/>
                <w:sz w:val="24"/>
                <w:szCs w:val="22"/>
                <w:highlight w:val="none"/>
              </w:rPr>
            </w:pPr>
          </w:p>
          <w:p w14:paraId="15C17229">
            <w:pPr>
              <w:adjustRightInd w:val="0"/>
              <w:snapToGrid w:val="0"/>
              <w:spacing w:line="360" w:lineRule="auto"/>
              <w:ind w:firstLine="480" w:firstLineChars="200"/>
              <w:rPr>
                <w:rFonts w:hint="eastAsia"/>
                <w:b w:val="0"/>
                <w:bCs w:val="0"/>
                <w:color w:val="auto"/>
                <w:sz w:val="24"/>
                <w:szCs w:val="22"/>
                <w:highlight w:val="none"/>
              </w:rPr>
            </w:pPr>
          </w:p>
          <w:p w14:paraId="7DBB3B01">
            <w:pPr>
              <w:adjustRightInd w:val="0"/>
              <w:snapToGrid w:val="0"/>
              <w:spacing w:line="360" w:lineRule="auto"/>
              <w:ind w:firstLine="480" w:firstLineChars="200"/>
              <w:rPr>
                <w:rFonts w:hint="eastAsia"/>
                <w:b w:val="0"/>
                <w:bCs w:val="0"/>
                <w:color w:val="auto"/>
                <w:sz w:val="24"/>
                <w:szCs w:val="22"/>
                <w:highlight w:val="none"/>
              </w:rPr>
            </w:pPr>
          </w:p>
          <w:p w14:paraId="55767256">
            <w:pPr>
              <w:adjustRightInd w:val="0"/>
              <w:snapToGrid w:val="0"/>
              <w:spacing w:line="360" w:lineRule="auto"/>
              <w:ind w:firstLine="480" w:firstLineChars="200"/>
              <w:rPr>
                <w:rFonts w:hint="eastAsia"/>
                <w:b w:val="0"/>
                <w:bCs w:val="0"/>
                <w:color w:val="auto"/>
                <w:sz w:val="24"/>
                <w:szCs w:val="22"/>
                <w:highlight w:val="none"/>
              </w:rPr>
            </w:pPr>
          </w:p>
          <w:p w14:paraId="00C9C710">
            <w:pPr>
              <w:adjustRightInd w:val="0"/>
              <w:snapToGrid w:val="0"/>
              <w:spacing w:line="360" w:lineRule="auto"/>
              <w:ind w:firstLine="480" w:firstLineChars="200"/>
              <w:rPr>
                <w:rFonts w:hint="eastAsia"/>
                <w:b w:val="0"/>
                <w:bCs w:val="0"/>
                <w:color w:val="auto"/>
                <w:sz w:val="24"/>
                <w:szCs w:val="22"/>
                <w:highlight w:val="none"/>
              </w:rPr>
            </w:pPr>
          </w:p>
          <w:p w14:paraId="20F9547B">
            <w:pPr>
              <w:adjustRightInd w:val="0"/>
              <w:snapToGrid w:val="0"/>
              <w:spacing w:line="360" w:lineRule="auto"/>
              <w:ind w:firstLine="480" w:firstLineChars="200"/>
              <w:rPr>
                <w:rFonts w:hint="eastAsia"/>
                <w:b w:val="0"/>
                <w:bCs w:val="0"/>
                <w:color w:val="auto"/>
                <w:sz w:val="24"/>
                <w:szCs w:val="22"/>
                <w:highlight w:val="none"/>
              </w:rPr>
            </w:pPr>
          </w:p>
          <w:p w14:paraId="7D362B0D">
            <w:pPr>
              <w:adjustRightInd w:val="0"/>
              <w:snapToGrid w:val="0"/>
              <w:spacing w:line="360" w:lineRule="auto"/>
              <w:ind w:firstLine="480" w:firstLineChars="200"/>
              <w:rPr>
                <w:rFonts w:hint="eastAsia"/>
                <w:b w:val="0"/>
                <w:bCs w:val="0"/>
                <w:color w:val="auto"/>
                <w:sz w:val="24"/>
                <w:szCs w:val="22"/>
                <w:highlight w:val="none"/>
              </w:rPr>
            </w:pPr>
          </w:p>
          <w:p w14:paraId="3DE818C9">
            <w:pPr>
              <w:adjustRightInd w:val="0"/>
              <w:snapToGrid w:val="0"/>
              <w:spacing w:line="360" w:lineRule="auto"/>
              <w:ind w:firstLine="480" w:firstLineChars="200"/>
              <w:rPr>
                <w:rFonts w:hint="eastAsia"/>
                <w:b w:val="0"/>
                <w:bCs w:val="0"/>
                <w:color w:val="auto"/>
                <w:sz w:val="24"/>
                <w:szCs w:val="22"/>
                <w:highlight w:val="none"/>
              </w:rPr>
            </w:pPr>
          </w:p>
        </w:tc>
      </w:tr>
    </w:tbl>
    <w:p w14:paraId="7EC26098">
      <w:pPr>
        <w:jc w:val="center"/>
        <w:rPr>
          <w:snapToGrid w:val="0"/>
          <w:color w:val="auto"/>
          <w:sz w:val="36"/>
          <w:szCs w:val="36"/>
          <w:highlight w:val="none"/>
        </w:rPr>
        <w:sectPr>
          <w:pgSz w:w="11906" w:h="16838"/>
          <w:pgMar w:top="1701" w:right="1531" w:bottom="1701" w:left="1531" w:header="851" w:footer="851" w:gutter="0"/>
          <w:pgNumType w:fmt="decimal"/>
          <w:cols w:space="720" w:num="1"/>
          <w:docGrid w:linePitch="312" w:charSpace="0"/>
        </w:sectPr>
      </w:pPr>
    </w:p>
    <w:p w14:paraId="06F9BA41">
      <w:pPr>
        <w:pStyle w:val="4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现有主要工程</w:t>
      </w:r>
      <w:r>
        <w:rPr>
          <w:rFonts w:hint="eastAsia" w:cs="Times New Roman"/>
          <w:color w:val="auto"/>
          <w:highlight w:val="none"/>
          <w:lang w:val="en-US" w:eastAsia="zh-CN"/>
        </w:rPr>
        <w:t>工艺设备清单</w:t>
      </w:r>
      <w:r>
        <w:rPr>
          <w:rFonts w:hint="default" w:ascii="Times New Roman" w:hAnsi="Times New Roman" w:cs="Times New Roman"/>
          <w:color w:val="auto"/>
          <w:highlight w:val="none"/>
          <w:lang w:val="en-US" w:eastAsia="zh-CN"/>
        </w:rPr>
        <w:t>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1"/>
        <w:gridCol w:w="1024"/>
        <w:gridCol w:w="926"/>
        <w:gridCol w:w="1219"/>
        <w:gridCol w:w="1372"/>
        <w:gridCol w:w="1500"/>
        <w:gridCol w:w="1246"/>
        <w:gridCol w:w="1334"/>
        <w:gridCol w:w="1437"/>
        <w:gridCol w:w="1088"/>
        <w:gridCol w:w="1252"/>
        <w:gridCol w:w="623"/>
      </w:tblGrid>
      <w:tr w14:paraId="1BC7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31" w:type="pct"/>
            <w:vMerge w:val="restart"/>
            <w:shd w:val="clear" w:color="auto" w:fill="auto"/>
            <w:noWrap/>
            <w:vAlign w:val="center"/>
          </w:tcPr>
          <w:p w14:paraId="7C208A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375" w:type="pct"/>
            <w:vMerge w:val="restart"/>
            <w:shd w:val="clear" w:color="auto" w:fill="auto"/>
            <w:vAlign w:val="center"/>
          </w:tcPr>
          <w:p w14:paraId="59432C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设备名称</w:t>
            </w:r>
          </w:p>
        </w:tc>
        <w:tc>
          <w:tcPr>
            <w:tcW w:w="339" w:type="pct"/>
            <w:vMerge w:val="restart"/>
            <w:shd w:val="clear" w:color="auto" w:fill="auto"/>
            <w:vAlign w:val="center"/>
          </w:tcPr>
          <w:p w14:paraId="283685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设备位号</w:t>
            </w:r>
          </w:p>
        </w:tc>
        <w:tc>
          <w:tcPr>
            <w:tcW w:w="446" w:type="pct"/>
            <w:vMerge w:val="restart"/>
            <w:shd w:val="clear" w:color="auto" w:fill="auto"/>
            <w:vAlign w:val="center"/>
          </w:tcPr>
          <w:p w14:paraId="1ED8DC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规格型号</w:t>
            </w:r>
          </w:p>
        </w:tc>
        <w:tc>
          <w:tcPr>
            <w:tcW w:w="502" w:type="pct"/>
            <w:vMerge w:val="restart"/>
            <w:shd w:val="clear" w:color="auto" w:fill="auto"/>
            <w:vAlign w:val="center"/>
          </w:tcPr>
          <w:p w14:paraId="798813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重要尺寸参数【直径/内径/外径×长度（高）】mm</w:t>
            </w:r>
          </w:p>
        </w:tc>
        <w:tc>
          <w:tcPr>
            <w:tcW w:w="549" w:type="pct"/>
            <w:vMerge w:val="restart"/>
            <w:shd w:val="clear" w:color="auto" w:fill="auto"/>
            <w:vAlign w:val="center"/>
          </w:tcPr>
          <w:p w14:paraId="5259BE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材质</w:t>
            </w:r>
          </w:p>
        </w:tc>
        <w:tc>
          <w:tcPr>
            <w:tcW w:w="2328" w:type="pct"/>
            <w:gridSpan w:val="5"/>
            <w:shd w:val="clear" w:color="auto" w:fill="auto"/>
            <w:vAlign w:val="center"/>
          </w:tcPr>
          <w:p w14:paraId="201EF8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设计工艺参数</w:t>
            </w:r>
          </w:p>
        </w:tc>
        <w:tc>
          <w:tcPr>
            <w:tcW w:w="228" w:type="pct"/>
            <w:vMerge w:val="restart"/>
            <w:shd w:val="clear" w:color="auto" w:fill="auto"/>
            <w:vAlign w:val="center"/>
          </w:tcPr>
          <w:p w14:paraId="10DDA7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压力容器类别</w:t>
            </w:r>
          </w:p>
        </w:tc>
      </w:tr>
      <w:tr w14:paraId="1CE5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vMerge w:val="continue"/>
            <w:shd w:val="clear" w:color="auto" w:fill="auto"/>
            <w:noWrap/>
            <w:vAlign w:val="center"/>
          </w:tcPr>
          <w:p w14:paraId="40740AB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sz w:val="21"/>
                <w:szCs w:val="21"/>
                <w:highlight w:val="none"/>
                <w:u w:val="none"/>
              </w:rPr>
            </w:pPr>
          </w:p>
        </w:tc>
        <w:tc>
          <w:tcPr>
            <w:tcW w:w="375" w:type="pct"/>
            <w:vMerge w:val="continue"/>
            <w:shd w:val="clear" w:color="auto" w:fill="auto"/>
            <w:vAlign w:val="center"/>
          </w:tcPr>
          <w:p w14:paraId="6052262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sz w:val="21"/>
                <w:szCs w:val="21"/>
                <w:highlight w:val="none"/>
                <w:u w:val="none"/>
              </w:rPr>
            </w:pPr>
          </w:p>
        </w:tc>
        <w:tc>
          <w:tcPr>
            <w:tcW w:w="339" w:type="pct"/>
            <w:vMerge w:val="continue"/>
            <w:shd w:val="clear" w:color="auto" w:fill="auto"/>
            <w:vAlign w:val="center"/>
          </w:tcPr>
          <w:p w14:paraId="75AD2F0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sz w:val="21"/>
                <w:szCs w:val="21"/>
                <w:highlight w:val="none"/>
                <w:u w:val="none"/>
              </w:rPr>
            </w:pPr>
          </w:p>
        </w:tc>
        <w:tc>
          <w:tcPr>
            <w:tcW w:w="446" w:type="pct"/>
            <w:vMerge w:val="continue"/>
            <w:shd w:val="clear" w:color="auto" w:fill="auto"/>
            <w:vAlign w:val="center"/>
          </w:tcPr>
          <w:p w14:paraId="2E2488F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sz w:val="21"/>
                <w:szCs w:val="21"/>
                <w:highlight w:val="none"/>
                <w:u w:val="none"/>
              </w:rPr>
            </w:pPr>
          </w:p>
        </w:tc>
        <w:tc>
          <w:tcPr>
            <w:tcW w:w="502" w:type="pct"/>
            <w:vMerge w:val="continue"/>
            <w:shd w:val="clear" w:color="auto" w:fill="auto"/>
            <w:vAlign w:val="center"/>
          </w:tcPr>
          <w:p w14:paraId="6663A3C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sz w:val="21"/>
                <w:szCs w:val="21"/>
                <w:highlight w:val="none"/>
                <w:u w:val="none"/>
              </w:rPr>
            </w:pPr>
          </w:p>
        </w:tc>
        <w:tc>
          <w:tcPr>
            <w:tcW w:w="549" w:type="pct"/>
            <w:vMerge w:val="continue"/>
            <w:shd w:val="clear" w:color="auto" w:fill="auto"/>
            <w:vAlign w:val="center"/>
          </w:tcPr>
          <w:p w14:paraId="3E76EEE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sz w:val="21"/>
                <w:szCs w:val="21"/>
                <w:highlight w:val="none"/>
                <w:u w:val="none"/>
              </w:rPr>
            </w:pPr>
          </w:p>
        </w:tc>
        <w:tc>
          <w:tcPr>
            <w:tcW w:w="456" w:type="pct"/>
            <w:shd w:val="clear" w:color="auto" w:fill="auto"/>
            <w:vAlign w:val="center"/>
          </w:tcPr>
          <w:p w14:paraId="519BA4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工作介质</w:t>
            </w:r>
          </w:p>
        </w:tc>
        <w:tc>
          <w:tcPr>
            <w:tcW w:w="488" w:type="pct"/>
            <w:shd w:val="clear" w:color="auto" w:fill="auto"/>
            <w:vAlign w:val="center"/>
          </w:tcPr>
          <w:p w14:paraId="120F52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设计压力</w:t>
            </w:r>
          </w:p>
        </w:tc>
        <w:tc>
          <w:tcPr>
            <w:tcW w:w="526" w:type="pct"/>
            <w:shd w:val="clear" w:color="auto" w:fill="auto"/>
            <w:vAlign w:val="center"/>
          </w:tcPr>
          <w:p w14:paraId="6ECAFA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工作压力</w:t>
            </w:r>
          </w:p>
        </w:tc>
        <w:tc>
          <w:tcPr>
            <w:tcW w:w="398" w:type="pct"/>
            <w:shd w:val="clear" w:color="auto" w:fill="auto"/>
            <w:vAlign w:val="center"/>
          </w:tcPr>
          <w:p w14:paraId="713912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设计温度</w:t>
            </w:r>
          </w:p>
        </w:tc>
        <w:tc>
          <w:tcPr>
            <w:tcW w:w="458" w:type="pct"/>
            <w:shd w:val="clear" w:color="auto" w:fill="auto"/>
            <w:vAlign w:val="center"/>
          </w:tcPr>
          <w:p w14:paraId="756F1A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工作温度</w:t>
            </w:r>
          </w:p>
        </w:tc>
        <w:tc>
          <w:tcPr>
            <w:tcW w:w="228" w:type="pct"/>
            <w:vMerge w:val="continue"/>
            <w:shd w:val="clear" w:color="auto" w:fill="auto"/>
            <w:vAlign w:val="center"/>
          </w:tcPr>
          <w:p w14:paraId="43C6A66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sz w:val="21"/>
                <w:szCs w:val="21"/>
                <w:highlight w:val="none"/>
                <w:u w:val="none"/>
              </w:rPr>
            </w:pPr>
          </w:p>
        </w:tc>
      </w:tr>
      <w:tr w14:paraId="2F67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31" w:type="pct"/>
            <w:shd w:val="clear" w:color="auto" w:fill="auto"/>
            <w:noWrap/>
            <w:vAlign w:val="center"/>
          </w:tcPr>
          <w:p w14:paraId="20D204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375" w:type="pct"/>
            <w:shd w:val="clear" w:color="auto" w:fill="auto"/>
            <w:vAlign w:val="center"/>
          </w:tcPr>
          <w:p w14:paraId="722426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蒸氨塔</w:t>
            </w:r>
          </w:p>
        </w:tc>
        <w:tc>
          <w:tcPr>
            <w:tcW w:w="339" w:type="pct"/>
            <w:shd w:val="clear" w:color="auto" w:fill="auto"/>
            <w:vAlign w:val="center"/>
          </w:tcPr>
          <w:p w14:paraId="5E653F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T-4301</w:t>
            </w:r>
          </w:p>
        </w:tc>
        <w:tc>
          <w:tcPr>
            <w:tcW w:w="446" w:type="pct"/>
            <w:shd w:val="clear" w:color="auto" w:fill="auto"/>
            <w:vAlign w:val="center"/>
          </w:tcPr>
          <w:p w14:paraId="5D0BB9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21707B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（直径）800×25407</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高）</w:t>
            </w:r>
          </w:p>
        </w:tc>
        <w:tc>
          <w:tcPr>
            <w:tcW w:w="549" w:type="pct"/>
            <w:shd w:val="clear" w:color="auto" w:fill="auto"/>
            <w:vAlign w:val="center"/>
          </w:tcPr>
          <w:p w14:paraId="4953F7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0D3FFD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氨、水、MEA</w:t>
            </w:r>
          </w:p>
        </w:tc>
        <w:tc>
          <w:tcPr>
            <w:tcW w:w="488" w:type="pct"/>
            <w:shd w:val="clear" w:color="auto" w:fill="auto"/>
            <w:vAlign w:val="center"/>
          </w:tcPr>
          <w:p w14:paraId="746180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1.78/-0.1Mpa</w:t>
            </w:r>
          </w:p>
        </w:tc>
        <w:tc>
          <w:tcPr>
            <w:tcW w:w="526" w:type="pct"/>
            <w:shd w:val="clear" w:color="auto" w:fill="auto"/>
            <w:vAlign w:val="center"/>
          </w:tcPr>
          <w:p w14:paraId="40BF98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塔底1.6Mpa；塔顶1.5Mpa</w:t>
            </w:r>
          </w:p>
        </w:tc>
        <w:tc>
          <w:tcPr>
            <w:tcW w:w="398" w:type="pct"/>
            <w:shd w:val="clear" w:color="auto" w:fill="auto"/>
            <w:vAlign w:val="center"/>
          </w:tcPr>
          <w:p w14:paraId="72547B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225/100℃</w:t>
            </w:r>
          </w:p>
        </w:tc>
        <w:tc>
          <w:tcPr>
            <w:tcW w:w="458" w:type="pct"/>
            <w:shd w:val="clear" w:color="auto" w:fill="auto"/>
            <w:vAlign w:val="center"/>
          </w:tcPr>
          <w:p w14:paraId="0D85B4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塔底195℃；塔顶80℃</w:t>
            </w:r>
          </w:p>
        </w:tc>
        <w:tc>
          <w:tcPr>
            <w:tcW w:w="228" w:type="pct"/>
            <w:shd w:val="clear" w:color="auto" w:fill="auto"/>
            <w:vAlign w:val="center"/>
          </w:tcPr>
          <w:p w14:paraId="560261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Ⅱ</w:t>
            </w:r>
          </w:p>
        </w:tc>
      </w:tr>
      <w:tr w14:paraId="4FD1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149B2A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w:t>
            </w:r>
          </w:p>
        </w:tc>
        <w:tc>
          <w:tcPr>
            <w:tcW w:w="375" w:type="pct"/>
            <w:shd w:val="clear" w:color="auto" w:fill="auto"/>
            <w:vAlign w:val="center"/>
          </w:tcPr>
          <w:p w14:paraId="0D47FDA1">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脱水塔</w:t>
            </w:r>
          </w:p>
        </w:tc>
        <w:tc>
          <w:tcPr>
            <w:tcW w:w="339" w:type="pct"/>
            <w:shd w:val="clear" w:color="auto" w:fill="auto"/>
            <w:vAlign w:val="center"/>
          </w:tcPr>
          <w:p w14:paraId="0B73CDF8">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T-4302</w:t>
            </w:r>
          </w:p>
        </w:tc>
        <w:tc>
          <w:tcPr>
            <w:tcW w:w="446" w:type="pct"/>
            <w:shd w:val="clear" w:color="auto" w:fill="auto"/>
            <w:vAlign w:val="center"/>
          </w:tcPr>
          <w:p w14:paraId="45E02A70">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容积11.336m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53D1907B">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（直径）1000/500 （高）22110</w:t>
            </w:r>
          </w:p>
        </w:tc>
        <w:tc>
          <w:tcPr>
            <w:tcW w:w="549" w:type="pct"/>
            <w:shd w:val="clear" w:color="auto" w:fill="auto"/>
            <w:vAlign w:val="center"/>
          </w:tcPr>
          <w:p w14:paraId="566147A8">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S32168</w:t>
            </w:r>
          </w:p>
        </w:tc>
        <w:tc>
          <w:tcPr>
            <w:tcW w:w="456" w:type="pct"/>
            <w:shd w:val="clear" w:color="auto" w:fill="auto"/>
            <w:vAlign w:val="center"/>
          </w:tcPr>
          <w:p w14:paraId="392B21EB">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 EA</w:t>
            </w:r>
          </w:p>
        </w:tc>
        <w:tc>
          <w:tcPr>
            <w:tcW w:w="488" w:type="pct"/>
            <w:shd w:val="clear" w:color="auto" w:fill="auto"/>
            <w:vAlign w:val="center"/>
          </w:tcPr>
          <w:p w14:paraId="3A0AECA2">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0.35/-0.1Mpa</w:t>
            </w:r>
          </w:p>
        </w:tc>
        <w:tc>
          <w:tcPr>
            <w:tcW w:w="526" w:type="pct"/>
            <w:shd w:val="clear" w:color="auto" w:fill="auto"/>
            <w:vAlign w:val="center"/>
          </w:tcPr>
          <w:p w14:paraId="561DC63C">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-0.07Mpa</w:t>
            </w:r>
          </w:p>
        </w:tc>
        <w:tc>
          <w:tcPr>
            <w:tcW w:w="398" w:type="pct"/>
            <w:shd w:val="clear" w:color="auto" w:fill="auto"/>
            <w:vAlign w:val="center"/>
          </w:tcPr>
          <w:p w14:paraId="07D51228">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180/100℃</w:t>
            </w:r>
          </w:p>
        </w:tc>
        <w:tc>
          <w:tcPr>
            <w:tcW w:w="458" w:type="pct"/>
            <w:shd w:val="clear" w:color="auto" w:fill="auto"/>
            <w:vAlign w:val="center"/>
          </w:tcPr>
          <w:p w14:paraId="46C35D6B">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150/115℃</w:t>
            </w:r>
          </w:p>
        </w:tc>
        <w:tc>
          <w:tcPr>
            <w:tcW w:w="228" w:type="pct"/>
            <w:shd w:val="clear" w:color="auto" w:fill="auto"/>
            <w:vAlign w:val="center"/>
          </w:tcPr>
          <w:p w14:paraId="453ADB1B">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3F0D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516F07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w:t>
            </w:r>
          </w:p>
        </w:tc>
        <w:tc>
          <w:tcPr>
            <w:tcW w:w="375" w:type="pct"/>
            <w:shd w:val="clear" w:color="auto" w:fill="auto"/>
            <w:vAlign w:val="center"/>
          </w:tcPr>
          <w:p w14:paraId="0468C2A0">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尾氨吸收塔</w:t>
            </w:r>
          </w:p>
        </w:tc>
        <w:tc>
          <w:tcPr>
            <w:tcW w:w="339" w:type="pct"/>
            <w:shd w:val="clear" w:color="auto" w:fill="auto"/>
            <w:vAlign w:val="center"/>
          </w:tcPr>
          <w:p w14:paraId="10435921">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T-4303</w:t>
            </w:r>
          </w:p>
        </w:tc>
        <w:tc>
          <w:tcPr>
            <w:tcW w:w="446" w:type="pct"/>
            <w:shd w:val="clear" w:color="auto" w:fill="auto"/>
            <w:vAlign w:val="center"/>
          </w:tcPr>
          <w:p w14:paraId="64B60CAF">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容积11.9m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1C89F97E">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（直径）800/1400 （高）22058</w:t>
            </w:r>
          </w:p>
        </w:tc>
        <w:tc>
          <w:tcPr>
            <w:tcW w:w="549" w:type="pct"/>
            <w:shd w:val="clear" w:color="auto" w:fill="auto"/>
            <w:vAlign w:val="center"/>
          </w:tcPr>
          <w:p w14:paraId="217A6888">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S32168</w:t>
            </w:r>
          </w:p>
        </w:tc>
        <w:tc>
          <w:tcPr>
            <w:tcW w:w="456" w:type="pct"/>
            <w:shd w:val="clear" w:color="auto" w:fill="auto"/>
            <w:vAlign w:val="center"/>
          </w:tcPr>
          <w:p w14:paraId="609C8A9B">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氨、水、MEA</w:t>
            </w:r>
          </w:p>
        </w:tc>
        <w:tc>
          <w:tcPr>
            <w:tcW w:w="488" w:type="pct"/>
            <w:shd w:val="clear" w:color="auto" w:fill="auto"/>
            <w:vAlign w:val="center"/>
          </w:tcPr>
          <w:p w14:paraId="5A752A11">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0.1/-0.1Mpa</w:t>
            </w:r>
          </w:p>
        </w:tc>
        <w:tc>
          <w:tcPr>
            <w:tcW w:w="526" w:type="pct"/>
            <w:shd w:val="clear" w:color="auto" w:fill="auto"/>
            <w:vAlign w:val="center"/>
          </w:tcPr>
          <w:p w14:paraId="09F76552">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常压</w:t>
            </w:r>
          </w:p>
        </w:tc>
        <w:tc>
          <w:tcPr>
            <w:tcW w:w="398" w:type="pct"/>
            <w:shd w:val="clear" w:color="auto" w:fill="auto"/>
            <w:vAlign w:val="center"/>
          </w:tcPr>
          <w:p w14:paraId="590FD0DB">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130/100℃</w:t>
            </w:r>
          </w:p>
        </w:tc>
        <w:tc>
          <w:tcPr>
            <w:tcW w:w="458" w:type="pct"/>
            <w:shd w:val="clear" w:color="auto" w:fill="auto"/>
            <w:vAlign w:val="center"/>
          </w:tcPr>
          <w:p w14:paraId="0B50CEE9">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塔底80℃；塔顶40℃</w:t>
            </w:r>
          </w:p>
        </w:tc>
        <w:tc>
          <w:tcPr>
            <w:tcW w:w="228" w:type="pct"/>
            <w:shd w:val="clear" w:color="auto" w:fill="auto"/>
            <w:vAlign w:val="center"/>
          </w:tcPr>
          <w:p w14:paraId="47FF83D0">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2A6E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323B78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4</w:t>
            </w:r>
          </w:p>
        </w:tc>
        <w:tc>
          <w:tcPr>
            <w:tcW w:w="375" w:type="pct"/>
            <w:shd w:val="clear" w:color="auto" w:fill="auto"/>
            <w:vAlign w:val="center"/>
          </w:tcPr>
          <w:p w14:paraId="677A7923">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尾氨水洗塔</w:t>
            </w:r>
          </w:p>
        </w:tc>
        <w:tc>
          <w:tcPr>
            <w:tcW w:w="339" w:type="pct"/>
            <w:shd w:val="clear" w:color="auto" w:fill="auto"/>
            <w:vAlign w:val="center"/>
          </w:tcPr>
          <w:p w14:paraId="2A250B84">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T-4304</w:t>
            </w:r>
          </w:p>
        </w:tc>
        <w:tc>
          <w:tcPr>
            <w:tcW w:w="446" w:type="pct"/>
            <w:shd w:val="clear" w:color="auto" w:fill="auto"/>
            <w:vAlign w:val="center"/>
          </w:tcPr>
          <w:p w14:paraId="78AEB450">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容积11.9m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299BE44F">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直径）φ800/1400；    容器高22058</w:t>
            </w:r>
          </w:p>
        </w:tc>
        <w:tc>
          <w:tcPr>
            <w:tcW w:w="549" w:type="pct"/>
            <w:shd w:val="clear" w:color="auto" w:fill="auto"/>
            <w:vAlign w:val="center"/>
          </w:tcPr>
          <w:p w14:paraId="4CFA0CA4">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2DA98712">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氨、水</w:t>
            </w:r>
          </w:p>
        </w:tc>
        <w:tc>
          <w:tcPr>
            <w:tcW w:w="488" w:type="pct"/>
            <w:shd w:val="clear" w:color="auto" w:fill="auto"/>
            <w:vAlign w:val="center"/>
          </w:tcPr>
          <w:p w14:paraId="0CAF5CF4">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0.1/-0.1Mpa</w:t>
            </w:r>
          </w:p>
        </w:tc>
        <w:tc>
          <w:tcPr>
            <w:tcW w:w="526" w:type="pct"/>
            <w:shd w:val="clear" w:color="auto" w:fill="auto"/>
            <w:vAlign w:val="center"/>
          </w:tcPr>
          <w:p w14:paraId="31B7C58E">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常压</w:t>
            </w:r>
          </w:p>
        </w:tc>
        <w:tc>
          <w:tcPr>
            <w:tcW w:w="398" w:type="pct"/>
            <w:shd w:val="clear" w:color="auto" w:fill="auto"/>
            <w:vAlign w:val="center"/>
          </w:tcPr>
          <w:p w14:paraId="699EA08D">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130/100℃</w:t>
            </w:r>
          </w:p>
        </w:tc>
        <w:tc>
          <w:tcPr>
            <w:tcW w:w="458" w:type="pct"/>
            <w:shd w:val="clear" w:color="auto" w:fill="auto"/>
            <w:vAlign w:val="center"/>
          </w:tcPr>
          <w:p w14:paraId="4EBA532B">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塔底80℃/塔顶40℃</w:t>
            </w:r>
          </w:p>
        </w:tc>
        <w:tc>
          <w:tcPr>
            <w:tcW w:w="228" w:type="pct"/>
            <w:shd w:val="clear" w:color="auto" w:fill="auto"/>
            <w:vAlign w:val="center"/>
          </w:tcPr>
          <w:p w14:paraId="41452EE8">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4968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500D8F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5</w:t>
            </w:r>
          </w:p>
        </w:tc>
        <w:tc>
          <w:tcPr>
            <w:tcW w:w="375" w:type="pct"/>
            <w:shd w:val="clear" w:color="auto" w:fill="auto"/>
            <w:vAlign w:val="center"/>
          </w:tcPr>
          <w:p w14:paraId="6284DFE9">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一乙塔</w:t>
            </w:r>
          </w:p>
        </w:tc>
        <w:tc>
          <w:tcPr>
            <w:tcW w:w="339" w:type="pct"/>
            <w:shd w:val="clear" w:color="auto" w:fill="auto"/>
            <w:vAlign w:val="center"/>
          </w:tcPr>
          <w:p w14:paraId="5A902F45">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T-4401</w:t>
            </w:r>
          </w:p>
        </w:tc>
        <w:tc>
          <w:tcPr>
            <w:tcW w:w="446" w:type="pct"/>
            <w:shd w:val="clear" w:color="auto" w:fill="auto"/>
            <w:vAlign w:val="center"/>
          </w:tcPr>
          <w:p w14:paraId="3D10A60D">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容积11.34m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3A06B674">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直径）φ1800/700； 容器高19300</w:t>
            </w:r>
          </w:p>
        </w:tc>
        <w:tc>
          <w:tcPr>
            <w:tcW w:w="549" w:type="pct"/>
            <w:shd w:val="clear" w:color="auto" w:fill="auto"/>
            <w:vAlign w:val="center"/>
          </w:tcPr>
          <w:p w14:paraId="77A6DB49">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S32168</w:t>
            </w:r>
          </w:p>
        </w:tc>
        <w:tc>
          <w:tcPr>
            <w:tcW w:w="456" w:type="pct"/>
            <w:shd w:val="clear" w:color="auto" w:fill="auto"/>
            <w:vAlign w:val="center"/>
          </w:tcPr>
          <w:p w14:paraId="43A62F59">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CEA、MEA</w:t>
            </w:r>
          </w:p>
        </w:tc>
        <w:tc>
          <w:tcPr>
            <w:tcW w:w="488" w:type="pct"/>
            <w:shd w:val="clear" w:color="auto" w:fill="auto"/>
            <w:vAlign w:val="center"/>
          </w:tcPr>
          <w:p w14:paraId="1AEF7FA0">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0.35/-0.1Mpa</w:t>
            </w:r>
          </w:p>
        </w:tc>
        <w:tc>
          <w:tcPr>
            <w:tcW w:w="526" w:type="pct"/>
            <w:shd w:val="clear" w:color="auto" w:fill="auto"/>
            <w:vAlign w:val="center"/>
          </w:tcPr>
          <w:p w14:paraId="4766B62F">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-0.0995Mpa</w:t>
            </w:r>
          </w:p>
        </w:tc>
        <w:tc>
          <w:tcPr>
            <w:tcW w:w="398" w:type="pct"/>
            <w:shd w:val="clear" w:color="auto" w:fill="auto"/>
            <w:vAlign w:val="center"/>
          </w:tcPr>
          <w:p w14:paraId="5CB5EB29">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200/200℃</w:t>
            </w:r>
          </w:p>
        </w:tc>
        <w:tc>
          <w:tcPr>
            <w:tcW w:w="458" w:type="pct"/>
            <w:shd w:val="clear" w:color="auto" w:fill="auto"/>
            <w:vAlign w:val="center"/>
          </w:tcPr>
          <w:p w14:paraId="0C640978">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150℃</w:t>
            </w:r>
          </w:p>
        </w:tc>
        <w:tc>
          <w:tcPr>
            <w:tcW w:w="228" w:type="pct"/>
            <w:shd w:val="clear" w:color="auto" w:fill="auto"/>
            <w:vAlign w:val="center"/>
          </w:tcPr>
          <w:p w14:paraId="5633005A">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3A05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541FF2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6</w:t>
            </w:r>
          </w:p>
        </w:tc>
        <w:tc>
          <w:tcPr>
            <w:tcW w:w="375" w:type="pct"/>
            <w:shd w:val="clear" w:color="auto" w:fill="auto"/>
            <w:vAlign w:val="center"/>
          </w:tcPr>
          <w:p w14:paraId="17C54BA0">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二乙塔</w:t>
            </w:r>
          </w:p>
        </w:tc>
        <w:tc>
          <w:tcPr>
            <w:tcW w:w="339" w:type="pct"/>
            <w:shd w:val="clear" w:color="auto" w:fill="auto"/>
            <w:vAlign w:val="center"/>
          </w:tcPr>
          <w:p w14:paraId="1F217D81">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T-4402</w:t>
            </w:r>
          </w:p>
        </w:tc>
        <w:tc>
          <w:tcPr>
            <w:tcW w:w="446" w:type="pct"/>
            <w:shd w:val="clear" w:color="auto" w:fill="auto"/>
            <w:vAlign w:val="center"/>
          </w:tcPr>
          <w:p w14:paraId="21BD4290">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容积51.4m³</w:t>
            </w:r>
          </w:p>
        </w:tc>
        <w:tc>
          <w:tcPr>
            <w:tcW w:w="502" w:type="pct"/>
            <w:shd w:val="clear" w:color="auto" w:fill="auto"/>
            <w:vAlign w:val="center"/>
          </w:tcPr>
          <w:p w14:paraId="5B768708">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（直径）φ2000/1400/960X24900（高）</w:t>
            </w:r>
          </w:p>
        </w:tc>
        <w:tc>
          <w:tcPr>
            <w:tcW w:w="549" w:type="pct"/>
            <w:shd w:val="clear" w:color="auto" w:fill="auto"/>
            <w:vAlign w:val="center"/>
          </w:tcPr>
          <w:p w14:paraId="29DD941A">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S32168</w:t>
            </w:r>
          </w:p>
        </w:tc>
        <w:tc>
          <w:tcPr>
            <w:tcW w:w="456" w:type="pct"/>
            <w:shd w:val="clear" w:color="auto" w:fill="auto"/>
            <w:vAlign w:val="center"/>
          </w:tcPr>
          <w:p w14:paraId="0A1F5122">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DEA、TEA</w:t>
            </w:r>
          </w:p>
        </w:tc>
        <w:tc>
          <w:tcPr>
            <w:tcW w:w="488" w:type="pct"/>
            <w:shd w:val="clear" w:color="auto" w:fill="auto"/>
            <w:vAlign w:val="center"/>
          </w:tcPr>
          <w:p w14:paraId="433B1CA0">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0.35/-0.1Mpa</w:t>
            </w:r>
          </w:p>
        </w:tc>
        <w:tc>
          <w:tcPr>
            <w:tcW w:w="526" w:type="pct"/>
            <w:shd w:val="clear" w:color="auto" w:fill="auto"/>
            <w:vAlign w:val="center"/>
          </w:tcPr>
          <w:p w14:paraId="389141CB">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-0.0995Mpa</w:t>
            </w:r>
          </w:p>
        </w:tc>
        <w:tc>
          <w:tcPr>
            <w:tcW w:w="398" w:type="pct"/>
            <w:shd w:val="clear" w:color="auto" w:fill="auto"/>
            <w:vAlign w:val="center"/>
          </w:tcPr>
          <w:p w14:paraId="0D23301F">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220/220℃</w:t>
            </w:r>
          </w:p>
        </w:tc>
        <w:tc>
          <w:tcPr>
            <w:tcW w:w="458" w:type="pct"/>
            <w:shd w:val="clear" w:color="auto" w:fill="auto"/>
            <w:vAlign w:val="center"/>
          </w:tcPr>
          <w:p w14:paraId="5BF7F38B">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塔底185℃；塔顶115℃</w:t>
            </w:r>
          </w:p>
        </w:tc>
        <w:tc>
          <w:tcPr>
            <w:tcW w:w="228" w:type="pct"/>
            <w:shd w:val="clear" w:color="auto" w:fill="auto"/>
            <w:vAlign w:val="center"/>
          </w:tcPr>
          <w:p w14:paraId="5CFDE347">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0965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5D9AE1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7</w:t>
            </w:r>
          </w:p>
        </w:tc>
        <w:tc>
          <w:tcPr>
            <w:tcW w:w="375" w:type="pct"/>
            <w:shd w:val="clear" w:color="auto" w:fill="auto"/>
            <w:vAlign w:val="center"/>
          </w:tcPr>
          <w:p w14:paraId="525E5671">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三乙塔</w:t>
            </w:r>
          </w:p>
        </w:tc>
        <w:tc>
          <w:tcPr>
            <w:tcW w:w="339" w:type="pct"/>
            <w:shd w:val="clear" w:color="auto" w:fill="auto"/>
            <w:vAlign w:val="center"/>
          </w:tcPr>
          <w:p w14:paraId="0FCA4CF4">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T-4403</w:t>
            </w:r>
          </w:p>
        </w:tc>
        <w:tc>
          <w:tcPr>
            <w:tcW w:w="446" w:type="pct"/>
            <w:shd w:val="clear" w:color="auto" w:fill="auto"/>
            <w:vAlign w:val="center"/>
          </w:tcPr>
          <w:p w14:paraId="5A949ED1">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容积50m³</w:t>
            </w:r>
          </w:p>
        </w:tc>
        <w:tc>
          <w:tcPr>
            <w:tcW w:w="502" w:type="pct"/>
            <w:shd w:val="clear" w:color="auto" w:fill="auto"/>
            <w:vAlign w:val="center"/>
          </w:tcPr>
          <w:p w14:paraId="12846F16">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直径）φ2000/800；（ 高）23100</w:t>
            </w:r>
          </w:p>
        </w:tc>
        <w:tc>
          <w:tcPr>
            <w:tcW w:w="549" w:type="pct"/>
            <w:shd w:val="clear" w:color="auto" w:fill="auto"/>
            <w:vAlign w:val="center"/>
          </w:tcPr>
          <w:p w14:paraId="7EC74AC2">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S32168</w:t>
            </w:r>
          </w:p>
        </w:tc>
        <w:tc>
          <w:tcPr>
            <w:tcW w:w="456" w:type="pct"/>
            <w:shd w:val="clear" w:color="auto" w:fill="auto"/>
            <w:vAlign w:val="center"/>
          </w:tcPr>
          <w:p w14:paraId="2A303B19">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DEA、TEA</w:t>
            </w:r>
          </w:p>
        </w:tc>
        <w:tc>
          <w:tcPr>
            <w:tcW w:w="488" w:type="pct"/>
            <w:shd w:val="clear" w:color="auto" w:fill="auto"/>
            <w:vAlign w:val="center"/>
          </w:tcPr>
          <w:p w14:paraId="79F6C691">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0.3/-0.1Mpa</w:t>
            </w:r>
          </w:p>
        </w:tc>
        <w:tc>
          <w:tcPr>
            <w:tcW w:w="526" w:type="pct"/>
            <w:shd w:val="clear" w:color="auto" w:fill="auto"/>
            <w:vAlign w:val="center"/>
          </w:tcPr>
          <w:p w14:paraId="44465A08">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-0.098/-0.0995Mpa</w:t>
            </w:r>
          </w:p>
        </w:tc>
        <w:tc>
          <w:tcPr>
            <w:tcW w:w="398" w:type="pct"/>
            <w:shd w:val="clear" w:color="auto" w:fill="auto"/>
            <w:vAlign w:val="center"/>
          </w:tcPr>
          <w:p w14:paraId="647DAD8C">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230/230℃</w:t>
            </w:r>
          </w:p>
        </w:tc>
        <w:tc>
          <w:tcPr>
            <w:tcW w:w="458" w:type="pct"/>
            <w:shd w:val="clear" w:color="auto" w:fill="auto"/>
            <w:vAlign w:val="center"/>
          </w:tcPr>
          <w:p w14:paraId="52BDCA39">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塔底196℃；塔顶171℃</w:t>
            </w:r>
          </w:p>
        </w:tc>
        <w:tc>
          <w:tcPr>
            <w:tcW w:w="228" w:type="pct"/>
            <w:shd w:val="clear" w:color="auto" w:fill="auto"/>
            <w:vAlign w:val="center"/>
          </w:tcPr>
          <w:p w14:paraId="2DBB24F8">
            <w:pPr>
              <w:keepNext w:val="0"/>
              <w:keepLines w:val="0"/>
              <w:widowControl/>
              <w:suppressLineNumbers w:val="0"/>
              <w:jc w:val="center"/>
              <w:textAlignment w:val="center"/>
              <w:rPr>
                <w:rFonts w:hint="default" w:ascii="Times New Roman" w:hAnsi="Times New Roman" w:eastAsia="宋体" w:cs="Times New Roman"/>
                <w:b w:val="0"/>
                <w:bCs w:val="0"/>
                <w:i w:val="0"/>
                <w:iCs w:val="0"/>
                <w:strike/>
                <w:dstrike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2E58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6E7AB6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8</w:t>
            </w:r>
          </w:p>
        </w:tc>
        <w:tc>
          <w:tcPr>
            <w:tcW w:w="375" w:type="pct"/>
            <w:shd w:val="clear" w:color="auto" w:fill="auto"/>
            <w:vAlign w:val="center"/>
          </w:tcPr>
          <w:p w14:paraId="33EF45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反应器</w:t>
            </w:r>
          </w:p>
        </w:tc>
        <w:tc>
          <w:tcPr>
            <w:tcW w:w="339" w:type="pct"/>
            <w:shd w:val="clear" w:color="auto" w:fill="auto"/>
            <w:vAlign w:val="center"/>
          </w:tcPr>
          <w:p w14:paraId="040C25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R-4201</w:t>
            </w:r>
          </w:p>
        </w:tc>
        <w:tc>
          <w:tcPr>
            <w:tcW w:w="446" w:type="pct"/>
            <w:shd w:val="clear" w:color="auto" w:fill="auto"/>
            <w:vAlign w:val="center"/>
          </w:tcPr>
          <w:p w14:paraId="3C1902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管程容积8.1m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       套管容积3.3m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   混合器容积0.23m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3AF144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（总）22728×7860                   反应管φ88.9×8.2                   外套管 φ168.3×7.11                 混合器φ426×13                      滞留器φ355.6×13</w:t>
            </w:r>
          </w:p>
        </w:tc>
        <w:tc>
          <w:tcPr>
            <w:tcW w:w="549" w:type="pct"/>
            <w:shd w:val="clear" w:color="auto" w:fill="auto"/>
            <w:vAlign w:val="center"/>
          </w:tcPr>
          <w:p w14:paraId="7D85B1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管程：S30408；    套管：20</w:t>
            </w:r>
          </w:p>
        </w:tc>
        <w:tc>
          <w:tcPr>
            <w:tcW w:w="456" w:type="pct"/>
            <w:shd w:val="clear" w:color="auto" w:fill="auto"/>
            <w:vAlign w:val="center"/>
          </w:tcPr>
          <w:p w14:paraId="17C999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管程：氨、水、EO、CEA； 套管：热水；混合器：氨、水、EO、EA</w:t>
            </w:r>
          </w:p>
        </w:tc>
        <w:tc>
          <w:tcPr>
            <w:tcW w:w="488" w:type="pct"/>
            <w:shd w:val="clear" w:color="auto" w:fill="auto"/>
            <w:vAlign w:val="center"/>
          </w:tcPr>
          <w:p w14:paraId="64C7BA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管程：7.2Mpa；   套管：0.78Mp；   混合器7.2/-0.2MPa</w:t>
            </w:r>
          </w:p>
        </w:tc>
        <w:tc>
          <w:tcPr>
            <w:tcW w:w="526" w:type="pct"/>
            <w:shd w:val="clear" w:color="auto" w:fill="auto"/>
            <w:vAlign w:val="center"/>
          </w:tcPr>
          <w:p w14:paraId="73482E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管程7.0Mpa；套管0.6Mpa；混合器；7.0MPa</w:t>
            </w:r>
          </w:p>
        </w:tc>
        <w:tc>
          <w:tcPr>
            <w:tcW w:w="398" w:type="pct"/>
            <w:shd w:val="clear" w:color="auto" w:fill="auto"/>
            <w:vAlign w:val="center"/>
          </w:tcPr>
          <w:p w14:paraId="0C24A2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管程：130℃；套管：115℃；</w:t>
            </w:r>
          </w:p>
        </w:tc>
        <w:tc>
          <w:tcPr>
            <w:tcW w:w="458" w:type="pct"/>
            <w:shd w:val="clear" w:color="auto" w:fill="auto"/>
            <w:vAlign w:val="center"/>
          </w:tcPr>
          <w:p w14:paraId="7AF43E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管程：85（出）/40（进）；套管：95（进）/85（出）</w:t>
            </w:r>
          </w:p>
        </w:tc>
        <w:tc>
          <w:tcPr>
            <w:tcW w:w="228" w:type="pct"/>
            <w:shd w:val="clear" w:color="auto" w:fill="auto"/>
            <w:vAlign w:val="center"/>
          </w:tcPr>
          <w:p w14:paraId="7E8E91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Ⅲ</w:t>
            </w:r>
          </w:p>
        </w:tc>
      </w:tr>
      <w:tr w14:paraId="54AD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341ADA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9</w:t>
            </w:r>
          </w:p>
        </w:tc>
        <w:tc>
          <w:tcPr>
            <w:tcW w:w="375" w:type="pct"/>
            <w:shd w:val="clear" w:color="auto" w:fill="auto"/>
            <w:vAlign w:val="center"/>
          </w:tcPr>
          <w:p w14:paraId="64166C6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滞留器</w:t>
            </w:r>
          </w:p>
        </w:tc>
        <w:tc>
          <w:tcPr>
            <w:tcW w:w="339" w:type="pct"/>
            <w:shd w:val="clear" w:color="auto" w:fill="auto"/>
            <w:vAlign w:val="center"/>
          </w:tcPr>
          <w:p w14:paraId="300246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R4202</w:t>
            </w:r>
          </w:p>
        </w:tc>
        <w:tc>
          <w:tcPr>
            <w:tcW w:w="446" w:type="pct"/>
            <w:shd w:val="clear" w:color="auto" w:fill="auto"/>
            <w:vAlign w:val="center"/>
          </w:tcPr>
          <w:p w14:paraId="0F9AAD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w:t>
            </w:r>
          </w:p>
        </w:tc>
        <w:tc>
          <w:tcPr>
            <w:tcW w:w="502" w:type="pct"/>
            <w:shd w:val="clear" w:color="auto" w:fill="auto"/>
            <w:vAlign w:val="center"/>
          </w:tcPr>
          <w:p w14:paraId="54FD63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Φ89×4,L=800m, 管式反应器( 带外夹套 DN)</w:t>
            </w:r>
          </w:p>
        </w:tc>
        <w:tc>
          <w:tcPr>
            <w:tcW w:w="549" w:type="pct"/>
            <w:shd w:val="clear" w:color="auto" w:fill="auto"/>
            <w:vAlign w:val="center"/>
          </w:tcPr>
          <w:p w14:paraId="12B4C0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06Cr18Ni10</w:t>
            </w:r>
          </w:p>
        </w:tc>
        <w:tc>
          <w:tcPr>
            <w:tcW w:w="456" w:type="pct"/>
            <w:shd w:val="clear" w:color="auto" w:fill="auto"/>
            <w:vAlign w:val="center"/>
          </w:tcPr>
          <w:p w14:paraId="364E09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氨、水、EO EA</w:t>
            </w:r>
          </w:p>
        </w:tc>
        <w:tc>
          <w:tcPr>
            <w:tcW w:w="488" w:type="pct"/>
            <w:shd w:val="clear" w:color="auto" w:fill="auto"/>
            <w:vAlign w:val="center"/>
          </w:tcPr>
          <w:p w14:paraId="69ED69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olor w:val="auto"/>
                <w:highlight w:val="none"/>
                <w:lang w:val="en-US" w:eastAsia="zh-CN"/>
              </w:rPr>
              <w:t>8</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Mpa</w:t>
            </w:r>
          </w:p>
        </w:tc>
        <w:tc>
          <w:tcPr>
            <w:tcW w:w="526" w:type="pct"/>
            <w:shd w:val="clear" w:color="auto" w:fill="auto"/>
            <w:vAlign w:val="center"/>
          </w:tcPr>
          <w:p w14:paraId="589827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olor w:val="auto"/>
                <w:highlight w:val="none"/>
              </w:rPr>
              <w:t>6.0~7.0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Mpa</w:t>
            </w:r>
          </w:p>
        </w:tc>
        <w:tc>
          <w:tcPr>
            <w:tcW w:w="398" w:type="pct"/>
            <w:shd w:val="clear" w:color="auto" w:fill="auto"/>
            <w:vAlign w:val="center"/>
          </w:tcPr>
          <w:p w14:paraId="5BB5F6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150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58" w:type="pct"/>
            <w:shd w:val="clear" w:color="auto" w:fill="auto"/>
            <w:vAlign w:val="center"/>
          </w:tcPr>
          <w:p w14:paraId="35F21C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100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228" w:type="pct"/>
            <w:shd w:val="clear" w:color="auto" w:fill="auto"/>
            <w:vAlign w:val="center"/>
          </w:tcPr>
          <w:p w14:paraId="370C6E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Ⅲ</w:t>
            </w:r>
          </w:p>
        </w:tc>
      </w:tr>
      <w:tr w14:paraId="478A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5378DF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10</w:t>
            </w:r>
          </w:p>
        </w:tc>
        <w:tc>
          <w:tcPr>
            <w:tcW w:w="375" w:type="pct"/>
            <w:shd w:val="clear" w:color="auto" w:fill="auto"/>
            <w:vAlign w:val="center"/>
          </w:tcPr>
          <w:p w14:paraId="395DAB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环氧乙烷原料罐A</w:t>
            </w:r>
          </w:p>
        </w:tc>
        <w:tc>
          <w:tcPr>
            <w:tcW w:w="339" w:type="pct"/>
            <w:shd w:val="clear" w:color="auto" w:fill="auto"/>
            <w:vAlign w:val="center"/>
          </w:tcPr>
          <w:p w14:paraId="421D22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V-1001A</w:t>
            </w:r>
          </w:p>
        </w:tc>
        <w:tc>
          <w:tcPr>
            <w:tcW w:w="446" w:type="pct"/>
            <w:shd w:val="clear" w:color="auto" w:fill="auto"/>
            <w:vAlign w:val="center"/>
          </w:tcPr>
          <w:p w14:paraId="4E47EA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容积55m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1E214D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（直径）φ2800×9484（长）</w:t>
            </w:r>
          </w:p>
        </w:tc>
        <w:tc>
          <w:tcPr>
            <w:tcW w:w="549" w:type="pct"/>
            <w:shd w:val="clear" w:color="auto" w:fill="auto"/>
            <w:vAlign w:val="center"/>
          </w:tcPr>
          <w:p w14:paraId="757BD8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164320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环氧乙烷</w:t>
            </w:r>
          </w:p>
        </w:tc>
        <w:tc>
          <w:tcPr>
            <w:tcW w:w="488" w:type="pct"/>
            <w:shd w:val="clear" w:color="auto" w:fill="auto"/>
            <w:vAlign w:val="center"/>
          </w:tcPr>
          <w:p w14:paraId="5E93E1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0.58/-0.1Mpa</w:t>
            </w:r>
          </w:p>
        </w:tc>
        <w:tc>
          <w:tcPr>
            <w:tcW w:w="526" w:type="pct"/>
            <w:shd w:val="clear" w:color="auto" w:fill="auto"/>
            <w:vAlign w:val="center"/>
          </w:tcPr>
          <w:p w14:paraId="2C24F4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0.4Mpa</w:t>
            </w:r>
          </w:p>
        </w:tc>
        <w:tc>
          <w:tcPr>
            <w:tcW w:w="398" w:type="pct"/>
            <w:shd w:val="clear" w:color="auto" w:fill="auto"/>
            <w:vAlign w:val="center"/>
          </w:tcPr>
          <w:p w14:paraId="3A3446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0/100℃</w:t>
            </w:r>
          </w:p>
        </w:tc>
        <w:tc>
          <w:tcPr>
            <w:tcW w:w="458" w:type="pct"/>
            <w:shd w:val="clear" w:color="auto" w:fill="auto"/>
            <w:vAlign w:val="center"/>
          </w:tcPr>
          <w:p w14:paraId="19813F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w:t>
            </w:r>
          </w:p>
        </w:tc>
        <w:tc>
          <w:tcPr>
            <w:tcW w:w="228" w:type="pct"/>
            <w:shd w:val="clear" w:color="auto" w:fill="auto"/>
            <w:vAlign w:val="center"/>
          </w:tcPr>
          <w:p w14:paraId="4D8CC4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Ⅱ</w:t>
            </w:r>
          </w:p>
        </w:tc>
      </w:tr>
      <w:tr w14:paraId="3A14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6B5857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11</w:t>
            </w:r>
          </w:p>
        </w:tc>
        <w:tc>
          <w:tcPr>
            <w:tcW w:w="375" w:type="pct"/>
            <w:shd w:val="clear" w:color="auto" w:fill="auto"/>
            <w:vAlign w:val="center"/>
          </w:tcPr>
          <w:p w14:paraId="67B0E3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环氧乙烷原料罐B</w:t>
            </w:r>
          </w:p>
        </w:tc>
        <w:tc>
          <w:tcPr>
            <w:tcW w:w="339" w:type="pct"/>
            <w:shd w:val="clear" w:color="auto" w:fill="auto"/>
            <w:vAlign w:val="center"/>
          </w:tcPr>
          <w:p w14:paraId="5C2880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V-1001B</w:t>
            </w:r>
          </w:p>
        </w:tc>
        <w:tc>
          <w:tcPr>
            <w:tcW w:w="446" w:type="pct"/>
            <w:shd w:val="clear" w:color="auto" w:fill="auto"/>
            <w:vAlign w:val="center"/>
          </w:tcPr>
          <w:p w14:paraId="4F551A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容积55m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08AFF5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（直径）φ2800×9484（长）</w:t>
            </w:r>
          </w:p>
        </w:tc>
        <w:tc>
          <w:tcPr>
            <w:tcW w:w="549" w:type="pct"/>
            <w:shd w:val="clear" w:color="auto" w:fill="auto"/>
            <w:vAlign w:val="center"/>
          </w:tcPr>
          <w:p w14:paraId="39903F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619270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环氧乙烷</w:t>
            </w:r>
          </w:p>
        </w:tc>
        <w:tc>
          <w:tcPr>
            <w:tcW w:w="488" w:type="pct"/>
            <w:shd w:val="clear" w:color="auto" w:fill="auto"/>
            <w:vAlign w:val="center"/>
          </w:tcPr>
          <w:p w14:paraId="4C576E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0.58/-0.1Mpa</w:t>
            </w:r>
          </w:p>
        </w:tc>
        <w:tc>
          <w:tcPr>
            <w:tcW w:w="526" w:type="pct"/>
            <w:shd w:val="clear" w:color="auto" w:fill="auto"/>
            <w:vAlign w:val="center"/>
          </w:tcPr>
          <w:p w14:paraId="095F60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0.4Mpa</w:t>
            </w:r>
          </w:p>
        </w:tc>
        <w:tc>
          <w:tcPr>
            <w:tcW w:w="398" w:type="pct"/>
            <w:shd w:val="clear" w:color="auto" w:fill="auto"/>
            <w:vAlign w:val="center"/>
          </w:tcPr>
          <w:p w14:paraId="65AEA8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0/100℃</w:t>
            </w:r>
          </w:p>
        </w:tc>
        <w:tc>
          <w:tcPr>
            <w:tcW w:w="458" w:type="pct"/>
            <w:shd w:val="clear" w:color="auto" w:fill="auto"/>
            <w:vAlign w:val="center"/>
          </w:tcPr>
          <w:p w14:paraId="2A5FEC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w:t>
            </w:r>
          </w:p>
        </w:tc>
        <w:tc>
          <w:tcPr>
            <w:tcW w:w="228" w:type="pct"/>
            <w:shd w:val="clear" w:color="auto" w:fill="auto"/>
            <w:vAlign w:val="center"/>
          </w:tcPr>
          <w:p w14:paraId="112201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Ⅱ</w:t>
            </w:r>
          </w:p>
        </w:tc>
      </w:tr>
      <w:tr w14:paraId="3B0D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151EA3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12</w:t>
            </w:r>
          </w:p>
        </w:tc>
        <w:tc>
          <w:tcPr>
            <w:tcW w:w="375" w:type="pct"/>
            <w:shd w:val="clear" w:color="auto" w:fill="auto"/>
            <w:vAlign w:val="center"/>
          </w:tcPr>
          <w:p w14:paraId="385658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液氨原料罐A</w:t>
            </w:r>
          </w:p>
        </w:tc>
        <w:tc>
          <w:tcPr>
            <w:tcW w:w="339" w:type="pct"/>
            <w:shd w:val="clear" w:color="auto" w:fill="auto"/>
            <w:vAlign w:val="center"/>
          </w:tcPr>
          <w:p w14:paraId="1E5E4B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V-1002A</w:t>
            </w:r>
          </w:p>
        </w:tc>
        <w:tc>
          <w:tcPr>
            <w:tcW w:w="446" w:type="pct"/>
            <w:shd w:val="clear" w:color="auto" w:fill="auto"/>
            <w:vAlign w:val="center"/>
          </w:tcPr>
          <w:p w14:paraId="71042F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容积55.1m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79D267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（直径）φ2800×9448（长）</w:t>
            </w:r>
          </w:p>
        </w:tc>
        <w:tc>
          <w:tcPr>
            <w:tcW w:w="549" w:type="pct"/>
            <w:shd w:val="clear" w:color="auto" w:fill="auto"/>
            <w:vAlign w:val="center"/>
          </w:tcPr>
          <w:p w14:paraId="3ADC94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Q345R</w:t>
            </w:r>
          </w:p>
        </w:tc>
        <w:tc>
          <w:tcPr>
            <w:tcW w:w="456" w:type="pct"/>
            <w:shd w:val="clear" w:color="auto" w:fill="auto"/>
            <w:vAlign w:val="center"/>
          </w:tcPr>
          <w:p w14:paraId="299AB7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液氨</w:t>
            </w:r>
          </w:p>
        </w:tc>
        <w:tc>
          <w:tcPr>
            <w:tcW w:w="488" w:type="pct"/>
            <w:shd w:val="clear" w:color="auto" w:fill="auto"/>
            <w:vAlign w:val="center"/>
          </w:tcPr>
          <w:p w14:paraId="45F872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2.16/-0.1Mpa</w:t>
            </w:r>
          </w:p>
        </w:tc>
        <w:tc>
          <w:tcPr>
            <w:tcW w:w="526" w:type="pct"/>
            <w:shd w:val="clear" w:color="auto" w:fill="auto"/>
            <w:vAlign w:val="center"/>
          </w:tcPr>
          <w:p w14:paraId="00291C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1.5Mpa</w:t>
            </w:r>
          </w:p>
        </w:tc>
        <w:tc>
          <w:tcPr>
            <w:tcW w:w="398" w:type="pct"/>
            <w:shd w:val="clear" w:color="auto" w:fill="auto"/>
            <w:vAlign w:val="center"/>
          </w:tcPr>
          <w:p w14:paraId="2FF488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w:t>
            </w:r>
          </w:p>
        </w:tc>
        <w:tc>
          <w:tcPr>
            <w:tcW w:w="458" w:type="pct"/>
            <w:shd w:val="clear" w:color="auto" w:fill="auto"/>
            <w:vAlign w:val="center"/>
          </w:tcPr>
          <w:p w14:paraId="2C260B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常温</w:t>
            </w:r>
          </w:p>
        </w:tc>
        <w:tc>
          <w:tcPr>
            <w:tcW w:w="228" w:type="pct"/>
            <w:shd w:val="clear" w:color="auto" w:fill="auto"/>
            <w:vAlign w:val="center"/>
          </w:tcPr>
          <w:p w14:paraId="2F86F6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Ⅲ</w:t>
            </w:r>
          </w:p>
        </w:tc>
      </w:tr>
      <w:tr w14:paraId="5676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58F13D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13</w:t>
            </w:r>
          </w:p>
        </w:tc>
        <w:tc>
          <w:tcPr>
            <w:tcW w:w="375" w:type="pct"/>
            <w:shd w:val="clear" w:color="auto" w:fill="auto"/>
            <w:vAlign w:val="center"/>
          </w:tcPr>
          <w:p w14:paraId="2A1976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液氨原料罐B</w:t>
            </w:r>
          </w:p>
        </w:tc>
        <w:tc>
          <w:tcPr>
            <w:tcW w:w="339" w:type="pct"/>
            <w:shd w:val="clear" w:color="auto" w:fill="auto"/>
            <w:vAlign w:val="center"/>
          </w:tcPr>
          <w:p w14:paraId="7BF823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V-1002B</w:t>
            </w:r>
          </w:p>
        </w:tc>
        <w:tc>
          <w:tcPr>
            <w:tcW w:w="446" w:type="pct"/>
            <w:shd w:val="clear" w:color="auto" w:fill="auto"/>
            <w:vAlign w:val="center"/>
          </w:tcPr>
          <w:p w14:paraId="2B3C2C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容积55.1m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4D3139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（直径）φ2800×9448（长）</w:t>
            </w:r>
          </w:p>
        </w:tc>
        <w:tc>
          <w:tcPr>
            <w:tcW w:w="549" w:type="pct"/>
            <w:shd w:val="clear" w:color="auto" w:fill="auto"/>
            <w:vAlign w:val="center"/>
          </w:tcPr>
          <w:p w14:paraId="5DE419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Q345R</w:t>
            </w:r>
          </w:p>
        </w:tc>
        <w:tc>
          <w:tcPr>
            <w:tcW w:w="456" w:type="pct"/>
            <w:shd w:val="clear" w:color="auto" w:fill="auto"/>
            <w:vAlign w:val="center"/>
          </w:tcPr>
          <w:p w14:paraId="69C71C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液氨</w:t>
            </w:r>
          </w:p>
        </w:tc>
        <w:tc>
          <w:tcPr>
            <w:tcW w:w="488" w:type="pct"/>
            <w:shd w:val="clear" w:color="auto" w:fill="auto"/>
            <w:vAlign w:val="center"/>
          </w:tcPr>
          <w:p w14:paraId="4CE3A7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2.16/-0.1Mpa</w:t>
            </w:r>
          </w:p>
        </w:tc>
        <w:tc>
          <w:tcPr>
            <w:tcW w:w="526" w:type="pct"/>
            <w:shd w:val="clear" w:color="auto" w:fill="auto"/>
            <w:vAlign w:val="center"/>
          </w:tcPr>
          <w:p w14:paraId="20036E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1.5Mpa</w:t>
            </w:r>
          </w:p>
        </w:tc>
        <w:tc>
          <w:tcPr>
            <w:tcW w:w="398" w:type="pct"/>
            <w:shd w:val="clear" w:color="auto" w:fill="auto"/>
            <w:vAlign w:val="center"/>
          </w:tcPr>
          <w:p w14:paraId="6A62CC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w:t>
            </w:r>
          </w:p>
        </w:tc>
        <w:tc>
          <w:tcPr>
            <w:tcW w:w="458" w:type="pct"/>
            <w:shd w:val="clear" w:color="auto" w:fill="auto"/>
            <w:vAlign w:val="center"/>
          </w:tcPr>
          <w:p w14:paraId="412308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常温</w:t>
            </w:r>
          </w:p>
        </w:tc>
        <w:tc>
          <w:tcPr>
            <w:tcW w:w="228" w:type="pct"/>
            <w:shd w:val="clear" w:color="auto" w:fill="auto"/>
            <w:vAlign w:val="center"/>
          </w:tcPr>
          <w:p w14:paraId="35D5F2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Ⅲ</w:t>
            </w:r>
          </w:p>
        </w:tc>
      </w:tr>
      <w:tr w14:paraId="66E1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38B650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14</w:t>
            </w:r>
          </w:p>
        </w:tc>
        <w:tc>
          <w:tcPr>
            <w:tcW w:w="375" w:type="pct"/>
            <w:shd w:val="clear" w:color="auto" w:fill="auto"/>
            <w:vAlign w:val="center"/>
          </w:tcPr>
          <w:p w14:paraId="7FA43B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一甲胺罐A</w:t>
            </w:r>
          </w:p>
        </w:tc>
        <w:tc>
          <w:tcPr>
            <w:tcW w:w="339" w:type="pct"/>
            <w:shd w:val="clear" w:color="auto" w:fill="auto"/>
            <w:vAlign w:val="center"/>
          </w:tcPr>
          <w:p w14:paraId="15BFA0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V-1003A</w:t>
            </w:r>
          </w:p>
        </w:tc>
        <w:tc>
          <w:tcPr>
            <w:tcW w:w="446" w:type="pct"/>
            <w:shd w:val="clear" w:color="auto" w:fill="auto"/>
            <w:vAlign w:val="center"/>
          </w:tcPr>
          <w:p w14:paraId="515D13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容积55.1m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5732C4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（直径）φ2800×9428（长）</w:t>
            </w:r>
          </w:p>
        </w:tc>
        <w:tc>
          <w:tcPr>
            <w:tcW w:w="549" w:type="pct"/>
            <w:shd w:val="clear" w:color="auto" w:fill="auto"/>
            <w:vAlign w:val="center"/>
          </w:tcPr>
          <w:p w14:paraId="59A810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Q345R</w:t>
            </w:r>
          </w:p>
        </w:tc>
        <w:tc>
          <w:tcPr>
            <w:tcW w:w="456" w:type="pct"/>
            <w:shd w:val="clear" w:color="auto" w:fill="auto"/>
            <w:vAlign w:val="center"/>
          </w:tcPr>
          <w:p w14:paraId="4CF395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一甲氨</w:t>
            </w:r>
          </w:p>
        </w:tc>
        <w:tc>
          <w:tcPr>
            <w:tcW w:w="488" w:type="pct"/>
            <w:shd w:val="clear" w:color="auto" w:fill="auto"/>
            <w:vAlign w:val="center"/>
          </w:tcPr>
          <w:p w14:paraId="01B5BC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0.68/-0.1Mpa</w:t>
            </w:r>
          </w:p>
        </w:tc>
        <w:tc>
          <w:tcPr>
            <w:tcW w:w="526" w:type="pct"/>
            <w:shd w:val="clear" w:color="auto" w:fill="auto"/>
            <w:vAlign w:val="center"/>
          </w:tcPr>
          <w:p w14:paraId="5C6F63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0.4Mpa</w:t>
            </w:r>
          </w:p>
        </w:tc>
        <w:tc>
          <w:tcPr>
            <w:tcW w:w="398" w:type="pct"/>
            <w:shd w:val="clear" w:color="auto" w:fill="auto"/>
            <w:vAlign w:val="center"/>
          </w:tcPr>
          <w:p w14:paraId="768C08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c>
          <w:tcPr>
            <w:tcW w:w="458" w:type="pct"/>
            <w:shd w:val="clear" w:color="auto" w:fill="auto"/>
            <w:vAlign w:val="center"/>
          </w:tcPr>
          <w:p w14:paraId="41DF74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常温</w:t>
            </w:r>
          </w:p>
        </w:tc>
        <w:tc>
          <w:tcPr>
            <w:tcW w:w="228" w:type="pct"/>
            <w:shd w:val="clear" w:color="auto" w:fill="auto"/>
            <w:vAlign w:val="center"/>
          </w:tcPr>
          <w:p w14:paraId="2CD252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Ⅱ</w:t>
            </w:r>
          </w:p>
        </w:tc>
      </w:tr>
      <w:tr w14:paraId="49C5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5D5341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15</w:t>
            </w:r>
          </w:p>
        </w:tc>
        <w:tc>
          <w:tcPr>
            <w:tcW w:w="375" w:type="pct"/>
            <w:shd w:val="clear" w:color="auto" w:fill="auto"/>
            <w:vAlign w:val="center"/>
          </w:tcPr>
          <w:p w14:paraId="11DE29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一甲胺罐B</w:t>
            </w:r>
          </w:p>
        </w:tc>
        <w:tc>
          <w:tcPr>
            <w:tcW w:w="339" w:type="pct"/>
            <w:shd w:val="clear" w:color="auto" w:fill="auto"/>
            <w:vAlign w:val="center"/>
          </w:tcPr>
          <w:p w14:paraId="46C826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V-1003B</w:t>
            </w:r>
          </w:p>
        </w:tc>
        <w:tc>
          <w:tcPr>
            <w:tcW w:w="446" w:type="pct"/>
            <w:shd w:val="clear" w:color="auto" w:fill="auto"/>
            <w:vAlign w:val="center"/>
          </w:tcPr>
          <w:p w14:paraId="2BB80D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容积55.1m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2347CD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（直径）φ2800×9428（长）</w:t>
            </w:r>
          </w:p>
        </w:tc>
        <w:tc>
          <w:tcPr>
            <w:tcW w:w="549" w:type="pct"/>
            <w:shd w:val="clear" w:color="auto" w:fill="auto"/>
            <w:vAlign w:val="center"/>
          </w:tcPr>
          <w:p w14:paraId="3CEBC5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Q345R</w:t>
            </w:r>
          </w:p>
        </w:tc>
        <w:tc>
          <w:tcPr>
            <w:tcW w:w="456" w:type="pct"/>
            <w:shd w:val="clear" w:color="auto" w:fill="auto"/>
            <w:vAlign w:val="center"/>
          </w:tcPr>
          <w:p w14:paraId="71A74A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一甲氨</w:t>
            </w:r>
          </w:p>
        </w:tc>
        <w:tc>
          <w:tcPr>
            <w:tcW w:w="488" w:type="pct"/>
            <w:shd w:val="clear" w:color="auto" w:fill="auto"/>
            <w:vAlign w:val="center"/>
          </w:tcPr>
          <w:p w14:paraId="2D7B9A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0.68/-0.1Mpa</w:t>
            </w:r>
          </w:p>
        </w:tc>
        <w:tc>
          <w:tcPr>
            <w:tcW w:w="526" w:type="pct"/>
            <w:shd w:val="clear" w:color="auto" w:fill="auto"/>
            <w:vAlign w:val="center"/>
          </w:tcPr>
          <w:p w14:paraId="56B637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0.4Mpa</w:t>
            </w:r>
          </w:p>
        </w:tc>
        <w:tc>
          <w:tcPr>
            <w:tcW w:w="398" w:type="pct"/>
            <w:shd w:val="clear" w:color="auto" w:fill="auto"/>
            <w:vAlign w:val="center"/>
          </w:tcPr>
          <w:p w14:paraId="4D1E47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c>
          <w:tcPr>
            <w:tcW w:w="458" w:type="pct"/>
            <w:shd w:val="clear" w:color="auto" w:fill="auto"/>
            <w:vAlign w:val="center"/>
          </w:tcPr>
          <w:p w14:paraId="30CA86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常温</w:t>
            </w:r>
          </w:p>
        </w:tc>
        <w:tc>
          <w:tcPr>
            <w:tcW w:w="228" w:type="pct"/>
            <w:shd w:val="clear" w:color="auto" w:fill="auto"/>
            <w:vAlign w:val="center"/>
          </w:tcPr>
          <w:p w14:paraId="3FADCB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Ⅱ</w:t>
            </w:r>
          </w:p>
        </w:tc>
      </w:tr>
      <w:tr w14:paraId="5784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271B36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16</w:t>
            </w:r>
          </w:p>
        </w:tc>
        <w:tc>
          <w:tcPr>
            <w:tcW w:w="375" w:type="pct"/>
            <w:shd w:val="clear" w:color="auto" w:fill="auto"/>
            <w:vAlign w:val="center"/>
          </w:tcPr>
          <w:p w14:paraId="44033B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液氨中间罐</w:t>
            </w:r>
          </w:p>
        </w:tc>
        <w:tc>
          <w:tcPr>
            <w:tcW w:w="339" w:type="pct"/>
            <w:shd w:val="clear" w:color="auto" w:fill="auto"/>
            <w:vAlign w:val="center"/>
          </w:tcPr>
          <w:p w14:paraId="12E4FC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V-4201</w:t>
            </w:r>
          </w:p>
        </w:tc>
        <w:tc>
          <w:tcPr>
            <w:tcW w:w="446" w:type="pct"/>
            <w:shd w:val="clear" w:color="auto" w:fill="auto"/>
            <w:vAlign w:val="center"/>
          </w:tcPr>
          <w:p w14:paraId="55A938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容积12.8m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3DC849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（直径）φ2000×8575（高）</w:t>
            </w:r>
          </w:p>
        </w:tc>
        <w:tc>
          <w:tcPr>
            <w:tcW w:w="549" w:type="pct"/>
            <w:shd w:val="clear" w:color="auto" w:fill="auto"/>
            <w:vAlign w:val="center"/>
          </w:tcPr>
          <w:p w14:paraId="208BD3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S30408+Q345R</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正火</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w:t>
            </w:r>
          </w:p>
        </w:tc>
        <w:tc>
          <w:tcPr>
            <w:tcW w:w="456" w:type="pct"/>
            <w:shd w:val="clear" w:color="auto" w:fill="auto"/>
            <w:vAlign w:val="center"/>
          </w:tcPr>
          <w:p w14:paraId="228387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液氨</w:t>
            </w:r>
          </w:p>
        </w:tc>
        <w:tc>
          <w:tcPr>
            <w:tcW w:w="488" w:type="pct"/>
            <w:shd w:val="clear" w:color="auto" w:fill="auto"/>
            <w:vAlign w:val="center"/>
          </w:tcPr>
          <w:p w14:paraId="246C86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2.16/-0.1Mpa</w:t>
            </w:r>
          </w:p>
        </w:tc>
        <w:tc>
          <w:tcPr>
            <w:tcW w:w="526" w:type="pct"/>
            <w:shd w:val="clear" w:color="auto" w:fill="auto"/>
            <w:vAlign w:val="center"/>
          </w:tcPr>
          <w:p w14:paraId="68843A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1.5Mpa</w:t>
            </w:r>
          </w:p>
        </w:tc>
        <w:tc>
          <w:tcPr>
            <w:tcW w:w="398" w:type="pct"/>
            <w:shd w:val="clear" w:color="auto" w:fill="auto"/>
            <w:vAlign w:val="center"/>
          </w:tcPr>
          <w:p w14:paraId="6D9408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50/100℃</w:t>
            </w:r>
          </w:p>
        </w:tc>
        <w:tc>
          <w:tcPr>
            <w:tcW w:w="458" w:type="pct"/>
            <w:shd w:val="clear" w:color="auto" w:fill="auto"/>
            <w:vAlign w:val="center"/>
          </w:tcPr>
          <w:p w14:paraId="38297C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40℃</w:t>
            </w:r>
          </w:p>
        </w:tc>
        <w:tc>
          <w:tcPr>
            <w:tcW w:w="228" w:type="pct"/>
            <w:shd w:val="clear" w:color="auto" w:fill="auto"/>
            <w:vAlign w:val="center"/>
          </w:tcPr>
          <w:p w14:paraId="0F92EE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Ⅱ</w:t>
            </w:r>
          </w:p>
        </w:tc>
      </w:tr>
      <w:tr w14:paraId="2B3B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61D8D4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17</w:t>
            </w:r>
          </w:p>
        </w:tc>
        <w:tc>
          <w:tcPr>
            <w:tcW w:w="375" w:type="pct"/>
            <w:shd w:val="clear" w:color="auto" w:fill="auto"/>
            <w:vAlign w:val="center"/>
          </w:tcPr>
          <w:p w14:paraId="56D74E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地下油污罐</w:t>
            </w:r>
          </w:p>
        </w:tc>
        <w:tc>
          <w:tcPr>
            <w:tcW w:w="339" w:type="pct"/>
            <w:shd w:val="clear" w:color="auto" w:fill="auto"/>
            <w:vAlign w:val="center"/>
          </w:tcPr>
          <w:p w14:paraId="1AC6A6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V-4601</w:t>
            </w:r>
          </w:p>
        </w:tc>
        <w:tc>
          <w:tcPr>
            <w:tcW w:w="446" w:type="pct"/>
            <w:shd w:val="clear" w:color="auto" w:fill="auto"/>
            <w:vAlign w:val="center"/>
          </w:tcPr>
          <w:p w14:paraId="40E280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容积6.9m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216BAE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（直径）φ1400×4720（长）</w:t>
            </w:r>
          </w:p>
        </w:tc>
        <w:tc>
          <w:tcPr>
            <w:tcW w:w="549" w:type="pct"/>
            <w:shd w:val="clear" w:color="auto" w:fill="auto"/>
            <w:vAlign w:val="center"/>
          </w:tcPr>
          <w:p w14:paraId="4FD3C2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037493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EA、氮气</w:t>
            </w:r>
          </w:p>
        </w:tc>
        <w:tc>
          <w:tcPr>
            <w:tcW w:w="488" w:type="pct"/>
            <w:shd w:val="clear" w:color="auto" w:fill="auto"/>
            <w:vAlign w:val="center"/>
          </w:tcPr>
          <w:p w14:paraId="4F8599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0.78/-0.1Mpa</w:t>
            </w:r>
          </w:p>
        </w:tc>
        <w:tc>
          <w:tcPr>
            <w:tcW w:w="526" w:type="pct"/>
            <w:shd w:val="clear" w:color="auto" w:fill="auto"/>
            <w:vAlign w:val="center"/>
          </w:tcPr>
          <w:p w14:paraId="6D04CC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0.6Mpa</w:t>
            </w:r>
          </w:p>
        </w:tc>
        <w:tc>
          <w:tcPr>
            <w:tcW w:w="398" w:type="pct"/>
            <w:shd w:val="clear" w:color="auto" w:fill="auto"/>
            <w:vAlign w:val="center"/>
          </w:tcPr>
          <w:p w14:paraId="255ECD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120℃</w:t>
            </w:r>
          </w:p>
        </w:tc>
        <w:tc>
          <w:tcPr>
            <w:tcW w:w="458" w:type="pct"/>
            <w:shd w:val="clear" w:color="auto" w:fill="auto"/>
            <w:vAlign w:val="center"/>
          </w:tcPr>
          <w:p w14:paraId="0E6693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w:t>
            </w:r>
          </w:p>
        </w:tc>
        <w:tc>
          <w:tcPr>
            <w:tcW w:w="228" w:type="pct"/>
            <w:shd w:val="clear" w:color="auto" w:fill="auto"/>
            <w:vAlign w:val="center"/>
          </w:tcPr>
          <w:p w14:paraId="69671E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Ⅱ</w:t>
            </w:r>
          </w:p>
        </w:tc>
      </w:tr>
      <w:tr w14:paraId="7E7C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21B0A9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18</w:t>
            </w:r>
          </w:p>
        </w:tc>
        <w:tc>
          <w:tcPr>
            <w:tcW w:w="375" w:type="pct"/>
            <w:shd w:val="clear" w:color="auto" w:fill="auto"/>
            <w:vAlign w:val="center"/>
          </w:tcPr>
          <w:p w14:paraId="4062DB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净化风分液罐</w:t>
            </w:r>
          </w:p>
        </w:tc>
        <w:tc>
          <w:tcPr>
            <w:tcW w:w="339" w:type="pct"/>
            <w:shd w:val="clear" w:color="auto" w:fill="auto"/>
            <w:vAlign w:val="center"/>
          </w:tcPr>
          <w:p w14:paraId="7395FB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V-4101</w:t>
            </w:r>
          </w:p>
        </w:tc>
        <w:tc>
          <w:tcPr>
            <w:tcW w:w="446" w:type="pct"/>
            <w:shd w:val="clear" w:color="auto" w:fill="auto"/>
            <w:vAlign w:val="center"/>
          </w:tcPr>
          <w:p w14:paraId="23474E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容积3.38m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24DB05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（直径）φ1200×4060（高）</w:t>
            </w:r>
          </w:p>
        </w:tc>
        <w:tc>
          <w:tcPr>
            <w:tcW w:w="549" w:type="pct"/>
            <w:shd w:val="clear" w:color="auto" w:fill="auto"/>
            <w:vAlign w:val="center"/>
          </w:tcPr>
          <w:p w14:paraId="78EAB8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Q245R</w:t>
            </w:r>
          </w:p>
        </w:tc>
        <w:tc>
          <w:tcPr>
            <w:tcW w:w="456" w:type="pct"/>
            <w:shd w:val="clear" w:color="auto" w:fill="auto"/>
            <w:vAlign w:val="center"/>
          </w:tcPr>
          <w:p w14:paraId="4DCFBC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净化风</w:t>
            </w:r>
          </w:p>
        </w:tc>
        <w:tc>
          <w:tcPr>
            <w:tcW w:w="488" w:type="pct"/>
            <w:shd w:val="clear" w:color="auto" w:fill="auto"/>
            <w:vAlign w:val="center"/>
          </w:tcPr>
          <w:p w14:paraId="616DE6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0.98Mpa</w:t>
            </w:r>
          </w:p>
        </w:tc>
        <w:tc>
          <w:tcPr>
            <w:tcW w:w="526" w:type="pct"/>
            <w:shd w:val="clear" w:color="auto" w:fill="auto"/>
            <w:vAlign w:val="center"/>
          </w:tcPr>
          <w:p w14:paraId="5FA67A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0.6Mpa</w:t>
            </w:r>
          </w:p>
        </w:tc>
        <w:tc>
          <w:tcPr>
            <w:tcW w:w="398" w:type="pct"/>
            <w:shd w:val="clear" w:color="auto" w:fill="auto"/>
            <w:vAlign w:val="center"/>
          </w:tcPr>
          <w:p w14:paraId="5C83E3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c>
          <w:tcPr>
            <w:tcW w:w="458" w:type="pct"/>
            <w:shd w:val="clear" w:color="auto" w:fill="auto"/>
            <w:vAlign w:val="center"/>
          </w:tcPr>
          <w:p w14:paraId="121BA4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40℃</w:t>
            </w:r>
          </w:p>
        </w:tc>
        <w:tc>
          <w:tcPr>
            <w:tcW w:w="228" w:type="pct"/>
            <w:shd w:val="clear" w:color="auto" w:fill="auto"/>
            <w:vAlign w:val="center"/>
          </w:tcPr>
          <w:p w14:paraId="7203DA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Ⅰ</w:t>
            </w:r>
          </w:p>
        </w:tc>
      </w:tr>
      <w:tr w14:paraId="3488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230C29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19</w:t>
            </w:r>
          </w:p>
        </w:tc>
        <w:tc>
          <w:tcPr>
            <w:tcW w:w="375" w:type="pct"/>
            <w:shd w:val="clear" w:color="auto" w:fill="auto"/>
            <w:vAlign w:val="center"/>
          </w:tcPr>
          <w:p w14:paraId="1BE97A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氮气储罐</w:t>
            </w:r>
          </w:p>
        </w:tc>
        <w:tc>
          <w:tcPr>
            <w:tcW w:w="339" w:type="pct"/>
            <w:shd w:val="clear" w:color="auto" w:fill="auto"/>
            <w:vAlign w:val="center"/>
          </w:tcPr>
          <w:p w14:paraId="1D2535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46" w:type="pct"/>
            <w:shd w:val="clear" w:color="auto" w:fill="auto"/>
            <w:vAlign w:val="center"/>
          </w:tcPr>
          <w:p w14:paraId="7229C8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容积20m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77FA90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（直径）φ2400×5236（高）</w:t>
            </w:r>
          </w:p>
        </w:tc>
        <w:tc>
          <w:tcPr>
            <w:tcW w:w="549" w:type="pct"/>
            <w:shd w:val="clear" w:color="auto" w:fill="auto"/>
            <w:vAlign w:val="center"/>
          </w:tcPr>
          <w:p w14:paraId="4098FB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Q345R</w:t>
            </w:r>
          </w:p>
        </w:tc>
        <w:tc>
          <w:tcPr>
            <w:tcW w:w="456" w:type="pct"/>
            <w:shd w:val="clear" w:color="auto" w:fill="auto"/>
            <w:vAlign w:val="center"/>
          </w:tcPr>
          <w:p w14:paraId="4902E4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氮气</w:t>
            </w:r>
          </w:p>
        </w:tc>
        <w:tc>
          <w:tcPr>
            <w:tcW w:w="488" w:type="pct"/>
            <w:shd w:val="clear" w:color="auto" w:fill="auto"/>
            <w:vAlign w:val="center"/>
          </w:tcPr>
          <w:p w14:paraId="3950B8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0.84Mpa</w:t>
            </w:r>
          </w:p>
        </w:tc>
        <w:tc>
          <w:tcPr>
            <w:tcW w:w="526" w:type="pct"/>
            <w:shd w:val="clear" w:color="auto" w:fill="auto"/>
            <w:vAlign w:val="center"/>
          </w:tcPr>
          <w:p w14:paraId="5D5B04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0.8Mpa</w:t>
            </w:r>
          </w:p>
        </w:tc>
        <w:tc>
          <w:tcPr>
            <w:tcW w:w="398" w:type="pct"/>
            <w:shd w:val="clear" w:color="auto" w:fill="auto"/>
            <w:vAlign w:val="center"/>
          </w:tcPr>
          <w:p w14:paraId="75FD9E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110℃</w:t>
            </w:r>
          </w:p>
        </w:tc>
        <w:tc>
          <w:tcPr>
            <w:tcW w:w="458" w:type="pct"/>
            <w:shd w:val="clear" w:color="auto" w:fill="auto"/>
            <w:vAlign w:val="center"/>
          </w:tcPr>
          <w:p w14:paraId="0AA1C3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＜110℃</w:t>
            </w:r>
          </w:p>
        </w:tc>
        <w:tc>
          <w:tcPr>
            <w:tcW w:w="228" w:type="pct"/>
            <w:shd w:val="clear" w:color="auto" w:fill="auto"/>
            <w:vAlign w:val="center"/>
          </w:tcPr>
          <w:p w14:paraId="40F013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Ⅰ</w:t>
            </w:r>
          </w:p>
        </w:tc>
      </w:tr>
      <w:tr w14:paraId="05B8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2A7682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20</w:t>
            </w:r>
          </w:p>
        </w:tc>
        <w:tc>
          <w:tcPr>
            <w:tcW w:w="375" w:type="pct"/>
            <w:shd w:val="clear" w:color="auto" w:fill="auto"/>
            <w:vAlign w:val="center"/>
          </w:tcPr>
          <w:p w14:paraId="697D8F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净化风储罐</w:t>
            </w:r>
          </w:p>
        </w:tc>
        <w:tc>
          <w:tcPr>
            <w:tcW w:w="339" w:type="pct"/>
            <w:shd w:val="clear" w:color="auto" w:fill="auto"/>
            <w:vAlign w:val="center"/>
          </w:tcPr>
          <w:p w14:paraId="63C425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46" w:type="pct"/>
            <w:shd w:val="clear" w:color="auto" w:fill="auto"/>
            <w:vAlign w:val="center"/>
          </w:tcPr>
          <w:p w14:paraId="614914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容积20m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44F91C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（直径）φ2400×5236（高）</w:t>
            </w:r>
          </w:p>
        </w:tc>
        <w:tc>
          <w:tcPr>
            <w:tcW w:w="549" w:type="pct"/>
            <w:shd w:val="clear" w:color="auto" w:fill="auto"/>
            <w:vAlign w:val="center"/>
          </w:tcPr>
          <w:p w14:paraId="4FA1BA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Q345R</w:t>
            </w:r>
          </w:p>
        </w:tc>
        <w:tc>
          <w:tcPr>
            <w:tcW w:w="456" w:type="pct"/>
            <w:shd w:val="clear" w:color="auto" w:fill="auto"/>
            <w:vAlign w:val="center"/>
          </w:tcPr>
          <w:p w14:paraId="1BFA1A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空气</w:t>
            </w:r>
          </w:p>
        </w:tc>
        <w:tc>
          <w:tcPr>
            <w:tcW w:w="488" w:type="pct"/>
            <w:shd w:val="clear" w:color="auto" w:fill="auto"/>
            <w:vAlign w:val="center"/>
          </w:tcPr>
          <w:p w14:paraId="77281E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0.84Mpa</w:t>
            </w:r>
          </w:p>
        </w:tc>
        <w:tc>
          <w:tcPr>
            <w:tcW w:w="526" w:type="pct"/>
            <w:shd w:val="clear" w:color="auto" w:fill="auto"/>
            <w:vAlign w:val="center"/>
          </w:tcPr>
          <w:p w14:paraId="02C5B1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0.8Mpa</w:t>
            </w:r>
          </w:p>
        </w:tc>
        <w:tc>
          <w:tcPr>
            <w:tcW w:w="398" w:type="pct"/>
            <w:shd w:val="clear" w:color="auto" w:fill="auto"/>
            <w:vAlign w:val="center"/>
          </w:tcPr>
          <w:p w14:paraId="4758C0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110℃</w:t>
            </w:r>
          </w:p>
        </w:tc>
        <w:tc>
          <w:tcPr>
            <w:tcW w:w="458" w:type="pct"/>
            <w:shd w:val="clear" w:color="auto" w:fill="auto"/>
            <w:vAlign w:val="center"/>
          </w:tcPr>
          <w:p w14:paraId="29B3E1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＜110℃</w:t>
            </w:r>
          </w:p>
        </w:tc>
        <w:tc>
          <w:tcPr>
            <w:tcW w:w="228" w:type="pct"/>
            <w:shd w:val="clear" w:color="auto" w:fill="auto"/>
            <w:vAlign w:val="center"/>
          </w:tcPr>
          <w:p w14:paraId="7F4FB5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Ⅰ</w:t>
            </w:r>
          </w:p>
        </w:tc>
      </w:tr>
      <w:tr w14:paraId="5222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645AE8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21</w:t>
            </w:r>
          </w:p>
        </w:tc>
        <w:tc>
          <w:tcPr>
            <w:tcW w:w="375" w:type="pct"/>
            <w:shd w:val="clear" w:color="auto" w:fill="auto"/>
            <w:vAlign w:val="center"/>
          </w:tcPr>
          <w:p w14:paraId="7EA945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压缩空气储罐</w:t>
            </w:r>
          </w:p>
        </w:tc>
        <w:tc>
          <w:tcPr>
            <w:tcW w:w="339" w:type="pct"/>
            <w:shd w:val="clear" w:color="auto" w:fill="auto"/>
            <w:vAlign w:val="center"/>
          </w:tcPr>
          <w:p w14:paraId="56D5B5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46" w:type="pct"/>
            <w:shd w:val="clear" w:color="auto" w:fill="auto"/>
            <w:vAlign w:val="center"/>
          </w:tcPr>
          <w:p w14:paraId="45B024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容积20m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1B7A06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（直径）φ2400×5236（高）</w:t>
            </w:r>
          </w:p>
        </w:tc>
        <w:tc>
          <w:tcPr>
            <w:tcW w:w="549" w:type="pct"/>
            <w:shd w:val="clear" w:color="auto" w:fill="auto"/>
            <w:vAlign w:val="center"/>
          </w:tcPr>
          <w:p w14:paraId="6CF5E8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Q345R</w:t>
            </w:r>
          </w:p>
        </w:tc>
        <w:tc>
          <w:tcPr>
            <w:tcW w:w="456" w:type="pct"/>
            <w:shd w:val="clear" w:color="auto" w:fill="auto"/>
            <w:vAlign w:val="center"/>
          </w:tcPr>
          <w:p w14:paraId="16DD55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空气</w:t>
            </w:r>
          </w:p>
        </w:tc>
        <w:tc>
          <w:tcPr>
            <w:tcW w:w="488" w:type="pct"/>
            <w:shd w:val="clear" w:color="auto" w:fill="auto"/>
            <w:vAlign w:val="center"/>
          </w:tcPr>
          <w:p w14:paraId="669E39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0.84Mpa</w:t>
            </w:r>
          </w:p>
        </w:tc>
        <w:tc>
          <w:tcPr>
            <w:tcW w:w="526" w:type="pct"/>
            <w:shd w:val="clear" w:color="auto" w:fill="auto"/>
            <w:vAlign w:val="center"/>
          </w:tcPr>
          <w:p w14:paraId="5D47ED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0.8Mpa</w:t>
            </w:r>
          </w:p>
        </w:tc>
        <w:tc>
          <w:tcPr>
            <w:tcW w:w="398" w:type="pct"/>
            <w:shd w:val="clear" w:color="auto" w:fill="auto"/>
            <w:vAlign w:val="center"/>
          </w:tcPr>
          <w:p w14:paraId="1F32A1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110℃</w:t>
            </w:r>
          </w:p>
        </w:tc>
        <w:tc>
          <w:tcPr>
            <w:tcW w:w="458" w:type="pct"/>
            <w:shd w:val="clear" w:color="auto" w:fill="auto"/>
            <w:vAlign w:val="center"/>
          </w:tcPr>
          <w:p w14:paraId="5A1AD6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＜110℃</w:t>
            </w:r>
          </w:p>
        </w:tc>
        <w:tc>
          <w:tcPr>
            <w:tcW w:w="228" w:type="pct"/>
            <w:shd w:val="clear" w:color="auto" w:fill="auto"/>
            <w:vAlign w:val="center"/>
          </w:tcPr>
          <w:p w14:paraId="44567B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Ⅰ</w:t>
            </w:r>
          </w:p>
        </w:tc>
      </w:tr>
      <w:tr w14:paraId="656E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00A837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22</w:t>
            </w:r>
          </w:p>
        </w:tc>
        <w:tc>
          <w:tcPr>
            <w:tcW w:w="375" w:type="pct"/>
            <w:shd w:val="clear" w:color="auto" w:fill="auto"/>
            <w:vAlign w:val="center"/>
          </w:tcPr>
          <w:p w14:paraId="1F2065E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催化剂收集罐</w:t>
            </w:r>
          </w:p>
        </w:tc>
        <w:tc>
          <w:tcPr>
            <w:tcW w:w="339" w:type="pct"/>
            <w:shd w:val="clear" w:color="auto" w:fill="auto"/>
            <w:vAlign w:val="center"/>
          </w:tcPr>
          <w:p w14:paraId="25D2D5F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V-4303</w:t>
            </w:r>
          </w:p>
        </w:tc>
        <w:tc>
          <w:tcPr>
            <w:tcW w:w="446" w:type="pct"/>
            <w:shd w:val="clear" w:color="auto" w:fill="auto"/>
            <w:vAlign w:val="center"/>
          </w:tcPr>
          <w:p w14:paraId="550C232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容积5.03m³</w:t>
            </w:r>
          </w:p>
        </w:tc>
        <w:tc>
          <w:tcPr>
            <w:tcW w:w="502" w:type="pct"/>
            <w:shd w:val="clear" w:color="auto" w:fill="auto"/>
            <w:vAlign w:val="center"/>
          </w:tcPr>
          <w:p w14:paraId="7D212FD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（直径）φ1400X9308（高）</w:t>
            </w:r>
          </w:p>
        </w:tc>
        <w:tc>
          <w:tcPr>
            <w:tcW w:w="549" w:type="pct"/>
            <w:shd w:val="clear" w:color="auto" w:fill="auto"/>
            <w:vAlign w:val="center"/>
          </w:tcPr>
          <w:p w14:paraId="69D6265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588121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氨、水、MEA</w:t>
            </w:r>
          </w:p>
        </w:tc>
        <w:tc>
          <w:tcPr>
            <w:tcW w:w="488" w:type="pct"/>
            <w:shd w:val="clear" w:color="auto" w:fill="auto"/>
            <w:vAlign w:val="center"/>
          </w:tcPr>
          <w:p w14:paraId="5D2047B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0.1/-0.1Mpa</w:t>
            </w:r>
          </w:p>
        </w:tc>
        <w:tc>
          <w:tcPr>
            <w:tcW w:w="526" w:type="pct"/>
            <w:shd w:val="clear" w:color="auto" w:fill="auto"/>
            <w:vAlign w:val="center"/>
          </w:tcPr>
          <w:p w14:paraId="705328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常压</w:t>
            </w:r>
          </w:p>
        </w:tc>
        <w:tc>
          <w:tcPr>
            <w:tcW w:w="398" w:type="pct"/>
            <w:shd w:val="clear" w:color="auto" w:fill="auto"/>
            <w:vAlign w:val="center"/>
          </w:tcPr>
          <w:p w14:paraId="192AABC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60/100℃</w:t>
            </w:r>
          </w:p>
        </w:tc>
        <w:tc>
          <w:tcPr>
            <w:tcW w:w="458" w:type="pct"/>
            <w:shd w:val="clear" w:color="auto" w:fill="auto"/>
            <w:vAlign w:val="center"/>
          </w:tcPr>
          <w:p w14:paraId="3CBE1CC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40℃</w:t>
            </w:r>
          </w:p>
        </w:tc>
        <w:tc>
          <w:tcPr>
            <w:tcW w:w="228" w:type="pct"/>
            <w:shd w:val="clear" w:color="auto" w:fill="auto"/>
            <w:vAlign w:val="center"/>
          </w:tcPr>
          <w:p w14:paraId="0F2859D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7608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108D64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23</w:t>
            </w:r>
          </w:p>
        </w:tc>
        <w:tc>
          <w:tcPr>
            <w:tcW w:w="375" w:type="pct"/>
            <w:shd w:val="clear" w:color="auto" w:fill="auto"/>
            <w:vAlign w:val="center"/>
          </w:tcPr>
          <w:p w14:paraId="6FE5FDB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热水罐</w:t>
            </w:r>
          </w:p>
        </w:tc>
        <w:tc>
          <w:tcPr>
            <w:tcW w:w="339" w:type="pct"/>
            <w:shd w:val="clear" w:color="auto" w:fill="auto"/>
            <w:vAlign w:val="center"/>
          </w:tcPr>
          <w:p w14:paraId="4877F62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V-4202</w:t>
            </w:r>
          </w:p>
        </w:tc>
        <w:tc>
          <w:tcPr>
            <w:tcW w:w="446" w:type="pct"/>
            <w:shd w:val="clear" w:color="auto" w:fill="auto"/>
            <w:vAlign w:val="center"/>
          </w:tcPr>
          <w:p w14:paraId="71802B1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27E0926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（直径）φ2000X3600（高）</w:t>
            </w:r>
          </w:p>
        </w:tc>
        <w:tc>
          <w:tcPr>
            <w:tcW w:w="549" w:type="pct"/>
            <w:shd w:val="clear" w:color="auto" w:fill="auto"/>
            <w:vAlign w:val="center"/>
          </w:tcPr>
          <w:p w14:paraId="762B69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Q235B</w:t>
            </w:r>
          </w:p>
        </w:tc>
        <w:tc>
          <w:tcPr>
            <w:tcW w:w="456" w:type="pct"/>
            <w:shd w:val="clear" w:color="auto" w:fill="auto"/>
            <w:vAlign w:val="center"/>
          </w:tcPr>
          <w:p w14:paraId="73D93E1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热水</w:t>
            </w:r>
          </w:p>
        </w:tc>
        <w:tc>
          <w:tcPr>
            <w:tcW w:w="488" w:type="pct"/>
            <w:shd w:val="clear" w:color="auto" w:fill="auto"/>
            <w:vAlign w:val="center"/>
          </w:tcPr>
          <w:p w14:paraId="6608CF2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7FB2A55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常压</w:t>
            </w:r>
          </w:p>
        </w:tc>
        <w:tc>
          <w:tcPr>
            <w:tcW w:w="398" w:type="pct"/>
            <w:shd w:val="clear" w:color="auto" w:fill="auto"/>
            <w:vAlign w:val="center"/>
          </w:tcPr>
          <w:p w14:paraId="1009DB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110℃</w:t>
            </w:r>
          </w:p>
        </w:tc>
        <w:tc>
          <w:tcPr>
            <w:tcW w:w="458" w:type="pct"/>
            <w:shd w:val="clear" w:color="auto" w:fill="auto"/>
            <w:vAlign w:val="center"/>
          </w:tcPr>
          <w:p w14:paraId="463056D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95℃</w:t>
            </w:r>
          </w:p>
        </w:tc>
        <w:tc>
          <w:tcPr>
            <w:tcW w:w="228" w:type="pct"/>
            <w:shd w:val="clear" w:color="auto" w:fill="auto"/>
            <w:vAlign w:val="center"/>
          </w:tcPr>
          <w:p w14:paraId="2F366ED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7EB9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0DA848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24</w:t>
            </w:r>
          </w:p>
        </w:tc>
        <w:tc>
          <w:tcPr>
            <w:tcW w:w="375" w:type="pct"/>
            <w:shd w:val="clear" w:color="auto" w:fill="auto"/>
            <w:vAlign w:val="center"/>
          </w:tcPr>
          <w:p w14:paraId="629D60E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蒸汽凝结水罐</w:t>
            </w:r>
          </w:p>
        </w:tc>
        <w:tc>
          <w:tcPr>
            <w:tcW w:w="339" w:type="pct"/>
            <w:shd w:val="clear" w:color="auto" w:fill="auto"/>
            <w:vAlign w:val="center"/>
          </w:tcPr>
          <w:p w14:paraId="1090D9B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V-4203</w:t>
            </w:r>
          </w:p>
        </w:tc>
        <w:tc>
          <w:tcPr>
            <w:tcW w:w="446" w:type="pct"/>
            <w:shd w:val="clear" w:color="auto" w:fill="auto"/>
            <w:vAlign w:val="center"/>
          </w:tcPr>
          <w:p w14:paraId="2F66B0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527A92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（直径）φ2000X3600（高）</w:t>
            </w:r>
          </w:p>
        </w:tc>
        <w:tc>
          <w:tcPr>
            <w:tcW w:w="549" w:type="pct"/>
            <w:shd w:val="clear" w:color="auto" w:fill="auto"/>
            <w:vAlign w:val="center"/>
          </w:tcPr>
          <w:p w14:paraId="03ADD15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Q235B</w:t>
            </w:r>
          </w:p>
        </w:tc>
        <w:tc>
          <w:tcPr>
            <w:tcW w:w="456" w:type="pct"/>
            <w:shd w:val="clear" w:color="auto" w:fill="auto"/>
            <w:vAlign w:val="center"/>
          </w:tcPr>
          <w:p w14:paraId="02EB4BF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蒸汽凝结水</w:t>
            </w:r>
          </w:p>
        </w:tc>
        <w:tc>
          <w:tcPr>
            <w:tcW w:w="488" w:type="pct"/>
            <w:shd w:val="clear" w:color="auto" w:fill="auto"/>
            <w:vAlign w:val="center"/>
          </w:tcPr>
          <w:p w14:paraId="69B0A9E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596788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常压</w:t>
            </w:r>
          </w:p>
        </w:tc>
        <w:tc>
          <w:tcPr>
            <w:tcW w:w="398" w:type="pct"/>
            <w:shd w:val="clear" w:color="auto" w:fill="auto"/>
            <w:vAlign w:val="center"/>
          </w:tcPr>
          <w:p w14:paraId="0401BBD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110℃</w:t>
            </w:r>
          </w:p>
        </w:tc>
        <w:tc>
          <w:tcPr>
            <w:tcW w:w="458" w:type="pct"/>
            <w:shd w:val="clear" w:color="auto" w:fill="auto"/>
            <w:vAlign w:val="center"/>
          </w:tcPr>
          <w:p w14:paraId="50F8645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95℃</w:t>
            </w:r>
          </w:p>
        </w:tc>
        <w:tc>
          <w:tcPr>
            <w:tcW w:w="228" w:type="pct"/>
            <w:shd w:val="clear" w:color="auto" w:fill="auto"/>
            <w:vAlign w:val="center"/>
          </w:tcPr>
          <w:p w14:paraId="67850A3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22C9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7758EC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25</w:t>
            </w:r>
          </w:p>
        </w:tc>
        <w:tc>
          <w:tcPr>
            <w:tcW w:w="375" w:type="pct"/>
            <w:shd w:val="clear" w:color="auto" w:fill="auto"/>
            <w:vAlign w:val="center"/>
          </w:tcPr>
          <w:p w14:paraId="1C4C919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一乙产品中间罐</w:t>
            </w:r>
          </w:p>
        </w:tc>
        <w:tc>
          <w:tcPr>
            <w:tcW w:w="339" w:type="pct"/>
            <w:shd w:val="clear" w:color="auto" w:fill="auto"/>
            <w:vAlign w:val="center"/>
          </w:tcPr>
          <w:p w14:paraId="068D8E1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TK-4401A</w:t>
            </w:r>
          </w:p>
        </w:tc>
        <w:tc>
          <w:tcPr>
            <w:tcW w:w="446" w:type="pct"/>
            <w:shd w:val="clear" w:color="auto" w:fill="auto"/>
            <w:vAlign w:val="center"/>
          </w:tcPr>
          <w:p w14:paraId="6D62B4F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容积6m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5D6A74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（直径）φ1800X2400（高）</w:t>
            </w:r>
          </w:p>
        </w:tc>
        <w:tc>
          <w:tcPr>
            <w:tcW w:w="549" w:type="pct"/>
            <w:shd w:val="clear" w:color="auto" w:fill="auto"/>
            <w:vAlign w:val="center"/>
          </w:tcPr>
          <w:p w14:paraId="0F0302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S31603</w:t>
            </w:r>
          </w:p>
        </w:tc>
        <w:tc>
          <w:tcPr>
            <w:tcW w:w="456" w:type="pct"/>
            <w:shd w:val="clear" w:color="auto" w:fill="auto"/>
            <w:vAlign w:val="center"/>
          </w:tcPr>
          <w:p w14:paraId="4DC6CCE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MEA</w:t>
            </w:r>
          </w:p>
        </w:tc>
        <w:tc>
          <w:tcPr>
            <w:tcW w:w="488" w:type="pct"/>
            <w:shd w:val="clear" w:color="auto" w:fill="auto"/>
            <w:vAlign w:val="center"/>
          </w:tcPr>
          <w:p w14:paraId="6FA7A3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017CDC6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597E05E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c>
          <w:tcPr>
            <w:tcW w:w="458" w:type="pct"/>
            <w:shd w:val="clear" w:color="auto" w:fill="auto"/>
            <w:vAlign w:val="center"/>
          </w:tcPr>
          <w:p w14:paraId="4BBF06D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40℃</w:t>
            </w:r>
          </w:p>
        </w:tc>
        <w:tc>
          <w:tcPr>
            <w:tcW w:w="228" w:type="pct"/>
            <w:shd w:val="clear" w:color="auto" w:fill="auto"/>
            <w:vAlign w:val="center"/>
          </w:tcPr>
          <w:p w14:paraId="4BF3557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7D47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59463E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26</w:t>
            </w:r>
          </w:p>
        </w:tc>
        <w:tc>
          <w:tcPr>
            <w:tcW w:w="375" w:type="pct"/>
            <w:shd w:val="clear" w:color="auto" w:fill="auto"/>
            <w:vAlign w:val="center"/>
          </w:tcPr>
          <w:p w14:paraId="2B7A0F8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一乙产品中间罐</w:t>
            </w:r>
          </w:p>
        </w:tc>
        <w:tc>
          <w:tcPr>
            <w:tcW w:w="339" w:type="pct"/>
            <w:shd w:val="clear" w:color="auto" w:fill="auto"/>
            <w:vAlign w:val="center"/>
          </w:tcPr>
          <w:p w14:paraId="33D71F9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TK-4401B</w:t>
            </w:r>
          </w:p>
        </w:tc>
        <w:tc>
          <w:tcPr>
            <w:tcW w:w="446" w:type="pct"/>
            <w:shd w:val="clear" w:color="auto" w:fill="auto"/>
            <w:vAlign w:val="center"/>
          </w:tcPr>
          <w:p w14:paraId="2E4EEE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容积6m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3613769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（直径）φ1800X2400（高）</w:t>
            </w:r>
          </w:p>
        </w:tc>
        <w:tc>
          <w:tcPr>
            <w:tcW w:w="549" w:type="pct"/>
            <w:shd w:val="clear" w:color="auto" w:fill="auto"/>
            <w:vAlign w:val="center"/>
          </w:tcPr>
          <w:p w14:paraId="3F6DB52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S31603</w:t>
            </w:r>
          </w:p>
        </w:tc>
        <w:tc>
          <w:tcPr>
            <w:tcW w:w="456" w:type="pct"/>
            <w:shd w:val="clear" w:color="auto" w:fill="auto"/>
            <w:vAlign w:val="center"/>
          </w:tcPr>
          <w:p w14:paraId="0C56C94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MEA</w:t>
            </w:r>
          </w:p>
        </w:tc>
        <w:tc>
          <w:tcPr>
            <w:tcW w:w="488" w:type="pct"/>
            <w:shd w:val="clear" w:color="auto" w:fill="auto"/>
            <w:vAlign w:val="center"/>
          </w:tcPr>
          <w:p w14:paraId="059EE19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7997B60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29777A1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c>
          <w:tcPr>
            <w:tcW w:w="458" w:type="pct"/>
            <w:shd w:val="clear" w:color="auto" w:fill="auto"/>
            <w:vAlign w:val="center"/>
          </w:tcPr>
          <w:p w14:paraId="329B4FB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40℃</w:t>
            </w:r>
          </w:p>
        </w:tc>
        <w:tc>
          <w:tcPr>
            <w:tcW w:w="228" w:type="pct"/>
            <w:shd w:val="clear" w:color="auto" w:fill="auto"/>
            <w:vAlign w:val="center"/>
          </w:tcPr>
          <w:p w14:paraId="0F2509E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470A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067852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27</w:t>
            </w:r>
          </w:p>
        </w:tc>
        <w:tc>
          <w:tcPr>
            <w:tcW w:w="375" w:type="pct"/>
            <w:shd w:val="clear" w:color="auto" w:fill="auto"/>
            <w:vAlign w:val="center"/>
          </w:tcPr>
          <w:p w14:paraId="170539A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二乙产品中间罐</w:t>
            </w:r>
          </w:p>
        </w:tc>
        <w:tc>
          <w:tcPr>
            <w:tcW w:w="339" w:type="pct"/>
            <w:shd w:val="clear" w:color="auto" w:fill="auto"/>
            <w:vAlign w:val="center"/>
          </w:tcPr>
          <w:p w14:paraId="3E26A11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TK-4402A</w:t>
            </w:r>
          </w:p>
        </w:tc>
        <w:tc>
          <w:tcPr>
            <w:tcW w:w="446" w:type="pct"/>
            <w:shd w:val="clear" w:color="auto" w:fill="auto"/>
            <w:vAlign w:val="center"/>
          </w:tcPr>
          <w:p w14:paraId="7EB65D6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容积6m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03FFEDB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（直径）φ1800X2400（高）</w:t>
            </w:r>
          </w:p>
        </w:tc>
        <w:tc>
          <w:tcPr>
            <w:tcW w:w="549" w:type="pct"/>
            <w:shd w:val="clear" w:color="auto" w:fill="auto"/>
            <w:vAlign w:val="center"/>
          </w:tcPr>
          <w:p w14:paraId="28C1CC8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S31603</w:t>
            </w:r>
          </w:p>
        </w:tc>
        <w:tc>
          <w:tcPr>
            <w:tcW w:w="456" w:type="pct"/>
            <w:shd w:val="clear" w:color="auto" w:fill="auto"/>
            <w:vAlign w:val="center"/>
          </w:tcPr>
          <w:p w14:paraId="62C2C6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DEA</w:t>
            </w:r>
          </w:p>
        </w:tc>
        <w:tc>
          <w:tcPr>
            <w:tcW w:w="488" w:type="pct"/>
            <w:shd w:val="clear" w:color="auto" w:fill="auto"/>
            <w:vAlign w:val="center"/>
          </w:tcPr>
          <w:p w14:paraId="73164C9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2E1C3A1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22E482D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c>
          <w:tcPr>
            <w:tcW w:w="458" w:type="pct"/>
            <w:shd w:val="clear" w:color="auto" w:fill="auto"/>
            <w:vAlign w:val="center"/>
          </w:tcPr>
          <w:p w14:paraId="131EF55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40℃</w:t>
            </w:r>
          </w:p>
        </w:tc>
        <w:tc>
          <w:tcPr>
            <w:tcW w:w="228" w:type="pct"/>
            <w:shd w:val="clear" w:color="auto" w:fill="auto"/>
            <w:vAlign w:val="center"/>
          </w:tcPr>
          <w:p w14:paraId="7B46180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437E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069CD9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28</w:t>
            </w:r>
          </w:p>
        </w:tc>
        <w:tc>
          <w:tcPr>
            <w:tcW w:w="375" w:type="pct"/>
            <w:shd w:val="clear" w:color="auto" w:fill="auto"/>
            <w:vAlign w:val="center"/>
          </w:tcPr>
          <w:p w14:paraId="2DF0614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二乙产品中间罐</w:t>
            </w:r>
          </w:p>
        </w:tc>
        <w:tc>
          <w:tcPr>
            <w:tcW w:w="339" w:type="pct"/>
            <w:shd w:val="clear" w:color="auto" w:fill="auto"/>
            <w:vAlign w:val="center"/>
          </w:tcPr>
          <w:p w14:paraId="041F0D0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TK-4402B</w:t>
            </w:r>
          </w:p>
        </w:tc>
        <w:tc>
          <w:tcPr>
            <w:tcW w:w="446" w:type="pct"/>
            <w:shd w:val="clear" w:color="auto" w:fill="auto"/>
            <w:vAlign w:val="center"/>
          </w:tcPr>
          <w:p w14:paraId="7830F68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容积6m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55F1FF3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（直径）φ1800X2400（高）</w:t>
            </w:r>
          </w:p>
        </w:tc>
        <w:tc>
          <w:tcPr>
            <w:tcW w:w="549" w:type="pct"/>
            <w:shd w:val="clear" w:color="auto" w:fill="auto"/>
            <w:vAlign w:val="center"/>
          </w:tcPr>
          <w:p w14:paraId="2FF19A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S31603</w:t>
            </w:r>
          </w:p>
        </w:tc>
        <w:tc>
          <w:tcPr>
            <w:tcW w:w="456" w:type="pct"/>
            <w:shd w:val="clear" w:color="auto" w:fill="auto"/>
            <w:vAlign w:val="center"/>
          </w:tcPr>
          <w:p w14:paraId="71C67C8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DEA</w:t>
            </w:r>
          </w:p>
        </w:tc>
        <w:tc>
          <w:tcPr>
            <w:tcW w:w="488" w:type="pct"/>
            <w:shd w:val="clear" w:color="auto" w:fill="auto"/>
            <w:vAlign w:val="center"/>
          </w:tcPr>
          <w:p w14:paraId="0E3B1E8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44C4BE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7360397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c>
          <w:tcPr>
            <w:tcW w:w="458" w:type="pct"/>
            <w:shd w:val="clear" w:color="auto" w:fill="auto"/>
            <w:vAlign w:val="center"/>
          </w:tcPr>
          <w:p w14:paraId="218BE31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40℃</w:t>
            </w:r>
          </w:p>
        </w:tc>
        <w:tc>
          <w:tcPr>
            <w:tcW w:w="228" w:type="pct"/>
            <w:shd w:val="clear" w:color="auto" w:fill="auto"/>
            <w:vAlign w:val="center"/>
          </w:tcPr>
          <w:p w14:paraId="5ACECCA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34C7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42A209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29</w:t>
            </w:r>
          </w:p>
        </w:tc>
        <w:tc>
          <w:tcPr>
            <w:tcW w:w="375" w:type="pct"/>
            <w:shd w:val="clear" w:color="auto" w:fill="auto"/>
            <w:vAlign w:val="center"/>
          </w:tcPr>
          <w:p w14:paraId="4033990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三乙（Ⅰ）产品中间罐</w:t>
            </w:r>
          </w:p>
        </w:tc>
        <w:tc>
          <w:tcPr>
            <w:tcW w:w="339" w:type="pct"/>
            <w:shd w:val="clear" w:color="auto" w:fill="auto"/>
            <w:vAlign w:val="center"/>
          </w:tcPr>
          <w:p w14:paraId="420BE53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TK-4403A</w:t>
            </w:r>
          </w:p>
        </w:tc>
        <w:tc>
          <w:tcPr>
            <w:tcW w:w="446" w:type="pct"/>
            <w:shd w:val="clear" w:color="auto" w:fill="auto"/>
            <w:vAlign w:val="center"/>
          </w:tcPr>
          <w:p w14:paraId="2A3A881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容积6m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4B5E4BF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（直径）φ1800X2400（高）</w:t>
            </w:r>
          </w:p>
        </w:tc>
        <w:tc>
          <w:tcPr>
            <w:tcW w:w="549" w:type="pct"/>
            <w:shd w:val="clear" w:color="auto" w:fill="auto"/>
            <w:vAlign w:val="center"/>
          </w:tcPr>
          <w:p w14:paraId="39D2D7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S31603</w:t>
            </w:r>
          </w:p>
        </w:tc>
        <w:tc>
          <w:tcPr>
            <w:tcW w:w="456" w:type="pct"/>
            <w:shd w:val="clear" w:color="auto" w:fill="auto"/>
            <w:vAlign w:val="center"/>
          </w:tcPr>
          <w:p w14:paraId="51A163D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TEA</w:t>
            </w:r>
          </w:p>
        </w:tc>
        <w:tc>
          <w:tcPr>
            <w:tcW w:w="488" w:type="pct"/>
            <w:shd w:val="clear" w:color="auto" w:fill="auto"/>
            <w:vAlign w:val="center"/>
          </w:tcPr>
          <w:p w14:paraId="755FA1C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7F11837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7DA0FDF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c>
          <w:tcPr>
            <w:tcW w:w="458" w:type="pct"/>
            <w:shd w:val="clear" w:color="auto" w:fill="auto"/>
            <w:vAlign w:val="center"/>
          </w:tcPr>
          <w:p w14:paraId="4BC4CF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40℃</w:t>
            </w:r>
          </w:p>
        </w:tc>
        <w:tc>
          <w:tcPr>
            <w:tcW w:w="228" w:type="pct"/>
            <w:shd w:val="clear" w:color="auto" w:fill="auto"/>
            <w:vAlign w:val="center"/>
          </w:tcPr>
          <w:p w14:paraId="7C92AD2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637C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4E604F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30</w:t>
            </w:r>
          </w:p>
        </w:tc>
        <w:tc>
          <w:tcPr>
            <w:tcW w:w="375" w:type="pct"/>
            <w:shd w:val="clear" w:color="auto" w:fill="auto"/>
            <w:vAlign w:val="center"/>
          </w:tcPr>
          <w:p w14:paraId="46C32BB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三乙（Ⅰ）产品中间罐</w:t>
            </w:r>
          </w:p>
        </w:tc>
        <w:tc>
          <w:tcPr>
            <w:tcW w:w="339" w:type="pct"/>
            <w:shd w:val="clear" w:color="auto" w:fill="auto"/>
            <w:vAlign w:val="center"/>
          </w:tcPr>
          <w:p w14:paraId="1A0B535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TK-4403B</w:t>
            </w:r>
          </w:p>
        </w:tc>
        <w:tc>
          <w:tcPr>
            <w:tcW w:w="446" w:type="pct"/>
            <w:shd w:val="clear" w:color="auto" w:fill="auto"/>
            <w:vAlign w:val="center"/>
          </w:tcPr>
          <w:p w14:paraId="04F08D2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容积6m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2A9C7E4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（直径）φ1800X2400（高）</w:t>
            </w:r>
          </w:p>
        </w:tc>
        <w:tc>
          <w:tcPr>
            <w:tcW w:w="549" w:type="pct"/>
            <w:shd w:val="clear" w:color="auto" w:fill="auto"/>
            <w:vAlign w:val="center"/>
          </w:tcPr>
          <w:p w14:paraId="1C4186F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S31603</w:t>
            </w:r>
          </w:p>
        </w:tc>
        <w:tc>
          <w:tcPr>
            <w:tcW w:w="456" w:type="pct"/>
            <w:shd w:val="clear" w:color="auto" w:fill="auto"/>
            <w:vAlign w:val="center"/>
          </w:tcPr>
          <w:p w14:paraId="0989130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TEA</w:t>
            </w:r>
          </w:p>
        </w:tc>
        <w:tc>
          <w:tcPr>
            <w:tcW w:w="488" w:type="pct"/>
            <w:shd w:val="clear" w:color="auto" w:fill="auto"/>
            <w:vAlign w:val="center"/>
          </w:tcPr>
          <w:p w14:paraId="6A135BB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37FCDE2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449EB26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c>
          <w:tcPr>
            <w:tcW w:w="458" w:type="pct"/>
            <w:shd w:val="clear" w:color="auto" w:fill="auto"/>
            <w:vAlign w:val="center"/>
          </w:tcPr>
          <w:p w14:paraId="72C553D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40℃</w:t>
            </w:r>
          </w:p>
        </w:tc>
        <w:tc>
          <w:tcPr>
            <w:tcW w:w="228" w:type="pct"/>
            <w:shd w:val="clear" w:color="auto" w:fill="auto"/>
            <w:vAlign w:val="center"/>
          </w:tcPr>
          <w:p w14:paraId="1399AB7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5EC9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6D6BA0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31</w:t>
            </w:r>
          </w:p>
        </w:tc>
        <w:tc>
          <w:tcPr>
            <w:tcW w:w="375" w:type="pct"/>
            <w:shd w:val="clear" w:color="auto" w:fill="auto"/>
            <w:vAlign w:val="center"/>
          </w:tcPr>
          <w:p w14:paraId="640C9B5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一乙产品罐</w:t>
            </w:r>
          </w:p>
        </w:tc>
        <w:tc>
          <w:tcPr>
            <w:tcW w:w="339" w:type="pct"/>
            <w:shd w:val="clear" w:color="auto" w:fill="auto"/>
            <w:vAlign w:val="center"/>
          </w:tcPr>
          <w:p w14:paraId="1A85A5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TK-4601</w:t>
            </w:r>
          </w:p>
        </w:tc>
        <w:tc>
          <w:tcPr>
            <w:tcW w:w="446" w:type="pct"/>
            <w:shd w:val="clear" w:color="auto" w:fill="auto"/>
            <w:vAlign w:val="center"/>
          </w:tcPr>
          <w:p w14:paraId="75098A9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容积100m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0D77073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（直径）φ5000X6000（高）</w:t>
            </w:r>
          </w:p>
        </w:tc>
        <w:tc>
          <w:tcPr>
            <w:tcW w:w="549" w:type="pct"/>
            <w:shd w:val="clear" w:color="auto" w:fill="auto"/>
            <w:vAlign w:val="center"/>
          </w:tcPr>
          <w:p w14:paraId="20D4250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115234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一乙醇胺</w:t>
            </w:r>
          </w:p>
        </w:tc>
        <w:tc>
          <w:tcPr>
            <w:tcW w:w="488" w:type="pct"/>
            <w:shd w:val="clear" w:color="auto" w:fill="auto"/>
            <w:vAlign w:val="center"/>
          </w:tcPr>
          <w:p w14:paraId="21D8705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4C97FC8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2557D09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w:t>
            </w:r>
          </w:p>
        </w:tc>
        <w:tc>
          <w:tcPr>
            <w:tcW w:w="458" w:type="pct"/>
            <w:shd w:val="clear" w:color="auto" w:fill="auto"/>
            <w:vAlign w:val="center"/>
          </w:tcPr>
          <w:p w14:paraId="4002E0D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最高50℃；最低40℃</w:t>
            </w:r>
          </w:p>
        </w:tc>
        <w:tc>
          <w:tcPr>
            <w:tcW w:w="228" w:type="pct"/>
            <w:shd w:val="clear" w:color="auto" w:fill="auto"/>
            <w:vAlign w:val="center"/>
          </w:tcPr>
          <w:p w14:paraId="2C21EC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3471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59C33A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32</w:t>
            </w:r>
          </w:p>
        </w:tc>
        <w:tc>
          <w:tcPr>
            <w:tcW w:w="375" w:type="pct"/>
            <w:shd w:val="clear" w:color="auto" w:fill="auto"/>
            <w:vAlign w:val="center"/>
          </w:tcPr>
          <w:p w14:paraId="7EAC35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二乙产品罐</w:t>
            </w:r>
          </w:p>
        </w:tc>
        <w:tc>
          <w:tcPr>
            <w:tcW w:w="339" w:type="pct"/>
            <w:shd w:val="clear" w:color="auto" w:fill="auto"/>
            <w:vAlign w:val="center"/>
          </w:tcPr>
          <w:p w14:paraId="61AD10C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TK-4602</w:t>
            </w:r>
          </w:p>
        </w:tc>
        <w:tc>
          <w:tcPr>
            <w:tcW w:w="446" w:type="pct"/>
            <w:shd w:val="clear" w:color="auto" w:fill="auto"/>
            <w:vAlign w:val="center"/>
          </w:tcPr>
          <w:p w14:paraId="6496ED5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容积100m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15A551E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（直径）φ5000X6000（高）</w:t>
            </w:r>
          </w:p>
        </w:tc>
        <w:tc>
          <w:tcPr>
            <w:tcW w:w="549" w:type="pct"/>
            <w:shd w:val="clear" w:color="auto" w:fill="auto"/>
            <w:vAlign w:val="center"/>
          </w:tcPr>
          <w:p w14:paraId="13CD3C7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58549C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二乙醇胺</w:t>
            </w:r>
          </w:p>
        </w:tc>
        <w:tc>
          <w:tcPr>
            <w:tcW w:w="488" w:type="pct"/>
            <w:shd w:val="clear" w:color="auto" w:fill="auto"/>
            <w:vAlign w:val="center"/>
          </w:tcPr>
          <w:p w14:paraId="6D29C4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411A3F6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31DBD1C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w:t>
            </w:r>
          </w:p>
        </w:tc>
        <w:tc>
          <w:tcPr>
            <w:tcW w:w="458" w:type="pct"/>
            <w:shd w:val="clear" w:color="auto" w:fill="auto"/>
            <w:vAlign w:val="center"/>
          </w:tcPr>
          <w:p w14:paraId="0C7DD8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最高50℃；最低40℃</w:t>
            </w:r>
          </w:p>
        </w:tc>
        <w:tc>
          <w:tcPr>
            <w:tcW w:w="228" w:type="pct"/>
            <w:shd w:val="clear" w:color="auto" w:fill="auto"/>
            <w:vAlign w:val="center"/>
          </w:tcPr>
          <w:p w14:paraId="0E29566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72C8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4854D0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33</w:t>
            </w:r>
          </w:p>
        </w:tc>
        <w:tc>
          <w:tcPr>
            <w:tcW w:w="375" w:type="pct"/>
            <w:shd w:val="clear" w:color="auto" w:fill="auto"/>
            <w:vAlign w:val="center"/>
          </w:tcPr>
          <w:p w14:paraId="01825A7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三乙（Ⅰ）产品罐</w:t>
            </w:r>
          </w:p>
        </w:tc>
        <w:tc>
          <w:tcPr>
            <w:tcW w:w="339" w:type="pct"/>
            <w:shd w:val="clear" w:color="auto" w:fill="auto"/>
            <w:vAlign w:val="center"/>
          </w:tcPr>
          <w:p w14:paraId="0AEBF7E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TK-4603</w:t>
            </w:r>
          </w:p>
        </w:tc>
        <w:tc>
          <w:tcPr>
            <w:tcW w:w="446" w:type="pct"/>
            <w:shd w:val="clear" w:color="auto" w:fill="auto"/>
            <w:vAlign w:val="center"/>
          </w:tcPr>
          <w:p w14:paraId="780D7F2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容积100m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4DEB652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（直径）φ5000X6000（高）</w:t>
            </w:r>
          </w:p>
        </w:tc>
        <w:tc>
          <w:tcPr>
            <w:tcW w:w="549" w:type="pct"/>
            <w:shd w:val="clear" w:color="auto" w:fill="auto"/>
            <w:vAlign w:val="center"/>
          </w:tcPr>
          <w:p w14:paraId="4390617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7E0ED89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三乙醇胺</w:t>
            </w:r>
          </w:p>
        </w:tc>
        <w:tc>
          <w:tcPr>
            <w:tcW w:w="488" w:type="pct"/>
            <w:shd w:val="clear" w:color="auto" w:fill="auto"/>
            <w:vAlign w:val="center"/>
          </w:tcPr>
          <w:p w14:paraId="0B3FC74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39EF296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799214C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w:t>
            </w:r>
          </w:p>
        </w:tc>
        <w:tc>
          <w:tcPr>
            <w:tcW w:w="458" w:type="pct"/>
            <w:shd w:val="clear" w:color="auto" w:fill="auto"/>
            <w:vAlign w:val="center"/>
          </w:tcPr>
          <w:p w14:paraId="7E9C9AF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最高50℃；最低40℃</w:t>
            </w:r>
          </w:p>
        </w:tc>
        <w:tc>
          <w:tcPr>
            <w:tcW w:w="228" w:type="pct"/>
            <w:shd w:val="clear" w:color="auto" w:fill="auto"/>
            <w:vAlign w:val="center"/>
          </w:tcPr>
          <w:p w14:paraId="515361A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5B96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488EC9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34</w:t>
            </w:r>
          </w:p>
        </w:tc>
        <w:tc>
          <w:tcPr>
            <w:tcW w:w="375" w:type="pct"/>
            <w:shd w:val="clear" w:color="auto" w:fill="auto"/>
            <w:vAlign w:val="center"/>
          </w:tcPr>
          <w:p w14:paraId="2B96FA9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三乙（Ⅱ）产品罐</w:t>
            </w:r>
          </w:p>
        </w:tc>
        <w:tc>
          <w:tcPr>
            <w:tcW w:w="339" w:type="pct"/>
            <w:shd w:val="clear" w:color="auto" w:fill="auto"/>
            <w:vAlign w:val="center"/>
          </w:tcPr>
          <w:p w14:paraId="3677CF0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TK-4604</w:t>
            </w:r>
          </w:p>
        </w:tc>
        <w:tc>
          <w:tcPr>
            <w:tcW w:w="446" w:type="pct"/>
            <w:shd w:val="clear" w:color="auto" w:fill="auto"/>
            <w:vAlign w:val="center"/>
          </w:tcPr>
          <w:p w14:paraId="19BBFBE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容积100m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367EDD1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（直径）φ5000X6000（高）</w:t>
            </w:r>
          </w:p>
        </w:tc>
        <w:tc>
          <w:tcPr>
            <w:tcW w:w="549" w:type="pct"/>
            <w:shd w:val="clear" w:color="auto" w:fill="auto"/>
            <w:vAlign w:val="center"/>
          </w:tcPr>
          <w:p w14:paraId="313F840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5777203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三乙醇胺Ⅱ</w:t>
            </w:r>
          </w:p>
        </w:tc>
        <w:tc>
          <w:tcPr>
            <w:tcW w:w="488" w:type="pct"/>
            <w:shd w:val="clear" w:color="auto" w:fill="auto"/>
            <w:vAlign w:val="center"/>
          </w:tcPr>
          <w:p w14:paraId="0D218B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5F5317D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4757FAF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w:t>
            </w:r>
          </w:p>
        </w:tc>
        <w:tc>
          <w:tcPr>
            <w:tcW w:w="458" w:type="pct"/>
            <w:shd w:val="clear" w:color="auto" w:fill="auto"/>
            <w:vAlign w:val="center"/>
          </w:tcPr>
          <w:p w14:paraId="1FBA5E0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最高50℃；最低40℃</w:t>
            </w:r>
          </w:p>
        </w:tc>
        <w:tc>
          <w:tcPr>
            <w:tcW w:w="228" w:type="pct"/>
            <w:shd w:val="clear" w:color="auto" w:fill="auto"/>
            <w:vAlign w:val="center"/>
          </w:tcPr>
          <w:p w14:paraId="49B6723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0031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74BF91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35</w:t>
            </w:r>
          </w:p>
        </w:tc>
        <w:tc>
          <w:tcPr>
            <w:tcW w:w="375" w:type="pct"/>
            <w:shd w:val="clear" w:color="auto" w:fill="auto"/>
            <w:vAlign w:val="center"/>
          </w:tcPr>
          <w:p w14:paraId="0F087B7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三乙配置罐</w:t>
            </w:r>
          </w:p>
        </w:tc>
        <w:tc>
          <w:tcPr>
            <w:tcW w:w="339" w:type="pct"/>
            <w:shd w:val="clear" w:color="auto" w:fill="auto"/>
            <w:vAlign w:val="center"/>
          </w:tcPr>
          <w:p w14:paraId="0A53808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TK-4605</w:t>
            </w:r>
          </w:p>
        </w:tc>
        <w:tc>
          <w:tcPr>
            <w:tcW w:w="446" w:type="pct"/>
            <w:shd w:val="clear" w:color="auto" w:fill="auto"/>
            <w:vAlign w:val="center"/>
          </w:tcPr>
          <w:p w14:paraId="6E8572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容积100m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6C4966E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（直径）φ5000X6000（高）</w:t>
            </w:r>
          </w:p>
        </w:tc>
        <w:tc>
          <w:tcPr>
            <w:tcW w:w="549" w:type="pct"/>
            <w:shd w:val="clear" w:color="auto" w:fill="auto"/>
            <w:vAlign w:val="center"/>
          </w:tcPr>
          <w:p w14:paraId="3929C38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179D5A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三乙醇胺</w:t>
            </w:r>
          </w:p>
        </w:tc>
        <w:tc>
          <w:tcPr>
            <w:tcW w:w="488" w:type="pct"/>
            <w:shd w:val="clear" w:color="auto" w:fill="auto"/>
            <w:vAlign w:val="center"/>
          </w:tcPr>
          <w:p w14:paraId="4967C7B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658DBCB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49EE214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w:t>
            </w:r>
          </w:p>
        </w:tc>
        <w:tc>
          <w:tcPr>
            <w:tcW w:w="458" w:type="pct"/>
            <w:shd w:val="clear" w:color="auto" w:fill="auto"/>
            <w:vAlign w:val="center"/>
          </w:tcPr>
          <w:p w14:paraId="225FEEB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最高50℃；最低40℃</w:t>
            </w:r>
          </w:p>
        </w:tc>
        <w:tc>
          <w:tcPr>
            <w:tcW w:w="228" w:type="pct"/>
            <w:shd w:val="clear" w:color="auto" w:fill="auto"/>
            <w:vAlign w:val="center"/>
          </w:tcPr>
          <w:p w14:paraId="45E308E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45E4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271DD2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36</w:t>
            </w:r>
          </w:p>
        </w:tc>
        <w:tc>
          <w:tcPr>
            <w:tcW w:w="375" w:type="pct"/>
            <w:shd w:val="clear" w:color="auto" w:fill="auto"/>
            <w:vAlign w:val="center"/>
          </w:tcPr>
          <w:p w14:paraId="7693751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不合格产品罐</w:t>
            </w:r>
          </w:p>
        </w:tc>
        <w:tc>
          <w:tcPr>
            <w:tcW w:w="339" w:type="pct"/>
            <w:shd w:val="clear" w:color="auto" w:fill="auto"/>
            <w:vAlign w:val="center"/>
          </w:tcPr>
          <w:p w14:paraId="4165E64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TK-4606</w:t>
            </w:r>
          </w:p>
        </w:tc>
        <w:tc>
          <w:tcPr>
            <w:tcW w:w="446" w:type="pct"/>
            <w:shd w:val="clear" w:color="auto" w:fill="auto"/>
            <w:vAlign w:val="center"/>
          </w:tcPr>
          <w:p w14:paraId="74481B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容积100m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p>
        </w:tc>
        <w:tc>
          <w:tcPr>
            <w:tcW w:w="502" w:type="pct"/>
            <w:shd w:val="clear" w:color="auto" w:fill="auto"/>
            <w:vAlign w:val="center"/>
          </w:tcPr>
          <w:p w14:paraId="248ABDE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（直径）φ5000X6000（高）</w:t>
            </w:r>
          </w:p>
        </w:tc>
        <w:tc>
          <w:tcPr>
            <w:tcW w:w="549" w:type="pct"/>
            <w:shd w:val="clear" w:color="auto" w:fill="auto"/>
            <w:vAlign w:val="center"/>
          </w:tcPr>
          <w:p w14:paraId="1F2ABA0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S30408</w:t>
            </w:r>
          </w:p>
        </w:tc>
        <w:tc>
          <w:tcPr>
            <w:tcW w:w="456" w:type="pct"/>
            <w:shd w:val="clear" w:color="auto" w:fill="auto"/>
            <w:vAlign w:val="center"/>
          </w:tcPr>
          <w:p w14:paraId="7EF1319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不合格乙醇胺</w:t>
            </w:r>
          </w:p>
        </w:tc>
        <w:tc>
          <w:tcPr>
            <w:tcW w:w="488" w:type="pct"/>
            <w:shd w:val="clear" w:color="auto" w:fill="auto"/>
            <w:vAlign w:val="center"/>
          </w:tcPr>
          <w:p w14:paraId="3C37D8B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75E0595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1000Pa（氮封压力）</w:t>
            </w:r>
          </w:p>
        </w:tc>
        <w:tc>
          <w:tcPr>
            <w:tcW w:w="398" w:type="pct"/>
            <w:shd w:val="clear" w:color="auto" w:fill="auto"/>
            <w:vAlign w:val="center"/>
          </w:tcPr>
          <w:p w14:paraId="03B2A60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w:t>
            </w:r>
          </w:p>
        </w:tc>
        <w:tc>
          <w:tcPr>
            <w:tcW w:w="458" w:type="pct"/>
            <w:shd w:val="clear" w:color="auto" w:fill="auto"/>
            <w:vAlign w:val="center"/>
          </w:tcPr>
          <w:p w14:paraId="49A7DFA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最高50℃；最低40℃</w:t>
            </w:r>
          </w:p>
        </w:tc>
        <w:tc>
          <w:tcPr>
            <w:tcW w:w="228" w:type="pct"/>
            <w:shd w:val="clear" w:color="auto" w:fill="auto"/>
            <w:vAlign w:val="center"/>
          </w:tcPr>
          <w:p w14:paraId="1B7BDF6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5C7D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31" w:type="pct"/>
            <w:shd w:val="clear" w:color="auto" w:fill="auto"/>
            <w:noWrap/>
            <w:vAlign w:val="center"/>
          </w:tcPr>
          <w:p w14:paraId="1FDC26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37</w:t>
            </w:r>
          </w:p>
        </w:tc>
        <w:tc>
          <w:tcPr>
            <w:tcW w:w="375" w:type="pct"/>
            <w:shd w:val="clear" w:color="auto" w:fill="auto"/>
            <w:vAlign w:val="center"/>
          </w:tcPr>
          <w:p w14:paraId="512B3D6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消防水罐</w:t>
            </w:r>
          </w:p>
        </w:tc>
        <w:tc>
          <w:tcPr>
            <w:tcW w:w="339" w:type="pct"/>
            <w:shd w:val="clear" w:color="auto" w:fill="auto"/>
            <w:vAlign w:val="center"/>
          </w:tcPr>
          <w:p w14:paraId="4FC7AE0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TK-3101A</w:t>
            </w:r>
          </w:p>
        </w:tc>
        <w:tc>
          <w:tcPr>
            <w:tcW w:w="446" w:type="pct"/>
            <w:shd w:val="clear" w:color="auto" w:fill="auto"/>
            <w:vAlign w:val="center"/>
          </w:tcPr>
          <w:p w14:paraId="43D3518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容积1500m³</w:t>
            </w:r>
          </w:p>
        </w:tc>
        <w:tc>
          <w:tcPr>
            <w:tcW w:w="502" w:type="pct"/>
            <w:shd w:val="clear" w:color="auto" w:fill="auto"/>
            <w:vAlign w:val="center"/>
          </w:tcPr>
          <w:p w14:paraId="3E9C2F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φ11000X17650(高）</w:t>
            </w:r>
          </w:p>
        </w:tc>
        <w:tc>
          <w:tcPr>
            <w:tcW w:w="549" w:type="pct"/>
            <w:shd w:val="clear" w:color="auto" w:fill="auto"/>
            <w:vAlign w:val="center"/>
          </w:tcPr>
          <w:p w14:paraId="375E09D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Q235B</w:t>
            </w:r>
          </w:p>
        </w:tc>
        <w:tc>
          <w:tcPr>
            <w:tcW w:w="456" w:type="pct"/>
            <w:shd w:val="clear" w:color="auto" w:fill="auto"/>
            <w:vAlign w:val="center"/>
          </w:tcPr>
          <w:p w14:paraId="4C23200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w:t>
            </w:r>
          </w:p>
        </w:tc>
        <w:tc>
          <w:tcPr>
            <w:tcW w:w="488" w:type="pct"/>
            <w:shd w:val="clear" w:color="auto" w:fill="auto"/>
            <w:vAlign w:val="center"/>
          </w:tcPr>
          <w:p w14:paraId="6672ACC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117036B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常压</w:t>
            </w:r>
          </w:p>
        </w:tc>
        <w:tc>
          <w:tcPr>
            <w:tcW w:w="398" w:type="pct"/>
            <w:shd w:val="clear" w:color="auto" w:fill="auto"/>
            <w:vAlign w:val="center"/>
          </w:tcPr>
          <w:p w14:paraId="4B1EEC7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w:t>
            </w:r>
          </w:p>
        </w:tc>
        <w:tc>
          <w:tcPr>
            <w:tcW w:w="458" w:type="pct"/>
            <w:shd w:val="clear" w:color="auto" w:fill="auto"/>
            <w:vAlign w:val="center"/>
          </w:tcPr>
          <w:p w14:paraId="1FC7BF8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常温</w:t>
            </w:r>
          </w:p>
        </w:tc>
        <w:tc>
          <w:tcPr>
            <w:tcW w:w="228" w:type="pct"/>
            <w:shd w:val="clear" w:color="auto" w:fill="auto"/>
            <w:vAlign w:val="center"/>
          </w:tcPr>
          <w:p w14:paraId="5D4B3F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7317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shd w:val="clear" w:color="auto" w:fill="auto"/>
            <w:noWrap/>
            <w:vAlign w:val="center"/>
          </w:tcPr>
          <w:p w14:paraId="72D688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38</w:t>
            </w:r>
          </w:p>
        </w:tc>
        <w:tc>
          <w:tcPr>
            <w:tcW w:w="375" w:type="pct"/>
            <w:shd w:val="clear" w:color="auto" w:fill="auto"/>
            <w:vAlign w:val="center"/>
          </w:tcPr>
          <w:p w14:paraId="7BBC6B6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消防水罐</w:t>
            </w:r>
          </w:p>
        </w:tc>
        <w:tc>
          <w:tcPr>
            <w:tcW w:w="339" w:type="pct"/>
            <w:shd w:val="clear" w:color="auto" w:fill="auto"/>
            <w:vAlign w:val="center"/>
          </w:tcPr>
          <w:p w14:paraId="4986772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TK-3101B</w:t>
            </w:r>
          </w:p>
        </w:tc>
        <w:tc>
          <w:tcPr>
            <w:tcW w:w="446" w:type="pct"/>
            <w:shd w:val="clear" w:color="auto" w:fill="auto"/>
            <w:vAlign w:val="center"/>
          </w:tcPr>
          <w:p w14:paraId="15C02B6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容积1500m³</w:t>
            </w:r>
          </w:p>
        </w:tc>
        <w:tc>
          <w:tcPr>
            <w:tcW w:w="502" w:type="pct"/>
            <w:shd w:val="clear" w:color="auto" w:fill="auto"/>
            <w:vAlign w:val="center"/>
          </w:tcPr>
          <w:p w14:paraId="5356B2C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φ11000X17650(高）</w:t>
            </w:r>
          </w:p>
        </w:tc>
        <w:tc>
          <w:tcPr>
            <w:tcW w:w="549" w:type="pct"/>
            <w:shd w:val="clear" w:color="auto" w:fill="auto"/>
            <w:vAlign w:val="center"/>
          </w:tcPr>
          <w:p w14:paraId="70D3F27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Q235B</w:t>
            </w:r>
          </w:p>
        </w:tc>
        <w:tc>
          <w:tcPr>
            <w:tcW w:w="456" w:type="pct"/>
            <w:shd w:val="clear" w:color="auto" w:fill="auto"/>
            <w:vAlign w:val="center"/>
          </w:tcPr>
          <w:p w14:paraId="0706E81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w:t>
            </w:r>
          </w:p>
        </w:tc>
        <w:tc>
          <w:tcPr>
            <w:tcW w:w="488" w:type="pct"/>
            <w:shd w:val="clear" w:color="auto" w:fill="auto"/>
            <w:vAlign w:val="center"/>
          </w:tcPr>
          <w:p w14:paraId="03D4C19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2000/-500Pa</w:t>
            </w:r>
          </w:p>
        </w:tc>
        <w:tc>
          <w:tcPr>
            <w:tcW w:w="526" w:type="pct"/>
            <w:shd w:val="clear" w:color="auto" w:fill="auto"/>
            <w:vAlign w:val="center"/>
          </w:tcPr>
          <w:p w14:paraId="5ADFCE5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常压</w:t>
            </w:r>
          </w:p>
        </w:tc>
        <w:tc>
          <w:tcPr>
            <w:tcW w:w="398" w:type="pct"/>
            <w:shd w:val="clear" w:color="auto" w:fill="auto"/>
            <w:vAlign w:val="center"/>
          </w:tcPr>
          <w:p w14:paraId="742212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w:t>
            </w:r>
          </w:p>
        </w:tc>
        <w:tc>
          <w:tcPr>
            <w:tcW w:w="458" w:type="pct"/>
            <w:shd w:val="clear" w:color="auto" w:fill="auto"/>
            <w:vAlign w:val="center"/>
          </w:tcPr>
          <w:p w14:paraId="4FAD565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常温</w:t>
            </w:r>
          </w:p>
        </w:tc>
        <w:tc>
          <w:tcPr>
            <w:tcW w:w="228" w:type="pct"/>
            <w:shd w:val="clear" w:color="auto" w:fill="auto"/>
            <w:vAlign w:val="center"/>
          </w:tcPr>
          <w:p w14:paraId="48EF573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类外</w:t>
            </w:r>
          </w:p>
        </w:tc>
      </w:tr>
      <w:tr w14:paraId="48A3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shd w:val="clear" w:color="auto" w:fill="auto"/>
            <w:noWrap/>
            <w:vAlign w:val="center"/>
          </w:tcPr>
          <w:p w14:paraId="230825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39</w:t>
            </w:r>
          </w:p>
        </w:tc>
        <w:tc>
          <w:tcPr>
            <w:tcW w:w="375" w:type="pct"/>
            <w:shd w:val="clear" w:color="auto" w:fill="auto"/>
            <w:vAlign w:val="center"/>
          </w:tcPr>
          <w:p w14:paraId="6E0D281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预混合器</w:t>
            </w:r>
          </w:p>
        </w:tc>
        <w:tc>
          <w:tcPr>
            <w:tcW w:w="339" w:type="pct"/>
            <w:shd w:val="clear" w:color="auto" w:fill="auto"/>
            <w:vAlign w:val="center"/>
          </w:tcPr>
          <w:p w14:paraId="3CCD1B7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ascii="Times New Roman"/>
                <w:color w:val="auto"/>
                <w:sz w:val="21"/>
                <w:highlight w:val="none"/>
              </w:rPr>
              <w:t>M-</w:t>
            </w:r>
            <w:r>
              <w:rPr>
                <w:rFonts w:hint="eastAsia" w:ascii="Times New Roman"/>
                <w:color w:val="auto"/>
                <w:sz w:val="21"/>
                <w:highlight w:val="none"/>
                <w:lang w:val="en-US" w:eastAsia="zh-CN"/>
              </w:rPr>
              <w:t>4</w:t>
            </w:r>
            <w:r>
              <w:rPr>
                <w:rFonts w:ascii="Times New Roman"/>
                <w:color w:val="auto"/>
                <w:sz w:val="21"/>
                <w:highlight w:val="none"/>
              </w:rPr>
              <w:t>201A/B/C</w:t>
            </w:r>
          </w:p>
        </w:tc>
        <w:tc>
          <w:tcPr>
            <w:tcW w:w="446" w:type="pct"/>
            <w:shd w:val="clear" w:color="auto" w:fill="auto"/>
            <w:vAlign w:val="center"/>
          </w:tcPr>
          <w:p w14:paraId="17D1A1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w:t>
            </w:r>
          </w:p>
        </w:tc>
        <w:tc>
          <w:tcPr>
            <w:tcW w:w="502" w:type="pct"/>
            <w:shd w:val="clear" w:color="auto" w:fill="auto"/>
            <w:vAlign w:val="center"/>
          </w:tcPr>
          <w:p w14:paraId="02E5B9E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ascii="Times New Roman" w:hAnsi="Times New Roman" w:eastAsia="Times New Roman"/>
                <w:color w:val="auto"/>
                <w:sz w:val="21"/>
                <w:highlight w:val="none"/>
              </w:rPr>
              <w:t>DN300×10</w:t>
            </w:r>
            <w:r>
              <w:rPr>
                <w:color w:val="auto"/>
                <w:sz w:val="21"/>
                <w:highlight w:val="none"/>
              </w:rPr>
              <w:t>，</w:t>
            </w:r>
            <w:r>
              <w:rPr>
                <w:rFonts w:ascii="Times New Roman" w:hAnsi="Times New Roman" w:eastAsia="Times New Roman"/>
                <w:color w:val="auto"/>
                <w:sz w:val="21"/>
                <w:highlight w:val="none"/>
              </w:rPr>
              <w:t>L=2000</w:t>
            </w:r>
          </w:p>
        </w:tc>
        <w:tc>
          <w:tcPr>
            <w:tcW w:w="549" w:type="pct"/>
            <w:shd w:val="clear" w:color="auto" w:fill="auto"/>
            <w:vAlign w:val="center"/>
          </w:tcPr>
          <w:p w14:paraId="1CD57A5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ascii="Times New Roman"/>
                <w:color w:val="auto"/>
                <w:sz w:val="21"/>
                <w:highlight w:val="none"/>
              </w:rPr>
              <w:t>06Cr18Ni10</w:t>
            </w:r>
          </w:p>
        </w:tc>
        <w:tc>
          <w:tcPr>
            <w:tcW w:w="456" w:type="pct"/>
            <w:shd w:val="clear" w:color="auto" w:fill="auto"/>
            <w:vAlign w:val="center"/>
          </w:tcPr>
          <w:p w14:paraId="455600D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color w:val="auto"/>
                <w:spacing w:val="-18"/>
                <w:sz w:val="21"/>
                <w:highlight w:val="none"/>
              </w:rPr>
              <w:t>氨、水、</w:t>
            </w:r>
            <w:r>
              <w:rPr>
                <w:rFonts w:ascii="Times New Roman" w:eastAsia="Times New Roman"/>
                <w:color w:val="auto"/>
                <w:spacing w:val="-8"/>
                <w:sz w:val="21"/>
                <w:highlight w:val="none"/>
              </w:rPr>
              <w:t>EO</w:t>
            </w:r>
          </w:p>
        </w:tc>
        <w:tc>
          <w:tcPr>
            <w:tcW w:w="488" w:type="pct"/>
            <w:shd w:val="clear" w:color="auto" w:fill="auto"/>
            <w:vAlign w:val="center"/>
          </w:tcPr>
          <w:p w14:paraId="14E94DC2">
            <w:pPr>
              <w:pStyle w:val="72"/>
              <w:spacing w:before="24"/>
              <w:jc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ascii="Times New Roman"/>
                <w:color w:val="auto"/>
                <w:w w:val="100"/>
                <w:sz w:val="21"/>
                <w:highlight w:val="none"/>
              </w:rPr>
              <w:t>8</w:t>
            </w:r>
            <w:r>
              <w:rPr>
                <w:rFonts w:hint="eastAsia"/>
                <w:color w:val="auto"/>
                <w:w w:val="100"/>
                <w:sz w:val="21"/>
                <w:highlight w:val="none"/>
                <w:lang w:val="en-US" w:eastAsia="zh-CN"/>
              </w:rPr>
              <w:t>MPa</w:t>
            </w:r>
          </w:p>
        </w:tc>
        <w:tc>
          <w:tcPr>
            <w:tcW w:w="526" w:type="pct"/>
            <w:shd w:val="clear" w:color="auto" w:fill="auto"/>
            <w:vAlign w:val="center"/>
          </w:tcPr>
          <w:p w14:paraId="7E7AFA2D">
            <w:pPr>
              <w:pStyle w:val="72"/>
              <w:spacing w:before="24"/>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ascii="Times New Roman"/>
                <w:color w:val="auto"/>
                <w:sz w:val="21"/>
                <w:highlight w:val="none"/>
              </w:rPr>
              <w:t>6.0~7.0</w:t>
            </w:r>
            <w:r>
              <w:rPr>
                <w:rFonts w:hint="eastAsia"/>
                <w:color w:val="auto"/>
                <w:w w:val="100"/>
                <w:sz w:val="21"/>
                <w:highlight w:val="none"/>
                <w:lang w:val="en-US" w:eastAsia="zh-CN"/>
              </w:rPr>
              <w:t>MPa</w:t>
            </w:r>
          </w:p>
        </w:tc>
        <w:tc>
          <w:tcPr>
            <w:tcW w:w="398" w:type="pct"/>
            <w:shd w:val="clear" w:color="auto" w:fill="auto"/>
            <w:vAlign w:val="center"/>
          </w:tcPr>
          <w:p w14:paraId="4BBDE66B">
            <w:pPr>
              <w:pStyle w:val="72"/>
              <w:spacing w:before="24"/>
              <w:ind w:left="195" w:leftChars="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ascii="Times New Roman"/>
                <w:color w:val="auto"/>
                <w:sz w:val="21"/>
                <w:highlight w:val="none"/>
              </w:rPr>
              <w:t>130</w:t>
            </w:r>
          </w:p>
        </w:tc>
        <w:tc>
          <w:tcPr>
            <w:tcW w:w="458" w:type="pct"/>
            <w:shd w:val="clear" w:color="auto" w:fill="auto"/>
            <w:vAlign w:val="center"/>
          </w:tcPr>
          <w:p w14:paraId="006960D1">
            <w:pPr>
              <w:pStyle w:val="72"/>
              <w:spacing w:before="24"/>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ascii="Times New Roman"/>
                <w:color w:val="auto"/>
                <w:sz w:val="21"/>
                <w:highlight w:val="none"/>
              </w:rPr>
              <w:t>95</w:t>
            </w:r>
          </w:p>
        </w:tc>
        <w:tc>
          <w:tcPr>
            <w:tcW w:w="228" w:type="pct"/>
            <w:shd w:val="clear" w:color="auto" w:fill="auto"/>
            <w:vAlign w:val="center"/>
          </w:tcPr>
          <w:p w14:paraId="571226B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Ⅲ</w:t>
            </w:r>
          </w:p>
        </w:tc>
      </w:tr>
      <w:tr w14:paraId="6123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 w:type="pct"/>
            <w:shd w:val="clear" w:color="auto" w:fill="auto"/>
            <w:noWrap/>
            <w:vAlign w:val="center"/>
          </w:tcPr>
          <w:p w14:paraId="78972C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40</w:t>
            </w:r>
          </w:p>
        </w:tc>
        <w:tc>
          <w:tcPr>
            <w:tcW w:w="375" w:type="pct"/>
            <w:shd w:val="clear" w:color="auto" w:fill="auto"/>
            <w:vAlign w:val="center"/>
          </w:tcPr>
          <w:p w14:paraId="368D3B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燃气锅炉（成套）</w:t>
            </w:r>
          </w:p>
        </w:tc>
        <w:tc>
          <w:tcPr>
            <w:tcW w:w="339" w:type="pct"/>
            <w:shd w:val="clear" w:color="auto" w:fill="auto"/>
            <w:vAlign w:val="center"/>
          </w:tcPr>
          <w:p w14:paraId="64A61B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color w:val="auto"/>
                <w:sz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446" w:type="pct"/>
            <w:shd w:val="clear" w:color="auto" w:fill="auto"/>
            <w:vAlign w:val="center"/>
          </w:tcPr>
          <w:p w14:paraId="574D4F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SZS10-2.5-Y.Q</w:t>
            </w:r>
          </w:p>
        </w:tc>
        <w:tc>
          <w:tcPr>
            <w:tcW w:w="502" w:type="pct"/>
            <w:shd w:val="clear" w:color="auto" w:fill="auto"/>
            <w:vAlign w:val="center"/>
          </w:tcPr>
          <w:p w14:paraId="68A66A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eastAsia="Times New Roman"/>
                <w:color w:val="auto"/>
                <w:sz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549" w:type="pct"/>
            <w:shd w:val="clear" w:color="auto" w:fill="auto"/>
            <w:vAlign w:val="center"/>
          </w:tcPr>
          <w:p w14:paraId="2E8059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color w:val="auto"/>
                <w:sz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56" w:type="pct"/>
            <w:shd w:val="clear" w:color="auto" w:fill="auto"/>
            <w:vAlign w:val="center"/>
          </w:tcPr>
          <w:p w14:paraId="1206BCE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pacing w:val="-18"/>
                <w:sz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软化水</w:t>
            </w:r>
          </w:p>
        </w:tc>
        <w:tc>
          <w:tcPr>
            <w:tcW w:w="488" w:type="pct"/>
            <w:shd w:val="clear" w:color="auto" w:fill="auto"/>
            <w:vAlign w:val="center"/>
          </w:tcPr>
          <w:p w14:paraId="31809B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color w:val="auto"/>
                <w:w w:val="100"/>
                <w:sz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2.5Mpa</w:t>
            </w:r>
          </w:p>
        </w:tc>
        <w:tc>
          <w:tcPr>
            <w:tcW w:w="526" w:type="pct"/>
            <w:shd w:val="clear" w:color="auto" w:fill="auto"/>
            <w:vAlign w:val="center"/>
          </w:tcPr>
          <w:p w14:paraId="79B354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color w:val="auto"/>
                <w:sz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2.5Mpa</w:t>
            </w:r>
          </w:p>
        </w:tc>
        <w:tc>
          <w:tcPr>
            <w:tcW w:w="398" w:type="pct"/>
            <w:shd w:val="clear" w:color="auto" w:fill="auto"/>
            <w:vAlign w:val="center"/>
          </w:tcPr>
          <w:p w14:paraId="4C9F43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color w:val="auto"/>
                <w:sz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226℃</w:t>
            </w:r>
          </w:p>
        </w:tc>
        <w:tc>
          <w:tcPr>
            <w:tcW w:w="458" w:type="pct"/>
            <w:shd w:val="clear" w:color="auto" w:fill="auto"/>
            <w:vAlign w:val="center"/>
          </w:tcPr>
          <w:p w14:paraId="20652C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color w:val="auto"/>
                <w:sz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&lt;226℃</w:t>
            </w:r>
          </w:p>
        </w:tc>
        <w:tc>
          <w:tcPr>
            <w:tcW w:w="228" w:type="pct"/>
            <w:shd w:val="clear" w:color="auto" w:fill="auto"/>
            <w:vAlign w:val="center"/>
          </w:tcPr>
          <w:p w14:paraId="4AC93F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I</w:t>
            </w:r>
          </w:p>
        </w:tc>
      </w:tr>
    </w:tbl>
    <w:p w14:paraId="69834E3A">
      <w:pPr>
        <w:jc w:val="center"/>
        <w:rPr>
          <w:snapToGrid w:val="0"/>
          <w:color w:val="auto"/>
          <w:sz w:val="36"/>
          <w:szCs w:val="36"/>
          <w:highlight w:val="none"/>
        </w:rPr>
      </w:pPr>
    </w:p>
    <w:p w14:paraId="03EDE935">
      <w:pPr>
        <w:jc w:val="center"/>
        <w:rPr>
          <w:snapToGrid w:val="0"/>
          <w:color w:val="auto"/>
          <w:sz w:val="36"/>
          <w:szCs w:val="36"/>
          <w:highlight w:val="none"/>
        </w:rPr>
      </w:pPr>
    </w:p>
    <w:p w14:paraId="095439A4">
      <w:pPr>
        <w:jc w:val="center"/>
        <w:rPr>
          <w:snapToGrid w:val="0"/>
          <w:color w:val="auto"/>
          <w:sz w:val="36"/>
          <w:szCs w:val="36"/>
          <w:highlight w:val="none"/>
        </w:rPr>
      </w:pPr>
    </w:p>
    <w:p w14:paraId="49DF853F">
      <w:pPr>
        <w:jc w:val="center"/>
        <w:rPr>
          <w:snapToGrid w:val="0"/>
          <w:color w:val="auto"/>
          <w:sz w:val="36"/>
          <w:szCs w:val="36"/>
          <w:highlight w:val="none"/>
        </w:rPr>
        <w:sectPr>
          <w:pgSz w:w="16838" w:h="11906" w:orient="landscape"/>
          <w:pgMar w:top="1531" w:right="1701" w:bottom="1531" w:left="1701" w:header="851" w:footer="851" w:gutter="0"/>
          <w:pgNumType w:fmt="decimal"/>
          <w:cols w:space="720" w:num="1"/>
          <w:docGrid w:linePitch="312" w:charSpace="0"/>
        </w:sectPr>
      </w:pPr>
    </w:p>
    <w:tbl>
      <w:tblPr>
        <w:tblStyle w:val="2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1"/>
        <w:gridCol w:w="8684"/>
      </w:tblGrid>
      <w:tr w14:paraId="724B3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 w:type="pct"/>
            <w:vAlign w:val="center"/>
          </w:tcPr>
          <w:p w14:paraId="68B5D3A0">
            <w:pPr>
              <w:widowControl/>
              <w:adjustRightInd w:val="0"/>
              <w:snapToGrid w:val="0"/>
              <w:jc w:val="center"/>
              <w:rPr>
                <w:color w:val="auto"/>
                <w:kern w:val="0"/>
                <w:sz w:val="24"/>
                <w:highlight w:val="none"/>
              </w:rPr>
            </w:pPr>
            <w:r>
              <w:rPr>
                <w:bCs/>
                <w:color w:val="auto"/>
                <w:sz w:val="24"/>
                <w:highlight w:val="none"/>
              </w:rPr>
              <w:t>与项目有关的原有环境污染问题</w:t>
            </w:r>
          </w:p>
        </w:tc>
        <w:tc>
          <w:tcPr>
            <w:tcW w:w="4795" w:type="pct"/>
          </w:tcPr>
          <w:p w14:paraId="5DF54091">
            <w:pPr>
              <w:spacing w:line="360" w:lineRule="auto"/>
              <w:ind w:firstLine="482"/>
              <w:rPr>
                <w:rFonts w:hint="default" w:ascii="Times New Roman" w:hAnsi="Times New Roman" w:cs="Times New Roman"/>
                <w:b/>
                <w:color w:val="auto"/>
                <w:sz w:val="24"/>
                <w:highlight w:val="none"/>
                <w:lang w:val="en-US" w:eastAsia="zh-CN"/>
              </w:rPr>
            </w:pPr>
            <w:r>
              <w:rPr>
                <w:rFonts w:hint="eastAsia" w:ascii="Times New Roman" w:hAnsi="Times New Roman" w:cs="Times New Roman"/>
                <w:b/>
                <w:color w:val="auto"/>
                <w:sz w:val="24"/>
                <w:highlight w:val="none"/>
                <w:lang w:val="en-US" w:eastAsia="zh-CN"/>
              </w:rPr>
              <w:t>5</w:t>
            </w:r>
            <w:r>
              <w:rPr>
                <w:rFonts w:hint="default" w:ascii="Times New Roman" w:hAnsi="Times New Roman" w:cs="Times New Roman"/>
                <w:b/>
                <w:color w:val="auto"/>
                <w:sz w:val="24"/>
                <w:highlight w:val="none"/>
                <w:lang w:val="en-US" w:eastAsia="zh-CN"/>
              </w:rPr>
              <w:t>、企业</w:t>
            </w:r>
            <w:r>
              <w:rPr>
                <w:rFonts w:hint="eastAsia" w:ascii="Times New Roman" w:hAnsi="Times New Roman" w:cs="Times New Roman"/>
                <w:b/>
                <w:color w:val="auto"/>
                <w:sz w:val="24"/>
                <w:highlight w:val="none"/>
                <w:lang w:val="en-US" w:eastAsia="zh-CN"/>
              </w:rPr>
              <w:t>现有工程基础设施配套情况</w:t>
            </w:r>
          </w:p>
          <w:p w14:paraId="34FBF3FE">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（1）给水</w:t>
            </w:r>
          </w:p>
          <w:p w14:paraId="1E9C0A0B">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生产和生活</w:t>
            </w:r>
            <w:r>
              <w:rPr>
                <w:rFonts w:hint="eastAsia" w:cs="Times New Roman"/>
                <w:b w:val="0"/>
                <w:bCs/>
                <w:color w:val="auto"/>
                <w:sz w:val="24"/>
                <w:highlight w:val="none"/>
                <w:lang w:val="en-US" w:eastAsia="zh-CN"/>
              </w:rPr>
              <w:t>用水</w:t>
            </w:r>
            <w:r>
              <w:rPr>
                <w:rFonts w:hint="eastAsia" w:ascii="Times New Roman" w:hAnsi="Times New Roman" w:cs="Times New Roman"/>
                <w:b w:val="0"/>
                <w:bCs/>
                <w:color w:val="auto"/>
                <w:sz w:val="24"/>
                <w:highlight w:val="none"/>
                <w:lang w:val="en-US" w:eastAsia="zh-CN"/>
              </w:rPr>
              <w:t>均由</w:t>
            </w:r>
            <w:r>
              <w:rPr>
                <w:rFonts w:hint="eastAsia" w:cs="Times New Roman"/>
                <w:b w:val="0"/>
                <w:bCs/>
                <w:color w:val="auto"/>
                <w:sz w:val="24"/>
                <w:highlight w:val="none"/>
                <w:lang w:val="en-US" w:eastAsia="zh-CN"/>
              </w:rPr>
              <w:t>大英</w:t>
            </w:r>
            <w:r>
              <w:rPr>
                <w:rFonts w:hint="eastAsia" w:ascii="Times New Roman" w:hAnsi="Times New Roman" w:cs="Times New Roman"/>
                <w:b w:val="0"/>
                <w:bCs/>
                <w:color w:val="auto"/>
                <w:sz w:val="24"/>
                <w:highlight w:val="none"/>
                <w:lang w:val="en-US" w:eastAsia="zh-CN"/>
              </w:rPr>
              <w:t>工业集中区市政</w:t>
            </w:r>
            <w:r>
              <w:rPr>
                <w:rFonts w:hint="eastAsia" w:cs="Times New Roman"/>
                <w:b w:val="0"/>
                <w:bCs/>
                <w:color w:val="auto"/>
                <w:sz w:val="24"/>
                <w:highlight w:val="none"/>
                <w:lang w:val="en-US" w:eastAsia="zh-CN"/>
              </w:rPr>
              <w:t>给水管网提供</w:t>
            </w:r>
            <w:r>
              <w:rPr>
                <w:rFonts w:hint="eastAsia" w:ascii="Times New Roman" w:hAnsi="Times New Roman" w:cs="Times New Roman"/>
                <w:b w:val="0"/>
                <w:bCs/>
                <w:color w:val="auto"/>
                <w:sz w:val="24"/>
                <w:highlight w:val="none"/>
                <w:lang w:val="en-US" w:eastAsia="zh-CN"/>
              </w:rPr>
              <w:t>，供水能力大于100m</w:t>
            </w:r>
            <w:r>
              <w:rPr>
                <w:rFonts w:hint="eastAsia" w:ascii="Times New Roman" w:hAnsi="Times New Roman" w:cs="Times New Roman"/>
                <w:b w:val="0"/>
                <w:bCs/>
                <w:color w:val="auto"/>
                <w:sz w:val="24"/>
                <w:highlight w:val="none"/>
                <w:vertAlign w:val="superscript"/>
                <w:lang w:val="en-US" w:eastAsia="zh-CN"/>
              </w:rPr>
              <w:t>3</w:t>
            </w:r>
            <w:r>
              <w:rPr>
                <w:rFonts w:hint="eastAsia" w:ascii="Times New Roman" w:hAnsi="Times New Roman" w:cs="Times New Roman"/>
                <w:b w:val="0"/>
                <w:bCs/>
                <w:color w:val="auto"/>
                <w:sz w:val="24"/>
                <w:highlight w:val="none"/>
                <w:lang w:val="en-US" w:eastAsia="zh-CN"/>
              </w:rPr>
              <w:t>/h，满足厂区生产、生活用水需要。</w:t>
            </w:r>
          </w:p>
          <w:p w14:paraId="517B53FD">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（2）排水</w:t>
            </w:r>
          </w:p>
          <w:p w14:paraId="34BF9ACC">
            <w:pPr>
              <w:spacing w:line="360" w:lineRule="auto"/>
              <w:ind w:firstLine="482"/>
              <w:rPr>
                <w:rFonts w:hint="default"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项目排水系统采用雨、污分流制。雨水经厂区雨水管排入园区雨水管道。厂区生产、生活污水经厂区污水处理站处理达到</w:t>
            </w:r>
            <w:r>
              <w:rPr>
                <w:rFonts w:hint="default" w:ascii="Times New Roman" w:hAnsi="Times New Roman" w:cs="Times New Roman"/>
                <w:b w:val="0"/>
                <w:bCs/>
                <w:color w:val="auto"/>
                <w:sz w:val="24"/>
                <w:highlight w:val="none"/>
                <w:lang w:val="en-US" w:eastAsia="zh-CN"/>
              </w:rPr>
              <w:t>《污水综合排放标准》（GB8978-1996）三级标准后进入园区污水处理厂。厂区污水处理站处理能力为3.5m</w:t>
            </w:r>
            <w:r>
              <w:rPr>
                <w:rFonts w:hint="default" w:ascii="Times New Roman" w:hAnsi="Times New Roman" w:cs="Times New Roman"/>
                <w:b w:val="0"/>
                <w:bCs/>
                <w:color w:val="auto"/>
                <w:sz w:val="24"/>
                <w:highlight w:val="none"/>
                <w:vertAlign w:val="superscript"/>
                <w:lang w:val="en-US" w:eastAsia="zh-CN"/>
              </w:rPr>
              <w:t>3</w:t>
            </w:r>
            <w:r>
              <w:rPr>
                <w:rFonts w:hint="default" w:ascii="Times New Roman" w:hAnsi="Times New Roman" w:cs="Times New Roman"/>
                <w:b w:val="0"/>
                <w:bCs/>
                <w:color w:val="auto"/>
                <w:sz w:val="24"/>
                <w:highlight w:val="none"/>
                <w:lang w:val="en-US" w:eastAsia="zh-CN"/>
              </w:rPr>
              <w:t>/h，采用“预处理（芬顿反应+铁碳内电解+混凝沉淀+生化调节）+厌氧（水解酸化法+UASB）+两级</w:t>
            </w:r>
            <w:r>
              <w:rPr>
                <w:rFonts w:hint="eastAsia" w:ascii="Times New Roman" w:hAnsi="Times New Roman" w:cs="Times New Roman"/>
                <w:b w:val="0"/>
                <w:bCs/>
                <w:color w:val="auto"/>
                <w:sz w:val="24"/>
                <w:highlight w:val="none"/>
                <w:lang w:val="en-US" w:eastAsia="zh-CN"/>
              </w:rPr>
              <w:t>A/0</w:t>
            </w:r>
            <w:r>
              <w:rPr>
                <w:rFonts w:hint="default" w:ascii="Times New Roman" w:hAnsi="Times New Roman" w:cs="Times New Roman"/>
                <w:b w:val="0"/>
                <w:bCs/>
                <w:color w:val="auto"/>
                <w:sz w:val="24"/>
                <w:highlight w:val="none"/>
                <w:lang w:val="en-US" w:eastAsia="zh-CN"/>
              </w:rPr>
              <w:t>”的组合废水处理工艺。</w:t>
            </w:r>
          </w:p>
          <w:p w14:paraId="4ACF7FE5">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（3）供热</w:t>
            </w:r>
          </w:p>
          <w:p w14:paraId="67D23C4A">
            <w:pPr>
              <w:spacing w:line="360" w:lineRule="auto"/>
              <w:ind w:firstLine="482"/>
              <w:rPr>
                <w:rFonts w:hint="default"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厂区现有1台燃气蒸汽锅炉（10t/h），</w:t>
            </w:r>
            <w:r>
              <w:rPr>
                <w:rFonts w:hint="eastAsia" w:cs="Times New Roman"/>
                <w:b w:val="0"/>
                <w:bCs/>
                <w:color w:val="auto"/>
                <w:sz w:val="24"/>
                <w:highlight w:val="none"/>
                <w:lang w:val="en-US" w:eastAsia="zh-CN"/>
              </w:rPr>
              <w:t>饱和蒸汽压</w:t>
            </w:r>
            <w:r>
              <w:rPr>
                <w:rFonts w:hint="eastAsia" w:ascii="Times New Roman" w:hAnsi="Times New Roman" w:cs="Times New Roman"/>
                <w:b w:val="0"/>
                <w:bCs/>
                <w:color w:val="auto"/>
                <w:sz w:val="24"/>
                <w:highlight w:val="none"/>
                <w:lang w:val="en-US" w:eastAsia="zh-CN"/>
              </w:rPr>
              <w:t>2.0MPa</w:t>
            </w:r>
            <w:r>
              <w:rPr>
                <w:rFonts w:hint="eastAsia" w:cs="Times New Roman"/>
                <w:b w:val="0"/>
                <w:bCs/>
                <w:color w:val="auto"/>
                <w:sz w:val="24"/>
                <w:highlight w:val="none"/>
                <w:lang w:val="en-US" w:eastAsia="zh-CN"/>
              </w:rPr>
              <w:t>，目前富余3.5t/h蒸汽产能。</w:t>
            </w:r>
          </w:p>
          <w:p w14:paraId="577C25BE">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（4）空调</w:t>
            </w:r>
          </w:p>
          <w:p w14:paraId="024C1737">
            <w:pPr>
              <w:spacing w:line="360" w:lineRule="auto"/>
              <w:ind w:firstLine="482"/>
              <w:rPr>
                <w:rFonts w:hint="eastAsia" w:ascii="Times New Roman" w:hAnsi="Times New Roman" w:cs="Times New Roman"/>
                <w:b w:val="0"/>
                <w:bCs/>
                <w:color w:val="auto"/>
                <w:sz w:val="24"/>
                <w:highlight w:val="none"/>
                <w:lang w:val="en-US" w:eastAsia="zh-CN"/>
              </w:rPr>
            </w:pPr>
            <w:r>
              <w:rPr>
                <w:rFonts w:hint="eastAsia" w:cs="Times New Roman"/>
                <w:b w:val="0"/>
                <w:bCs/>
                <w:color w:val="auto"/>
                <w:sz w:val="24"/>
                <w:highlight w:val="none"/>
                <w:lang w:val="en-US" w:eastAsia="zh-CN"/>
              </w:rPr>
              <w:t>厂区不</w:t>
            </w:r>
            <w:r>
              <w:rPr>
                <w:rFonts w:hint="eastAsia" w:ascii="Times New Roman" w:hAnsi="Times New Roman" w:cs="Times New Roman"/>
                <w:b w:val="0"/>
                <w:bCs/>
                <w:color w:val="auto"/>
                <w:sz w:val="24"/>
                <w:highlight w:val="none"/>
                <w:lang w:val="en-US" w:eastAsia="zh-CN"/>
              </w:rPr>
              <w:t>设中央空调</w:t>
            </w:r>
            <w:r>
              <w:rPr>
                <w:rFonts w:hint="eastAsia" w:cs="Times New Roman"/>
                <w:b w:val="0"/>
                <w:bCs/>
                <w:color w:val="auto"/>
                <w:sz w:val="24"/>
                <w:highlight w:val="none"/>
                <w:lang w:val="en-US" w:eastAsia="zh-CN"/>
              </w:rPr>
              <w:t>，仅综合办公楼设置分体式空调</w:t>
            </w:r>
            <w:r>
              <w:rPr>
                <w:rFonts w:hint="eastAsia" w:ascii="Times New Roman" w:hAnsi="Times New Roman" w:cs="Times New Roman"/>
                <w:b w:val="0"/>
                <w:bCs/>
                <w:color w:val="auto"/>
                <w:sz w:val="24"/>
                <w:highlight w:val="none"/>
                <w:lang w:val="en-US" w:eastAsia="zh-CN"/>
              </w:rPr>
              <w:t>。</w:t>
            </w:r>
          </w:p>
          <w:p w14:paraId="538B61B0">
            <w:pPr>
              <w:numPr>
                <w:ilvl w:val="0"/>
                <w:numId w:val="23"/>
              </w:num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供电</w:t>
            </w:r>
          </w:p>
          <w:p w14:paraId="228F6921">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电源由</w:t>
            </w:r>
            <w:r>
              <w:rPr>
                <w:rFonts w:hint="eastAsia" w:cs="Times New Roman"/>
                <w:b w:val="0"/>
                <w:bCs/>
                <w:color w:val="auto"/>
                <w:sz w:val="24"/>
                <w:highlight w:val="none"/>
                <w:lang w:val="en-US" w:eastAsia="zh-CN"/>
              </w:rPr>
              <w:t>园区</w:t>
            </w:r>
            <w:r>
              <w:rPr>
                <w:rFonts w:hint="eastAsia" w:ascii="Times New Roman" w:hAnsi="Times New Roman" w:cs="Times New Roman"/>
                <w:b w:val="0"/>
                <w:bCs/>
                <w:color w:val="auto"/>
                <w:sz w:val="24"/>
                <w:highlight w:val="none"/>
                <w:lang w:val="en-US" w:eastAsia="zh-CN"/>
              </w:rPr>
              <w:t>市政电网提供，电源可靠，质量稳定。</w:t>
            </w:r>
          </w:p>
          <w:p w14:paraId="464AC2C8">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（6）</w:t>
            </w:r>
            <w:r>
              <w:rPr>
                <w:rFonts w:hint="eastAsia" w:cs="Times New Roman"/>
                <w:b w:val="0"/>
                <w:bCs/>
                <w:color w:val="auto"/>
                <w:sz w:val="24"/>
                <w:highlight w:val="none"/>
                <w:lang w:val="en-US" w:eastAsia="zh-CN"/>
              </w:rPr>
              <w:t>空压制氮站</w:t>
            </w:r>
          </w:p>
          <w:p w14:paraId="74124372">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一套PSA制氮单元，产气量为100标立方米/时，压力为0.6MPa，氮气纯度99.9%，并设置一个10立方米的氮气缓冲罐。</w:t>
            </w:r>
          </w:p>
          <w:p w14:paraId="08031022">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一套空压单元，压力为0.6MPa，并分别设置一个10立方米的储气缓冲罐。</w:t>
            </w:r>
          </w:p>
          <w:p w14:paraId="5287E776">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空压机房内设：螺杆式空压机2台，粗效过滤器2台，干燥机2台，高效过滤器2台，油水分离器1台，储气罐3个，废油收集器1台。设备一运行一备用。</w:t>
            </w:r>
          </w:p>
          <w:p w14:paraId="2C92F74C">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w:t>
            </w:r>
            <w:r>
              <w:rPr>
                <w:rFonts w:hint="eastAsia" w:cs="Times New Roman"/>
                <w:b w:val="0"/>
                <w:bCs/>
                <w:color w:val="auto"/>
                <w:sz w:val="24"/>
                <w:highlight w:val="none"/>
                <w:lang w:val="en-US" w:eastAsia="zh-CN"/>
              </w:rPr>
              <w:t>7</w:t>
            </w:r>
            <w:r>
              <w:rPr>
                <w:rFonts w:hint="eastAsia" w:ascii="Times New Roman" w:hAnsi="Times New Roman" w:cs="Times New Roman"/>
                <w:b w:val="0"/>
                <w:bCs/>
                <w:color w:val="auto"/>
                <w:sz w:val="24"/>
                <w:highlight w:val="none"/>
                <w:lang w:val="en-US" w:eastAsia="zh-CN"/>
              </w:rPr>
              <w:t>）</w:t>
            </w:r>
            <w:r>
              <w:rPr>
                <w:rFonts w:hint="eastAsia" w:cs="Times New Roman"/>
                <w:b w:val="0"/>
                <w:bCs/>
                <w:color w:val="auto"/>
                <w:sz w:val="24"/>
                <w:highlight w:val="none"/>
                <w:lang w:val="en-US" w:eastAsia="zh-CN"/>
              </w:rPr>
              <w:t>制冷站</w:t>
            </w:r>
          </w:p>
          <w:p w14:paraId="7C0DBDCE">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制冷站一座，</w:t>
            </w:r>
            <w:r>
              <w:rPr>
                <w:rFonts w:hint="eastAsia" w:cs="Times New Roman"/>
                <w:b w:val="0"/>
                <w:bCs/>
                <w:color w:val="auto"/>
                <w:sz w:val="24"/>
                <w:highlight w:val="none"/>
                <w:lang w:val="en-US" w:eastAsia="zh-CN"/>
              </w:rPr>
              <w:t>内设</w:t>
            </w:r>
            <w:r>
              <w:rPr>
                <w:rFonts w:hint="eastAsia" w:cs="Times New Roman"/>
                <w:color w:val="auto"/>
                <w:kern w:val="0"/>
                <w:sz w:val="24"/>
                <w:szCs w:val="24"/>
                <w:highlight w:val="none"/>
                <w:lang w:val="en-US" w:eastAsia="zh-CN" w:bidi="ar"/>
              </w:rPr>
              <w:t>2套（1用1备）</w:t>
            </w:r>
            <w:r>
              <w:rPr>
                <w:rFonts w:hint="eastAsia" w:ascii="Times New Roman" w:hAnsi="Times New Roman" w:cs="Times New Roman"/>
                <w:b w:val="0"/>
                <w:bCs/>
                <w:color w:val="auto"/>
                <w:sz w:val="24"/>
                <w:highlight w:val="none"/>
                <w:lang w:val="en-US" w:eastAsia="zh-CN"/>
              </w:rPr>
              <w:t>自动螺杆低温乙二醇机组，制冷站提供供/回水温度为－10/－5℃的制冷液供给生产装置冷换设备。制冷系统的制冷量为</w:t>
            </w:r>
            <w:r>
              <w:rPr>
                <w:rFonts w:hint="eastAsia" w:cs="Times New Roman"/>
                <w:b w:val="0"/>
                <w:bCs/>
                <w:color w:val="auto"/>
                <w:sz w:val="24"/>
                <w:highlight w:val="none"/>
                <w:lang w:val="en-US" w:eastAsia="zh-CN"/>
              </w:rPr>
              <w:t>9</w:t>
            </w:r>
            <w:r>
              <w:rPr>
                <w:rFonts w:hint="eastAsia" w:ascii="Times New Roman" w:hAnsi="Times New Roman" w:cs="Times New Roman"/>
                <w:b w:val="0"/>
                <w:bCs/>
                <w:color w:val="auto"/>
                <w:sz w:val="24"/>
                <w:highlight w:val="none"/>
                <w:lang w:val="en-US" w:eastAsia="zh-CN"/>
              </w:rPr>
              <w:t>0</w:t>
            </w:r>
            <w:r>
              <w:rPr>
                <w:rFonts w:hint="eastAsia"/>
                <w:color w:val="auto"/>
                <w:sz w:val="24"/>
                <w:highlight w:val="none"/>
              </w:rPr>
              <w:t>m</w:t>
            </w:r>
            <w:r>
              <w:rPr>
                <w:rFonts w:hint="eastAsia"/>
                <w:color w:val="auto"/>
                <w:sz w:val="24"/>
                <w:highlight w:val="none"/>
                <w:vertAlign w:val="superscript"/>
                <w:lang w:val="en-US" w:eastAsia="zh-CN"/>
              </w:rPr>
              <w:t>3</w:t>
            </w:r>
            <w:r>
              <w:rPr>
                <w:rFonts w:hint="eastAsia" w:ascii="Times New Roman" w:hAnsi="Times New Roman" w:cs="Times New Roman"/>
                <w:b w:val="0"/>
                <w:bCs/>
                <w:color w:val="auto"/>
                <w:sz w:val="24"/>
                <w:highlight w:val="none"/>
                <w:lang w:val="en-US" w:eastAsia="zh-CN"/>
              </w:rPr>
              <w:t>/h供给量，制冷系统冷冻机选用水冷螺杆式低温制冷机组，制冷、载冷剂为乙二醇溶液。</w:t>
            </w:r>
          </w:p>
          <w:p w14:paraId="04DFD516">
            <w:pPr>
              <w:spacing w:line="360" w:lineRule="auto"/>
              <w:ind w:firstLine="482"/>
              <w:rPr>
                <w:rFonts w:hint="eastAsia" w:ascii="Times New Roman" w:hAnsi="Times New Roman" w:cs="Times New Roman"/>
                <w:b w:val="0"/>
                <w:bCs/>
                <w:color w:val="auto"/>
                <w:sz w:val="24"/>
                <w:highlight w:val="none"/>
                <w:lang w:val="en-US" w:eastAsia="zh-CN"/>
              </w:rPr>
            </w:pPr>
            <w:r>
              <w:rPr>
                <w:rFonts w:hint="eastAsia" w:cs="Times New Roman"/>
                <w:b w:val="0"/>
                <w:bCs/>
                <w:color w:val="auto"/>
                <w:sz w:val="24"/>
                <w:highlight w:val="none"/>
                <w:lang w:val="en-US" w:eastAsia="zh-CN"/>
              </w:rPr>
              <w:t>（8）</w:t>
            </w:r>
            <w:r>
              <w:rPr>
                <w:rFonts w:hint="eastAsia" w:ascii="Times New Roman" w:hAnsi="Times New Roman" w:cs="Times New Roman"/>
                <w:b w:val="0"/>
                <w:bCs/>
                <w:color w:val="auto"/>
                <w:sz w:val="24"/>
                <w:highlight w:val="none"/>
                <w:lang w:val="en-US" w:eastAsia="zh-CN"/>
              </w:rPr>
              <w:t>循环水泵房</w:t>
            </w:r>
          </w:p>
          <w:p w14:paraId="208AC267">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循环水泵房一座，循环水池容积为</w:t>
            </w:r>
            <w:r>
              <w:rPr>
                <w:rFonts w:hint="eastAsia" w:cs="Times New Roman"/>
                <w:b w:val="0"/>
                <w:bCs/>
                <w:color w:val="auto"/>
                <w:sz w:val="24"/>
                <w:highlight w:val="none"/>
                <w:lang w:val="en-US" w:eastAsia="zh-CN"/>
              </w:rPr>
              <w:t>3</w:t>
            </w:r>
            <w:r>
              <w:rPr>
                <w:rFonts w:hint="eastAsia" w:ascii="Times New Roman" w:hAnsi="Times New Roman" w:cs="Times New Roman"/>
                <w:b w:val="0"/>
                <w:bCs/>
                <w:color w:val="auto"/>
                <w:sz w:val="24"/>
                <w:highlight w:val="none"/>
                <w:lang w:val="en-US" w:eastAsia="zh-CN"/>
              </w:rPr>
              <w:t>00m</w:t>
            </w:r>
            <w:r>
              <w:rPr>
                <w:rFonts w:hint="eastAsia" w:ascii="Times New Roman" w:hAnsi="Times New Roman" w:cs="Times New Roman"/>
                <w:b w:val="0"/>
                <w:bCs/>
                <w:color w:val="auto"/>
                <w:sz w:val="24"/>
                <w:highlight w:val="none"/>
                <w:vertAlign w:val="superscript"/>
                <w:lang w:val="en-US" w:eastAsia="zh-CN"/>
              </w:rPr>
              <w:t>3</w:t>
            </w:r>
            <w:r>
              <w:rPr>
                <w:rFonts w:hint="eastAsia" w:ascii="Times New Roman" w:hAnsi="Times New Roman" w:cs="Times New Roman"/>
                <w:b w:val="0"/>
                <w:bCs/>
                <w:color w:val="auto"/>
                <w:sz w:val="24"/>
                <w:highlight w:val="none"/>
                <w:lang w:val="en-US" w:eastAsia="zh-CN"/>
              </w:rPr>
              <w:t>，并配套建设</w:t>
            </w:r>
            <w:r>
              <w:rPr>
                <w:rFonts w:hint="eastAsia" w:cs="Times New Roman"/>
                <w:b w:val="0"/>
                <w:bCs/>
                <w:color w:val="auto"/>
                <w:sz w:val="24"/>
                <w:highlight w:val="none"/>
                <w:lang w:val="en-US" w:eastAsia="zh-CN"/>
              </w:rPr>
              <w:t>2</w:t>
            </w:r>
            <w:r>
              <w:rPr>
                <w:rFonts w:hint="eastAsia" w:ascii="Times New Roman" w:hAnsi="Times New Roman" w:cs="Times New Roman"/>
                <w:b w:val="0"/>
                <w:bCs/>
                <w:color w:val="auto"/>
                <w:sz w:val="24"/>
                <w:highlight w:val="none"/>
                <w:lang w:val="en-US" w:eastAsia="zh-CN"/>
              </w:rPr>
              <w:t>个逆流式钢筋混凝土冷却塔，循环冷却水设计能力</w:t>
            </w:r>
            <w:r>
              <w:rPr>
                <w:rFonts w:hint="eastAsia" w:cs="Times New Roman"/>
                <w:b w:val="0"/>
                <w:bCs/>
                <w:color w:val="auto"/>
                <w:sz w:val="24"/>
                <w:highlight w:val="none"/>
                <w:lang w:val="en-US" w:eastAsia="zh-CN"/>
              </w:rPr>
              <w:t>3</w:t>
            </w:r>
            <w:r>
              <w:rPr>
                <w:rFonts w:hint="eastAsia" w:ascii="Times New Roman" w:hAnsi="Times New Roman" w:cs="Times New Roman"/>
                <w:b w:val="0"/>
                <w:bCs/>
                <w:color w:val="auto"/>
                <w:sz w:val="24"/>
                <w:highlight w:val="none"/>
                <w:lang w:val="en-US" w:eastAsia="zh-CN"/>
              </w:rPr>
              <w:t>00m</w:t>
            </w:r>
            <w:r>
              <w:rPr>
                <w:rFonts w:hint="eastAsia" w:ascii="Times New Roman" w:hAnsi="Times New Roman" w:cs="Times New Roman"/>
                <w:b w:val="0"/>
                <w:bCs/>
                <w:color w:val="auto"/>
                <w:sz w:val="24"/>
                <w:highlight w:val="none"/>
                <w:vertAlign w:val="superscript"/>
                <w:lang w:val="en-US" w:eastAsia="zh-CN"/>
              </w:rPr>
              <w:t>3</w:t>
            </w:r>
            <w:r>
              <w:rPr>
                <w:rFonts w:hint="eastAsia" w:ascii="Times New Roman" w:hAnsi="Times New Roman" w:cs="Times New Roman"/>
                <w:b w:val="0"/>
                <w:bCs/>
                <w:color w:val="auto"/>
                <w:sz w:val="24"/>
                <w:highlight w:val="none"/>
                <w:lang w:val="en-US" w:eastAsia="zh-CN"/>
              </w:rPr>
              <w:t>/h，同时配备两台卧式蜗壳双吸离心泵（单台流量</w:t>
            </w:r>
            <w:r>
              <w:rPr>
                <w:rFonts w:hint="eastAsia" w:cs="Times New Roman"/>
                <w:b w:val="0"/>
                <w:bCs/>
                <w:color w:val="auto"/>
                <w:sz w:val="24"/>
                <w:highlight w:val="none"/>
                <w:lang w:val="en-US" w:eastAsia="zh-CN"/>
              </w:rPr>
              <w:t>45</w:t>
            </w:r>
            <w:r>
              <w:rPr>
                <w:rFonts w:hint="eastAsia" w:ascii="Times New Roman" w:hAnsi="Times New Roman" w:cs="Times New Roman"/>
                <w:b w:val="0"/>
                <w:bCs/>
                <w:color w:val="auto"/>
                <w:sz w:val="24"/>
                <w:highlight w:val="none"/>
                <w:lang w:val="en-US" w:eastAsia="zh-CN"/>
              </w:rPr>
              <w:t>0m</w:t>
            </w:r>
            <w:r>
              <w:rPr>
                <w:rFonts w:hint="eastAsia" w:ascii="Times New Roman" w:hAnsi="Times New Roman" w:cs="Times New Roman"/>
                <w:b w:val="0"/>
                <w:bCs/>
                <w:color w:val="auto"/>
                <w:sz w:val="24"/>
                <w:highlight w:val="none"/>
                <w:vertAlign w:val="superscript"/>
                <w:lang w:val="en-US" w:eastAsia="zh-CN"/>
              </w:rPr>
              <w:t>3</w:t>
            </w:r>
            <w:r>
              <w:rPr>
                <w:rFonts w:hint="eastAsia" w:ascii="Times New Roman" w:hAnsi="Times New Roman" w:cs="Times New Roman"/>
                <w:b w:val="0"/>
                <w:bCs/>
                <w:color w:val="auto"/>
                <w:sz w:val="24"/>
                <w:highlight w:val="none"/>
                <w:lang w:val="en-US" w:eastAsia="zh-CN"/>
              </w:rPr>
              <w:t>/h，扬程60m，电机功率</w:t>
            </w:r>
            <w:r>
              <w:rPr>
                <w:rFonts w:hint="eastAsia" w:cs="Times New Roman"/>
                <w:b w:val="0"/>
                <w:bCs/>
                <w:color w:val="auto"/>
                <w:sz w:val="24"/>
                <w:highlight w:val="none"/>
                <w:lang w:val="en-US" w:eastAsia="zh-CN"/>
              </w:rPr>
              <w:t>9</w:t>
            </w:r>
            <w:r>
              <w:rPr>
                <w:rFonts w:hint="eastAsia" w:ascii="Times New Roman" w:hAnsi="Times New Roman" w:cs="Times New Roman"/>
                <w:b w:val="0"/>
                <w:bCs/>
                <w:color w:val="auto"/>
                <w:sz w:val="24"/>
                <w:highlight w:val="none"/>
                <w:lang w:val="en-US" w:eastAsia="zh-CN"/>
              </w:rPr>
              <w:t>0kW）。循环冷却水供水压力0.5MPa，循环热水温度为</w:t>
            </w:r>
            <w:r>
              <w:rPr>
                <w:rFonts w:hint="eastAsia" w:cs="Times New Roman"/>
                <w:b w:val="0"/>
                <w:bCs/>
                <w:color w:val="auto"/>
                <w:sz w:val="24"/>
                <w:highlight w:val="none"/>
                <w:lang w:val="en-US" w:eastAsia="zh-CN"/>
              </w:rPr>
              <w:t>32-35</w:t>
            </w:r>
            <w:r>
              <w:rPr>
                <w:rFonts w:hint="eastAsia" w:ascii="Times New Roman" w:hAnsi="Times New Roman" w:cs="Times New Roman"/>
                <w:b w:val="0"/>
                <w:bCs/>
                <w:color w:val="auto"/>
                <w:sz w:val="24"/>
                <w:highlight w:val="none"/>
                <w:lang w:val="en-US" w:eastAsia="zh-CN"/>
              </w:rPr>
              <w:t>℃，循环冷水温度为</w:t>
            </w:r>
            <w:r>
              <w:rPr>
                <w:rFonts w:hint="eastAsia" w:cs="Times New Roman"/>
                <w:b w:val="0"/>
                <w:bCs/>
                <w:color w:val="auto"/>
                <w:sz w:val="24"/>
                <w:highlight w:val="none"/>
                <w:lang w:val="en-US" w:eastAsia="zh-CN"/>
              </w:rPr>
              <w:t>20</w:t>
            </w:r>
            <w:r>
              <w:rPr>
                <w:rFonts w:hint="eastAsia" w:ascii="Times New Roman" w:hAnsi="Times New Roman" w:cs="Times New Roman"/>
                <w:b w:val="0"/>
                <w:bCs/>
                <w:color w:val="auto"/>
                <w:sz w:val="24"/>
                <w:highlight w:val="none"/>
                <w:lang w:val="en-US" w:eastAsia="zh-CN"/>
              </w:rPr>
              <w:t>℃，枝状管网布置，管道埋地敷设，输送新建装置用水点，经冷换设备后带压通过循环水管网回至循环水池，循环使用。</w:t>
            </w:r>
          </w:p>
          <w:p w14:paraId="11979951">
            <w:pPr>
              <w:spacing w:line="360" w:lineRule="auto"/>
              <w:ind w:firstLine="482"/>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w:t>
            </w:r>
            <w:r>
              <w:rPr>
                <w:rFonts w:hint="eastAsia" w:cs="Times New Roman"/>
                <w:b w:val="0"/>
                <w:bCs/>
                <w:color w:val="auto"/>
                <w:sz w:val="24"/>
                <w:highlight w:val="none"/>
                <w:lang w:val="en-US" w:eastAsia="zh-CN"/>
              </w:rPr>
              <w:t>9</w:t>
            </w:r>
            <w:r>
              <w:rPr>
                <w:rFonts w:hint="eastAsia" w:ascii="Times New Roman" w:hAnsi="Times New Roman" w:cs="Times New Roman"/>
                <w:b w:val="0"/>
                <w:bCs/>
                <w:color w:val="auto"/>
                <w:sz w:val="24"/>
                <w:highlight w:val="none"/>
                <w:lang w:val="en-US" w:eastAsia="zh-CN"/>
              </w:rPr>
              <w:t>）</w:t>
            </w:r>
            <w:r>
              <w:rPr>
                <w:rFonts w:hint="eastAsia" w:cs="Times New Roman"/>
                <w:b w:val="0"/>
                <w:bCs/>
                <w:color w:val="auto"/>
                <w:sz w:val="24"/>
                <w:highlight w:val="none"/>
                <w:lang w:val="en-US" w:eastAsia="zh-CN"/>
              </w:rPr>
              <w:t>锅炉用水</w:t>
            </w:r>
            <w:r>
              <w:rPr>
                <w:rFonts w:hint="eastAsia" w:ascii="Times New Roman" w:hAnsi="Times New Roman" w:cs="Times New Roman"/>
                <w:b w:val="0"/>
                <w:bCs/>
                <w:color w:val="auto"/>
                <w:sz w:val="24"/>
                <w:highlight w:val="none"/>
                <w:lang w:val="en-US" w:eastAsia="zh-CN"/>
              </w:rPr>
              <w:t>制备</w:t>
            </w:r>
          </w:p>
          <w:p w14:paraId="51D41D13">
            <w:pPr>
              <w:spacing w:line="360" w:lineRule="auto"/>
              <w:ind w:firstLine="482"/>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锅炉房设置</w:t>
            </w:r>
            <w:r>
              <w:rPr>
                <w:rFonts w:hint="eastAsia" w:cs="Times New Roman"/>
                <w:b w:val="0"/>
                <w:bCs/>
                <w:color w:val="auto"/>
                <w:sz w:val="24"/>
                <w:highlight w:val="none"/>
                <w:lang w:val="en-US" w:eastAsia="zh-CN"/>
              </w:rPr>
              <w:t>树脂交换系统，将市政自来水进行树脂交换制得去离子水，用于锅炉蒸汽用水及定期补水</w:t>
            </w:r>
            <w:r>
              <w:rPr>
                <w:rFonts w:hint="eastAsia" w:ascii="Times New Roman" w:hAnsi="Times New Roman" w:cs="Times New Roman"/>
                <w:b w:val="0"/>
                <w:bCs/>
                <w:color w:val="auto"/>
                <w:sz w:val="24"/>
                <w:highlight w:val="none"/>
                <w:lang w:val="en-US" w:eastAsia="zh-CN"/>
              </w:rPr>
              <w:t>。</w:t>
            </w:r>
          </w:p>
          <w:p w14:paraId="47EA4E0F">
            <w:pPr>
              <w:spacing w:line="360" w:lineRule="auto"/>
              <w:ind w:left="482" w:hanging="482"/>
              <w:rPr>
                <w:rFonts w:hint="default" w:ascii="Times New Roman" w:hAnsi="Times New Roman" w:eastAsia="宋体" w:cs="Times New Roman"/>
                <w:b/>
                <w:bCs/>
                <w:color w:val="auto"/>
                <w:sz w:val="24"/>
                <w:szCs w:val="24"/>
                <w:highlight w:val="none"/>
                <w:lang w:val="en-US" w:eastAsia="zh-CN"/>
              </w:rPr>
            </w:pPr>
            <w:r>
              <w:rPr>
                <w:rFonts w:hint="eastAsia"/>
                <w:b/>
                <w:color w:val="auto"/>
                <w:sz w:val="24"/>
                <w:highlight w:val="none"/>
                <w:lang w:val="en-US" w:eastAsia="zh-CN"/>
              </w:rPr>
              <w:t>三、企业</w:t>
            </w:r>
            <w:r>
              <w:rPr>
                <w:rFonts w:hint="default" w:ascii="Times New Roman" w:hAnsi="Times New Roman" w:eastAsia="宋体" w:cs="Times New Roman"/>
                <w:b/>
                <w:bCs/>
                <w:color w:val="auto"/>
                <w:sz w:val="24"/>
                <w:szCs w:val="24"/>
                <w:highlight w:val="none"/>
                <w:lang w:val="en-US" w:eastAsia="zh-CN"/>
              </w:rPr>
              <w:t>现有工程工艺流程</w:t>
            </w:r>
          </w:p>
          <w:p w14:paraId="26FF6A65">
            <w:pPr>
              <w:spacing w:line="360" w:lineRule="auto"/>
              <w:ind w:firstLine="482"/>
              <w:rPr>
                <w:rFonts w:hint="default"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厂区建</w:t>
            </w:r>
            <w:r>
              <w:rPr>
                <w:rFonts w:hint="eastAsia" w:cs="Times New Roman"/>
                <w:b w:val="0"/>
                <w:bCs/>
                <w:color w:val="auto"/>
                <w:sz w:val="24"/>
                <w:highlight w:val="none"/>
                <w:lang w:val="en-US" w:eastAsia="zh-CN"/>
              </w:rPr>
              <w:t>有一条</w:t>
            </w:r>
            <w:r>
              <w:rPr>
                <w:rFonts w:hint="eastAsia" w:ascii="Times New Roman" w:hAnsi="Times New Roman" w:cs="Times New Roman"/>
                <w:b w:val="0"/>
                <w:bCs/>
                <w:color w:val="auto"/>
                <w:sz w:val="24"/>
                <w:highlight w:val="none"/>
                <w:lang w:val="en-US" w:eastAsia="zh-CN"/>
              </w:rPr>
              <w:t>环氧乙烷</w:t>
            </w:r>
            <w:r>
              <w:rPr>
                <w:rFonts w:hint="eastAsia" w:cs="Times New Roman"/>
                <w:b w:val="0"/>
                <w:bCs/>
                <w:color w:val="auto"/>
                <w:sz w:val="24"/>
                <w:highlight w:val="none"/>
                <w:lang w:val="en-US" w:eastAsia="zh-CN"/>
              </w:rPr>
              <w:t>胺基化</w:t>
            </w:r>
            <w:r>
              <w:rPr>
                <w:rFonts w:hint="eastAsia" w:ascii="Times New Roman" w:hAnsi="Times New Roman" w:cs="Times New Roman"/>
                <w:b w:val="0"/>
                <w:bCs/>
                <w:color w:val="auto"/>
                <w:sz w:val="24"/>
                <w:highlight w:val="none"/>
                <w:lang w:val="en-US" w:eastAsia="zh-CN"/>
              </w:rPr>
              <w:t>法醇胺产品生产线及其配套设施，进行醇胺类产品的生产。乙醇胺类产品和N-甲基乙醇胺类产品交替生产。</w:t>
            </w:r>
          </w:p>
          <w:p w14:paraId="18115DC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1、</w:t>
            </w:r>
            <w:r>
              <w:rPr>
                <w:rFonts w:hint="eastAsia" w:ascii="Times New Roman" w:hAnsi="Times New Roman" w:cs="Times New Roman"/>
                <w:b/>
                <w:bCs w:val="0"/>
                <w:color w:val="auto"/>
                <w:sz w:val="24"/>
                <w:szCs w:val="24"/>
                <w:highlight w:val="none"/>
                <w:lang w:val="en-US" w:eastAsia="zh-CN"/>
              </w:rPr>
              <w:t>乙醇胺类产品生产</w:t>
            </w:r>
          </w:p>
          <w:p w14:paraId="270321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ascii="Times New Roman" w:hAnsi="Times New Roman" w:cs="Times New Roman"/>
                <w:color w:val="auto"/>
                <w:sz w:val="24"/>
                <w:szCs w:val="24"/>
                <w:highlight w:val="none"/>
              </w:rPr>
              <w:t>工艺原理</w:t>
            </w:r>
          </w:p>
          <w:p w14:paraId="5595DB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采用过量氨与环氧乙烷在管式反应器中反应，反应产物经脱氨脱水，浓缩后，进一步经精馏塔真空精馏分离得到一、二、三乙醇胺的连续生产工艺方案。化学反应方程式如下：</w:t>
            </w:r>
          </w:p>
          <w:p w14:paraId="1C9527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+C</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H</w:t>
            </w:r>
            <w:r>
              <w:rPr>
                <w:rFonts w:ascii="Times New Roman" w:hAnsi="Times New Roman" w:cs="Times New Roman"/>
                <w:color w:val="auto"/>
                <w:sz w:val="24"/>
                <w:szCs w:val="24"/>
                <w:highlight w:val="none"/>
                <w:vertAlign w:val="subscript"/>
              </w:rPr>
              <w:t>4</w:t>
            </w:r>
            <w:r>
              <w:rPr>
                <w:rFonts w:ascii="Times New Roman" w:hAnsi="Times New Roman" w:cs="Times New Roman"/>
                <w:color w:val="auto"/>
                <w:sz w:val="24"/>
                <w:szCs w:val="24"/>
                <w:highlight w:val="none"/>
              </w:rPr>
              <w:t>O — NH</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CH</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CH</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 xml:space="preserve">OH      </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MEA</w:t>
            </w:r>
            <w:r>
              <w:rPr>
                <w:rFonts w:hint="eastAsia" w:ascii="Times New Roman" w:hAnsi="Times New Roman" w:cs="Times New Roman"/>
                <w:color w:val="auto"/>
                <w:sz w:val="24"/>
                <w:szCs w:val="24"/>
                <w:highlight w:val="none"/>
              </w:rPr>
              <w:t>）</w:t>
            </w:r>
          </w:p>
          <w:p w14:paraId="727849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MEA+C</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H</w:t>
            </w:r>
            <w:r>
              <w:rPr>
                <w:rFonts w:ascii="Times New Roman" w:hAnsi="Times New Roman" w:cs="Times New Roman"/>
                <w:color w:val="auto"/>
                <w:sz w:val="24"/>
                <w:szCs w:val="24"/>
                <w:highlight w:val="none"/>
                <w:vertAlign w:val="subscript"/>
              </w:rPr>
              <w:t>4</w:t>
            </w:r>
            <w:r>
              <w:rPr>
                <w:rFonts w:ascii="Times New Roman" w:hAnsi="Times New Roman" w:cs="Times New Roman"/>
                <w:color w:val="auto"/>
                <w:sz w:val="24"/>
                <w:szCs w:val="24"/>
                <w:highlight w:val="none"/>
              </w:rPr>
              <w:t>O — HN</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CH</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CH</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OH</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rPr>
              <w:t xml:space="preserve"> （</w:t>
            </w:r>
            <w:r>
              <w:rPr>
                <w:rFonts w:ascii="Times New Roman" w:hAnsi="Times New Roman" w:cs="Times New Roman"/>
                <w:color w:val="auto"/>
                <w:sz w:val="24"/>
                <w:szCs w:val="24"/>
                <w:highlight w:val="none"/>
              </w:rPr>
              <w:t>DEA</w:t>
            </w:r>
            <w:r>
              <w:rPr>
                <w:rFonts w:hint="eastAsia" w:ascii="Times New Roman" w:hAnsi="Times New Roman" w:cs="Times New Roman"/>
                <w:color w:val="auto"/>
                <w:sz w:val="24"/>
                <w:szCs w:val="24"/>
                <w:highlight w:val="none"/>
              </w:rPr>
              <w:t>）</w:t>
            </w:r>
          </w:p>
          <w:p w14:paraId="2CA2D6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DEA+C</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H</w:t>
            </w:r>
            <w:r>
              <w:rPr>
                <w:rFonts w:ascii="Times New Roman" w:hAnsi="Times New Roman" w:cs="Times New Roman"/>
                <w:color w:val="auto"/>
                <w:sz w:val="24"/>
                <w:szCs w:val="24"/>
                <w:highlight w:val="none"/>
                <w:vertAlign w:val="subscript"/>
              </w:rPr>
              <w:t>4</w:t>
            </w:r>
            <w:r>
              <w:rPr>
                <w:rFonts w:ascii="Times New Roman" w:hAnsi="Times New Roman" w:cs="Times New Roman"/>
                <w:color w:val="auto"/>
                <w:sz w:val="24"/>
                <w:szCs w:val="24"/>
                <w:highlight w:val="none"/>
              </w:rPr>
              <w:t>O — N</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CH</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CH</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OH</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rPr>
              <w:t xml:space="preserve">   （</w:t>
            </w:r>
            <w:r>
              <w:rPr>
                <w:rFonts w:ascii="Times New Roman" w:hAnsi="Times New Roman" w:cs="Times New Roman"/>
                <w:color w:val="auto"/>
                <w:sz w:val="24"/>
                <w:szCs w:val="24"/>
                <w:highlight w:val="none"/>
              </w:rPr>
              <w:t>TEA</w:t>
            </w:r>
            <w:r>
              <w:rPr>
                <w:rFonts w:hint="eastAsia" w:ascii="Times New Roman" w:hAnsi="Times New Roman" w:cs="Times New Roman"/>
                <w:color w:val="auto"/>
                <w:sz w:val="24"/>
                <w:szCs w:val="24"/>
                <w:highlight w:val="none"/>
              </w:rPr>
              <w:t>）</w:t>
            </w:r>
          </w:p>
          <w:p w14:paraId="330144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ascii="Times New Roman" w:hAnsi="Times New Roman" w:cs="Times New Roman"/>
                <w:color w:val="auto"/>
                <w:sz w:val="24"/>
                <w:szCs w:val="24"/>
                <w:highlight w:val="none"/>
              </w:rPr>
              <w:t>装置主工艺流程</w:t>
            </w:r>
          </w:p>
          <w:p w14:paraId="6EA912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本装置的生产工艺按物料流动的顺序分为原料、反应、蒸氨脱水、产品精制四个工序，</w:t>
            </w:r>
            <w:r>
              <w:rPr>
                <w:rFonts w:hint="eastAsia" w:cs="Times New Roman"/>
                <w:color w:val="auto"/>
                <w:sz w:val="24"/>
                <w:szCs w:val="24"/>
                <w:highlight w:val="none"/>
              </w:rPr>
              <w:t>工艺流程如下：</w:t>
            </w:r>
          </w:p>
          <w:p w14:paraId="7A1623B1">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原料工序</w:t>
            </w:r>
          </w:p>
          <w:p w14:paraId="12C347AF">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主要原料之一液氨由槽罐车运来，利用本工序的氨压缩机抽取液氨贮罐V-10</w:t>
            </w:r>
            <w:r>
              <w:rPr>
                <w:rFonts w:hint="eastAsia" w:ascii="Times New Roman" w:hAnsi="Times New Roman" w:cs="Times New Roman"/>
                <w:color w:val="auto"/>
                <w:sz w:val="24"/>
                <w:szCs w:val="24"/>
                <w:highlight w:val="none"/>
                <w:lang w:val="en-US" w:eastAsia="zh-CN"/>
              </w:rPr>
              <w:t>02</w:t>
            </w:r>
            <w:r>
              <w:rPr>
                <w:rFonts w:ascii="Times New Roman" w:hAnsi="Times New Roman" w:cs="Times New Roman"/>
                <w:color w:val="auto"/>
                <w:sz w:val="24"/>
                <w:szCs w:val="24"/>
                <w:highlight w:val="none"/>
              </w:rPr>
              <w:t>的氨气，压缩</w:t>
            </w:r>
            <w:r>
              <w:rPr>
                <w:rFonts w:hint="eastAsia" w:ascii="Times New Roman" w:hAnsi="Times New Roman" w:cs="Times New Roman"/>
                <w:color w:val="auto"/>
                <w:sz w:val="24"/>
                <w:szCs w:val="24"/>
                <w:highlight w:val="none"/>
                <w:lang w:val="en-US" w:eastAsia="zh-CN"/>
              </w:rPr>
              <w:t>至</w:t>
            </w:r>
            <w:r>
              <w:rPr>
                <w:rFonts w:ascii="Times New Roman" w:hAnsi="Times New Roman" w:cs="Times New Roman"/>
                <w:color w:val="auto"/>
                <w:sz w:val="24"/>
                <w:szCs w:val="24"/>
                <w:highlight w:val="none"/>
              </w:rPr>
              <w:t>液氨槽罐车，将液氨卸到液氨贮罐V-1</w:t>
            </w:r>
            <w:r>
              <w:rPr>
                <w:rFonts w:hint="eastAsia" w:ascii="Times New Roman" w:hAnsi="Times New Roman" w:cs="Times New Roman"/>
                <w:color w:val="auto"/>
                <w:sz w:val="24"/>
                <w:szCs w:val="24"/>
                <w:highlight w:val="none"/>
                <w:lang w:val="en-US" w:eastAsia="zh-CN"/>
              </w:rPr>
              <w:t>0</w:t>
            </w:r>
            <w:r>
              <w:rPr>
                <w:rFonts w:ascii="Times New Roman" w:hAnsi="Times New Roman" w:cs="Times New Roman"/>
                <w:color w:val="auto"/>
                <w:sz w:val="24"/>
                <w:szCs w:val="24"/>
                <w:highlight w:val="none"/>
              </w:rPr>
              <w:t>02中。然后用液氨输送泵P-10</w:t>
            </w:r>
            <w:r>
              <w:rPr>
                <w:rFonts w:hint="eastAsia" w:ascii="Times New Roman" w:hAnsi="Times New Roman" w:cs="Times New Roman"/>
                <w:color w:val="auto"/>
                <w:sz w:val="24"/>
                <w:szCs w:val="24"/>
                <w:highlight w:val="none"/>
                <w:lang w:val="en-US" w:eastAsia="zh-CN"/>
              </w:rPr>
              <w:t>05</w:t>
            </w:r>
            <w:r>
              <w:rPr>
                <w:rFonts w:ascii="Times New Roman" w:hAnsi="Times New Roman" w:cs="Times New Roman"/>
                <w:color w:val="auto"/>
                <w:sz w:val="24"/>
                <w:szCs w:val="24"/>
                <w:highlight w:val="none"/>
              </w:rPr>
              <w:t>送到位于反应工序的液氨中间罐V-</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201中。</w:t>
            </w:r>
          </w:p>
          <w:p w14:paraId="0E93ACC4">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另一个主要原料环氧乙烷（EO）也由槽罐车运来，运输过程中必须保持低温，以防止自聚产生高沸物杂质。从槽罐车卸到EO贮罐V-10</w:t>
            </w:r>
            <w:r>
              <w:rPr>
                <w:rFonts w:hint="eastAsia" w:ascii="Times New Roman" w:hAnsi="Times New Roman" w:cs="Times New Roman"/>
                <w:color w:val="auto"/>
                <w:sz w:val="24"/>
                <w:szCs w:val="24"/>
                <w:highlight w:val="none"/>
                <w:lang w:val="en-US" w:eastAsia="zh-CN"/>
              </w:rPr>
              <w:t>0</w:t>
            </w:r>
            <w:r>
              <w:rPr>
                <w:rFonts w:ascii="Times New Roman" w:hAnsi="Times New Roman" w:cs="Times New Roman"/>
                <w:color w:val="auto"/>
                <w:sz w:val="24"/>
                <w:szCs w:val="24"/>
                <w:highlight w:val="none"/>
              </w:rPr>
              <w:t>1的卸输过程</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利用本工序的</w:t>
            </w:r>
            <w:r>
              <w:rPr>
                <w:rFonts w:hint="eastAsia" w:ascii="Times New Roman" w:hAnsi="Times New Roman" w:cs="Times New Roman"/>
                <w:color w:val="auto"/>
                <w:sz w:val="24"/>
                <w:szCs w:val="24"/>
                <w:highlight w:val="none"/>
                <w:lang w:val="en-US" w:eastAsia="zh-CN"/>
              </w:rPr>
              <w:t>环氧乙烷</w:t>
            </w:r>
            <w:r>
              <w:rPr>
                <w:rFonts w:ascii="Times New Roman" w:hAnsi="Times New Roman" w:cs="Times New Roman"/>
                <w:color w:val="auto"/>
                <w:sz w:val="24"/>
                <w:szCs w:val="24"/>
                <w:highlight w:val="none"/>
              </w:rPr>
              <w:t>压缩机抽取贮罐V-10</w:t>
            </w:r>
            <w:r>
              <w:rPr>
                <w:rFonts w:hint="eastAsia" w:ascii="Times New Roman" w:hAnsi="Times New Roman" w:cs="Times New Roman"/>
                <w:color w:val="auto"/>
                <w:sz w:val="24"/>
                <w:szCs w:val="24"/>
                <w:highlight w:val="none"/>
                <w:lang w:val="en-US" w:eastAsia="zh-CN"/>
              </w:rPr>
              <w:t>01</w:t>
            </w:r>
            <w:r>
              <w:rPr>
                <w:rFonts w:ascii="Times New Roman" w:hAnsi="Times New Roman" w:cs="Times New Roman"/>
                <w:color w:val="auto"/>
                <w:sz w:val="24"/>
                <w:szCs w:val="24"/>
                <w:highlight w:val="none"/>
              </w:rPr>
              <w:t>的</w:t>
            </w:r>
            <w:r>
              <w:rPr>
                <w:rFonts w:hint="eastAsia" w:ascii="Times New Roman" w:hAnsi="Times New Roman" w:cs="Times New Roman"/>
                <w:color w:val="auto"/>
                <w:sz w:val="24"/>
                <w:szCs w:val="24"/>
                <w:highlight w:val="none"/>
                <w:lang w:val="en-US" w:eastAsia="zh-CN"/>
              </w:rPr>
              <w:t>氮</w:t>
            </w:r>
            <w:r>
              <w:rPr>
                <w:rFonts w:ascii="Times New Roman" w:hAnsi="Times New Roman" w:cs="Times New Roman"/>
                <w:color w:val="auto"/>
                <w:sz w:val="24"/>
                <w:szCs w:val="24"/>
                <w:highlight w:val="none"/>
              </w:rPr>
              <w:t>气，压缩</w:t>
            </w:r>
            <w:r>
              <w:rPr>
                <w:rFonts w:hint="eastAsia" w:ascii="Times New Roman" w:hAnsi="Times New Roman" w:cs="Times New Roman"/>
                <w:color w:val="auto"/>
                <w:sz w:val="24"/>
                <w:szCs w:val="24"/>
                <w:highlight w:val="none"/>
                <w:lang w:val="en-US" w:eastAsia="zh-CN"/>
              </w:rPr>
              <w:t>至</w:t>
            </w:r>
            <w:r>
              <w:rPr>
                <w:rFonts w:ascii="Times New Roman" w:hAnsi="Times New Roman" w:cs="Times New Roman"/>
                <w:color w:val="auto"/>
                <w:sz w:val="24"/>
                <w:szCs w:val="24"/>
                <w:highlight w:val="none"/>
              </w:rPr>
              <w:t>液氨槽罐车。卸好后EO贮罐V-10</w:t>
            </w:r>
            <w:r>
              <w:rPr>
                <w:rFonts w:hint="eastAsia" w:ascii="Times New Roman" w:hAnsi="Times New Roman" w:cs="Times New Roman"/>
                <w:color w:val="auto"/>
                <w:sz w:val="24"/>
                <w:szCs w:val="24"/>
                <w:highlight w:val="none"/>
                <w:lang w:val="en-US" w:eastAsia="zh-CN"/>
              </w:rPr>
              <w:t>0</w:t>
            </w:r>
            <w:r>
              <w:rPr>
                <w:rFonts w:ascii="Times New Roman" w:hAnsi="Times New Roman" w:cs="Times New Roman"/>
                <w:color w:val="auto"/>
                <w:sz w:val="24"/>
                <w:szCs w:val="24"/>
                <w:highlight w:val="none"/>
              </w:rPr>
              <w:t>1中应用N</w:t>
            </w:r>
            <w:r>
              <w:rPr>
                <w:rFonts w:ascii="Times New Roman" w:hAnsi="Times New Roman" w:cs="Times New Roman"/>
                <w:color w:val="auto"/>
                <w:sz w:val="24"/>
                <w:szCs w:val="24"/>
                <w:highlight w:val="none"/>
                <w:vertAlign w:val="subscript"/>
              </w:rPr>
              <w:t>2</w:t>
            </w:r>
            <w:r>
              <w:rPr>
                <w:rFonts w:ascii="Times New Roman" w:hAnsi="Times New Roman" w:cs="Times New Roman"/>
                <w:color w:val="auto"/>
                <w:sz w:val="24"/>
                <w:szCs w:val="24"/>
                <w:highlight w:val="none"/>
              </w:rPr>
              <w:t>维持表压一定的压力，以利输送并避免空气进入罐内。EO贮罐V-10</w:t>
            </w:r>
            <w:r>
              <w:rPr>
                <w:rFonts w:hint="eastAsia" w:ascii="Times New Roman" w:hAnsi="Times New Roman" w:cs="Times New Roman"/>
                <w:color w:val="auto"/>
                <w:sz w:val="24"/>
                <w:szCs w:val="24"/>
                <w:highlight w:val="none"/>
                <w:lang w:val="en-US" w:eastAsia="zh-CN"/>
              </w:rPr>
              <w:t>01设</w:t>
            </w:r>
            <w:r>
              <w:rPr>
                <w:rFonts w:ascii="Times New Roman" w:hAnsi="Times New Roman" w:cs="Times New Roman"/>
                <w:color w:val="auto"/>
                <w:sz w:val="24"/>
                <w:szCs w:val="24"/>
                <w:highlight w:val="none"/>
              </w:rPr>
              <w:t>有</w:t>
            </w:r>
            <w:r>
              <w:rPr>
                <w:rFonts w:hint="eastAsia" w:ascii="Times New Roman" w:hAnsi="Times New Roman" w:cs="Times New Roman"/>
                <w:color w:val="auto"/>
                <w:sz w:val="24"/>
                <w:szCs w:val="24"/>
                <w:highlight w:val="none"/>
                <w:lang w:val="en-US" w:eastAsia="zh-CN"/>
              </w:rPr>
              <w:t>外循环冷冻装置E-1001进行降温</w:t>
            </w:r>
            <w:r>
              <w:rPr>
                <w:rFonts w:ascii="Times New Roman" w:hAnsi="Times New Roman" w:cs="Times New Roman"/>
                <w:color w:val="auto"/>
                <w:sz w:val="24"/>
                <w:szCs w:val="24"/>
                <w:highlight w:val="none"/>
              </w:rPr>
              <w:t>，使EO始终保持低温。用EO输送泵P-10</w:t>
            </w:r>
            <w:r>
              <w:rPr>
                <w:rFonts w:hint="eastAsia" w:ascii="Times New Roman" w:hAnsi="Times New Roman" w:cs="Times New Roman"/>
                <w:color w:val="auto"/>
                <w:sz w:val="24"/>
                <w:szCs w:val="24"/>
                <w:highlight w:val="none"/>
                <w:lang w:val="en-US" w:eastAsia="zh-CN"/>
              </w:rPr>
              <w:t>03</w:t>
            </w:r>
            <w:r>
              <w:rPr>
                <w:rFonts w:ascii="Times New Roman" w:hAnsi="Times New Roman" w:cs="Times New Roman"/>
                <w:color w:val="auto"/>
                <w:sz w:val="24"/>
                <w:szCs w:val="24"/>
                <w:highlight w:val="none"/>
              </w:rPr>
              <w:t>将EO输送到反应工序的反应器中。</w:t>
            </w:r>
          </w:p>
          <w:p w14:paraId="08487DF7">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反应工序</w:t>
            </w:r>
          </w:p>
          <w:p w14:paraId="22B3AD93">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液氨中间罐V-</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201中的液氨用</w:t>
            </w:r>
            <w:r>
              <w:rPr>
                <w:rFonts w:hint="eastAsia" w:ascii="Times New Roman" w:hAnsi="Times New Roman" w:cs="Times New Roman"/>
                <w:color w:val="auto"/>
                <w:sz w:val="24"/>
                <w:szCs w:val="24"/>
                <w:highlight w:val="none"/>
                <w:lang w:val="en-US" w:eastAsia="zh-CN"/>
              </w:rPr>
              <w:t>液氨计量泵P4202</w:t>
            </w:r>
            <w:r>
              <w:rPr>
                <w:rFonts w:ascii="Times New Roman" w:hAnsi="Times New Roman" w:cs="Times New Roman"/>
                <w:color w:val="auto"/>
                <w:sz w:val="24"/>
                <w:szCs w:val="24"/>
                <w:highlight w:val="none"/>
              </w:rPr>
              <w:t>增压送到管式反应器R</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201前的预混合器M-</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w:t>
            </w:r>
          </w:p>
          <w:p w14:paraId="6BF51916">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EO输送泵P-1</w:t>
            </w:r>
            <w:r>
              <w:rPr>
                <w:rFonts w:hint="eastAsia" w:ascii="Times New Roman" w:hAnsi="Times New Roman" w:cs="Times New Roman"/>
                <w:color w:val="auto"/>
                <w:sz w:val="24"/>
                <w:szCs w:val="24"/>
                <w:highlight w:val="none"/>
                <w:lang w:val="en-US" w:eastAsia="zh-CN"/>
              </w:rPr>
              <w:t>0</w:t>
            </w:r>
            <w:r>
              <w:rPr>
                <w:rFonts w:ascii="Times New Roman" w:hAnsi="Times New Roman" w:cs="Times New Roman"/>
                <w:color w:val="auto"/>
                <w:sz w:val="24"/>
                <w:szCs w:val="24"/>
                <w:highlight w:val="none"/>
              </w:rPr>
              <w:t>0</w:t>
            </w:r>
            <w:r>
              <w:rPr>
                <w:rFonts w:hint="eastAsia" w:ascii="Times New Roman" w:hAnsi="Times New Roman" w:cs="Times New Roman"/>
                <w:color w:val="auto"/>
                <w:sz w:val="24"/>
                <w:szCs w:val="24"/>
                <w:highlight w:val="none"/>
                <w:lang w:val="en-US" w:eastAsia="zh-CN"/>
              </w:rPr>
              <w:t>3</w:t>
            </w:r>
            <w:r>
              <w:rPr>
                <w:rFonts w:ascii="Times New Roman" w:hAnsi="Times New Roman" w:cs="Times New Roman"/>
                <w:color w:val="auto"/>
                <w:sz w:val="24"/>
                <w:szCs w:val="24"/>
                <w:highlight w:val="none"/>
              </w:rPr>
              <w:t>将EO加压，分别送到管式反应器R-</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201的三个进料口。</w:t>
            </w:r>
          </w:p>
          <w:p w14:paraId="435E74D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ascii="Times New Roman" w:hAnsi="Times New Roman" w:cs="Times New Roman"/>
                <w:color w:val="auto"/>
                <w:sz w:val="24"/>
                <w:szCs w:val="24"/>
                <w:highlight w:val="none"/>
              </w:rPr>
              <w:t>从泵P-</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202压出的液氨</w:t>
            </w:r>
            <w:r>
              <w:rPr>
                <w:rFonts w:hint="eastAsia" w:ascii="Times New Roman" w:hAnsi="Times New Roman" w:cs="Times New Roman"/>
                <w:color w:val="auto"/>
                <w:sz w:val="24"/>
                <w:szCs w:val="24"/>
                <w:highlight w:val="none"/>
                <w:lang w:val="en-US" w:eastAsia="zh-CN"/>
              </w:rPr>
              <w:t>与</w:t>
            </w:r>
            <w:r>
              <w:rPr>
                <w:rFonts w:ascii="Times New Roman" w:hAnsi="Times New Roman" w:cs="Times New Roman"/>
                <w:color w:val="auto"/>
                <w:sz w:val="24"/>
                <w:szCs w:val="24"/>
                <w:highlight w:val="none"/>
              </w:rPr>
              <w:t>泵P-</w:t>
            </w:r>
            <w:r>
              <w:rPr>
                <w:rFonts w:hint="eastAsia" w:ascii="Times New Roman" w:hAnsi="Times New Roman" w:cs="Times New Roman"/>
                <w:color w:val="auto"/>
                <w:sz w:val="24"/>
                <w:szCs w:val="24"/>
                <w:highlight w:val="none"/>
                <w:lang w:val="en-US" w:eastAsia="zh-CN"/>
              </w:rPr>
              <w:t>4306压出的催化剂</w:t>
            </w:r>
            <w:r>
              <w:rPr>
                <w:rFonts w:ascii="Times New Roman" w:hAnsi="Times New Roman" w:cs="Times New Roman"/>
                <w:color w:val="auto"/>
                <w:sz w:val="24"/>
                <w:szCs w:val="24"/>
                <w:highlight w:val="none"/>
              </w:rPr>
              <w:t>进入预混合器M-</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201；泵P-1</w:t>
            </w:r>
            <w:r>
              <w:rPr>
                <w:rFonts w:hint="eastAsia" w:ascii="Times New Roman" w:hAnsi="Times New Roman" w:cs="Times New Roman"/>
                <w:color w:val="auto"/>
                <w:sz w:val="24"/>
                <w:szCs w:val="24"/>
                <w:highlight w:val="none"/>
                <w:lang w:val="en-US" w:eastAsia="zh-CN"/>
              </w:rPr>
              <w:t>0</w:t>
            </w:r>
            <w:r>
              <w:rPr>
                <w:rFonts w:ascii="Times New Roman" w:hAnsi="Times New Roman" w:cs="Times New Roman"/>
                <w:color w:val="auto"/>
                <w:sz w:val="24"/>
                <w:szCs w:val="24"/>
                <w:highlight w:val="none"/>
              </w:rPr>
              <w:t>0</w:t>
            </w:r>
            <w:r>
              <w:rPr>
                <w:rFonts w:hint="eastAsia" w:ascii="Times New Roman" w:hAnsi="Times New Roman" w:cs="Times New Roman"/>
                <w:color w:val="auto"/>
                <w:sz w:val="24"/>
                <w:szCs w:val="24"/>
                <w:highlight w:val="none"/>
                <w:lang w:val="en-US" w:eastAsia="zh-CN"/>
              </w:rPr>
              <w:t>3</w:t>
            </w:r>
            <w:r>
              <w:rPr>
                <w:rFonts w:ascii="Times New Roman" w:hAnsi="Times New Roman" w:cs="Times New Roman"/>
                <w:color w:val="auto"/>
                <w:sz w:val="24"/>
                <w:szCs w:val="24"/>
                <w:highlight w:val="none"/>
              </w:rPr>
              <w:t>压出的EO</w:t>
            </w:r>
            <w:r>
              <w:rPr>
                <w:rFonts w:hint="eastAsia" w:ascii="Times New Roman" w:hAnsi="Times New Roman" w:cs="Times New Roman"/>
                <w:color w:val="auto"/>
                <w:sz w:val="24"/>
                <w:szCs w:val="24"/>
                <w:highlight w:val="none"/>
                <w:lang w:val="en-US" w:eastAsia="zh-CN"/>
              </w:rPr>
              <w:t>，</w:t>
            </w:r>
            <w:r>
              <w:rPr>
                <w:rFonts w:ascii="Times New Roman" w:hAnsi="Times New Roman" w:cs="Times New Roman"/>
                <w:color w:val="auto"/>
                <w:sz w:val="24"/>
                <w:szCs w:val="24"/>
                <w:highlight w:val="none"/>
              </w:rPr>
              <w:t>经过预混合器M-</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w:t>
            </w:r>
            <w:r>
              <w:rPr>
                <w:rFonts w:hint="eastAsia" w:ascii="Times New Roman" w:hAnsi="Times New Roman" w:cs="Times New Roman"/>
                <w:color w:val="auto"/>
                <w:sz w:val="24"/>
                <w:szCs w:val="24"/>
                <w:highlight w:val="none"/>
                <w:lang w:val="en-US" w:eastAsia="zh-CN"/>
              </w:rPr>
              <w:t>A</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C</w:t>
            </w:r>
            <w:r>
              <w:rPr>
                <w:rFonts w:ascii="Times New Roman" w:hAnsi="Times New Roman" w:cs="Times New Roman"/>
                <w:color w:val="auto"/>
                <w:sz w:val="24"/>
                <w:szCs w:val="24"/>
                <w:highlight w:val="none"/>
              </w:rPr>
              <w:t>，使EO</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液氨</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催化剂</w:t>
            </w:r>
            <w:r>
              <w:rPr>
                <w:rFonts w:ascii="Times New Roman" w:hAnsi="Times New Roman" w:cs="Times New Roman"/>
                <w:color w:val="auto"/>
                <w:sz w:val="24"/>
                <w:szCs w:val="24"/>
                <w:highlight w:val="none"/>
              </w:rPr>
              <w:t>在径向和轴向都充分混匀。由于氨遇水产生大量溶解热，促使反应物升温并引发了生成乙醇胺的胺化反应。</w:t>
            </w:r>
            <w:r>
              <w:rPr>
                <w:rFonts w:hint="eastAsia" w:ascii="Times New Roman" w:hAnsi="Times New Roman" w:cs="Times New Roman"/>
                <w:color w:val="auto"/>
                <w:sz w:val="24"/>
                <w:szCs w:val="24"/>
                <w:highlight w:val="none"/>
                <w:lang w:val="en-US" w:eastAsia="zh-CN"/>
              </w:rPr>
              <w:t>通过调整三段进料比例，来控制产生的</w:t>
            </w:r>
            <w:r>
              <w:rPr>
                <w:rFonts w:ascii="Times New Roman" w:hAnsi="Times New Roman" w:cs="Times New Roman"/>
                <w:color w:val="auto"/>
                <w:sz w:val="24"/>
                <w:szCs w:val="24"/>
                <w:highlight w:val="none"/>
              </w:rPr>
              <w:t>乙醇胺</w:t>
            </w:r>
            <w:r>
              <w:rPr>
                <w:rFonts w:hint="eastAsia" w:ascii="Times New Roman" w:hAnsi="Times New Roman" w:cs="Times New Roman"/>
                <w:color w:val="auto"/>
                <w:sz w:val="24"/>
                <w:szCs w:val="24"/>
                <w:highlight w:val="none"/>
                <w:lang w:val="en-US" w:eastAsia="zh-CN"/>
              </w:rPr>
              <w:t>CEA组分比例。</w:t>
            </w:r>
          </w:p>
          <w:p w14:paraId="35D8244E">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管式反应器R-</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201是一根高压管道，反应物在管道中反应。反应器分成若干段，各段按上述的程序分点注入NH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、EO、催化剂。管式反应器R-</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内安装扭板状的搅流片，以加强混合和管内外的传热。管外设热水夹套，用热水作逆向的循环流动，使管中的混合料保温持续反应。反应剧烈的管段产生的反应热则由夹套的热水带走，使该段反应管中的液相温度不至于过高，以避免产生气氨，破坏均相状态而改变预定的氨烷比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/EO或胺烷比（NH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+EA）/EO。</w:t>
            </w:r>
          </w:p>
          <w:p w14:paraId="7FA434C8">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ascii="Times New Roman" w:hAnsi="Times New Roman" w:cs="Times New Roman"/>
                <w:color w:val="auto"/>
                <w:sz w:val="24"/>
                <w:szCs w:val="24"/>
                <w:highlight w:val="none"/>
              </w:rPr>
              <w:t>管式反应器R-</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201水夹套中的热水经循环热水</w:t>
            </w:r>
            <w:r>
              <w:rPr>
                <w:rFonts w:hint="eastAsia" w:ascii="Times New Roman" w:hAnsi="Times New Roman" w:cs="Times New Roman"/>
                <w:color w:val="auto"/>
                <w:sz w:val="24"/>
                <w:szCs w:val="24"/>
                <w:highlight w:val="none"/>
                <w:lang w:val="en-US" w:eastAsia="zh-CN"/>
              </w:rPr>
              <w:t>罐</w:t>
            </w:r>
            <w:r>
              <w:rPr>
                <w:rFonts w:ascii="Times New Roman" w:hAnsi="Times New Roman" w:cs="Times New Roman"/>
                <w:color w:val="auto"/>
                <w:sz w:val="24"/>
                <w:szCs w:val="24"/>
                <w:highlight w:val="none"/>
              </w:rPr>
              <w:t>用热水泵不断循环，在热水槽中通直接、间接蒸汽加热，</w:t>
            </w:r>
            <w:r>
              <w:rPr>
                <w:rFonts w:hint="eastAsia" w:ascii="Times New Roman" w:hAnsi="Times New Roman" w:cs="Times New Roman"/>
                <w:color w:val="auto"/>
                <w:sz w:val="24"/>
                <w:szCs w:val="24"/>
                <w:highlight w:val="none"/>
                <w:lang w:val="en-US" w:eastAsia="zh-CN"/>
              </w:rPr>
              <w:t>若热水温度过高，需通过板式换热器E-4201进行热水降温，</w:t>
            </w:r>
            <w:r>
              <w:rPr>
                <w:rFonts w:ascii="Times New Roman" w:hAnsi="Times New Roman" w:cs="Times New Roman"/>
                <w:color w:val="auto"/>
                <w:sz w:val="24"/>
                <w:szCs w:val="24"/>
                <w:highlight w:val="none"/>
              </w:rPr>
              <w:t>使循环水出口保持一定温度</w:t>
            </w:r>
            <w:r>
              <w:rPr>
                <w:rFonts w:hint="eastAsia" w:ascii="Times New Roman" w:hAnsi="Times New Roman" w:cs="Times New Roman"/>
                <w:color w:val="auto"/>
                <w:sz w:val="24"/>
                <w:szCs w:val="24"/>
                <w:highlight w:val="none"/>
                <w:lang w:eastAsia="zh-CN"/>
              </w:rPr>
              <w:t>。</w:t>
            </w:r>
          </w:p>
          <w:p w14:paraId="18E41AE9">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管式反应器R-</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201最后因反应减缓不再产生大量反应热，故进入一个无夹套而直径较粗体积较大的滞留器R-</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202。可使反应液有较长的停留时间，以待生成乙醇胺的反应充分结束。然后经过2只并联的调压阀调压，进入下一工序—蒸氨脱水工序。</w:t>
            </w:r>
          </w:p>
          <w:p w14:paraId="70C4EB82">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蒸氨脱水工序</w:t>
            </w:r>
          </w:p>
          <w:p w14:paraId="527FB69C">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反应液降压后，闪蒸产生大量氨气，气液一并进入蒸氨塔T-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301上部的闪蒸段。在此，反应液经过下方的列管式蒸发器，用蒸汽加热，使大部氨蒸发。由于气相氨的流量非常大，可能夹带较多的EA液滴，通过塔内的丝网捕沫层和三片</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旋流板</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组成的捕沫器使液滴分离而流回；已闪蒸掉大部分氨的反应液流到蒸氨塔T-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301下部蒸馏段的中间，以进一步蒸脱氨气。蒸出的氨气又经过塔中的“旋流板”捕沫层与上部闪蒸段出来的氨气一起自下而上进入-氨冷凝器E-</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302，冷凝成液氨，然后自流返回反应工序的液氨中间罐V-</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201。蒸氨塔T-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301下部蒸馏段底的釜液</w:t>
            </w:r>
            <w:r>
              <w:rPr>
                <w:rFonts w:hint="eastAsia" w:ascii="Times New Roman" w:hAnsi="Times New Roman" w:cs="Times New Roman"/>
                <w:color w:val="auto"/>
                <w:sz w:val="24"/>
                <w:szCs w:val="24"/>
                <w:highlight w:val="none"/>
                <w:lang w:val="en-US" w:eastAsia="zh-CN"/>
              </w:rPr>
              <w:t>自压</w:t>
            </w:r>
            <w:r>
              <w:rPr>
                <w:rFonts w:ascii="Times New Roman" w:hAnsi="Times New Roman" w:cs="Times New Roman"/>
                <w:color w:val="auto"/>
                <w:sz w:val="24"/>
                <w:szCs w:val="24"/>
                <w:highlight w:val="none"/>
              </w:rPr>
              <w:t>送到蒸氨再沸器E-</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301，加热到一定温度，使塔釜流出的反应液仅含微量氨，即反应液原高含氨已蒸脱。蒸氨塔T-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301塔釜的釜液自控维持一定液位，多余的釜液利用压差送进</w:t>
            </w:r>
            <w:r>
              <w:rPr>
                <w:rFonts w:hint="eastAsia" w:ascii="Times New Roman" w:hAnsi="Times New Roman" w:cs="Times New Roman"/>
                <w:color w:val="auto"/>
                <w:sz w:val="24"/>
                <w:szCs w:val="24"/>
                <w:highlight w:val="none"/>
                <w:lang w:val="en-US" w:eastAsia="zh-CN"/>
              </w:rPr>
              <w:t>脱水塔前闪蒸罐V4301进一步降压脱氨，再次利用压差将罐底液</w:t>
            </w:r>
            <w:r>
              <w:rPr>
                <w:rFonts w:ascii="Times New Roman" w:hAnsi="Times New Roman" w:cs="Times New Roman"/>
                <w:color w:val="auto"/>
                <w:sz w:val="24"/>
                <w:szCs w:val="24"/>
                <w:highlight w:val="none"/>
              </w:rPr>
              <w:t>利用压差送进脱水塔T-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302中部的稳流区后喷洒入塔。</w:t>
            </w:r>
          </w:p>
          <w:p w14:paraId="18E7E452">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脱水塔T-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302是在真空下操作的。下部的釜液在降膜式的脱水再沸器E-</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用低压蒸汽加热，以使水分和残留的氨完全蒸出，同时塔顶保持一定温度，蒸出足够量的MEA有助于彻底脱净釜液中的水分，并且催化剂如果含有大量的MEA而返回反应系统，有利于DEA产品的生成。釜液由屏蔽式的循环泵P-</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不断地强制循环送到再沸器E-</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加热。这时的釜液即为已彻底脱除氨和水的混合乙醇胺（CEA），塔釜液位自控在指定高度，多余的被泵P-</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送到产品精制工序的T-4</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01。再沸器E-</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加热用的低压蒸汽用量由脱水塔T-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302下段中间的</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提馏段敏感点</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温度所控制。脱水塔T-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302顶部蒸出的是水和较高比率的MEA以及残留的氨，依次经过高位的水冷凝器E-</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w:t>
            </w:r>
            <w:r>
              <w:rPr>
                <w:rFonts w:hint="eastAsia" w:ascii="Times New Roman" w:hAnsi="Times New Roman" w:cs="Times New Roman"/>
                <w:color w:val="auto"/>
                <w:sz w:val="24"/>
                <w:szCs w:val="24"/>
                <w:highlight w:val="none"/>
                <w:lang w:val="en-US" w:eastAsia="zh-CN"/>
              </w:rPr>
              <w:t>3</w:t>
            </w:r>
            <w:r>
              <w:rPr>
                <w:rFonts w:ascii="Times New Roman" w:hAnsi="Times New Roman" w:cs="Times New Roman"/>
                <w:color w:val="auto"/>
                <w:sz w:val="24"/>
                <w:szCs w:val="24"/>
                <w:highlight w:val="none"/>
              </w:rPr>
              <w:t>冷却后，流入高位的回流分配器</w:t>
            </w:r>
            <w:r>
              <w:rPr>
                <w:rFonts w:hint="eastAsia" w:ascii="Times New Roman" w:hAnsi="Times New Roman" w:cs="Times New Roman"/>
                <w:color w:val="auto"/>
                <w:sz w:val="24"/>
                <w:szCs w:val="24"/>
                <w:highlight w:val="none"/>
                <w:lang w:val="en-US" w:eastAsia="zh-CN"/>
              </w:rPr>
              <w:t>V-4302</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一</w:t>
            </w:r>
            <w:r>
              <w:rPr>
                <w:rFonts w:ascii="Times New Roman" w:hAnsi="Times New Roman" w:cs="Times New Roman"/>
                <w:color w:val="auto"/>
                <w:sz w:val="24"/>
                <w:szCs w:val="24"/>
                <w:highlight w:val="none"/>
              </w:rPr>
              <w:t>部分冷凝液返回塔T-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302顶作回流。回流量是由塔上段中部的</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精馏段敏感点</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温度所控制，其余的冷凝液流入常压的</w:t>
            </w:r>
            <w:r>
              <w:rPr>
                <w:rFonts w:hint="eastAsia" w:ascii="Times New Roman" w:hAnsi="Times New Roman" w:cs="Times New Roman"/>
                <w:color w:val="auto"/>
                <w:sz w:val="24"/>
                <w:szCs w:val="24"/>
                <w:highlight w:val="none"/>
                <w:lang w:val="en-US" w:eastAsia="zh-CN"/>
              </w:rPr>
              <w:t>尾氨吸收塔T-4303作催化剂再利用</w:t>
            </w:r>
            <w:r>
              <w:rPr>
                <w:rFonts w:ascii="Times New Roman" w:hAnsi="Times New Roman" w:cs="Times New Roman"/>
                <w:color w:val="auto"/>
                <w:sz w:val="24"/>
                <w:szCs w:val="24"/>
                <w:highlight w:val="none"/>
              </w:rPr>
              <w:t>。回流分配器上部的不凝性气体由真空泵抽吸而进入</w:t>
            </w:r>
            <w:r>
              <w:rPr>
                <w:rFonts w:hint="eastAsia" w:ascii="Times New Roman" w:hAnsi="Times New Roman" w:cs="Times New Roman"/>
                <w:color w:val="auto"/>
                <w:sz w:val="24"/>
                <w:szCs w:val="24"/>
                <w:highlight w:val="none"/>
                <w:lang w:val="en-US" w:eastAsia="zh-CN"/>
              </w:rPr>
              <w:t>催化剂收集罐V-4303</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催化剂收集罐中液体</w:t>
            </w:r>
            <w:r>
              <w:rPr>
                <w:rFonts w:ascii="Times New Roman" w:hAnsi="Times New Roman" w:cs="Times New Roman"/>
                <w:color w:val="auto"/>
                <w:sz w:val="24"/>
                <w:szCs w:val="24"/>
                <w:highlight w:val="none"/>
              </w:rPr>
              <w:t>经过</w:t>
            </w:r>
            <w:r>
              <w:rPr>
                <w:rFonts w:hint="eastAsia" w:ascii="Times New Roman" w:hAnsi="Times New Roman" w:cs="Times New Roman"/>
                <w:color w:val="auto"/>
                <w:sz w:val="24"/>
                <w:szCs w:val="24"/>
                <w:highlight w:val="none"/>
                <w:lang w:val="en-US" w:eastAsia="zh-CN"/>
              </w:rPr>
              <w:t>循环冷却器降温</w:t>
            </w:r>
            <w:r>
              <w:rPr>
                <w:rFonts w:ascii="Times New Roman" w:hAnsi="Times New Roman" w:cs="Times New Roman"/>
                <w:color w:val="auto"/>
                <w:sz w:val="24"/>
                <w:szCs w:val="24"/>
                <w:highlight w:val="none"/>
              </w:rPr>
              <w:t>使之维持在较低温度下。</w:t>
            </w:r>
            <w:r>
              <w:rPr>
                <w:rFonts w:hint="eastAsia" w:ascii="Times New Roman" w:hAnsi="Times New Roman" w:cs="Times New Roman"/>
                <w:color w:val="auto"/>
                <w:sz w:val="24"/>
                <w:szCs w:val="24"/>
                <w:highlight w:val="none"/>
                <w:lang w:val="en-US" w:eastAsia="zh-CN"/>
              </w:rPr>
              <w:t>尾氨吸收塔</w:t>
            </w:r>
            <w:r>
              <w:rPr>
                <w:rFonts w:ascii="Times New Roman" w:hAnsi="Times New Roman" w:cs="Times New Roman"/>
                <w:color w:val="auto"/>
                <w:sz w:val="24"/>
                <w:szCs w:val="24"/>
                <w:highlight w:val="none"/>
              </w:rPr>
              <w:t>的催化剂液体用催化剂泵加压并控制一定流量注回反应工序。回流分配器中的不凝性气体</w:t>
            </w:r>
            <w:r>
              <w:rPr>
                <w:rFonts w:hint="eastAsia" w:ascii="Times New Roman" w:hAnsi="Times New Roman" w:cs="Times New Roman"/>
                <w:color w:val="auto"/>
                <w:sz w:val="24"/>
                <w:szCs w:val="24"/>
                <w:highlight w:val="none"/>
                <w:lang w:val="en-US" w:eastAsia="zh-CN"/>
              </w:rPr>
              <w:t>和催化剂收集罐的循环液一起经真空喷射器</w:t>
            </w:r>
            <w:r>
              <w:rPr>
                <w:rFonts w:ascii="Times New Roman" w:hAnsi="Times New Roman" w:cs="Times New Roman"/>
                <w:color w:val="auto"/>
                <w:sz w:val="24"/>
                <w:szCs w:val="24"/>
                <w:highlight w:val="none"/>
              </w:rPr>
              <w:t>直接进入</w:t>
            </w:r>
            <w:r>
              <w:rPr>
                <w:rFonts w:hint="eastAsia" w:ascii="Times New Roman" w:hAnsi="Times New Roman" w:cs="Times New Roman"/>
                <w:color w:val="auto"/>
                <w:sz w:val="24"/>
                <w:szCs w:val="24"/>
                <w:highlight w:val="none"/>
                <w:lang w:val="en-US" w:eastAsia="zh-CN"/>
              </w:rPr>
              <w:t>催化剂收集罐。催化剂收集罐液体过多时，溢流进入尾氨吸收塔。</w:t>
            </w:r>
          </w:p>
          <w:p w14:paraId="0DC6E913">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循环催化剂槽排出的尾氨和全系统放散的含氨或含EO弛放气都汇集到</w:t>
            </w:r>
            <w:r>
              <w:rPr>
                <w:rFonts w:hint="eastAsia" w:ascii="Times New Roman" w:hAnsi="Times New Roman" w:cs="Times New Roman"/>
                <w:color w:val="auto"/>
                <w:sz w:val="24"/>
                <w:szCs w:val="24"/>
                <w:highlight w:val="none"/>
                <w:lang w:val="en-US" w:eastAsia="zh-CN"/>
              </w:rPr>
              <w:t>尾氨</w:t>
            </w:r>
            <w:r>
              <w:rPr>
                <w:rFonts w:ascii="Times New Roman" w:hAnsi="Times New Roman" w:cs="Times New Roman"/>
                <w:color w:val="auto"/>
                <w:sz w:val="24"/>
                <w:szCs w:val="24"/>
                <w:highlight w:val="none"/>
              </w:rPr>
              <w:t>吸收塔T-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303，用T-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303</w:t>
            </w:r>
            <w:r>
              <w:rPr>
                <w:rFonts w:hint="eastAsia" w:ascii="Times New Roman" w:hAnsi="Times New Roman" w:cs="Times New Roman"/>
                <w:color w:val="auto"/>
                <w:sz w:val="24"/>
                <w:szCs w:val="24"/>
                <w:highlight w:val="none"/>
                <w:lang w:val="en-US" w:eastAsia="zh-CN"/>
              </w:rPr>
              <w:t>的循环</w:t>
            </w:r>
            <w:r>
              <w:rPr>
                <w:rFonts w:ascii="Times New Roman" w:hAnsi="Times New Roman" w:cs="Times New Roman"/>
                <w:color w:val="auto"/>
                <w:sz w:val="24"/>
                <w:szCs w:val="24"/>
                <w:highlight w:val="none"/>
              </w:rPr>
              <w:t>泵送来的含MEA和水的冷凝液循环吸收，吸收液则</w:t>
            </w:r>
            <w:r>
              <w:rPr>
                <w:rFonts w:hint="eastAsia" w:ascii="Times New Roman" w:hAnsi="Times New Roman" w:cs="Times New Roman"/>
                <w:color w:val="auto"/>
                <w:sz w:val="24"/>
                <w:szCs w:val="24"/>
                <w:highlight w:val="none"/>
                <w:lang w:val="en-US" w:eastAsia="zh-CN"/>
              </w:rPr>
              <w:t>作催化剂再利用</w:t>
            </w:r>
            <w:r>
              <w:rPr>
                <w:rFonts w:ascii="Times New Roman" w:hAnsi="Times New Roman" w:cs="Times New Roman"/>
                <w:color w:val="auto"/>
                <w:sz w:val="24"/>
                <w:szCs w:val="24"/>
                <w:highlight w:val="none"/>
              </w:rPr>
              <w:t>。用空气、氮气吹扫设备和管道时含环氧乙烷或氨的吹扫气也汇集送至T-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303，由循环冷凝液吸收，以减少原料损失并防止对大气的污染。</w:t>
            </w:r>
          </w:p>
          <w:p w14:paraId="3815A4AE">
            <w:pPr>
              <w:spacing w:line="360" w:lineRule="auto"/>
              <w:ind w:firstLine="480" w:firstLineChars="200"/>
              <w:rPr>
                <w:rFonts w:hint="default" w:ascii="Times New Roman" w:hAnsi="Times New Roman" w:eastAsia="宋体" w:cs="Times New Roman"/>
                <w:color w:val="auto"/>
                <w:sz w:val="24"/>
                <w:szCs w:val="24"/>
                <w:highlight w:val="none"/>
              </w:rPr>
            </w:pPr>
            <w:r>
              <w:rPr>
                <w:rFonts w:ascii="Times New Roman" w:hAnsi="Times New Roman" w:cs="Times New Roman"/>
                <w:color w:val="auto"/>
                <w:sz w:val="24"/>
                <w:szCs w:val="24"/>
                <w:highlight w:val="none"/>
              </w:rPr>
              <w:t>4</w:t>
            </w:r>
            <w:r>
              <w:rPr>
                <w:rFonts w:hint="default" w:ascii="Times New Roman" w:hAnsi="Times New Roman" w:eastAsia="宋体" w:cs="Times New Roman"/>
                <w:color w:val="auto"/>
                <w:sz w:val="24"/>
                <w:szCs w:val="24"/>
                <w:highlight w:val="none"/>
              </w:rPr>
              <w:t>）产品精制工序</w:t>
            </w:r>
          </w:p>
          <w:p w14:paraId="5B4CD70E">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①一乙塔（T-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401）</w:t>
            </w:r>
          </w:p>
          <w:p w14:paraId="4F6D9176">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已经脱除氨和水的粗产品——混合乙醇胺（CEA），用泵输送到本工序。经闪蒸降温后和二乙塔顶来的二乙拔头液一起，进入一乙塔中部的稳流区再均匀喷淋入塔。一乙塔是在高真空下操作的。塔釜液由循环泵P-4</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01打到一乙塔的降膜式再沸器用低压蒸汽进行加热，维持一定塔釜温度。再沸器是一台降膜式蒸发器，可使液层高度降至极小以防止升高塔釜液的沸点，塔釜液是已经基本蒸去但未蒸净MEA的DEA＋TEA混合物，控制塔釜液位高度，用泵送到二乙塔进一步精馏。再沸器的蒸汽用量由一乙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401下段中间的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提馏段敏感点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的温度所控制。</w:t>
            </w:r>
          </w:p>
          <w:p w14:paraId="214C0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一乙塔上部精馏段蒸出的MEA蒸汽经塔顶的卧式</w:t>
            </w:r>
            <w:r>
              <w:rPr>
                <w:rFonts w:hint="default" w:ascii="Times New Roman" w:hAnsi="Times New Roman" w:eastAsia="宋体" w:cs="Times New Roman"/>
                <w:color w:val="auto"/>
                <w:sz w:val="24"/>
                <w:szCs w:val="24"/>
                <w:highlight w:val="none"/>
                <w:lang w:val="en-US" w:eastAsia="zh-CN"/>
              </w:rPr>
              <w:t>内冷器</w:t>
            </w:r>
            <w:r>
              <w:rPr>
                <w:rFonts w:hint="default" w:ascii="Times New Roman" w:hAnsi="Times New Roman" w:eastAsia="宋体" w:cs="Times New Roman"/>
                <w:color w:val="auto"/>
                <w:sz w:val="24"/>
                <w:szCs w:val="24"/>
                <w:highlight w:val="none"/>
              </w:rPr>
              <w:t>冷凝成液体，</w:t>
            </w:r>
            <w:r>
              <w:rPr>
                <w:rFonts w:hint="default" w:ascii="Times New Roman" w:hAnsi="Times New Roman" w:eastAsia="宋体" w:cs="Times New Roman"/>
                <w:color w:val="auto"/>
                <w:sz w:val="24"/>
                <w:szCs w:val="24"/>
                <w:highlight w:val="none"/>
                <w:lang w:val="en-US" w:eastAsia="zh-CN"/>
              </w:rPr>
              <w:t>流至塔顶积液槽，</w:t>
            </w:r>
            <w:r>
              <w:rPr>
                <w:rFonts w:hint="default" w:ascii="Times New Roman" w:hAnsi="Times New Roman" w:eastAsia="宋体" w:cs="Times New Roman"/>
                <w:color w:val="auto"/>
                <w:sz w:val="24"/>
                <w:szCs w:val="24"/>
                <w:highlight w:val="none"/>
              </w:rPr>
              <w:t>一部分作回流</w:t>
            </w:r>
            <w:r>
              <w:rPr>
                <w:rFonts w:hint="default" w:ascii="Times New Roman" w:hAnsi="Times New Roman" w:eastAsia="宋体" w:cs="Times New Roman"/>
                <w:color w:val="auto"/>
                <w:sz w:val="24"/>
                <w:szCs w:val="24"/>
                <w:highlight w:val="none"/>
                <w:lang w:val="en-US" w:eastAsia="zh-CN"/>
              </w:rPr>
              <w:t>流至一乙塔，多余部分经馏出泵采出至产品中间罐</w:t>
            </w:r>
            <w:r>
              <w:rPr>
                <w:rFonts w:hint="default" w:ascii="Times New Roman" w:hAnsi="Times New Roman" w:eastAsia="宋体" w:cs="Times New Roman"/>
                <w:color w:val="auto"/>
                <w:sz w:val="24"/>
                <w:szCs w:val="24"/>
                <w:highlight w:val="none"/>
              </w:rPr>
              <w:t>。其回流比由塔上段中间的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精馏段敏感点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的温度所控制。</w:t>
            </w:r>
          </w:p>
          <w:p w14:paraId="65A1C78E">
            <w:pPr>
              <w:pStyle w:val="26"/>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一乙塔在真空下进行操作，经过内冷器冷凝的气体需再次经过再冷器冷却，冷凝液体（拔头液）去尾氨吸收塔作催化剂。不凝气经真空机组后，进入尾氨吸收塔吸收。</w:t>
            </w:r>
          </w:p>
          <w:p w14:paraId="7509E33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内冷</w:t>
            </w:r>
            <w:r>
              <w:rPr>
                <w:rFonts w:hint="default" w:ascii="Times New Roman" w:hAnsi="Times New Roman" w:eastAsia="宋体" w:cs="Times New Roman"/>
                <w:color w:val="auto"/>
                <w:sz w:val="24"/>
                <w:szCs w:val="24"/>
                <w:highlight w:val="none"/>
              </w:rPr>
              <w:t>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再冷器</w:t>
            </w:r>
            <w:r>
              <w:rPr>
                <w:rFonts w:hint="default" w:ascii="Times New Roman" w:hAnsi="Times New Roman" w:eastAsia="宋体" w:cs="Times New Roman"/>
                <w:color w:val="auto"/>
                <w:sz w:val="24"/>
                <w:szCs w:val="24"/>
                <w:highlight w:val="none"/>
              </w:rPr>
              <w:t>为卧式</w:t>
            </w:r>
            <w:r>
              <w:rPr>
                <w:rFonts w:hint="default" w:ascii="Times New Roman" w:hAnsi="Times New Roman" w:eastAsia="宋体" w:cs="Times New Roman"/>
                <w:color w:val="auto"/>
                <w:sz w:val="24"/>
                <w:szCs w:val="24"/>
                <w:highlight w:val="none"/>
                <w:lang w:val="en-US" w:eastAsia="zh-CN"/>
              </w:rPr>
              <w:t>冷凝器</w:t>
            </w:r>
            <w:r>
              <w:rPr>
                <w:rFonts w:hint="default" w:ascii="Times New Roman" w:hAnsi="Times New Roman" w:eastAsia="宋体" w:cs="Times New Roman"/>
                <w:color w:val="auto"/>
                <w:sz w:val="24"/>
                <w:szCs w:val="24"/>
                <w:highlight w:val="none"/>
              </w:rPr>
              <w:t>，冷却水走管内MEA蒸气走管间，以减少MEA蒸气流经冷凝器的阻力，确保塔维持在较高的真空度下操作。冷凝器顶部与真空机组相连，抽出不凝性气体并保持塔的真空度。</w:t>
            </w:r>
          </w:p>
          <w:p w14:paraId="44A4AEAC">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②二乙塔（T-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402）</w:t>
            </w:r>
          </w:p>
          <w:p w14:paraId="787D7011">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二乙塔</w:t>
            </w:r>
            <w:r>
              <w:rPr>
                <w:rFonts w:hint="default" w:ascii="Times New Roman" w:hAnsi="Times New Roman" w:eastAsia="宋体" w:cs="Times New Roman"/>
                <w:color w:val="auto"/>
                <w:sz w:val="24"/>
                <w:szCs w:val="24"/>
                <w:highlight w:val="none"/>
              </w:rPr>
              <w:t>也是一支在高真空下操作的精馏塔。从一乙塔塔釜经泵送来的DEA＋TEA混合物</w:t>
            </w:r>
            <w:r>
              <w:rPr>
                <w:rFonts w:hint="default" w:ascii="Times New Roman" w:hAnsi="Times New Roman" w:eastAsia="宋体" w:cs="Times New Roman"/>
                <w:color w:val="auto"/>
                <w:sz w:val="24"/>
                <w:szCs w:val="24"/>
                <w:highlight w:val="none"/>
                <w:lang w:val="en-US" w:eastAsia="zh-CN"/>
              </w:rPr>
              <w:t>与三乙塔拔头液混合</w:t>
            </w:r>
            <w:r>
              <w:rPr>
                <w:rFonts w:hint="default" w:ascii="Times New Roman" w:hAnsi="Times New Roman" w:eastAsia="宋体" w:cs="Times New Roman"/>
                <w:color w:val="auto"/>
                <w:sz w:val="24"/>
                <w:szCs w:val="24"/>
                <w:highlight w:val="none"/>
              </w:rPr>
              <w:t>，首先进入的是二乙塔</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拔头段</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的稳流区，喷淋入塔。拔头段实质上只是一段提馏段，其目的是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去料液中可能存在的MEA，以保证DEA的质量。拔头段的物料蒸气经冷凝器E-4</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冷凝，不凝气去真空机组以维持二乙塔在真空下的操作。冷凝液一部分回流，一部分即二乙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拔头液</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。拔头液中不光是MEA而必须带有部分DEA才能保证MEA拔尽。拔头液利用位差自流送回一乙塔前</w:t>
            </w:r>
            <w:r>
              <w:rPr>
                <w:rFonts w:hint="default" w:ascii="Times New Roman" w:hAnsi="Times New Roman" w:eastAsia="宋体" w:cs="Times New Roman"/>
                <w:color w:val="auto"/>
                <w:sz w:val="24"/>
                <w:szCs w:val="24"/>
                <w:highlight w:val="none"/>
                <w:lang w:val="en-US" w:eastAsia="zh-CN"/>
              </w:rPr>
              <w:t>闪蒸罐</w:t>
            </w:r>
            <w:r>
              <w:rPr>
                <w:rFonts w:hint="default" w:ascii="Times New Roman" w:hAnsi="Times New Roman" w:eastAsia="宋体" w:cs="Times New Roman"/>
                <w:color w:val="auto"/>
                <w:sz w:val="24"/>
                <w:szCs w:val="24"/>
                <w:highlight w:val="none"/>
              </w:rPr>
              <w:t>的料液进口。拔头段的温度和蒸汽用量由分析已拔头的DEA+TEA物料中的MEA的含量决定。已拔头的DEA+TEA液流到二乙塔下部，其上是精馏段，蒸出的DEA蒸汽经卧式冷凝器冷凝，冷凝液</w:t>
            </w:r>
            <w:r>
              <w:rPr>
                <w:rFonts w:hint="default" w:ascii="Times New Roman" w:hAnsi="Times New Roman" w:eastAsia="宋体" w:cs="Times New Roman"/>
                <w:color w:val="auto"/>
                <w:sz w:val="24"/>
                <w:szCs w:val="24"/>
                <w:highlight w:val="none"/>
                <w:lang w:val="en-US" w:eastAsia="zh-CN"/>
              </w:rPr>
              <w:t>流入二层积液槽</w:t>
            </w:r>
            <w:r>
              <w:rPr>
                <w:rFonts w:hint="default" w:ascii="Times New Roman" w:hAnsi="Times New Roman" w:eastAsia="宋体" w:cs="Times New Roman"/>
                <w:color w:val="auto"/>
                <w:sz w:val="24"/>
                <w:szCs w:val="24"/>
                <w:highlight w:val="none"/>
              </w:rPr>
              <w:t>，其中一部分作回流，回流量根据精馏段中部的“敏感点”温度进行控制，其余冷凝液即DEA产品</w:t>
            </w:r>
            <w:r>
              <w:rPr>
                <w:rFonts w:hint="default" w:ascii="Times New Roman" w:hAnsi="Times New Roman" w:eastAsia="宋体" w:cs="Times New Roman"/>
                <w:color w:val="auto"/>
                <w:sz w:val="24"/>
                <w:szCs w:val="24"/>
                <w:highlight w:val="none"/>
                <w:lang w:val="en-US" w:eastAsia="zh-CN"/>
              </w:rPr>
              <w:t>用馏出泵采出</w:t>
            </w:r>
            <w:r>
              <w:rPr>
                <w:rFonts w:hint="default" w:ascii="Times New Roman" w:hAnsi="Times New Roman" w:eastAsia="宋体" w:cs="Times New Roman"/>
                <w:color w:val="auto"/>
                <w:sz w:val="24"/>
                <w:szCs w:val="24"/>
                <w:highlight w:val="none"/>
              </w:rPr>
              <w:t>，经过套管式冷却器</w:t>
            </w:r>
            <w:r>
              <w:rPr>
                <w:rFonts w:hint="default" w:ascii="Times New Roman" w:hAnsi="Times New Roman" w:eastAsia="宋体" w:cs="Times New Roman"/>
                <w:color w:val="auto"/>
                <w:sz w:val="24"/>
                <w:szCs w:val="24"/>
                <w:highlight w:val="none"/>
                <w:lang w:val="en-US" w:eastAsia="zh-CN"/>
              </w:rPr>
              <w:t>进</w:t>
            </w:r>
            <w:r>
              <w:rPr>
                <w:rFonts w:hint="default" w:ascii="Times New Roman" w:hAnsi="Times New Roman" w:eastAsia="宋体" w:cs="Times New Roman"/>
                <w:color w:val="auto"/>
                <w:sz w:val="24"/>
                <w:szCs w:val="24"/>
                <w:highlight w:val="none"/>
              </w:rPr>
              <w:t>入二乙</w:t>
            </w:r>
            <w:r>
              <w:rPr>
                <w:rFonts w:hint="default" w:ascii="Times New Roman" w:hAnsi="Times New Roman" w:eastAsia="宋体" w:cs="Times New Roman"/>
                <w:color w:val="auto"/>
                <w:sz w:val="24"/>
                <w:szCs w:val="24"/>
                <w:highlight w:val="none"/>
                <w:lang w:val="en-US" w:eastAsia="zh-CN"/>
              </w:rPr>
              <w:t>产品中间罐</w:t>
            </w:r>
            <w:r>
              <w:rPr>
                <w:rFonts w:hint="default" w:ascii="Times New Roman" w:hAnsi="Times New Roman" w:eastAsia="宋体" w:cs="Times New Roman"/>
                <w:color w:val="auto"/>
                <w:sz w:val="24"/>
                <w:szCs w:val="24"/>
                <w:highlight w:val="none"/>
              </w:rPr>
              <w:t>；提馏段下是塔釜，塔釜液即粗TEA由循环泵打到二乙塔再沸器反复循环，用中压蒸汽进行加热。二乙再沸器是一台降膜式蒸发器，以加速DEA的蒸出。二乙再沸器的中压蒸汽用量，是根据二乙塔塔釜的温度控制的。塔釜液粗TEA由釜液循环泵打到三乙塔，其流量由塔釜液液位控制。DEA产品经过套管式冷却器</w:t>
            </w:r>
            <w:r>
              <w:rPr>
                <w:rFonts w:hint="default" w:ascii="Times New Roman" w:hAnsi="Times New Roman" w:eastAsia="宋体" w:cs="Times New Roman"/>
                <w:color w:val="auto"/>
                <w:sz w:val="24"/>
                <w:szCs w:val="24"/>
                <w:highlight w:val="none"/>
                <w:lang w:val="en-US" w:eastAsia="zh-CN"/>
              </w:rPr>
              <w:t>进</w:t>
            </w:r>
            <w:r>
              <w:rPr>
                <w:rFonts w:hint="default" w:ascii="Times New Roman" w:hAnsi="Times New Roman" w:eastAsia="宋体" w:cs="Times New Roman"/>
                <w:color w:val="auto"/>
                <w:sz w:val="24"/>
                <w:szCs w:val="24"/>
                <w:highlight w:val="none"/>
              </w:rPr>
              <w:t>入常压的二乙</w:t>
            </w:r>
            <w:r>
              <w:rPr>
                <w:rFonts w:hint="default" w:ascii="Times New Roman" w:hAnsi="Times New Roman" w:eastAsia="宋体" w:cs="Times New Roman"/>
                <w:color w:val="auto"/>
                <w:sz w:val="24"/>
                <w:szCs w:val="24"/>
                <w:highlight w:val="none"/>
                <w:lang w:val="en-US" w:eastAsia="zh-CN"/>
              </w:rPr>
              <w:t>产品中间罐</w:t>
            </w:r>
            <w:r>
              <w:rPr>
                <w:rFonts w:hint="default" w:ascii="Times New Roman" w:hAnsi="Times New Roman" w:eastAsia="宋体" w:cs="Times New Roman"/>
                <w:color w:val="auto"/>
                <w:sz w:val="24"/>
                <w:szCs w:val="24"/>
                <w:highlight w:val="none"/>
              </w:rPr>
              <w:t>。由于DEA的凝固点较高（28℃），在各</w:t>
            </w:r>
            <w:r>
              <w:rPr>
                <w:rFonts w:hint="default" w:ascii="Times New Roman" w:hAnsi="Times New Roman" w:eastAsia="宋体" w:cs="Times New Roman"/>
                <w:color w:val="auto"/>
                <w:sz w:val="24"/>
                <w:szCs w:val="24"/>
                <w:highlight w:val="none"/>
                <w:lang w:val="en-US" w:eastAsia="zh-CN"/>
              </w:rPr>
              <w:t>管线、</w:t>
            </w:r>
            <w:r>
              <w:rPr>
                <w:rFonts w:hint="default" w:ascii="Times New Roman" w:hAnsi="Times New Roman" w:eastAsia="宋体" w:cs="Times New Roman"/>
                <w:color w:val="auto"/>
                <w:sz w:val="24"/>
                <w:szCs w:val="24"/>
                <w:highlight w:val="none"/>
              </w:rPr>
              <w:t>二乙</w:t>
            </w:r>
            <w:r>
              <w:rPr>
                <w:rFonts w:hint="default" w:ascii="Times New Roman" w:hAnsi="Times New Roman" w:eastAsia="宋体" w:cs="Times New Roman"/>
                <w:color w:val="auto"/>
                <w:sz w:val="24"/>
                <w:szCs w:val="24"/>
                <w:highlight w:val="none"/>
                <w:lang w:val="en-US" w:eastAsia="zh-CN"/>
              </w:rPr>
              <w:t>产品罐</w:t>
            </w:r>
            <w:r>
              <w:rPr>
                <w:rFonts w:hint="default" w:ascii="Times New Roman" w:hAnsi="Times New Roman" w:eastAsia="宋体" w:cs="Times New Roman"/>
                <w:color w:val="auto"/>
                <w:sz w:val="24"/>
                <w:szCs w:val="24"/>
                <w:highlight w:val="none"/>
              </w:rPr>
              <w:t>和各阀门外都须设置热水夹套和热水伴管以防气温低时管道、阀门因结晶而堵塞。不凝气从E-</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405顶引出，连结真空机组，使二乙塔维持一定的高真空。</w:t>
            </w:r>
          </w:p>
          <w:p w14:paraId="1A12C2F2">
            <w:pPr>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③三乙</w:t>
            </w:r>
            <w:r>
              <w:rPr>
                <w:rFonts w:ascii="Times New Roman" w:hAnsi="Times New Roman" w:cs="Times New Roman"/>
                <w:color w:val="auto"/>
                <w:sz w:val="24"/>
                <w:szCs w:val="24"/>
                <w:highlight w:val="none"/>
              </w:rPr>
              <w:t>塔（T-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403）</w:t>
            </w:r>
          </w:p>
          <w:p w14:paraId="2CD77515">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从泵P-4</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rPr>
              <w:t>03打出的粗TEA进入三乙塔</w:t>
            </w:r>
            <w:r>
              <w:rPr>
                <w:rFonts w:hint="eastAsia" w:ascii="Times New Roman" w:hAnsi="Times New Roman" w:cs="Times New Roman"/>
                <w:color w:val="auto"/>
                <w:sz w:val="24"/>
                <w:szCs w:val="24"/>
                <w:highlight w:val="none"/>
                <w:lang w:val="en-US" w:eastAsia="zh-CN"/>
              </w:rPr>
              <w:t>中</w:t>
            </w:r>
            <w:r>
              <w:rPr>
                <w:rFonts w:ascii="Times New Roman" w:hAnsi="Times New Roman" w:cs="Times New Roman"/>
                <w:color w:val="auto"/>
                <w:sz w:val="24"/>
                <w:szCs w:val="24"/>
                <w:highlight w:val="none"/>
              </w:rPr>
              <w:t>部</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拔头段</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的稳流区喷淋入塔。拔头段只是一段提馏段，其目的是</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拔</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去料液中可能存在的DEA，以保证TEA的质量。拔头段顶蒸出的是含有少量DEA的TEA，经卧式冷凝器冷凝后利用位差自流返回二乙塔下部提馏段上面的加料口。使被拔头的粗TEA维持在一定温度。已拔头脱除DEA的粗TEA流入三乙塔下部</w:t>
            </w:r>
            <w:r>
              <w:rPr>
                <w:rFonts w:hint="eastAsia" w:ascii="Times New Roman" w:hAnsi="Times New Roman" w:cs="Times New Roman"/>
                <w:color w:val="auto"/>
                <w:sz w:val="24"/>
                <w:szCs w:val="24"/>
                <w:highlight w:val="none"/>
                <w:lang w:val="en-US" w:eastAsia="zh-CN"/>
              </w:rPr>
              <w:t>塔釜</w:t>
            </w:r>
            <w:r>
              <w:rPr>
                <w:rFonts w:ascii="Times New Roman" w:hAnsi="Times New Roman" w:cs="Times New Roman"/>
                <w:color w:val="auto"/>
                <w:sz w:val="24"/>
                <w:szCs w:val="24"/>
                <w:highlight w:val="none"/>
              </w:rPr>
              <w:t>；从精馏段顶蒸出的TEA蒸气经冷凝器冷凝并冷却到常温，一部分回流，大部分流出得到TEA-I产品；釜液由循环泵打到三乙再沸器，再沸器也是一台降膜式蒸发器用中压蒸汽进行加热。从塔釜得到的是TEA-II产品，TEA-II须经冷却器迅速冷却到常温以避免产品变质。TEA-I和TEA-II均</w:t>
            </w:r>
            <w:r>
              <w:rPr>
                <w:rFonts w:hint="eastAsia" w:ascii="Times New Roman" w:hAnsi="Times New Roman" w:cs="Times New Roman"/>
                <w:color w:val="auto"/>
                <w:sz w:val="24"/>
                <w:szCs w:val="24"/>
                <w:highlight w:val="none"/>
                <w:lang w:val="en-US" w:eastAsia="zh-CN"/>
              </w:rPr>
              <w:t>泵出至</w:t>
            </w:r>
            <w:r>
              <w:rPr>
                <w:rFonts w:ascii="Times New Roman" w:hAnsi="Times New Roman" w:cs="Times New Roman"/>
                <w:color w:val="auto"/>
                <w:sz w:val="24"/>
                <w:szCs w:val="24"/>
                <w:highlight w:val="none"/>
              </w:rPr>
              <w:t>TEA-I</w:t>
            </w:r>
            <w:r>
              <w:rPr>
                <w:rFonts w:hint="eastAsia" w:ascii="Times New Roman" w:hAnsi="Times New Roman" w:cs="Times New Roman"/>
                <w:color w:val="auto"/>
                <w:sz w:val="24"/>
                <w:szCs w:val="24"/>
                <w:highlight w:val="none"/>
                <w:lang w:val="en-US" w:eastAsia="zh-CN"/>
              </w:rPr>
              <w:t>产品中间罐</w:t>
            </w:r>
            <w:r>
              <w:rPr>
                <w:rFonts w:ascii="Times New Roman" w:hAnsi="Times New Roman" w:cs="Times New Roman"/>
                <w:color w:val="auto"/>
                <w:sz w:val="24"/>
                <w:szCs w:val="24"/>
                <w:highlight w:val="none"/>
              </w:rPr>
              <w:t>和TEA-II</w:t>
            </w:r>
            <w:r>
              <w:rPr>
                <w:rFonts w:hint="eastAsia" w:ascii="Times New Roman" w:hAnsi="Times New Roman" w:cs="Times New Roman"/>
                <w:color w:val="auto"/>
                <w:sz w:val="24"/>
                <w:szCs w:val="24"/>
                <w:highlight w:val="none"/>
                <w:lang w:val="en-US" w:eastAsia="zh-CN"/>
              </w:rPr>
              <w:t>产品中间</w:t>
            </w:r>
            <w:r>
              <w:rPr>
                <w:rFonts w:ascii="Times New Roman" w:hAnsi="Times New Roman" w:cs="Times New Roman"/>
                <w:color w:val="auto"/>
                <w:sz w:val="24"/>
                <w:szCs w:val="24"/>
                <w:highlight w:val="none"/>
              </w:rPr>
              <w:t>罐，</w:t>
            </w:r>
            <w:r>
              <w:rPr>
                <w:rFonts w:hint="eastAsia" w:ascii="Times New Roman" w:hAnsi="Times New Roman" w:cs="Times New Roman"/>
                <w:color w:val="auto"/>
                <w:sz w:val="24"/>
                <w:szCs w:val="24"/>
                <w:highlight w:val="none"/>
                <w:lang w:val="en-US" w:eastAsia="zh-CN"/>
              </w:rPr>
              <w:t>分析合格后放入产品罐</w:t>
            </w:r>
            <w:r>
              <w:rPr>
                <w:rFonts w:ascii="Times New Roman" w:hAnsi="Times New Roman" w:cs="Times New Roman"/>
                <w:color w:val="auto"/>
                <w:sz w:val="24"/>
                <w:szCs w:val="24"/>
                <w:highlight w:val="none"/>
              </w:rPr>
              <w:t>。TEA的凝固点也相当高（21.57</w:t>
            </w:r>
            <w:r>
              <w:rPr>
                <w:rFonts w:hint="eastAsia"/>
                <w:color w:val="auto"/>
                <w:sz w:val="24"/>
                <w:szCs w:val="24"/>
                <w:highlight w:val="none"/>
              </w:rPr>
              <w:t>℃</w:t>
            </w:r>
            <w:r>
              <w:rPr>
                <w:rFonts w:ascii="Times New Roman" w:hAnsi="Times New Roman" w:cs="Times New Roman"/>
                <w:color w:val="auto"/>
                <w:sz w:val="24"/>
                <w:szCs w:val="24"/>
                <w:highlight w:val="none"/>
              </w:rPr>
              <w:t>），在气温低时容器和管道等须伴管加热，避免凝结。</w:t>
            </w:r>
          </w:p>
          <w:p w14:paraId="0A0E5FFF">
            <w:pPr>
              <w:spacing w:line="360" w:lineRule="auto"/>
              <w:ind w:firstLine="480" w:firstLineChars="200"/>
              <w:rPr>
                <w:rFonts w:ascii="Times New Roman" w:hAnsi="Times New Roman" w:cs="Times New Roman"/>
                <w:color w:val="auto"/>
                <w:sz w:val="28"/>
                <w:szCs w:val="28"/>
                <w:highlight w:val="none"/>
              </w:rPr>
            </w:pPr>
            <w:r>
              <w:rPr>
                <w:rFonts w:ascii="Times New Roman" w:hAnsi="Times New Roman" w:cs="Times New Roman"/>
                <w:color w:val="auto"/>
                <w:sz w:val="24"/>
                <w:szCs w:val="24"/>
                <w:highlight w:val="none"/>
              </w:rPr>
              <w:t>产品精制工序的真空机组均用双罗茨双水环型，之前并各设有冷井以保护机组。3台机组分别用于一乙塔系统，二乙塔系统和三乙塔系统，并有一台备用。</w:t>
            </w:r>
          </w:p>
          <w:p w14:paraId="3FF7B402">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Times New Roman" w:hAnsi="Times New Roman" w:cs="Times New Roman"/>
                <w:b w:val="0"/>
                <w:bCs/>
                <w:color w:val="auto"/>
                <w:sz w:val="24"/>
                <w:highlight w:val="none"/>
                <w:lang w:val="en-US" w:eastAsia="zh-CN"/>
              </w:rPr>
            </w:pPr>
            <w:r>
              <w:rPr>
                <w:color w:val="auto"/>
                <w:highlight w:val="none"/>
              </w:rPr>
              <w:drawing>
                <wp:inline distT="0" distB="0" distL="114300" distR="114300">
                  <wp:extent cx="5179695" cy="2305050"/>
                  <wp:effectExtent l="0" t="0" r="1905" b="0"/>
                  <wp:docPr id="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pic:cNvPicPr>
                            <a:picLocks noChangeAspect="1"/>
                          </pic:cNvPicPr>
                        </pic:nvPicPr>
                        <pic:blipFill>
                          <a:blip r:embed="rId25"/>
                          <a:stretch>
                            <a:fillRect/>
                          </a:stretch>
                        </pic:blipFill>
                        <pic:spPr>
                          <a:xfrm>
                            <a:off x="0" y="0"/>
                            <a:ext cx="5179695" cy="2305050"/>
                          </a:xfrm>
                          <a:prstGeom prst="rect">
                            <a:avLst/>
                          </a:prstGeom>
                          <a:noFill/>
                          <a:ln>
                            <a:noFill/>
                          </a:ln>
                        </pic:spPr>
                      </pic:pic>
                    </a:graphicData>
                  </a:graphic>
                </wp:inline>
              </w:drawing>
            </w:r>
          </w:p>
          <w:p w14:paraId="66436BF1">
            <w:pPr>
              <w:pStyle w:val="122"/>
              <w:bidi w:val="0"/>
              <w:rPr>
                <w:rFonts w:hint="eastAsia"/>
                <w:color w:val="auto"/>
                <w:highlight w:val="none"/>
                <w:lang w:val="en-US" w:eastAsia="zh-CN"/>
              </w:rPr>
            </w:pPr>
            <w:r>
              <w:rPr>
                <w:color w:val="auto"/>
                <w:highlight w:val="none"/>
              </w:rPr>
              <w:t>醇胺生产工艺流程图</w:t>
            </w:r>
          </w:p>
          <w:p w14:paraId="62326771">
            <w:pPr>
              <w:spacing w:line="360" w:lineRule="auto"/>
              <w:ind w:firstLine="482"/>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2、N-甲基乙醇胺产品生产</w:t>
            </w:r>
          </w:p>
          <w:p w14:paraId="3CE18A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工艺原理</w:t>
            </w:r>
          </w:p>
          <w:p w14:paraId="7729B3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采用过量一甲胺与环氧乙烷在管式反应器中反应，反应产物经脱胺脱水，浓缩后，进一步经精馏塔真空精馏分离得到N-甲基一乙醇胺、N-甲基二乙醇胺的连续生产工艺方案。化学反应方程式如下：</w:t>
            </w:r>
          </w:p>
          <w:p w14:paraId="719066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O —CH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NHCH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OH             （MMEA）</w:t>
            </w:r>
          </w:p>
          <w:p w14:paraId="455339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NHCH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OH+C</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O—CH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N（CH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OH）</w:t>
            </w:r>
            <w:r>
              <w:rPr>
                <w:rFonts w:hint="default" w:ascii="Times New Roman" w:hAnsi="Times New Roman" w:eastAsia="宋体" w:cs="Times New Roman"/>
                <w:color w:val="auto"/>
                <w:sz w:val="24"/>
                <w:szCs w:val="24"/>
                <w:highlight w:val="none"/>
                <w:vertAlign w:val="subscript"/>
              </w:rPr>
              <w:t xml:space="preserve">2   </w:t>
            </w:r>
            <w:r>
              <w:rPr>
                <w:rFonts w:hint="default" w:ascii="Times New Roman" w:hAnsi="Times New Roman" w:eastAsia="宋体" w:cs="Times New Roman"/>
                <w:color w:val="auto"/>
                <w:sz w:val="24"/>
                <w:szCs w:val="24"/>
                <w:highlight w:val="none"/>
              </w:rPr>
              <w:t>（MDEA）</w:t>
            </w:r>
          </w:p>
          <w:p w14:paraId="2FB358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装置主工艺流程</w:t>
            </w:r>
          </w:p>
          <w:p w14:paraId="7E8BFC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本装置的生产工艺按物料流动的顺序分为原料、反应、蒸胺脱水、产品精制四个工序，具体的工艺流程如下：</w:t>
            </w:r>
          </w:p>
          <w:p w14:paraId="7A9143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1）原料工序</w:t>
            </w:r>
          </w:p>
          <w:p w14:paraId="2EA4F1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主要原料之一甲胺由槽罐车运来，利用本工序的压缩机抽取一甲胺贮罐的一甲胺，压缩一甲胺槽罐车，将一甲胺卸到一甲胺贮罐中。然后用输送泵送到位于反应工序的中间罐。</w:t>
            </w:r>
          </w:p>
          <w:p w14:paraId="0E7AD4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另一个主要原料环氧乙烷（EO）也由槽罐车运来，运输过程中必须保持低温，以防止自聚产生高沸物杂质。利用本工序的</w:t>
            </w:r>
            <w:r>
              <w:rPr>
                <w:rFonts w:hint="default" w:ascii="Times New Roman" w:hAnsi="Times New Roman" w:eastAsia="宋体" w:cs="Times New Roman"/>
                <w:color w:val="auto"/>
                <w:sz w:val="24"/>
                <w:szCs w:val="24"/>
                <w:highlight w:val="none"/>
                <w:lang w:val="en-US" w:eastAsia="zh-CN"/>
              </w:rPr>
              <w:t>环氧乙烷</w:t>
            </w:r>
            <w:r>
              <w:rPr>
                <w:rFonts w:hint="default" w:ascii="Times New Roman" w:hAnsi="Times New Roman" w:eastAsia="宋体" w:cs="Times New Roman"/>
                <w:color w:val="auto"/>
                <w:sz w:val="24"/>
                <w:szCs w:val="24"/>
                <w:highlight w:val="none"/>
              </w:rPr>
              <w:t>压缩机抽取贮罐V-10</w:t>
            </w:r>
            <w:r>
              <w:rPr>
                <w:rFonts w:hint="default"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val="en-US" w:eastAsia="zh-CN"/>
              </w:rPr>
              <w:t>氮</w:t>
            </w:r>
            <w:r>
              <w:rPr>
                <w:rFonts w:hint="default" w:ascii="Times New Roman" w:hAnsi="Times New Roman" w:eastAsia="宋体" w:cs="Times New Roman"/>
                <w:color w:val="auto"/>
                <w:sz w:val="24"/>
                <w:szCs w:val="24"/>
                <w:highlight w:val="none"/>
              </w:rPr>
              <w:t>气，压缩</w:t>
            </w:r>
            <w:r>
              <w:rPr>
                <w:rFonts w:hint="default" w:ascii="Times New Roman" w:hAnsi="Times New Roman" w:eastAsia="宋体" w:cs="Times New Roman"/>
                <w:color w:val="auto"/>
                <w:sz w:val="24"/>
                <w:szCs w:val="24"/>
                <w:highlight w:val="none"/>
                <w:lang w:val="en-US" w:eastAsia="zh-CN"/>
              </w:rPr>
              <w:t>至</w:t>
            </w:r>
            <w:r>
              <w:rPr>
                <w:rFonts w:hint="default" w:ascii="Times New Roman" w:hAnsi="Times New Roman" w:eastAsia="宋体" w:cs="Times New Roman"/>
                <w:color w:val="auto"/>
                <w:sz w:val="24"/>
                <w:szCs w:val="24"/>
                <w:highlight w:val="none"/>
              </w:rPr>
              <w:t>液氨槽罐车。卸好后EO贮罐中应用N</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维持表压一定的压力，以利输送并避免空气进入罐内。EO贮罐</w:t>
            </w:r>
            <w:r>
              <w:rPr>
                <w:rFonts w:hint="default" w:ascii="Times New Roman" w:hAnsi="Times New Roman" w:eastAsia="宋体" w:cs="Times New Roman"/>
                <w:color w:val="auto"/>
                <w:sz w:val="24"/>
                <w:szCs w:val="24"/>
                <w:highlight w:val="none"/>
                <w:lang w:val="en-US" w:eastAsia="zh-CN"/>
              </w:rPr>
              <w:t>设有外循环冷冻装置</w:t>
            </w:r>
            <w:r>
              <w:rPr>
                <w:rFonts w:hint="default" w:ascii="Times New Roman" w:hAnsi="Times New Roman" w:eastAsia="宋体" w:cs="Times New Roman"/>
                <w:color w:val="auto"/>
                <w:sz w:val="24"/>
                <w:szCs w:val="24"/>
                <w:highlight w:val="none"/>
              </w:rPr>
              <w:t>，使EO始终保持低温。用EO输送泵将EO输送到反应工序的反应器中。</w:t>
            </w:r>
          </w:p>
          <w:p w14:paraId="71D71F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2）反应工序</w:t>
            </w:r>
          </w:p>
          <w:p w14:paraId="663C19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一甲胺</w:t>
            </w:r>
            <w:r>
              <w:rPr>
                <w:rFonts w:hint="default" w:ascii="Times New Roman" w:hAnsi="Times New Roman" w:eastAsia="宋体" w:cs="Times New Roman"/>
                <w:color w:val="auto"/>
                <w:sz w:val="24"/>
                <w:szCs w:val="24"/>
                <w:highlight w:val="none"/>
              </w:rPr>
              <w:t>中间罐V-</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201中的</w:t>
            </w:r>
            <w:r>
              <w:rPr>
                <w:rFonts w:hint="default" w:ascii="Times New Roman" w:hAnsi="Times New Roman" w:eastAsia="宋体" w:cs="Times New Roman"/>
                <w:color w:val="auto"/>
                <w:sz w:val="24"/>
                <w:szCs w:val="24"/>
                <w:highlight w:val="none"/>
                <w:lang w:val="en-US" w:eastAsia="zh-CN"/>
              </w:rPr>
              <w:t>一甲胺</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val="en-US" w:eastAsia="zh-CN"/>
              </w:rPr>
              <w:t>一甲胺计量泵P4202</w:t>
            </w:r>
            <w:r>
              <w:rPr>
                <w:rFonts w:hint="default" w:ascii="Times New Roman" w:hAnsi="Times New Roman" w:eastAsia="宋体" w:cs="Times New Roman"/>
                <w:color w:val="auto"/>
                <w:sz w:val="24"/>
                <w:szCs w:val="24"/>
                <w:highlight w:val="none"/>
              </w:rPr>
              <w:t>增压送到管式反应器R</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201前的预混合器M-</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w:t>
            </w:r>
          </w:p>
          <w:p w14:paraId="1E90CA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EO输送泵P-1</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将EO加压，分别送到管式反应器R-</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201的三个进料口。</w:t>
            </w:r>
          </w:p>
          <w:p w14:paraId="0B17CD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从泵P-</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202压出的</w:t>
            </w:r>
            <w:r>
              <w:rPr>
                <w:rFonts w:hint="default" w:ascii="Times New Roman" w:hAnsi="Times New Roman" w:eastAsia="宋体" w:cs="Times New Roman"/>
                <w:color w:val="auto"/>
                <w:sz w:val="24"/>
                <w:szCs w:val="24"/>
                <w:highlight w:val="none"/>
                <w:lang w:val="en-US" w:eastAsia="zh-CN"/>
              </w:rPr>
              <w:t>一甲胺与</w:t>
            </w:r>
            <w:r>
              <w:rPr>
                <w:rFonts w:hint="default" w:ascii="Times New Roman" w:hAnsi="Times New Roman" w:eastAsia="宋体" w:cs="Times New Roman"/>
                <w:color w:val="auto"/>
                <w:sz w:val="24"/>
                <w:szCs w:val="24"/>
                <w:highlight w:val="none"/>
              </w:rPr>
              <w:t>泵P-</w:t>
            </w:r>
            <w:r>
              <w:rPr>
                <w:rFonts w:hint="default" w:ascii="Times New Roman" w:hAnsi="Times New Roman" w:eastAsia="宋体" w:cs="Times New Roman"/>
                <w:color w:val="auto"/>
                <w:sz w:val="24"/>
                <w:szCs w:val="24"/>
                <w:highlight w:val="none"/>
                <w:lang w:val="en-US" w:eastAsia="zh-CN"/>
              </w:rPr>
              <w:t>4306压出的催化剂</w:t>
            </w:r>
            <w:r>
              <w:rPr>
                <w:rFonts w:hint="default" w:ascii="Times New Roman" w:hAnsi="Times New Roman" w:eastAsia="宋体" w:cs="Times New Roman"/>
                <w:color w:val="auto"/>
                <w:sz w:val="24"/>
                <w:szCs w:val="24"/>
                <w:highlight w:val="none"/>
              </w:rPr>
              <w:t>进入预混合器M-</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201；泵P-1</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压出的EO</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经过预混合器M-</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rPr>
              <w:t>，使EO</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一甲胺、催化剂</w:t>
            </w:r>
            <w:r>
              <w:rPr>
                <w:rFonts w:hint="default" w:ascii="Times New Roman" w:hAnsi="Times New Roman" w:eastAsia="宋体" w:cs="Times New Roman"/>
                <w:color w:val="auto"/>
                <w:sz w:val="24"/>
                <w:szCs w:val="24"/>
                <w:highlight w:val="none"/>
              </w:rPr>
              <w:t>在径向和轴向都充分混匀。促使反应物升温并引发了生成N-甲基乙醇胺的胺化反应。</w:t>
            </w:r>
          </w:p>
          <w:p w14:paraId="65D3E1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管式反应器R-</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201是一根高压管道，反应物在管道中反应。反应器分成若干段，各段按上述的程序分点注入</w:t>
            </w:r>
            <w:r>
              <w:rPr>
                <w:rFonts w:hint="default" w:ascii="Times New Roman" w:hAnsi="Times New Roman" w:eastAsia="宋体" w:cs="Times New Roman"/>
                <w:color w:val="auto"/>
                <w:sz w:val="24"/>
                <w:szCs w:val="24"/>
                <w:highlight w:val="none"/>
                <w:lang w:val="en-US" w:eastAsia="zh-CN"/>
              </w:rPr>
              <w:t>一甲胺</w:t>
            </w:r>
            <w:r>
              <w:rPr>
                <w:rFonts w:hint="default" w:ascii="Times New Roman" w:hAnsi="Times New Roman" w:eastAsia="宋体" w:cs="Times New Roman"/>
                <w:color w:val="auto"/>
                <w:sz w:val="24"/>
                <w:szCs w:val="24"/>
                <w:highlight w:val="none"/>
              </w:rPr>
              <w:t>、EO。管式反应器R-</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内安装扭板状的搅流片，以加强混合和管内外的传热。管外设热水夹套，用热水作逆向的循环流动，使管中的混合料保温持续反应。反应剧烈的管段产生的反应热则由夹套的热水带走，使该段反应管中的液相温度不至于过高，以避免产生气氨，破坏均相状态而改变预定的氨烷比</w:t>
            </w:r>
            <w:r>
              <w:rPr>
                <w:rFonts w:hint="default" w:ascii="Times New Roman" w:hAnsi="Times New Roman" w:eastAsia="宋体" w:cs="Times New Roman"/>
                <w:color w:val="auto"/>
                <w:sz w:val="24"/>
                <w:szCs w:val="24"/>
                <w:highlight w:val="none"/>
                <w:lang w:val="en-US" w:eastAsia="zh-CN"/>
              </w:rPr>
              <w:t>一甲胺</w:t>
            </w:r>
            <w:r>
              <w:rPr>
                <w:rFonts w:hint="default" w:ascii="Times New Roman" w:hAnsi="Times New Roman" w:eastAsia="宋体" w:cs="Times New Roman"/>
                <w:color w:val="auto"/>
                <w:sz w:val="24"/>
                <w:szCs w:val="24"/>
                <w:highlight w:val="none"/>
              </w:rPr>
              <w:t>/EO或胺烷比（</w:t>
            </w:r>
            <w:r>
              <w:rPr>
                <w:rFonts w:hint="default" w:ascii="Times New Roman" w:hAnsi="Times New Roman" w:eastAsia="宋体" w:cs="Times New Roman"/>
                <w:color w:val="auto"/>
                <w:sz w:val="24"/>
                <w:szCs w:val="24"/>
                <w:highlight w:val="none"/>
                <w:lang w:val="en-US" w:eastAsia="zh-CN"/>
              </w:rPr>
              <w:t>一甲胺</w:t>
            </w:r>
            <w:r>
              <w:rPr>
                <w:rFonts w:hint="default" w:ascii="Times New Roman" w:hAnsi="Times New Roman" w:eastAsia="宋体" w:cs="Times New Roman"/>
                <w:color w:val="auto"/>
                <w:sz w:val="24"/>
                <w:szCs w:val="24"/>
                <w:highlight w:val="none"/>
              </w:rPr>
              <w:t>+EA）/EO。</w:t>
            </w:r>
          </w:p>
          <w:p w14:paraId="77C7F9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管式反应器R-</w:t>
            </w:r>
            <w:r>
              <w:rPr>
                <w:rFonts w:hint="default" w:ascii="Times New Roman" w:hAnsi="Times New Roman" w:eastAsia="宋体" w:cs="Times New Roman"/>
                <w:color w:val="auto"/>
                <w:sz w:val="24"/>
                <w:szCs w:val="24"/>
                <w:highlight w:val="none"/>
                <w:lang w:val="en-US" w:eastAsia="zh-CN"/>
              </w:rPr>
              <w:t>44</w:t>
            </w:r>
            <w:r>
              <w:rPr>
                <w:rFonts w:hint="default" w:ascii="Times New Roman" w:hAnsi="Times New Roman" w:eastAsia="宋体" w:cs="Times New Roman"/>
                <w:color w:val="auto"/>
                <w:sz w:val="24"/>
                <w:szCs w:val="24"/>
                <w:highlight w:val="none"/>
              </w:rPr>
              <w:t>201水夹套中的热水经循环热水</w:t>
            </w:r>
            <w:r>
              <w:rPr>
                <w:rFonts w:hint="default" w:ascii="Times New Roman" w:hAnsi="Times New Roman" w:eastAsia="宋体" w:cs="Times New Roman"/>
                <w:color w:val="auto"/>
                <w:sz w:val="24"/>
                <w:szCs w:val="24"/>
                <w:highlight w:val="none"/>
                <w:lang w:val="en-US" w:eastAsia="zh-CN"/>
              </w:rPr>
              <w:t>罐</w:t>
            </w:r>
            <w:r>
              <w:rPr>
                <w:rFonts w:hint="default" w:ascii="Times New Roman" w:hAnsi="Times New Roman" w:eastAsia="宋体" w:cs="Times New Roman"/>
                <w:color w:val="auto"/>
                <w:sz w:val="24"/>
                <w:szCs w:val="24"/>
                <w:highlight w:val="none"/>
              </w:rPr>
              <w:t>用热水泵不断循环，在热水槽中通直接、间接蒸汽加热，</w:t>
            </w:r>
            <w:r>
              <w:rPr>
                <w:rFonts w:hint="default" w:ascii="Times New Roman" w:hAnsi="Times New Roman" w:eastAsia="宋体" w:cs="Times New Roman"/>
                <w:color w:val="auto"/>
                <w:sz w:val="24"/>
                <w:szCs w:val="24"/>
                <w:highlight w:val="none"/>
                <w:lang w:val="en-US" w:eastAsia="zh-CN"/>
              </w:rPr>
              <w:t>若热水温度过高，需通过板式换热器E-4201进行热水降温，</w:t>
            </w:r>
            <w:r>
              <w:rPr>
                <w:rFonts w:hint="default" w:ascii="Times New Roman" w:hAnsi="Times New Roman" w:eastAsia="宋体" w:cs="Times New Roman"/>
                <w:color w:val="auto"/>
                <w:sz w:val="24"/>
                <w:szCs w:val="24"/>
                <w:highlight w:val="none"/>
              </w:rPr>
              <w:t>使循环水出口保持一定温度</w:t>
            </w:r>
            <w:r>
              <w:rPr>
                <w:rFonts w:hint="default" w:ascii="Times New Roman" w:hAnsi="Times New Roman" w:eastAsia="宋体" w:cs="Times New Roman"/>
                <w:color w:val="auto"/>
                <w:sz w:val="24"/>
                <w:szCs w:val="24"/>
                <w:highlight w:val="none"/>
                <w:lang w:eastAsia="zh-CN"/>
              </w:rPr>
              <w:t>。</w:t>
            </w:r>
          </w:p>
          <w:p w14:paraId="651DF4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管式反应器R-</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201最后因反应减缓不再产生大量反应热，故进入一个无夹套而直径较粗体积较大的滞留器R-</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202。可使反应液有较长的停留时间，以待生成乙醇胺的反应充分结束。然后经过2只并联的调压阀调压，进入下一工序—蒸氨脱水工序。</w:t>
            </w:r>
          </w:p>
          <w:p w14:paraId="7D8919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3）蒸胺脱水工序</w:t>
            </w:r>
          </w:p>
          <w:p w14:paraId="41FD06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反应液降压后，闪蒸产生大量一甲胺</w:t>
            </w:r>
            <w:r>
              <w:rPr>
                <w:rFonts w:hint="default" w:ascii="Times New Roman" w:hAnsi="Times New Roman" w:eastAsia="宋体" w:cs="Times New Roman"/>
                <w:color w:val="auto"/>
                <w:sz w:val="24"/>
                <w:szCs w:val="24"/>
                <w:highlight w:val="none"/>
                <w:lang w:val="en-US" w:eastAsia="zh-CN"/>
              </w:rPr>
              <w:t>蒸汽</w:t>
            </w:r>
            <w:r>
              <w:rPr>
                <w:rFonts w:hint="default" w:ascii="Times New Roman" w:hAnsi="Times New Roman" w:eastAsia="宋体" w:cs="Times New Roman"/>
                <w:color w:val="auto"/>
                <w:sz w:val="24"/>
                <w:szCs w:val="24"/>
                <w:highlight w:val="none"/>
              </w:rPr>
              <w:t>，气液一并进入蒸胺塔T-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301上部的闪蒸段。在此，反应液经过下方的列管式蒸发器，用蒸汽加热，使大部一甲胺蒸发。由于气相一甲胺的流量非常大，可能夹带较多的液滴，通过塔内的丝网捕沫层和三片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旋流板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组成的捕沫器予以有效地使液滴分离而流回；已闪蒸掉大部分一甲胺的反应液流到蒸胺塔T-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301下部蒸馏段的中间，以进一步蒸脱一甲胺气体。蒸出的一甲胺气又经过塔中的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旋流板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捕沫层与上部闪蒸段出来的一甲胺气一起自下而上进入-冷凝器E-</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302，冷凝成一甲胺，然后自流返回反应工序的中间罐V-</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201。蒸胺塔T-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301下部蒸馏段底的釜液</w:t>
            </w:r>
            <w:r>
              <w:rPr>
                <w:rFonts w:hint="default" w:ascii="Times New Roman" w:hAnsi="Times New Roman" w:eastAsia="宋体" w:cs="Times New Roman"/>
                <w:color w:val="auto"/>
                <w:sz w:val="24"/>
                <w:szCs w:val="24"/>
                <w:highlight w:val="none"/>
                <w:lang w:val="en-US" w:eastAsia="zh-CN"/>
              </w:rPr>
              <w:t>自流</w:t>
            </w:r>
            <w:r>
              <w:rPr>
                <w:rFonts w:hint="default" w:ascii="Times New Roman" w:hAnsi="Times New Roman" w:eastAsia="宋体" w:cs="Times New Roman"/>
                <w:color w:val="auto"/>
                <w:sz w:val="24"/>
                <w:szCs w:val="24"/>
                <w:highlight w:val="none"/>
              </w:rPr>
              <w:t>到蒸胺再沸器E-</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301，加热到一定温度，使塔釜流出的反应液仅含微量一甲胺，即反应液原高含一甲胺已蒸脱。蒸胺塔T-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301塔釜的釜液自控维持一定液位，多余的釜液利用压差送进脱水塔T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302中部的稳流区后喷洒入塔。</w:t>
            </w:r>
          </w:p>
          <w:p w14:paraId="5F4DAA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脱水塔T-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302是在真空下操作的。下部的釜液在降膜式的脱水再沸器E-</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用低压蒸汽加热，以使水分和残留的一甲胺完全蒸出，同时塔顶保持一定温度，蒸出足够量的MMEA有助于彻底脱净釜液中的水分，并且催化剂如果含有大量的MMEA而返回反应系统，有利于MDEA产品的生成。釜液由屏蔽式的脱水循环泵P-</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不断地强制循环送到再沸器E-</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加热。这时的釜液即为已彻底脱除胺和水的混合N-甲基乙醇胺，塔釜液位自控在指定高度，多余的被泵P-</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302送到产品精制工序的T-4</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01。再沸器E-</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加热用的低压蒸汽用量由脱水塔T-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302下段中间的“提馏段敏感点” 温度所控制。脱水塔T-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302顶部蒸出的是水和较高比率的MMEA以及残留的一甲胺，依次经过高位的水冷凝器E-</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冷却后，流入高位的回流分配器，小部分冷凝液返回塔T-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302顶作回流。回流量是由塔上段中部的“精馏段敏感点”温度所控制，其余的冷凝液流入常压的</w:t>
            </w:r>
            <w:r>
              <w:rPr>
                <w:rFonts w:hint="default" w:ascii="Times New Roman" w:hAnsi="Times New Roman" w:eastAsia="宋体" w:cs="Times New Roman"/>
                <w:color w:val="auto"/>
                <w:sz w:val="24"/>
                <w:szCs w:val="24"/>
                <w:highlight w:val="none"/>
                <w:lang w:val="en-US" w:eastAsia="zh-CN"/>
              </w:rPr>
              <w:t>尾氨吸收塔T-4303作催化剂再利用</w:t>
            </w:r>
            <w:r>
              <w:rPr>
                <w:rFonts w:hint="default" w:ascii="Times New Roman" w:hAnsi="Times New Roman" w:eastAsia="宋体" w:cs="Times New Roman"/>
                <w:color w:val="auto"/>
                <w:sz w:val="24"/>
                <w:szCs w:val="24"/>
                <w:highlight w:val="none"/>
              </w:rPr>
              <w:t>。回流分配器上部的不凝性气体由真空泵抽吸而进入</w:t>
            </w:r>
            <w:r>
              <w:rPr>
                <w:rFonts w:hint="default" w:ascii="Times New Roman" w:hAnsi="Times New Roman" w:eastAsia="宋体" w:cs="Times New Roman"/>
                <w:color w:val="auto"/>
                <w:sz w:val="24"/>
                <w:szCs w:val="24"/>
                <w:highlight w:val="none"/>
                <w:lang w:val="en-US" w:eastAsia="zh-CN"/>
              </w:rPr>
              <w:t>催化剂收集罐V-4303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催化剂收集罐中液体</w:t>
            </w:r>
            <w:r>
              <w:rPr>
                <w:rFonts w:hint="default" w:ascii="Times New Roman" w:hAnsi="Times New Roman" w:eastAsia="宋体" w:cs="Times New Roman"/>
                <w:color w:val="auto"/>
                <w:sz w:val="24"/>
                <w:szCs w:val="24"/>
                <w:highlight w:val="none"/>
              </w:rPr>
              <w:t>经过</w:t>
            </w:r>
            <w:r>
              <w:rPr>
                <w:rFonts w:hint="default" w:ascii="Times New Roman" w:hAnsi="Times New Roman" w:eastAsia="宋体" w:cs="Times New Roman"/>
                <w:color w:val="auto"/>
                <w:sz w:val="24"/>
                <w:szCs w:val="24"/>
                <w:highlight w:val="none"/>
                <w:lang w:val="en-US" w:eastAsia="zh-CN"/>
              </w:rPr>
              <w:t>循环冷却器降温</w:t>
            </w:r>
            <w:r>
              <w:rPr>
                <w:rFonts w:hint="default" w:ascii="Times New Roman" w:hAnsi="Times New Roman" w:eastAsia="宋体" w:cs="Times New Roman"/>
                <w:color w:val="auto"/>
                <w:sz w:val="24"/>
                <w:szCs w:val="24"/>
                <w:highlight w:val="none"/>
              </w:rPr>
              <w:t>使之维持在较低温度下。</w:t>
            </w:r>
            <w:r>
              <w:rPr>
                <w:rFonts w:hint="default" w:ascii="Times New Roman" w:hAnsi="Times New Roman" w:eastAsia="宋体" w:cs="Times New Roman"/>
                <w:color w:val="auto"/>
                <w:sz w:val="24"/>
                <w:szCs w:val="24"/>
                <w:highlight w:val="none"/>
                <w:lang w:val="en-US" w:eastAsia="zh-CN"/>
              </w:rPr>
              <w:t>尾氨吸收塔</w:t>
            </w:r>
            <w:r>
              <w:rPr>
                <w:rFonts w:hint="default" w:ascii="Times New Roman" w:hAnsi="Times New Roman" w:eastAsia="宋体" w:cs="Times New Roman"/>
                <w:color w:val="auto"/>
                <w:sz w:val="24"/>
                <w:szCs w:val="24"/>
                <w:highlight w:val="none"/>
              </w:rPr>
              <w:t>的催化剂液体用催化剂泵加压并控制一定流量注回反应工序。回流分配器中的不凝性气体</w:t>
            </w:r>
            <w:r>
              <w:rPr>
                <w:rFonts w:hint="default" w:ascii="Times New Roman" w:hAnsi="Times New Roman" w:eastAsia="宋体" w:cs="Times New Roman"/>
                <w:color w:val="auto"/>
                <w:sz w:val="24"/>
                <w:szCs w:val="24"/>
                <w:highlight w:val="none"/>
                <w:lang w:val="en-US" w:eastAsia="zh-CN"/>
              </w:rPr>
              <w:t>和催化剂收集罐的循环液一起经真空喷射器</w:t>
            </w:r>
            <w:r>
              <w:rPr>
                <w:rFonts w:hint="default" w:ascii="Times New Roman" w:hAnsi="Times New Roman" w:eastAsia="宋体" w:cs="Times New Roman"/>
                <w:color w:val="auto"/>
                <w:sz w:val="24"/>
                <w:szCs w:val="24"/>
                <w:highlight w:val="none"/>
              </w:rPr>
              <w:t>直接进入</w:t>
            </w:r>
            <w:r>
              <w:rPr>
                <w:rFonts w:hint="default" w:ascii="Times New Roman" w:hAnsi="Times New Roman" w:eastAsia="宋体" w:cs="Times New Roman"/>
                <w:color w:val="auto"/>
                <w:sz w:val="24"/>
                <w:szCs w:val="24"/>
                <w:highlight w:val="none"/>
                <w:lang w:val="en-US" w:eastAsia="zh-CN"/>
              </w:rPr>
              <w:t>催化剂收集罐。催化剂收集罐液体过多时，溢流进入尾氨吸收塔。</w:t>
            </w:r>
          </w:p>
          <w:p w14:paraId="4511DC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循环催化剂槽排出的尾</w:t>
            </w:r>
            <w:r>
              <w:rPr>
                <w:rFonts w:hint="default" w:ascii="Times New Roman" w:hAnsi="Times New Roman" w:eastAsia="宋体" w:cs="Times New Roman"/>
                <w:color w:val="auto"/>
                <w:sz w:val="24"/>
                <w:szCs w:val="24"/>
                <w:highlight w:val="none"/>
                <w:lang w:val="en-US" w:eastAsia="zh-CN"/>
              </w:rPr>
              <w:t>胺</w:t>
            </w:r>
            <w:r>
              <w:rPr>
                <w:rFonts w:hint="default" w:ascii="Times New Roman" w:hAnsi="Times New Roman" w:eastAsia="宋体" w:cs="Times New Roman"/>
                <w:color w:val="auto"/>
                <w:sz w:val="24"/>
                <w:szCs w:val="24"/>
                <w:highlight w:val="none"/>
              </w:rPr>
              <w:t>和全系统放散的含</w:t>
            </w:r>
            <w:r>
              <w:rPr>
                <w:rFonts w:hint="default" w:ascii="Times New Roman" w:hAnsi="Times New Roman" w:eastAsia="宋体" w:cs="Times New Roman"/>
                <w:color w:val="auto"/>
                <w:sz w:val="24"/>
                <w:szCs w:val="24"/>
                <w:highlight w:val="none"/>
                <w:lang w:val="en-US" w:eastAsia="zh-CN"/>
              </w:rPr>
              <w:t>胺</w:t>
            </w:r>
            <w:r>
              <w:rPr>
                <w:rFonts w:hint="default" w:ascii="Times New Roman" w:hAnsi="Times New Roman" w:eastAsia="宋体" w:cs="Times New Roman"/>
                <w:color w:val="auto"/>
                <w:sz w:val="24"/>
                <w:szCs w:val="24"/>
                <w:highlight w:val="none"/>
              </w:rPr>
              <w:t>或含EO弛放气都汇集到</w:t>
            </w:r>
            <w:r>
              <w:rPr>
                <w:rFonts w:hint="default" w:ascii="Times New Roman" w:hAnsi="Times New Roman" w:eastAsia="宋体" w:cs="Times New Roman"/>
                <w:color w:val="auto"/>
                <w:sz w:val="24"/>
                <w:szCs w:val="24"/>
                <w:highlight w:val="none"/>
                <w:lang w:val="en-US" w:eastAsia="zh-CN"/>
              </w:rPr>
              <w:t>尾氨</w:t>
            </w:r>
            <w:r>
              <w:rPr>
                <w:rFonts w:hint="default" w:ascii="Times New Roman" w:hAnsi="Times New Roman" w:eastAsia="宋体" w:cs="Times New Roman"/>
                <w:color w:val="auto"/>
                <w:sz w:val="24"/>
                <w:szCs w:val="24"/>
                <w:highlight w:val="none"/>
              </w:rPr>
              <w:t>吸收塔T-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303，用T-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303</w:t>
            </w:r>
            <w:r>
              <w:rPr>
                <w:rFonts w:hint="default" w:ascii="Times New Roman" w:hAnsi="Times New Roman" w:eastAsia="宋体" w:cs="Times New Roman"/>
                <w:color w:val="auto"/>
                <w:sz w:val="24"/>
                <w:szCs w:val="24"/>
                <w:highlight w:val="none"/>
                <w:lang w:val="en-US" w:eastAsia="zh-CN"/>
              </w:rPr>
              <w:t>的循环</w:t>
            </w:r>
            <w:r>
              <w:rPr>
                <w:rFonts w:hint="default" w:ascii="Times New Roman" w:hAnsi="Times New Roman" w:eastAsia="宋体" w:cs="Times New Roman"/>
                <w:color w:val="auto"/>
                <w:sz w:val="24"/>
                <w:szCs w:val="24"/>
                <w:highlight w:val="none"/>
              </w:rPr>
              <w:t>泵送来的含MEA和水的冷凝液循环吸收，吸收液则</w:t>
            </w:r>
            <w:r>
              <w:rPr>
                <w:rFonts w:hint="default" w:ascii="Times New Roman" w:hAnsi="Times New Roman" w:eastAsia="宋体" w:cs="Times New Roman"/>
                <w:color w:val="auto"/>
                <w:sz w:val="24"/>
                <w:szCs w:val="24"/>
                <w:highlight w:val="none"/>
                <w:lang w:val="en-US" w:eastAsia="zh-CN"/>
              </w:rPr>
              <w:t>作催化剂再利用</w:t>
            </w:r>
            <w:r>
              <w:rPr>
                <w:rFonts w:hint="default" w:ascii="Times New Roman" w:hAnsi="Times New Roman" w:eastAsia="宋体" w:cs="Times New Roman"/>
                <w:color w:val="auto"/>
                <w:sz w:val="24"/>
                <w:szCs w:val="24"/>
                <w:highlight w:val="none"/>
              </w:rPr>
              <w:t>。用空气、氮气吹扫设备和管道时含环氧乙烷或</w:t>
            </w:r>
            <w:r>
              <w:rPr>
                <w:rFonts w:hint="default" w:ascii="Times New Roman" w:hAnsi="Times New Roman" w:eastAsia="宋体" w:cs="Times New Roman"/>
                <w:color w:val="auto"/>
                <w:sz w:val="24"/>
                <w:szCs w:val="24"/>
                <w:highlight w:val="none"/>
                <w:lang w:val="en-US" w:eastAsia="zh-CN"/>
              </w:rPr>
              <w:t>胺</w:t>
            </w:r>
            <w:r>
              <w:rPr>
                <w:rFonts w:hint="default" w:ascii="Times New Roman" w:hAnsi="Times New Roman" w:eastAsia="宋体" w:cs="Times New Roman"/>
                <w:color w:val="auto"/>
                <w:sz w:val="24"/>
                <w:szCs w:val="24"/>
                <w:highlight w:val="none"/>
              </w:rPr>
              <w:t>的吹扫气也汇集送至T-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303，由循环冷凝液吸收，以减少原料损失并防止对大气的污染。</w:t>
            </w:r>
          </w:p>
          <w:p w14:paraId="26D1A0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4）产品精制工序</w:t>
            </w:r>
          </w:p>
          <w:p w14:paraId="7FD9B4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①一乙塔（T-4</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01）</w:t>
            </w:r>
          </w:p>
          <w:p w14:paraId="16F5E8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已经脱除胺和水的粗产品——混合N</w:t>
            </w:r>
            <w:r>
              <w:rPr>
                <w:rFonts w:hint="default" w:ascii="Times New Roman" w:hAnsi="Times New Roman" w:eastAsia="宋体" w:cs="Times New Roman"/>
                <w:color w:val="auto"/>
                <w:sz w:val="24"/>
                <w:szCs w:val="24"/>
                <w:highlight w:val="none"/>
              </w:rPr>
              <w:softHyphen/>
            </w:r>
            <w:r>
              <w:rPr>
                <w:rFonts w:hint="default" w:ascii="Times New Roman" w:hAnsi="Times New Roman" w:eastAsia="宋体" w:cs="Times New Roman"/>
                <w:color w:val="auto"/>
                <w:sz w:val="24"/>
                <w:szCs w:val="24"/>
                <w:highlight w:val="none"/>
              </w:rPr>
              <w:t>-甲基-乙醇胺（MMEA），用泵输送到本工序。经闪蒸降温后和二乙塔顶来的二乙拔头液一起，再用预热器加热进入一乙塔中部的稳流区再均匀喷淋入塔。一乙塔是在高真空下操作的。塔釜液由循环泵P-</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401打到一乙塔的降膜式再沸器用低压蒸汽进行加热，维持一定塔釜温度。再沸器是一台降膜式蒸发器，可使液层高度降至极小以防止升高塔釜液的沸点，塔釜液是已经基本蒸去但未蒸净MMEA和MDEA混合物，控制塔釜液位高度，用泵送到二乙塔进一步精馏。再沸器的蒸汽用量由一乙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401下段中间的“提馏段敏感点”的温度所控制。</w:t>
            </w:r>
          </w:p>
          <w:p w14:paraId="2FC9F5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冷器</w:t>
            </w:r>
            <w:r>
              <w:rPr>
                <w:rFonts w:hint="default" w:ascii="Times New Roman" w:hAnsi="Times New Roman" w:eastAsia="宋体" w:cs="Times New Roman"/>
                <w:color w:val="auto"/>
                <w:sz w:val="24"/>
                <w:szCs w:val="24"/>
                <w:highlight w:val="none"/>
              </w:rPr>
              <w:t>冷凝成液体，</w:t>
            </w:r>
            <w:r>
              <w:rPr>
                <w:rFonts w:hint="default" w:ascii="Times New Roman" w:hAnsi="Times New Roman" w:eastAsia="宋体" w:cs="Times New Roman"/>
                <w:color w:val="auto"/>
                <w:sz w:val="24"/>
                <w:szCs w:val="24"/>
                <w:highlight w:val="none"/>
                <w:lang w:val="en-US" w:eastAsia="zh-CN"/>
              </w:rPr>
              <w:t>流至塔顶积液槽，</w:t>
            </w:r>
            <w:r>
              <w:rPr>
                <w:rFonts w:hint="default" w:ascii="Times New Roman" w:hAnsi="Times New Roman" w:eastAsia="宋体" w:cs="Times New Roman"/>
                <w:color w:val="auto"/>
                <w:sz w:val="24"/>
                <w:szCs w:val="24"/>
                <w:highlight w:val="none"/>
              </w:rPr>
              <w:t>一部分作回流</w:t>
            </w:r>
            <w:r>
              <w:rPr>
                <w:rFonts w:hint="default" w:ascii="Times New Roman" w:hAnsi="Times New Roman" w:eastAsia="宋体" w:cs="Times New Roman"/>
                <w:color w:val="auto"/>
                <w:sz w:val="24"/>
                <w:szCs w:val="24"/>
                <w:highlight w:val="none"/>
                <w:lang w:val="en-US" w:eastAsia="zh-CN"/>
              </w:rPr>
              <w:t>流至一乙塔，多余部分经馏出泵采出至产品中间罐</w:t>
            </w:r>
            <w:r>
              <w:rPr>
                <w:rFonts w:hint="default" w:ascii="Times New Roman" w:hAnsi="Times New Roman" w:eastAsia="宋体" w:cs="Times New Roman"/>
                <w:color w:val="auto"/>
                <w:sz w:val="24"/>
                <w:szCs w:val="24"/>
                <w:highlight w:val="none"/>
              </w:rPr>
              <w:t>。其回流比由塔上段中间的“精馏段敏感点”的温度所控制。</w:t>
            </w:r>
          </w:p>
          <w:p w14:paraId="59B11F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一乙塔在真空下进行操作，经过内冷器冷凝的气体需再次经过再冷器冷却，冷凝液体（拔头液）去尾氨吸收塔作催化剂。不凝气经真空机组后，进入尾氨吸收塔吸收。</w:t>
            </w:r>
          </w:p>
          <w:p w14:paraId="287E10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冷凝器为卧式，冷却水走管内MMEA蒸气走管间，以减少MMEA蒸气流经冷凝器的阻力，确保塔维持在较高的真空度下操作。冷凝器顶部与真空机组相连，抽出不凝性气体并保持塔的真空度。</w:t>
            </w:r>
          </w:p>
          <w:p w14:paraId="5D6E5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②二乙塔（T-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402）</w:t>
            </w:r>
          </w:p>
          <w:p w14:paraId="4C6C43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也是一支在高真空下操作的精馏塔。从一乙塔塔釜经泵送来的MMEA和MDEA混合物，首先进入的是二乙塔</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拔头段</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的稳流区，喷淋入塔。拔头段实质上只是一段提馏段，其目的是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去料液中可能存在的MMEA，以保证MDEA的质量。拔头段的物料蒸气经冷凝器E-4</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冷凝，不凝气去真空机组以维持二乙塔在真空下的操作。冷凝液一部分控制流量后回流，一部分即二乙“拔头液”。拔头液中不光是MMEA而必须带有部分MDEA才能保证MMEA拔尽。拔头液利用位差自流送回一乙塔前预热器的料液进口。拔头段的温度和蒸汽用量由分析已拔头的物料中的MMEA的含量决定。已拔头的液流到二乙塔下部中间加料，其上是精馏段，蒸出的MDEA蒸汽经卧式冷凝器冷凝，其中一部分控制流量作回流，回流量根据精馏段中部的“敏感点”温度进行控制，其余冷凝液即MDEA产品，经过套管式冷却器下流入二乙</w:t>
            </w:r>
            <w:r>
              <w:rPr>
                <w:rFonts w:hint="default" w:ascii="Times New Roman" w:hAnsi="Times New Roman" w:eastAsia="宋体" w:cs="Times New Roman"/>
                <w:color w:val="auto"/>
                <w:sz w:val="24"/>
                <w:szCs w:val="24"/>
                <w:highlight w:val="none"/>
                <w:lang w:val="en-US" w:eastAsia="zh-CN"/>
              </w:rPr>
              <w:t>产品中间罐</w:t>
            </w:r>
            <w:r>
              <w:rPr>
                <w:rFonts w:hint="default" w:ascii="Times New Roman" w:hAnsi="Times New Roman" w:eastAsia="宋体" w:cs="Times New Roman"/>
                <w:color w:val="auto"/>
                <w:sz w:val="24"/>
                <w:szCs w:val="24"/>
                <w:highlight w:val="none"/>
              </w:rPr>
              <w:t>；提馏段下是塔釜，塔釜液即残液由循环泵打到二乙塔再沸器反复循环，用中压蒸汽进行加热。二乙再沸器是一台降膜式蒸发器，以加速MDEA的蒸出。二乙再沸器的中压蒸汽用量，是根据二乙塔塔釜的温度控制的。MDEA产品经过</w:t>
            </w:r>
            <w:r>
              <w:rPr>
                <w:rFonts w:hint="default" w:ascii="Times New Roman" w:hAnsi="Times New Roman" w:eastAsia="宋体" w:cs="Times New Roman"/>
                <w:color w:val="auto"/>
                <w:sz w:val="24"/>
                <w:szCs w:val="24"/>
                <w:highlight w:val="none"/>
                <w:lang w:val="en-US" w:eastAsia="zh-CN"/>
              </w:rPr>
              <w:t>馏出泵采出进入</w:t>
            </w:r>
            <w:r>
              <w:rPr>
                <w:rFonts w:hint="default" w:ascii="Times New Roman" w:hAnsi="Times New Roman" w:eastAsia="宋体" w:cs="Times New Roman"/>
                <w:color w:val="auto"/>
                <w:sz w:val="24"/>
                <w:szCs w:val="24"/>
                <w:highlight w:val="none"/>
              </w:rPr>
              <w:t>常压的二乙</w:t>
            </w:r>
            <w:r>
              <w:rPr>
                <w:rFonts w:hint="default" w:ascii="Times New Roman" w:hAnsi="Times New Roman" w:eastAsia="宋体" w:cs="Times New Roman"/>
                <w:color w:val="auto"/>
                <w:sz w:val="24"/>
                <w:szCs w:val="24"/>
                <w:highlight w:val="none"/>
                <w:lang w:val="en-US" w:eastAsia="zh-CN"/>
              </w:rPr>
              <w:t>产品中间罐</w:t>
            </w:r>
            <w:r>
              <w:rPr>
                <w:rFonts w:hint="default" w:ascii="Times New Roman" w:hAnsi="Times New Roman" w:eastAsia="宋体" w:cs="Times New Roman"/>
                <w:color w:val="auto"/>
                <w:sz w:val="24"/>
                <w:szCs w:val="24"/>
                <w:highlight w:val="none"/>
              </w:rPr>
              <w:t>。不凝气从E-</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40</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顶引出，连结真空机组，使二乙塔维持一定的高真空。</w:t>
            </w:r>
          </w:p>
          <w:p w14:paraId="6C86BD07">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Times New Roman" w:hAnsi="Times New Roman" w:cs="Times New Roman"/>
                <w:b w:val="0"/>
                <w:bCs/>
                <w:color w:val="auto"/>
                <w:sz w:val="24"/>
                <w:highlight w:val="none"/>
                <w:lang w:val="en-US" w:eastAsia="zh-CN"/>
              </w:rPr>
            </w:pPr>
            <w:r>
              <w:rPr>
                <w:color w:val="auto"/>
                <w:highlight w:val="none"/>
              </w:rPr>
              <w:drawing>
                <wp:inline distT="0" distB="0" distL="114300" distR="114300">
                  <wp:extent cx="5368290" cy="2651125"/>
                  <wp:effectExtent l="0" t="0" r="3810" b="15875"/>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26"/>
                          <a:stretch>
                            <a:fillRect/>
                          </a:stretch>
                        </pic:blipFill>
                        <pic:spPr>
                          <a:xfrm>
                            <a:off x="0" y="0"/>
                            <a:ext cx="5368290" cy="2651125"/>
                          </a:xfrm>
                          <a:prstGeom prst="rect">
                            <a:avLst/>
                          </a:prstGeom>
                          <a:noFill/>
                          <a:ln>
                            <a:noFill/>
                          </a:ln>
                        </pic:spPr>
                      </pic:pic>
                    </a:graphicData>
                  </a:graphic>
                </wp:inline>
              </w:drawing>
            </w:r>
          </w:p>
          <w:p w14:paraId="3009972F">
            <w:pPr>
              <w:pStyle w:val="122"/>
              <w:bidi w:val="0"/>
              <w:rPr>
                <w:rFonts w:hint="eastAsia"/>
                <w:color w:val="auto"/>
                <w:highlight w:val="none"/>
                <w:lang w:val="en-US" w:eastAsia="zh-CN"/>
              </w:rPr>
            </w:pPr>
            <w:r>
              <w:rPr>
                <w:rFonts w:hint="eastAsia"/>
                <w:color w:val="auto"/>
                <w:highlight w:val="none"/>
              </w:rPr>
              <w:t>N-甲基醇胺</w:t>
            </w:r>
            <w:r>
              <w:rPr>
                <w:color w:val="auto"/>
                <w:highlight w:val="none"/>
              </w:rPr>
              <w:t>生产工艺流程图</w:t>
            </w:r>
          </w:p>
          <w:p w14:paraId="048F3487">
            <w:pPr>
              <w:spacing w:line="360" w:lineRule="auto"/>
              <w:ind w:left="482" w:hanging="482"/>
              <w:rPr>
                <w:rFonts w:hint="eastAsia" w:ascii="Times New Roman" w:hAnsi="Times New Roman" w:cs="Times New Roman"/>
                <w:b/>
                <w:color w:val="auto"/>
                <w:sz w:val="24"/>
                <w:highlight w:val="none"/>
                <w:lang w:val="en-US" w:eastAsia="zh-CN"/>
              </w:rPr>
            </w:pPr>
            <w:r>
              <w:rPr>
                <w:rFonts w:hint="eastAsia" w:ascii="Times New Roman" w:hAnsi="Times New Roman" w:cs="Times New Roman"/>
                <w:b/>
                <w:color w:val="auto"/>
                <w:sz w:val="24"/>
                <w:highlight w:val="none"/>
                <w:lang w:val="en-US" w:eastAsia="zh-CN"/>
              </w:rPr>
              <w:t>四、现有工程产排污汇总分析</w:t>
            </w:r>
          </w:p>
          <w:p w14:paraId="786C3863">
            <w:pPr>
              <w:spacing w:line="360" w:lineRule="auto"/>
              <w:ind w:firstLine="482"/>
              <w:rPr>
                <w:b w:val="0"/>
                <w:bCs w:val="0"/>
                <w:color w:val="auto"/>
                <w:sz w:val="24"/>
                <w:highlight w:val="none"/>
              </w:rPr>
            </w:pPr>
            <w:r>
              <w:rPr>
                <w:rFonts w:hint="default" w:ascii="Times New Roman" w:hAnsi="Times New Roman" w:cs="Times New Roman"/>
                <w:b w:val="0"/>
                <w:bCs/>
                <w:color w:val="auto"/>
                <w:sz w:val="24"/>
                <w:highlight w:val="none"/>
                <w:lang w:val="en-US" w:eastAsia="zh-CN"/>
              </w:rPr>
              <w:t>厂区</w:t>
            </w:r>
            <w:r>
              <w:rPr>
                <w:rFonts w:hint="eastAsia" w:cs="Times New Roman"/>
                <w:b w:val="0"/>
                <w:bCs/>
                <w:color w:val="auto"/>
                <w:sz w:val="24"/>
                <w:highlight w:val="none"/>
                <w:lang w:val="en-US" w:eastAsia="zh-CN"/>
              </w:rPr>
              <w:t>现有工程</w:t>
            </w:r>
            <w:r>
              <w:rPr>
                <w:rFonts w:hint="default" w:ascii="Times New Roman" w:hAnsi="Times New Roman" w:cs="Times New Roman"/>
                <w:b w:val="0"/>
                <w:bCs/>
                <w:color w:val="auto"/>
                <w:sz w:val="24"/>
                <w:highlight w:val="none"/>
                <w:lang w:val="en-US" w:eastAsia="zh-CN"/>
              </w:rPr>
              <w:t>已申请排污许可证：</w:t>
            </w:r>
            <w:r>
              <w:rPr>
                <w:rFonts w:hint="eastAsia" w:cs="Times New Roman"/>
                <w:b w:val="0"/>
                <w:bCs/>
                <w:color w:val="auto"/>
                <w:sz w:val="24"/>
                <w:highlight w:val="none"/>
                <w:lang w:val="en-US" w:eastAsia="zh-CN"/>
              </w:rPr>
              <w:t>91510923MA67N8FW9E001P</w:t>
            </w:r>
            <w:r>
              <w:rPr>
                <w:rFonts w:hint="default" w:ascii="Times New Roman" w:hAnsi="Times New Roman" w:cs="Times New Roman"/>
                <w:b w:val="0"/>
                <w:bCs/>
                <w:color w:val="auto"/>
                <w:sz w:val="24"/>
                <w:highlight w:val="none"/>
                <w:lang w:val="en-US" w:eastAsia="zh-CN"/>
              </w:rPr>
              <w:t>，已严格按照排污许可证进行例行监测、台账、</w:t>
            </w:r>
            <w:r>
              <w:rPr>
                <w:rFonts w:hint="eastAsia" w:cs="Times New Roman"/>
                <w:b w:val="0"/>
                <w:bCs/>
                <w:color w:val="auto"/>
                <w:sz w:val="24"/>
                <w:highlight w:val="none"/>
                <w:lang w:val="en-US" w:eastAsia="zh-CN"/>
              </w:rPr>
              <w:t>季报及</w:t>
            </w:r>
            <w:r>
              <w:rPr>
                <w:rFonts w:hint="default" w:ascii="Times New Roman" w:hAnsi="Times New Roman" w:cs="Times New Roman"/>
                <w:b w:val="0"/>
                <w:bCs/>
                <w:color w:val="auto"/>
                <w:sz w:val="24"/>
                <w:highlight w:val="none"/>
                <w:lang w:val="en-US" w:eastAsia="zh-CN"/>
              </w:rPr>
              <w:t>年报申报。</w:t>
            </w:r>
            <w:r>
              <w:rPr>
                <w:rFonts w:hint="eastAsia"/>
                <w:b w:val="0"/>
                <w:bCs w:val="0"/>
                <w:color w:val="auto"/>
                <w:sz w:val="24"/>
                <w:highlight w:val="none"/>
              </w:rPr>
              <w:t>由于现有工程</w:t>
            </w:r>
            <w:r>
              <w:rPr>
                <w:rFonts w:hint="eastAsia"/>
                <w:b w:val="0"/>
                <w:bCs w:val="0"/>
                <w:color w:val="auto"/>
                <w:sz w:val="24"/>
                <w:highlight w:val="none"/>
                <w:lang w:val="en-US" w:eastAsia="zh-CN"/>
              </w:rPr>
              <w:t>已完成自主验收，</w:t>
            </w:r>
            <w:r>
              <w:rPr>
                <w:rFonts w:hint="eastAsia"/>
                <w:b w:val="0"/>
                <w:bCs w:val="0"/>
                <w:color w:val="auto"/>
                <w:sz w:val="24"/>
                <w:highlight w:val="none"/>
              </w:rPr>
              <w:t>污染物排放情况按验收监测情况分析。</w:t>
            </w:r>
          </w:p>
          <w:p w14:paraId="30C761CA">
            <w:pPr>
              <w:spacing w:line="360" w:lineRule="auto"/>
              <w:ind w:firstLine="472" w:firstLineChars="196"/>
              <w:rPr>
                <w:b/>
                <w:bCs/>
                <w:color w:val="auto"/>
                <w:sz w:val="24"/>
                <w:highlight w:val="none"/>
              </w:rPr>
            </w:pPr>
            <w:r>
              <w:rPr>
                <w:rFonts w:hint="eastAsia"/>
                <w:b/>
                <w:bCs/>
                <w:color w:val="auto"/>
                <w:sz w:val="24"/>
                <w:highlight w:val="none"/>
              </w:rPr>
              <w:t>1、</w:t>
            </w:r>
            <w:r>
              <w:rPr>
                <w:rFonts w:hint="eastAsia"/>
                <w:b/>
                <w:bCs/>
                <w:color w:val="auto"/>
                <w:sz w:val="24"/>
                <w:highlight w:val="none"/>
                <w:lang w:val="en-US" w:eastAsia="zh-CN"/>
              </w:rPr>
              <w:t>现有工程</w:t>
            </w:r>
            <w:r>
              <w:rPr>
                <w:rFonts w:hint="eastAsia"/>
                <w:b/>
                <w:bCs/>
                <w:color w:val="auto"/>
                <w:sz w:val="24"/>
                <w:highlight w:val="none"/>
              </w:rPr>
              <w:t>污染物产生、治理及排放情况</w:t>
            </w:r>
          </w:p>
          <w:p w14:paraId="1D7A26BF">
            <w:pPr>
              <w:spacing w:line="360" w:lineRule="auto"/>
              <w:ind w:firstLine="470" w:firstLineChars="196"/>
              <w:rPr>
                <w:b/>
                <w:bCs/>
                <w:color w:val="auto"/>
                <w:sz w:val="24"/>
                <w:highlight w:val="none"/>
              </w:rPr>
            </w:pPr>
            <w:r>
              <w:rPr>
                <w:rFonts w:hint="eastAsia"/>
                <w:color w:val="auto"/>
                <w:sz w:val="24"/>
                <w:highlight w:val="none"/>
                <w:lang w:val="en-US" w:eastAsia="zh-CN"/>
              </w:rPr>
              <w:t>现有工程的产品主要为一乙醇胺（纯度≥99.5%）、二乙醇胺（纯度≥99.5%）、三乙醇胺（纯度≥99.5%）、N-甲基一乙醇胺（纯度≥99.3%）、N-甲基二乙醇胺（纯度≥99%）</w:t>
            </w:r>
            <w:r>
              <w:rPr>
                <w:rFonts w:hint="eastAsia"/>
                <w:color w:val="auto"/>
                <w:sz w:val="24"/>
                <w:highlight w:val="none"/>
              </w:rPr>
              <w:t>。</w:t>
            </w:r>
          </w:p>
          <w:p w14:paraId="58EF4496">
            <w:pPr>
              <w:numPr>
                <w:ilvl w:val="0"/>
                <w:numId w:val="24"/>
              </w:numPr>
              <w:spacing w:line="360" w:lineRule="auto"/>
              <w:ind w:firstLine="470" w:firstLineChars="196"/>
              <w:rPr>
                <w:color w:val="auto"/>
                <w:sz w:val="24"/>
                <w:highlight w:val="none"/>
              </w:rPr>
            </w:pPr>
            <w:r>
              <w:rPr>
                <w:rFonts w:hint="eastAsia"/>
                <w:color w:val="auto"/>
                <w:sz w:val="24"/>
                <w:highlight w:val="none"/>
                <w:lang w:val="en-US" w:eastAsia="zh-CN"/>
              </w:rPr>
              <w:t>现有工程</w:t>
            </w:r>
            <w:r>
              <w:rPr>
                <w:rFonts w:hint="eastAsia"/>
                <w:color w:val="auto"/>
                <w:sz w:val="24"/>
                <w:highlight w:val="none"/>
              </w:rPr>
              <w:t>废水的产生、治理及排放情况</w:t>
            </w:r>
          </w:p>
          <w:p w14:paraId="489478D3">
            <w:pPr>
              <w:spacing w:line="360" w:lineRule="auto"/>
              <w:ind w:firstLine="480" w:firstLineChars="200"/>
              <w:rPr>
                <w:color w:val="auto"/>
                <w:sz w:val="24"/>
                <w:highlight w:val="none"/>
              </w:rPr>
            </w:pPr>
            <w:r>
              <w:rPr>
                <w:rFonts w:hint="eastAsia"/>
                <w:color w:val="auto"/>
                <w:sz w:val="24"/>
                <w:highlight w:val="none"/>
              </w:rPr>
              <w:t>①废水产生及治理措施</w:t>
            </w:r>
          </w:p>
          <w:p w14:paraId="223919EC">
            <w:pPr>
              <w:spacing w:line="360" w:lineRule="auto"/>
              <w:ind w:firstLine="480" w:firstLineChars="200"/>
              <w:rPr>
                <w:rFonts w:hint="default"/>
                <w:color w:val="auto"/>
                <w:sz w:val="24"/>
                <w:highlight w:val="none"/>
                <w:lang w:val="en-US"/>
              </w:rPr>
            </w:pPr>
            <w:r>
              <w:rPr>
                <w:rFonts w:hint="eastAsia"/>
                <w:color w:val="auto"/>
                <w:sz w:val="24"/>
                <w:highlight w:val="none"/>
                <w:lang w:val="en-US" w:eastAsia="zh-CN"/>
              </w:rPr>
              <w:t>现有</w:t>
            </w:r>
            <w:r>
              <w:rPr>
                <w:rFonts w:hint="eastAsia"/>
                <w:color w:val="auto"/>
                <w:sz w:val="24"/>
                <w:highlight w:val="none"/>
              </w:rPr>
              <w:t>工程废水主要为生产废水</w:t>
            </w:r>
            <w:r>
              <w:rPr>
                <w:rFonts w:hint="eastAsia"/>
                <w:color w:val="auto"/>
                <w:sz w:val="24"/>
                <w:highlight w:val="none"/>
                <w:lang w:eastAsia="zh-CN"/>
              </w:rPr>
              <w:t>、</w:t>
            </w:r>
            <w:r>
              <w:rPr>
                <w:rFonts w:hint="eastAsia"/>
                <w:color w:val="auto"/>
                <w:sz w:val="24"/>
                <w:highlight w:val="none"/>
              </w:rPr>
              <w:t>生活污水</w:t>
            </w:r>
            <w:r>
              <w:rPr>
                <w:rFonts w:hint="eastAsia"/>
                <w:color w:val="auto"/>
                <w:sz w:val="24"/>
                <w:highlight w:val="none"/>
                <w:lang w:val="en-US" w:eastAsia="zh-CN"/>
              </w:rPr>
              <w:t>以及初期雨水</w:t>
            </w:r>
            <w:r>
              <w:rPr>
                <w:rFonts w:hint="eastAsia"/>
                <w:color w:val="auto"/>
                <w:sz w:val="24"/>
                <w:highlight w:val="none"/>
              </w:rPr>
              <w:t>，其中生产废水包括</w:t>
            </w:r>
            <w:r>
              <w:rPr>
                <w:rFonts w:hint="eastAsia"/>
                <w:color w:val="auto"/>
                <w:sz w:val="24"/>
                <w:highlight w:val="none"/>
                <w:lang w:val="en-US" w:eastAsia="zh-CN"/>
              </w:rPr>
              <w:t>冷却循环塔产生的冷却废水、地坪冲洗废水、化验室废水、水洗塔废水。其中水洗塔废水实际生产过程中定期回用于生产线，该部分废不再外排。</w:t>
            </w:r>
          </w:p>
          <w:p w14:paraId="7C9E08B6">
            <w:pPr>
              <w:spacing w:line="360" w:lineRule="auto"/>
              <w:ind w:firstLine="480" w:firstLineChars="200"/>
              <w:rPr>
                <w:color w:val="auto"/>
                <w:sz w:val="24"/>
                <w:highlight w:val="none"/>
              </w:rPr>
            </w:pPr>
            <w:r>
              <w:rPr>
                <w:rFonts w:hint="eastAsia"/>
                <w:color w:val="auto"/>
                <w:sz w:val="24"/>
                <w:highlight w:val="none"/>
              </w:rPr>
              <w:t>厂区已建污水处理站位于厂区的</w:t>
            </w:r>
            <w:r>
              <w:rPr>
                <w:rFonts w:hint="eastAsia"/>
                <w:color w:val="auto"/>
                <w:sz w:val="24"/>
                <w:highlight w:val="none"/>
                <w:lang w:val="en-US" w:eastAsia="zh-CN"/>
              </w:rPr>
              <w:t>最北侧</w:t>
            </w:r>
            <w:r>
              <w:rPr>
                <w:rFonts w:hint="eastAsia"/>
                <w:color w:val="auto"/>
                <w:sz w:val="24"/>
                <w:highlight w:val="none"/>
              </w:rPr>
              <w:t>，</w:t>
            </w:r>
            <w:r>
              <w:rPr>
                <w:rFonts w:hint="eastAsia"/>
                <w:color w:val="auto"/>
                <w:sz w:val="24"/>
                <w:highlight w:val="none"/>
                <w:lang w:val="en-US" w:eastAsia="zh-CN"/>
              </w:rPr>
              <w:t>结合厂区实际运营情况，现有</w:t>
            </w:r>
            <w:r>
              <w:rPr>
                <w:rFonts w:hint="eastAsia"/>
                <w:color w:val="auto"/>
                <w:sz w:val="24"/>
                <w:highlight w:val="none"/>
              </w:rPr>
              <w:t>工程进入污水处理站处理量约</w:t>
            </w:r>
            <w:r>
              <w:rPr>
                <w:rFonts w:hint="eastAsia"/>
                <w:color w:val="auto"/>
                <w:sz w:val="24"/>
                <w:highlight w:val="none"/>
                <w:lang w:val="en-US" w:eastAsia="zh-CN"/>
              </w:rPr>
              <w:t>22.3</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，厂区已建污水处理站的处理能力为</w:t>
            </w:r>
            <w:r>
              <w:rPr>
                <w:rFonts w:hint="eastAsia"/>
                <w:color w:val="auto"/>
                <w:sz w:val="24"/>
                <w:highlight w:val="none"/>
                <w:lang w:val="en-US" w:eastAsia="zh-CN"/>
              </w:rPr>
              <w:t>3.5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h（84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w:t>
            </w:r>
            <w:r>
              <w:rPr>
                <w:rFonts w:hint="eastAsia"/>
                <w:color w:val="auto"/>
                <w:sz w:val="24"/>
                <w:highlight w:val="none"/>
              </w:rPr>
              <w:t>，采用</w:t>
            </w:r>
            <w:r>
              <w:rPr>
                <w:rFonts w:hint="eastAsia"/>
                <w:color w:val="auto"/>
                <w:sz w:val="24"/>
                <w:highlight w:val="none"/>
                <w:lang w:val="en-US" w:eastAsia="zh-CN"/>
              </w:rPr>
              <w:t>“预处理（初沉+调节+铁碳内电解+化学氧化）+厌氧（水解酸化法+UASB）+两级A/0”的组合废水处理工艺。</w:t>
            </w:r>
            <w:r>
              <w:rPr>
                <w:rFonts w:hint="eastAsia"/>
                <w:color w:val="auto"/>
                <w:sz w:val="24"/>
                <w:highlight w:val="none"/>
              </w:rPr>
              <w:t>生活污水经</w:t>
            </w:r>
            <w:r>
              <w:rPr>
                <w:rFonts w:hint="eastAsia"/>
                <w:color w:val="auto"/>
                <w:sz w:val="24"/>
                <w:highlight w:val="none"/>
                <w:lang w:eastAsia="zh-CN"/>
              </w:rPr>
              <w:t>“</w:t>
            </w:r>
            <w:r>
              <w:rPr>
                <w:rFonts w:hint="eastAsia"/>
                <w:color w:val="auto"/>
                <w:sz w:val="24"/>
                <w:highlight w:val="none"/>
                <w:lang w:val="en-US" w:eastAsia="zh-CN"/>
              </w:rPr>
              <w:t>隔油池+化粪</w:t>
            </w:r>
            <w:r>
              <w:rPr>
                <w:rFonts w:hint="eastAsia"/>
                <w:color w:val="auto"/>
                <w:sz w:val="24"/>
                <w:highlight w:val="none"/>
              </w:rPr>
              <w:t>池</w:t>
            </w:r>
            <w:r>
              <w:rPr>
                <w:rFonts w:hint="eastAsia"/>
                <w:color w:val="auto"/>
                <w:sz w:val="24"/>
                <w:highlight w:val="none"/>
                <w:lang w:eastAsia="zh-CN"/>
              </w:rPr>
              <w:t>”</w:t>
            </w:r>
            <w:r>
              <w:rPr>
                <w:rFonts w:hint="eastAsia"/>
                <w:color w:val="auto"/>
                <w:sz w:val="24"/>
                <w:highlight w:val="none"/>
              </w:rPr>
              <w:t>处理后</w:t>
            </w:r>
            <w:r>
              <w:rPr>
                <w:rFonts w:hint="eastAsia"/>
                <w:color w:val="auto"/>
                <w:sz w:val="24"/>
                <w:highlight w:val="none"/>
                <w:lang w:val="en-US" w:eastAsia="zh-CN"/>
              </w:rPr>
              <w:t>再与</w:t>
            </w:r>
            <w:r>
              <w:rPr>
                <w:rFonts w:hint="eastAsia"/>
                <w:color w:val="auto"/>
                <w:sz w:val="24"/>
                <w:highlight w:val="none"/>
              </w:rPr>
              <w:t>生产废水</w:t>
            </w:r>
            <w:r>
              <w:rPr>
                <w:rFonts w:hint="eastAsia"/>
                <w:color w:val="auto"/>
                <w:sz w:val="24"/>
                <w:highlight w:val="none"/>
                <w:lang w:val="en-US" w:eastAsia="zh-CN"/>
              </w:rPr>
              <w:t>、初期雨水一并</w:t>
            </w:r>
            <w:r>
              <w:rPr>
                <w:rFonts w:hint="eastAsia"/>
                <w:color w:val="auto"/>
                <w:sz w:val="24"/>
                <w:highlight w:val="none"/>
              </w:rPr>
              <w:t>汇入</w:t>
            </w:r>
            <w:r>
              <w:rPr>
                <w:rFonts w:hint="eastAsia"/>
                <w:color w:val="auto"/>
                <w:sz w:val="24"/>
                <w:highlight w:val="none"/>
                <w:lang w:val="en-US" w:eastAsia="zh-CN"/>
              </w:rPr>
              <w:t>厂区</w:t>
            </w:r>
            <w:r>
              <w:rPr>
                <w:rFonts w:hint="eastAsia"/>
                <w:color w:val="auto"/>
                <w:sz w:val="24"/>
                <w:highlight w:val="none"/>
              </w:rPr>
              <w:t>污水处理站</w:t>
            </w:r>
            <w:r>
              <w:rPr>
                <w:rFonts w:hint="eastAsia"/>
                <w:color w:val="auto"/>
                <w:sz w:val="24"/>
                <w:highlight w:val="none"/>
                <w:lang w:val="en-US" w:eastAsia="zh-CN"/>
              </w:rPr>
              <w:t>处理达到</w:t>
            </w:r>
            <w:r>
              <w:rPr>
                <w:rFonts w:hint="default" w:ascii="Times New Roman" w:hAnsi="Times New Roman" w:cs="Times New Roman"/>
                <w:b w:val="0"/>
                <w:bCs/>
                <w:color w:val="auto"/>
                <w:sz w:val="24"/>
                <w:highlight w:val="none"/>
                <w:lang w:val="en-US" w:eastAsia="zh-CN"/>
              </w:rPr>
              <w:t>《污水综合排放标准》（GB8978-1996）三级标准后进入园区污水处理厂</w:t>
            </w:r>
            <w:r>
              <w:rPr>
                <w:rFonts w:hint="eastAsia" w:cs="Times New Roman"/>
                <w:b w:val="0"/>
                <w:bCs/>
                <w:color w:val="auto"/>
                <w:sz w:val="24"/>
                <w:highlight w:val="none"/>
                <w:lang w:val="en-US" w:eastAsia="zh-CN"/>
              </w:rPr>
              <w:t>，最后排入郪江</w:t>
            </w:r>
            <w:r>
              <w:rPr>
                <w:rFonts w:hint="eastAsia"/>
                <w:color w:val="auto"/>
                <w:sz w:val="24"/>
                <w:highlight w:val="none"/>
              </w:rPr>
              <w:t>。</w:t>
            </w:r>
          </w:p>
          <w:p w14:paraId="09FDACD6">
            <w:pPr>
              <w:spacing w:line="360" w:lineRule="auto"/>
              <w:ind w:firstLine="480" w:firstLineChars="200"/>
              <w:rPr>
                <w:color w:val="auto"/>
                <w:sz w:val="24"/>
                <w:highlight w:val="none"/>
              </w:rPr>
            </w:pPr>
            <w:r>
              <w:rPr>
                <w:rFonts w:hint="eastAsia"/>
                <w:color w:val="auto"/>
                <w:sz w:val="24"/>
                <w:highlight w:val="none"/>
              </w:rPr>
              <w:t>已</w:t>
            </w:r>
            <w:r>
              <w:rPr>
                <w:rFonts w:hint="eastAsia"/>
                <w:color w:val="auto"/>
                <w:sz w:val="24"/>
                <w:highlight w:val="none"/>
                <w:lang w:val="en-US" w:eastAsia="zh-CN"/>
              </w:rPr>
              <w:t>建</w:t>
            </w:r>
            <w:r>
              <w:rPr>
                <w:rFonts w:hint="eastAsia"/>
                <w:color w:val="auto"/>
                <w:sz w:val="24"/>
                <w:highlight w:val="none"/>
              </w:rPr>
              <w:t>废水处理装置见下图：</w:t>
            </w:r>
          </w:p>
          <w:tbl>
            <w:tblPr>
              <w:tblStyle w:val="28"/>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6"/>
              <w:gridCol w:w="4199"/>
            </w:tblGrid>
            <w:tr w14:paraId="3710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tcBorders>
                    <w:top w:val="nil"/>
                    <w:left w:val="nil"/>
                    <w:bottom w:val="nil"/>
                    <w:right w:val="nil"/>
                  </w:tcBorders>
                  <w:vAlign w:val="center"/>
                </w:tcPr>
                <w:p w14:paraId="4DAD9575">
                  <w:pPr>
                    <w:jc w:val="center"/>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2588895" cy="1747520"/>
                        <wp:effectExtent l="0" t="0" r="1905" b="5080"/>
                        <wp:docPr id="131" name="图片 131" descr="污水处理站区及排气筒、紧挨为危废暂存间及后方的维修备件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污水处理站区及排气筒、紧挨为危废暂存间及后方的维修备件房"/>
                                <pic:cNvPicPr>
                                  <a:picLocks noChangeAspect="1"/>
                                </pic:cNvPicPr>
                              </pic:nvPicPr>
                              <pic:blipFill>
                                <a:blip r:embed="rId27"/>
                                <a:srcRect l="12834" b="21553"/>
                                <a:stretch>
                                  <a:fillRect/>
                                </a:stretch>
                              </pic:blipFill>
                              <pic:spPr>
                                <a:xfrm>
                                  <a:off x="0" y="0"/>
                                  <a:ext cx="2588895" cy="1747520"/>
                                </a:xfrm>
                                <a:prstGeom prst="rect">
                                  <a:avLst/>
                                </a:prstGeom>
                              </pic:spPr>
                            </pic:pic>
                          </a:graphicData>
                        </a:graphic>
                      </wp:inline>
                    </w:drawing>
                  </w:r>
                </w:p>
              </w:tc>
              <w:tc>
                <w:tcPr>
                  <w:tcW w:w="2506" w:type="pct"/>
                  <w:tcBorders>
                    <w:top w:val="nil"/>
                    <w:left w:val="nil"/>
                    <w:bottom w:val="nil"/>
                    <w:right w:val="nil"/>
                  </w:tcBorders>
                  <w:vAlign w:val="center"/>
                </w:tcPr>
                <w:p w14:paraId="033372F9">
                  <w:pPr>
                    <w:jc w:val="center"/>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1600835" cy="1828800"/>
                        <wp:effectExtent l="0" t="0" r="18415" b="0"/>
                        <wp:docPr id="132" name="图片 132" descr="污水处理站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污水处理站建筑"/>
                                <pic:cNvPicPr>
                                  <a:picLocks noChangeAspect="1"/>
                                </pic:cNvPicPr>
                              </pic:nvPicPr>
                              <pic:blipFill>
                                <a:blip r:embed="rId28"/>
                                <a:srcRect t="4639" b="9723"/>
                                <a:stretch>
                                  <a:fillRect/>
                                </a:stretch>
                              </pic:blipFill>
                              <pic:spPr>
                                <a:xfrm>
                                  <a:off x="0" y="0"/>
                                  <a:ext cx="1600835" cy="1828800"/>
                                </a:xfrm>
                                <a:prstGeom prst="rect">
                                  <a:avLst/>
                                </a:prstGeom>
                              </pic:spPr>
                            </pic:pic>
                          </a:graphicData>
                        </a:graphic>
                      </wp:inline>
                    </w:drawing>
                  </w:r>
                </w:p>
              </w:tc>
            </w:tr>
            <w:tr w14:paraId="768D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nil"/>
                    <w:left w:val="nil"/>
                    <w:bottom w:val="nil"/>
                    <w:right w:val="nil"/>
                  </w:tcBorders>
                  <w:vAlign w:val="center"/>
                </w:tcPr>
                <w:p w14:paraId="5BACFE48">
                  <w:pPr>
                    <w:jc w:val="center"/>
                    <w:rPr>
                      <w:color w:val="auto"/>
                      <w:szCs w:val="21"/>
                      <w:highlight w:val="none"/>
                    </w:rPr>
                  </w:pPr>
                  <w:r>
                    <w:rPr>
                      <w:rFonts w:hint="eastAsia"/>
                      <w:color w:val="auto"/>
                      <w:szCs w:val="21"/>
                      <w:highlight w:val="none"/>
                    </w:rPr>
                    <w:t>污水处理站</w:t>
                  </w:r>
                </w:p>
              </w:tc>
            </w:tr>
            <w:tr w14:paraId="2BE1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tcBorders>
                    <w:top w:val="nil"/>
                    <w:left w:val="nil"/>
                    <w:bottom w:val="nil"/>
                    <w:right w:val="nil"/>
                  </w:tcBorders>
                  <w:vAlign w:val="center"/>
                </w:tcPr>
                <w:p w14:paraId="23162395">
                  <w:pPr>
                    <w:jc w:val="center"/>
                    <w:rPr>
                      <w:rFonts w:hint="eastAsia" w:eastAsia="宋体"/>
                      <w:color w:val="auto"/>
                      <w:szCs w:val="21"/>
                      <w:highlight w:val="none"/>
                      <w:lang w:eastAsia="zh-CN"/>
                    </w:rPr>
                  </w:pPr>
                  <w:r>
                    <w:rPr>
                      <w:rFonts w:hint="eastAsia" w:eastAsia="宋体"/>
                      <w:color w:val="auto"/>
                      <w:szCs w:val="21"/>
                      <w:highlight w:val="none"/>
                      <w:lang w:eastAsia="zh-CN"/>
                    </w:rPr>
                    <w:drawing>
                      <wp:inline distT="0" distB="0" distL="114300" distR="114300">
                        <wp:extent cx="2534285" cy="1901190"/>
                        <wp:effectExtent l="0" t="0" r="18415" b="3810"/>
                        <wp:docPr id="133" name="图片 133" descr="污水处理站在线监测设备（氨氮、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污水处理站在线监测设备（氨氮、COD）"/>
                                <pic:cNvPicPr>
                                  <a:picLocks noChangeAspect="1"/>
                                </pic:cNvPicPr>
                              </pic:nvPicPr>
                              <pic:blipFill>
                                <a:blip r:embed="rId29"/>
                                <a:stretch>
                                  <a:fillRect/>
                                </a:stretch>
                              </pic:blipFill>
                              <pic:spPr>
                                <a:xfrm>
                                  <a:off x="0" y="0"/>
                                  <a:ext cx="2534285" cy="1901190"/>
                                </a:xfrm>
                                <a:prstGeom prst="rect">
                                  <a:avLst/>
                                </a:prstGeom>
                              </pic:spPr>
                            </pic:pic>
                          </a:graphicData>
                        </a:graphic>
                      </wp:inline>
                    </w:drawing>
                  </w:r>
                </w:p>
              </w:tc>
              <w:tc>
                <w:tcPr>
                  <w:tcW w:w="2500" w:type="pct"/>
                  <w:tcBorders>
                    <w:top w:val="nil"/>
                    <w:left w:val="nil"/>
                    <w:bottom w:val="nil"/>
                    <w:right w:val="nil"/>
                  </w:tcBorders>
                  <w:vAlign w:val="center"/>
                </w:tcPr>
                <w:p w14:paraId="078F274F">
                  <w:pPr>
                    <w:jc w:val="center"/>
                    <w:rPr>
                      <w:rFonts w:hint="eastAsia" w:eastAsia="宋体"/>
                      <w:color w:val="auto"/>
                      <w:szCs w:val="21"/>
                      <w:highlight w:val="none"/>
                      <w:lang w:eastAsia="zh-CN"/>
                    </w:rPr>
                  </w:pPr>
                  <w:r>
                    <w:rPr>
                      <w:color w:val="auto"/>
                      <w:position w:val="-77"/>
                      <w:highlight w:val="none"/>
                    </w:rPr>
                    <w:drawing>
                      <wp:inline distT="0" distB="0" distL="0" distR="0">
                        <wp:extent cx="1885315" cy="1931035"/>
                        <wp:effectExtent l="0" t="0" r="635" b="12065"/>
                        <wp:docPr id="134" name="IM 92"/>
                        <wp:cNvGraphicFramePr/>
                        <a:graphic xmlns:a="http://schemas.openxmlformats.org/drawingml/2006/main">
                          <a:graphicData uri="http://schemas.openxmlformats.org/drawingml/2006/picture">
                            <pic:pic xmlns:pic="http://schemas.openxmlformats.org/drawingml/2006/picture">
                              <pic:nvPicPr>
                                <pic:cNvPr id="134" name="IM 92"/>
                                <pic:cNvPicPr/>
                              </pic:nvPicPr>
                              <pic:blipFill>
                                <a:blip r:embed="rId30"/>
                                <a:stretch>
                                  <a:fillRect/>
                                </a:stretch>
                              </pic:blipFill>
                              <pic:spPr>
                                <a:xfrm>
                                  <a:off x="0" y="0"/>
                                  <a:ext cx="1885315" cy="1931035"/>
                                </a:xfrm>
                                <a:prstGeom prst="rect">
                                  <a:avLst/>
                                </a:prstGeom>
                              </pic:spPr>
                            </pic:pic>
                          </a:graphicData>
                        </a:graphic>
                      </wp:inline>
                    </w:drawing>
                  </w:r>
                </w:p>
              </w:tc>
            </w:tr>
            <w:tr w14:paraId="325F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9" w:type="pct"/>
                  <w:tcBorders>
                    <w:top w:val="nil"/>
                    <w:left w:val="nil"/>
                    <w:bottom w:val="nil"/>
                    <w:right w:val="nil"/>
                  </w:tcBorders>
                  <w:vAlign w:val="center"/>
                </w:tcPr>
                <w:p w14:paraId="2127C94F">
                  <w:pPr>
                    <w:jc w:val="center"/>
                    <w:rPr>
                      <w:rFonts w:hint="default" w:eastAsia="宋体"/>
                      <w:color w:val="auto"/>
                      <w:szCs w:val="21"/>
                      <w:highlight w:val="none"/>
                      <w:lang w:val="en-US" w:eastAsia="zh-CN"/>
                    </w:rPr>
                  </w:pPr>
                  <w:r>
                    <w:rPr>
                      <w:rFonts w:hint="eastAsia"/>
                      <w:color w:val="auto"/>
                      <w:szCs w:val="21"/>
                      <w:highlight w:val="none"/>
                      <w:lang w:val="en-US" w:eastAsia="zh-CN"/>
                    </w:rPr>
                    <w:t>在线监测装置</w:t>
                  </w:r>
                </w:p>
              </w:tc>
              <w:tc>
                <w:tcPr>
                  <w:tcW w:w="2500" w:type="pct"/>
                  <w:tcBorders>
                    <w:top w:val="nil"/>
                    <w:left w:val="nil"/>
                    <w:bottom w:val="nil"/>
                    <w:right w:val="nil"/>
                  </w:tcBorders>
                  <w:vAlign w:val="center"/>
                </w:tcPr>
                <w:p w14:paraId="7C8F18EC">
                  <w:pPr>
                    <w:jc w:val="center"/>
                    <w:rPr>
                      <w:rFonts w:hint="default"/>
                      <w:color w:val="auto"/>
                      <w:szCs w:val="21"/>
                      <w:highlight w:val="none"/>
                      <w:lang w:val="en-US" w:eastAsia="zh-CN"/>
                    </w:rPr>
                  </w:pPr>
                  <w:r>
                    <w:rPr>
                      <w:rFonts w:hint="eastAsia"/>
                      <w:color w:val="auto"/>
                      <w:szCs w:val="21"/>
                      <w:highlight w:val="none"/>
                      <w:lang w:val="en-US" w:eastAsia="zh-CN"/>
                    </w:rPr>
                    <w:t>隔油池+化粪池</w:t>
                  </w:r>
                </w:p>
              </w:tc>
            </w:tr>
          </w:tbl>
          <w:p w14:paraId="33ECD416">
            <w:pPr>
              <w:spacing w:line="360" w:lineRule="auto"/>
              <w:ind w:firstLine="480" w:firstLineChars="200"/>
              <w:rPr>
                <w:color w:val="auto"/>
                <w:sz w:val="24"/>
                <w:highlight w:val="none"/>
              </w:rPr>
            </w:pPr>
            <w:r>
              <w:rPr>
                <w:rFonts w:hint="eastAsia"/>
                <w:color w:val="auto"/>
                <w:sz w:val="24"/>
                <w:highlight w:val="none"/>
              </w:rPr>
              <w:t>②达标分析</w:t>
            </w:r>
          </w:p>
          <w:p w14:paraId="1AB6AD90">
            <w:pPr>
              <w:spacing w:line="360" w:lineRule="auto"/>
              <w:ind w:firstLine="480" w:firstLineChars="200"/>
              <w:rPr>
                <w:rFonts w:hint="eastAsia"/>
                <w:b w:val="0"/>
                <w:bCs w:val="0"/>
                <w:color w:val="auto"/>
                <w:sz w:val="24"/>
                <w:highlight w:val="none"/>
              </w:rPr>
            </w:pPr>
            <w:r>
              <w:rPr>
                <w:rFonts w:hint="eastAsia"/>
                <w:b w:val="0"/>
                <w:bCs w:val="0"/>
                <w:color w:val="auto"/>
                <w:sz w:val="24"/>
                <w:highlight w:val="none"/>
              </w:rPr>
              <w:t>根据</w:t>
            </w:r>
            <w:r>
              <w:rPr>
                <w:rFonts w:hint="eastAsia"/>
                <w:b w:val="0"/>
                <w:bCs w:val="0"/>
                <w:color w:val="auto"/>
                <w:sz w:val="24"/>
                <w:highlight w:val="none"/>
                <w:lang w:val="en-US" w:eastAsia="zh-CN"/>
              </w:rPr>
              <w:t>企业2024年最新例行检测报告（JC检字（2024）第060253号，2024年6月）</w:t>
            </w:r>
            <w:r>
              <w:rPr>
                <w:rFonts w:hint="eastAsia"/>
                <w:b w:val="0"/>
                <w:bCs w:val="0"/>
                <w:color w:val="auto"/>
                <w:sz w:val="24"/>
                <w:highlight w:val="none"/>
              </w:rPr>
              <w:t>可知，项目废水排放情况如下：</w:t>
            </w:r>
          </w:p>
          <w:p w14:paraId="305EF459">
            <w:pPr>
              <w:pStyle w:val="42"/>
              <w:keepNext w:val="0"/>
              <w:keepLines w:val="0"/>
              <w:pageBreakBefore w:val="0"/>
              <w:widowControl w:val="0"/>
              <w:kinsoku/>
              <w:wordWrap/>
              <w:overflowPunct/>
              <w:topLinePunct w:val="0"/>
              <w:autoSpaceDE/>
              <w:autoSpaceDN/>
              <w:bidi w:val="0"/>
              <w:adjustRightInd/>
              <w:snapToGrid/>
              <w:spacing w:line="240" w:lineRule="auto"/>
              <w:ind w:left="0" w:firstLine="0"/>
              <w:textAlignment w:val="auto"/>
              <w:rPr>
                <w:color w:val="auto"/>
                <w:highlight w:val="none"/>
              </w:rPr>
            </w:pPr>
            <w:r>
              <w:rPr>
                <w:rFonts w:hint="eastAsia"/>
                <w:color w:val="auto"/>
                <w:highlight w:val="none"/>
              </w:rPr>
              <w:t>现有工程废水监测结果</w:t>
            </w:r>
          </w:p>
          <w:tbl>
            <w:tblPr>
              <w:tblStyle w:val="28"/>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230"/>
              <w:gridCol w:w="1620"/>
              <w:gridCol w:w="2220"/>
              <w:gridCol w:w="1539"/>
              <w:gridCol w:w="706"/>
            </w:tblGrid>
            <w:tr w14:paraId="5FFA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tcBorders>
                    <w:tl2br w:val="nil"/>
                    <w:tr2bl w:val="nil"/>
                  </w:tcBorders>
                  <w:vAlign w:val="center"/>
                </w:tcPr>
                <w:p w14:paraId="0631F3A7">
                  <w:pPr>
                    <w:pStyle w:val="91"/>
                    <w:jc w:val="center"/>
                    <w:rPr>
                      <w:rFonts w:ascii="Times New Roman" w:cs="Times New Roman"/>
                      <w:b/>
                      <w:color w:val="auto"/>
                      <w:sz w:val="21"/>
                      <w:szCs w:val="21"/>
                      <w:highlight w:val="none"/>
                    </w:rPr>
                  </w:pPr>
                  <w:r>
                    <w:rPr>
                      <w:rFonts w:hint="eastAsia" w:ascii="Times New Roman" w:cs="Times New Roman"/>
                      <w:b/>
                      <w:color w:val="auto"/>
                      <w:sz w:val="21"/>
                      <w:szCs w:val="21"/>
                      <w:highlight w:val="none"/>
                    </w:rPr>
                    <w:t>采样日期</w:t>
                  </w:r>
                </w:p>
              </w:tc>
              <w:tc>
                <w:tcPr>
                  <w:tcW w:w="730" w:type="pct"/>
                  <w:tcBorders>
                    <w:tl2br w:val="nil"/>
                    <w:tr2bl w:val="nil"/>
                  </w:tcBorders>
                  <w:vAlign w:val="center"/>
                </w:tcPr>
                <w:p w14:paraId="7AC18B7C">
                  <w:pPr>
                    <w:pStyle w:val="91"/>
                    <w:jc w:val="center"/>
                    <w:rPr>
                      <w:rFonts w:ascii="Times New Roman" w:cs="Times New Roman"/>
                      <w:b/>
                      <w:color w:val="auto"/>
                      <w:sz w:val="21"/>
                      <w:szCs w:val="21"/>
                      <w:highlight w:val="none"/>
                    </w:rPr>
                  </w:pPr>
                  <w:r>
                    <w:rPr>
                      <w:rFonts w:hint="eastAsia" w:ascii="Times New Roman" w:cs="Times New Roman"/>
                      <w:b/>
                      <w:color w:val="auto"/>
                      <w:sz w:val="21"/>
                      <w:szCs w:val="21"/>
                      <w:highlight w:val="none"/>
                    </w:rPr>
                    <w:t>采样位置</w:t>
                  </w:r>
                </w:p>
              </w:tc>
              <w:tc>
                <w:tcPr>
                  <w:tcW w:w="961" w:type="pct"/>
                  <w:tcBorders>
                    <w:tl2br w:val="nil"/>
                    <w:tr2bl w:val="nil"/>
                  </w:tcBorders>
                  <w:vAlign w:val="center"/>
                </w:tcPr>
                <w:p w14:paraId="0223CE27">
                  <w:pPr>
                    <w:pStyle w:val="91"/>
                    <w:jc w:val="center"/>
                    <w:rPr>
                      <w:rFonts w:ascii="Times New Roman" w:cs="Times New Roman"/>
                      <w:b/>
                      <w:color w:val="auto"/>
                      <w:sz w:val="21"/>
                      <w:szCs w:val="21"/>
                      <w:highlight w:val="none"/>
                    </w:rPr>
                  </w:pPr>
                  <w:r>
                    <w:rPr>
                      <w:rFonts w:hint="eastAsia" w:ascii="Times New Roman" w:cs="Times New Roman"/>
                      <w:b/>
                      <w:color w:val="auto"/>
                      <w:sz w:val="21"/>
                      <w:szCs w:val="21"/>
                      <w:highlight w:val="none"/>
                    </w:rPr>
                    <w:t>检测项目</w:t>
                  </w:r>
                </w:p>
              </w:tc>
              <w:tc>
                <w:tcPr>
                  <w:tcW w:w="1317" w:type="pct"/>
                  <w:tcBorders>
                    <w:tl2br w:val="nil"/>
                    <w:tr2bl w:val="nil"/>
                  </w:tcBorders>
                  <w:vAlign w:val="center"/>
                </w:tcPr>
                <w:p w14:paraId="4641BEF1">
                  <w:pPr>
                    <w:pStyle w:val="91"/>
                    <w:jc w:val="center"/>
                    <w:rPr>
                      <w:rFonts w:ascii="Times New Roman" w:cs="Times New Roman"/>
                      <w:b/>
                      <w:color w:val="auto"/>
                      <w:sz w:val="21"/>
                      <w:szCs w:val="21"/>
                      <w:highlight w:val="none"/>
                    </w:rPr>
                  </w:pPr>
                  <w:r>
                    <w:rPr>
                      <w:rFonts w:hint="eastAsia" w:ascii="Times New Roman" w:cs="Times New Roman"/>
                      <w:b/>
                      <w:color w:val="auto"/>
                      <w:sz w:val="21"/>
                      <w:szCs w:val="21"/>
                      <w:highlight w:val="none"/>
                    </w:rPr>
                    <w:t>检测结果</w:t>
                  </w:r>
                </w:p>
              </w:tc>
              <w:tc>
                <w:tcPr>
                  <w:tcW w:w="913" w:type="pct"/>
                  <w:tcBorders>
                    <w:tl2br w:val="nil"/>
                    <w:tr2bl w:val="nil"/>
                  </w:tcBorders>
                  <w:vAlign w:val="center"/>
                </w:tcPr>
                <w:p w14:paraId="3A20A632">
                  <w:pPr>
                    <w:pStyle w:val="91"/>
                    <w:jc w:val="center"/>
                    <w:rPr>
                      <w:rFonts w:ascii="Times New Roman" w:cs="Times New Roman"/>
                      <w:b/>
                      <w:color w:val="auto"/>
                      <w:sz w:val="21"/>
                      <w:szCs w:val="21"/>
                      <w:highlight w:val="none"/>
                    </w:rPr>
                  </w:pPr>
                  <w:r>
                    <w:rPr>
                      <w:rFonts w:hint="eastAsia" w:ascii="Times New Roman" w:cs="Times New Roman"/>
                      <w:b/>
                      <w:color w:val="auto"/>
                      <w:sz w:val="21"/>
                      <w:szCs w:val="21"/>
                      <w:highlight w:val="none"/>
                    </w:rPr>
                    <w:t>排放限值</w:t>
                  </w:r>
                </w:p>
              </w:tc>
              <w:tc>
                <w:tcPr>
                  <w:tcW w:w="419" w:type="pct"/>
                  <w:tcBorders>
                    <w:tl2br w:val="nil"/>
                    <w:tr2bl w:val="nil"/>
                  </w:tcBorders>
                  <w:vAlign w:val="center"/>
                </w:tcPr>
                <w:p w14:paraId="4AB44A3F">
                  <w:pPr>
                    <w:pStyle w:val="91"/>
                    <w:jc w:val="center"/>
                    <w:rPr>
                      <w:rFonts w:ascii="Times New Roman" w:cs="Times New Roman"/>
                      <w:b/>
                      <w:color w:val="auto"/>
                      <w:sz w:val="21"/>
                      <w:szCs w:val="21"/>
                      <w:highlight w:val="none"/>
                    </w:rPr>
                  </w:pPr>
                  <w:r>
                    <w:rPr>
                      <w:rFonts w:hint="eastAsia" w:ascii="Times New Roman" w:cs="Times New Roman"/>
                      <w:b/>
                      <w:color w:val="auto"/>
                      <w:sz w:val="21"/>
                      <w:szCs w:val="21"/>
                      <w:highlight w:val="none"/>
                    </w:rPr>
                    <w:t>评价</w:t>
                  </w:r>
                </w:p>
              </w:tc>
            </w:tr>
            <w:tr w14:paraId="575D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restart"/>
                  <w:tcBorders>
                    <w:tl2br w:val="nil"/>
                    <w:tr2bl w:val="nil"/>
                  </w:tcBorders>
                  <w:vAlign w:val="center"/>
                </w:tcPr>
                <w:p w14:paraId="3689539E">
                  <w:pPr>
                    <w:pStyle w:val="91"/>
                    <w:jc w:val="center"/>
                    <w:rPr>
                      <w:rFonts w:hint="default" w:ascii="Times New Roman" w:cs="Times New Roman"/>
                      <w:bCs/>
                      <w:color w:val="auto"/>
                      <w:sz w:val="21"/>
                      <w:szCs w:val="21"/>
                      <w:highlight w:val="none"/>
                      <w:lang w:val="en-US"/>
                    </w:rPr>
                  </w:pPr>
                  <w:r>
                    <w:rPr>
                      <w:rFonts w:hint="eastAsia" w:ascii="Times New Roman" w:cs="Times New Roman"/>
                      <w:bCs/>
                      <w:color w:val="auto"/>
                      <w:sz w:val="21"/>
                      <w:szCs w:val="21"/>
                      <w:highlight w:val="none"/>
                    </w:rPr>
                    <w:t>202</w:t>
                  </w:r>
                  <w:r>
                    <w:rPr>
                      <w:rFonts w:hint="eastAsia" w:ascii="Times New Roman" w:cs="Times New Roman"/>
                      <w:bCs/>
                      <w:color w:val="auto"/>
                      <w:sz w:val="21"/>
                      <w:szCs w:val="21"/>
                      <w:highlight w:val="none"/>
                      <w:lang w:val="en-US" w:eastAsia="zh-CN"/>
                    </w:rPr>
                    <w:t>4</w:t>
                  </w:r>
                  <w:r>
                    <w:rPr>
                      <w:rFonts w:hint="eastAsia" w:ascii="Times New Roman" w:cs="Times New Roman"/>
                      <w:bCs/>
                      <w:color w:val="auto"/>
                      <w:sz w:val="21"/>
                      <w:szCs w:val="21"/>
                      <w:highlight w:val="none"/>
                    </w:rPr>
                    <w:t>.</w:t>
                  </w:r>
                  <w:r>
                    <w:rPr>
                      <w:rFonts w:hint="eastAsia" w:ascii="Times New Roman" w:cs="Times New Roman"/>
                      <w:bCs/>
                      <w:color w:val="auto"/>
                      <w:sz w:val="21"/>
                      <w:szCs w:val="21"/>
                      <w:highlight w:val="none"/>
                      <w:lang w:val="en-US" w:eastAsia="zh-CN"/>
                    </w:rPr>
                    <w:t>6.19</w:t>
                  </w:r>
                </w:p>
              </w:tc>
              <w:tc>
                <w:tcPr>
                  <w:tcW w:w="730" w:type="pct"/>
                  <w:vMerge w:val="restart"/>
                  <w:tcBorders>
                    <w:tl2br w:val="nil"/>
                    <w:tr2bl w:val="nil"/>
                  </w:tcBorders>
                  <w:vAlign w:val="center"/>
                </w:tcPr>
                <w:p w14:paraId="232C662E">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rPr>
                    <w:t>污水处理</w:t>
                  </w:r>
                </w:p>
                <w:p w14:paraId="34B1D40F">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污水处理站废水</w:t>
                  </w:r>
                  <w:r>
                    <w:rPr>
                      <w:rFonts w:hint="eastAsia" w:ascii="Times New Roman" w:cs="Times New Roman"/>
                      <w:bCs/>
                      <w:color w:val="auto"/>
                      <w:sz w:val="21"/>
                      <w:szCs w:val="21"/>
                      <w:highlight w:val="none"/>
                      <w:lang w:val="en-US" w:eastAsia="zh-CN"/>
                    </w:rPr>
                    <w:t>出口</w:t>
                  </w:r>
                </w:p>
              </w:tc>
              <w:tc>
                <w:tcPr>
                  <w:tcW w:w="961" w:type="pct"/>
                  <w:tcBorders>
                    <w:tl2br w:val="nil"/>
                    <w:tr2bl w:val="nil"/>
                  </w:tcBorders>
                  <w:vAlign w:val="center"/>
                </w:tcPr>
                <w:p w14:paraId="6DB8D9D0">
                  <w:pPr>
                    <w:pStyle w:val="91"/>
                    <w:jc w:val="center"/>
                    <w:rPr>
                      <w:rFonts w:hint="eastAsia" w:asci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rPr>
                    <w:t>pH</w:t>
                  </w:r>
                  <w:r>
                    <w:rPr>
                      <w:rFonts w:hint="eastAsia" w:ascii="Times New Roman" w:cs="Times New Roman"/>
                      <w:bCs/>
                      <w:color w:val="auto"/>
                      <w:sz w:val="21"/>
                      <w:szCs w:val="21"/>
                      <w:highlight w:val="none"/>
                      <w:lang w:eastAsia="zh-CN"/>
                    </w:rPr>
                    <w:t>（</w:t>
                  </w:r>
                  <w:r>
                    <w:rPr>
                      <w:rFonts w:hint="eastAsia" w:ascii="Times New Roman" w:cs="Times New Roman"/>
                      <w:bCs/>
                      <w:color w:val="auto"/>
                      <w:sz w:val="21"/>
                      <w:szCs w:val="21"/>
                      <w:highlight w:val="none"/>
                      <w:lang w:val="en-US" w:eastAsia="zh-CN"/>
                    </w:rPr>
                    <w:t>无量纲</w:t>
                  </w:r>
                  <w:r>
                    <w:rPr>
                      <w:rFonts w:hint="eastAsia" w:ascii="Times New Roman" w:cs="Times New Roman"/>
                      <w:bCs/>
                      <w:color w:val="auto"/>
                      <w:sz w:val="21"/>
                      <w:szCs w:val="21"/>
                      <w:highlight w:val="none"/>
                      <w:lang w:eastAsia="zh-CN"/>
                    </w:rPr>
                    <w:t>）</w:t>
                  </w:r>
                </w:p>
              </w:tc>
              <w:tc>
                <w:tcPr>
                  <w:tcW w:w="1317" w:type="pct"/>
                  <w:tcBorders>
                    <w:tl2br w:val="nil"/>
                    <w:tr2bl w:val="nil"/>
                  </w:tcBorders>
                  <w:vAlign w:val="center"/>
                </w:tcPr>
                <w:p w14:paraId="4DD7E1CE">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7.21~</w:t>
                  </w:r>
                  <w:r>
                    <w:rPr>
                      <w:rFonts w:hint="eastAsia" w:ascii="Times New Roman" w:cs="Times New Roman"/>
                      <w:bCs/>
                      <w:color w:val="auto"/>
                      <w:sz w:val="21"/>
                      <w:szCs w:val="21"/>
                      <w:highlight w:val="none"/>
                    </w:rPr>
                    <w:t>7.</w:t>
                  </w:r>
                  <w:r>
                    <w:rPr>
                      <w:rFonts w:hint="eastAsia" w:ascii="Times New Roman" w:cs="Times New Roman"/>
                      <w:bCs/>
                      <w:color w:val="auto"/>
                      <w:sz w:val="21"/>
                      <w:szCs w:val="21"/>
                      <w:highlight w:val="none"/>
                      <w:lang w:val="en-US" w:eastAsia="zh-CN"/>
                    </w:rPr>
                    <w:t>65</w:t>
                  </w:r>
                </w:p>
              </w:tc>
              <w:tc>
                <w:tcPr>
                  <w:tcW w:w="913" w:type="pct"/>
                  <w:tcBorders>
                    <w:tl2br w:val="nil"/>
                    <w:tr2bl w:val="nil"/>
                  </w:tcBorders>
                  <w:vAlign w:val="center"/>
                </w:tcPr>
                <w:p w14:paraId="74E06757">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6~9</w:t>
                  </w:r>
                </w:p>
              </w:tc>
              <w:tc>
                <w:tcPr>
                  <w:tcW w:w="419" w:type="pct"/>
                  <w:tcBorders>
                    <w:tl2br w:val="nil"/>
                    <w:tr2bl w:val="nil"/>
                  </w:tcBorders>
                  <w:vAlign w:val="center"/>
                </w:tcPr>
                <w:p w14:paraId="6B77AE64">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达标</w:t>
                  </w:r>
                </w:p>
              </w:tc>
            </w:tr>
            <w:tr w14:paraId="54C5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22CD612F">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3F23F37F">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56852A2C">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rPr>
                    <w:t>悬浮物</w:t>
                  </w:r>
                </w:p>
              </w:tc>
              <w:tc>
                <w:tcPr>
                  <w:tcW w:w="1317" w:type="pct"/>
                  <w:tcBorders>
                    <w:tl2br w:val="nil"/>
                    <w:tr2bl w:val="nil"/>
                  </w:tcBorders>
                  <w:vAlign w:val="center"/>
                </w:tcPr>
                <w:p w14:paraId="6B79C70A">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13</w:t>
                  </w:r>
                  <w:r>
                    <w:rPr>
                      <w:rFonts w:hint="eastAsia" w:ascii="Times New Roman" w:cs="Times New Roman"/>
                      <w:bCs/>
                      <w:color w:val="auto"/>
                      <w:sz w:val="21"/>
                      <w:szCs w:val="21"/>
                      <w:highlight w:val="none"/>
                    </w:rPr>
                    <w:t>~</w:t>
                  </w:r>
                  <w:r>
                    <w:rPr>
                      <w:rFonts w:hint="eastAsia" w:ascii="Times New Roman" w:cs="Times New Roman"/>
                      <w:bCs/>
                      <w:color w:val="auto"/>
                      <w:sz w:val="21"/>
                      <w:szCs w:val="21"/>
                      <w:highlight w:val="none"/>
                      <w:lang w:val="en-US" w:eastAsia="zh-CN"/>
                    </w:rPr>
                    <w:t>21</w:t>
                  </w:r>
                </w:p>
              </w:tc>
              <w:tc>
                <w:tcPr>
                  <w:tcW w:w="913" w:type="pct"/>
                  <w:tcBorders>
                    <w:tl2br w:val="nil"/>
                    <w:tr2bl w:val="nil"/>
                  </w:tcBorders>
                  <w:vAlign w:val="center"/>
                </w:tcPr>
                <w:p w14:paraId="02B3DF3B">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rPr>
                    <w:t>400</w:t>
                  </w:r>
                </w:p>
              </w:tc>
              <w:tc>
                <w:tcPr>
                  <w:tcW w:w="419" w:type="pct"/>
                  <w:tcBorders>
                    <w:tl2br w:val="nil"/>
                    <w:tr2bl w:val="nil"/>
                  </w:tcBorders>
                  <w:vAlign w:val="center"/>
                </w:tcPr>
                <w:p w14:paraId="7F6E4A73">
                  <w:pPr>
                    <w:jc w:val="center"/>
                    <w:rPr>
                      <w:rFonts w:hint="eastAsia" w:ascii="Times New Roman" w:cs="Times New Roman"/>
                      <w:bCs/>
                      <w:color w:val="auto"/>
                      <w:sz w:val="21"/>
                      <w:szCs w:val="21"/>
                      <w:highlight w:val="none"/>
                    </w:rPr>
                  </w:pPr>
                  <w:r>
                    <w:rPr>
                      <w:rFonts w:hint="eastAsia"/>
                      <w:bCs/>
                      <w:color w:val="auto"/>
                      <w:szCs w:val="21"/>
                      <w:highlight w:val="none"/>
                    </w:rPr>
                    <w:t>达标</w:t>
                  </w:r>
                </w:p>
              </w:tc>
            </w:tr>
            <w:tr w14:paraId="28D9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39627226">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6C26E464">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4354E78E">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rPr>
                    <w:t>COD</w:t>
                  </w:r>
                </w:p>
              </w:tc>
              <w:tc>
                <w:tcPr>
                  <w:tcW w:w="1317" w:type="pct"/>
                  <w:tcBorders>
                    <w:tl2br w:val="nil"/>
                    <w:tr2bl w:val="nil"/>
                  </w:tcBorders>
                  <w:vAlign w:val="center"/>
                </w:tcPr>
                <w:p w14:paraId="33B2EF44">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43.2</w:t>
                  </w:r>
                  <w:r>
                    <w:rPr>
                      <w:rFonts w:hint="eastAsia" w:ascii="Times New Roman" w:cs="Times New Roman"/>
                      <w:bCs/>
                      <w:color w:val="auto"/>
                      <w:sz w:val="21"/>
                      <w:szCs w:val="21"/>
                      <w:highlight w:val="none"/>
                    </w:rPr>
                    <w:t>~</w:t>
                  </w:r>
                  <w:r>
                    <w:rPr>
                      <w:rFonts w:hint="eastAsia" w:ascii="Times New Roman" w:cs="Times New Roman"/>
                      <w:bCs/>
                      <w:color w:val="auto"/>
                      <w:sz w:val="21"/>
                      <w:szCs w:val="21"/>
                      <w:highlight w:val="none"/>
                      <w:lang w:val="en-US" w:eastAsia="zh-CN"/>
                    </w:rPr>
                    <w:t>46.6</w:t>
                  </w:r>
                </w:p>
              </w:tc>
              <w:tc>
                <w:tcPr>
                  <w:tcW w:w="913" w:type="pct"/>
                  <w:tcBorders>
                    <w:tl2br w:val="nil"/>
                    <w:tr2bl w:val="nil"/>
                  </w:tcBorders>
                  <w:vAlign w:val="center"/>
                </w:tcPr>
                <w:p w14:paraId="222A9BBB">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rPr>
                    <w:t>500</w:t>
                  </w:r>
                </w:p>
              </w:tc>
              <w:tc>
                <w:tcPr>
                  <w:tcW w:w="419" w:type="pct"/>
                  <w:tcBorders>
                    <w:tl2br w:val="nil"/>
                    <w:tr2bl w:val="nil"/>
                  </w:tcBorders>
                  <w:vAlign w:val="center"/>
                </w:tcPr>
                <w:p w14:paraId="4A9369F4">
                  <w:pPr>
                    <w:jc w:val="center"/>
                    <w:rPr>
                      <w:rFonts w:hint="eastAsia"/>
                      <w:bCs/>
                      <w:color w:val="auto"/>
                      <w:szCs w:val="21"/>
                      <w:highlight w:val="none"/>
                    </w:rPr>
                  </w:pPr>
                  <w:r>
                    <w:rPr>
                      <w:rFonts w:hint="eastAsia"/>
                      <w:bCs/>
                      <w:color w:val="auto"/>
                      <w:szCs w:val="21"/>
                      <w:highlight w:val="none"/>
                    </w:rPr>
                    <w:t>达标</w:t>
                  </w:r>
                </w:p>
              </w:tc>
            </w:tr>
            <w:tr w14:paraId="1FB2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7702ACA8">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2D44337A">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08D678EF">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总氮</w:t>
                  </w:r>
                </w:p>
              </w:tc>
              <w:tc>
                <w:tcPr>
                  <w:tcW w:w="1317" w:type="pct"/>
                  <w:tcBorders>
                    <w:tl2br w:val="nil"/>
                    <w:tr2bl w:val="nil"/>
                  </w:tcBorders>
                  <w:vAlign w:val="center"/>
                </w:tcPr>
                <w:p w14:paraId="1BD24DAA">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62~68.5</w:t>
                  </w:r>
                </w:p>
              </w:tc>
              <w:tc>
                <w:tcPr>
                  <w:tcW w:w="913" w:type="pct"/>
                  <w:tcBorders>
                    <w:tl2br w:val="nil"/>
                    <w:tr2bl w:val="nil"/>
                  </w:tcBorders>
                  <w:vAlign w:val="center"/>
                </w:tcPr>
                <w:p w14:paraId="4DC52CDF">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70</w:t>
                  </w:r>
                </w:p>
              </w:tc>
              <w:tc>
                <w:tcPr>
                  <w:tcW w:w="419" w:type="pct"/>
                  <w:tcBorders>
                    <w:tl2br w:val="nil"/>
                    <w:tr2bl w:val="nil"/>
                  </w:tcBorders>
                  <w:vAlign w:val="center"/>
                </w:tcPr>
                <w:p w14:paraId="6BC57A0C">
                  <w:pPr>
                    <w:jc w:val="center"/>
                    <w:rPr>
                      <w:rFonts w:hint="eastAsia"/>
                      <w:bCs/>
                      <w:color w:val="auto"/>
                      <w:szCs w:val="21"/>
                      <w:highlight w:val="none"/>
                    </w:rPr>
                  </w:pPr>
                  <w:r>
                    <w:rPr>
                      <w:rFonts w:hint="eastAsia"/>
                      <w:bCs/>
                      <w:color w:val="auto"/>
                      <w:szCs w:val="21"/>
                      <w:highlight w:val="none"/>
                    </w:rPr>
                    <w:t>达标</w:t>
                  </w:r>
                </w:p>
              </w:tc>
            </w:tr>
            <w:tr w14:paraId="7F79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1DBE36B3">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2AC25995">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11FDC65A">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rPr>
                    <w:t>总磷</w:t>
                  </w:r>
                </w:p>
              </w:tc>
              <w:tc>
                <w:tcPr>
                  <w:tcW w:w="1317" w:type="pct"/>
                  <w:tcBorders>
                    <w:tl2br w:val="nil"/>
                    <w:tr2bl w:val="nil"/>
                  </w:tcBorders>
                  <w:vAlign w:val="center"/>
                </w:tcPr>
                <w:p w14:paraId="4A152165">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0.44</w:t>
                  </w:r>
                  <w:r>
                    <w:rPr>
                      <w:rFonts w:hint="eastAsia" w:ascii="Times New Roman" w:cs="Times New Roman"/>
                      <w:bCs/>
                      <w:color w:val="auto"/>
                      <w:sz w:val="21"/>
                      <w:szCs w:val="21"/>
                      <w:highlight w:val="none"/>
                    </w:rPr>
                    <w:t>~</w:t>
                  </w:r>
                  <w:r>
                    <w:rPr>
                      <w:rFonts w:hint="eastAsia" w:ascii="Times New Roman" w:cs="Times New Roman"/>
                      <w:bCs/>
                      <w:color w:val="auto"/>
                      <w:sz w:val="21"/>
                      <w:szCs w:val="21"/>
                      <w:highlight w:val="none"/>
                      <w:lang w:val="en-US" w:eastAsia="zh-CN"/>
                    </w:rPr>
                    <w:t>0.48</w:t>
                  </w:r>
                </w:p>
              </w:tc>
              <w:tc>
                <w:tcPr>
                  <w:tcW w:w="913" w:type="pct"/>
                  <w:tcBorders>
                    <w:tl2br w:val="nil"/>
                    <w:tr2bl w:val="nil"/>
                  </w:tcBorders>
                  <w:vAlign w:val="center"/>
                </w:tcPr>
                <w:p w14:paraId="3B762B38">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rPr>
                    <w:t>8</w:t>
                  </w:r>
                </w:p>
              </w:tc>
              <w:tc>
                <w:tcPr>
                  <w:tcW w:w="419" w:type="pct"/>
                  <w:tcBorders>
                    <w:tl2br w:val="nil"/>
                    <w:tr2bl w:val="nil"/>
                  </w:tcBorders>
                  <w:vAlign w:val="center"/>
                </w:tcPr>
                <w:p w14:paraId="2BFC137F">
                  <w:pPr>
                    <w:jc w:val="center"/>
                    <w:rPr>
                      <w:rFonts w:hint="eastAsia"/>
                      <w:bCs/>
                      <w:color w:val="auto"/>
                      <w:szCs w:val="21"/>
                      <w:highlight w:val="none"/>
                    </w:rPr>
                  </w:pPr>
                  <w:r>
                    <w:rPr>
                      <w:rFonts w:hint="eastAsia"/>
                      <w:bCs/>
                      <w:color w:val="auto"/>
                      <w:szCs w:val="21"/>
                      <w:highlight w:val="none"/>
                    </w:rPr>
                    <w:t>达标</w:t>
                  </w:r>
                </w:p>
              </w:tc>
            </w:tr>
            <w:tr w14:paraId="2B7B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78D16321">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53AA946F">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33C878AC">
                  <w:pPr>
                    <w:pStyle w:val="91"/>
                    <w:jc w:val="center"/>
                    <w:rPr>
                      <w:rFonts w:hint="eastAsia"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总有机碳</w:t>
                  </w:r>
                </w:p>
              </w:tc>
              <w:tc>
                <w:tcPr>
                  <w:tcW w:w="1317" w:type="pct"/>
                  <w:tcBorders>
                    <w:tl2br w:val="nil"/>
                    <w:tr2bl w:val="nil"/>
                  </w:tcBorders>
                  <w:vAlign w:val="center"/>
                </w:tcPr>
                <w:p w14:paraId="209CA50D">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26.0~47.9</w:t>
                  </w:r>
                </w:p>
              </w:tc>
              <w:tc>
                <w:tcPr>
                  <w:tcW w:w="913" w:type="pct"/>
                  <w:tcBorders>
                    <w:tl2br w:val="nil"/>
                    <w:tr2bl w:val="nil"/>
                  </w:tcBorders>
                  <w:vAlign w:val="center"/>
                </w:tcPr>
                <w:p w14:paraId="08E669E8">
                  <w:pPr>
                    <w:pStyle w:val="91"/>
                    <w:jc w:val="center"/>
                    <w:rPr>
                      <w:rFonts w:hint="eastAsia"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w:t>
                  </w:r>
                </w:p>
              </w:tc>
              <w:tc>
                <w:tcPr>
                  <w:tcW w:w="419" w:type="pct"/>
                  <w:tcBorders>
                    <w:tl2br w:val="nil"/>
                    <w:tr2bl w:val="nil"/>
                  </w:tcBorders>
                  <w:vAlign w:val="center"/>
                </w:tcPr>
                <w:p w14:paraId="4E6093D1">
                  <w:pPr>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r>
            <w:tr w14:paraId="51E0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7EC9F1C7">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7ECBC752">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38BC6ECA">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挥发酚</w:t>
                  </w:r>
                </w:p>
              </w:tc>
              <w:tc>
                <w:tcPr>
                  <w:tcW w:w="1317" w:type="pct"/>
                  <w:tcBorders>
                    <w:tl2br w:val="nil"/>
                    <w:tr2bl w:val="nil"/>
                  </w:tcBorders>
                  <w:vAlign w:val="center"/>
                </w:tcPr>
                <w:p w14:paraId="07F98D3D">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ND</w:t>
                  </w:r>
                </w:p>
              </w:tc>
              <w:tc>
                <w:tcPr>
                  <w:tcW w:w="913" w:type="pct"/>
                  <w:tcBorders>
                    <w:tl2br w:val="nil"/>
                    <w:tr2bl w:val="nil"/>
                  </w:tcBorders>
                  <w:vAlign w:val="center"/>
                </w:tcPr>
                <w:p w14:paraId="1DC4D837">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0.5</w:t>
                  </w:r>
                </w:p>
              </w:tc>
              <w:tc>
                <w:tcPr>
                  <w:tcW w:w="419" w:type="pct"/>
                  <w:tcBorders>
                    <w:tl2br w:val="nil"/>
                    <w:tr2bl w:val="nil"/>
                  </w:tcBorders>
                  <w:vAlign w:val="center"/>
                </w:tcPr>
                <w:p w14:paraId="4589DE07">
                  <w:pPr>
                    <w:jc w:val="center"/>
                    <w:rPr>
                      <w:rFonts w:hint="eastAsia"/>
                      <w:bCs/>
                      <w:color w:val="auto"/>
                      <w:szCs w:val="21"/>
                      <w:highlight w:val="none"/>
                    </w:rPr>
                  </w:pPr>
                  <w:r>
                    <w:rPr>
                      <w:rFonts w:hint="eastAsia"/>
                      <w:bCs/>
                      <w:color w:val="auto"/>
                      <w:szCs w:val="21"/>
                      <w:highlight w:val="none"/>
                    </w:rPr>
                    <w:t>达标</w:t>
                  </w:r>
                </w:p>
              </w:tc>
            </w:tr>
            <w:tr w14:paraId="2A2F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5270CAC6">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211B081A">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5D4B5605">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石油类</w:t>
                  </w:r>
                </w:p>
              </w:tc>
              <w:tc>
                <w:tcPr>
                  <w:tcW w:w="1317" w:type="pct"/>
                  <w:tcBorders>
                    <w:tl2br w:val="nil"/>
                    <w:tr2bl w:val="nil"/>
                  </w:tcBorders>
                  <w:vAlign w:val="center"/>
                </w:tcPr>
                <w:p w14:paraId="0514D91F">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ND</w:t>
                  </w:r>
                </w:p>
              </w:tc>
              <w:tc>
                <w:tcPr>
                  <w:tcW w:w="913" w:type="pct"/>
                  <w:tcBorders>
                    <w:tl2br w:val="nil"/>
                    <w:tr2bl w:val="nil"/>
                  </w:tcBorders>
                  <w:vAlign w:val="center"/>
                </w:tcPr>
                <w:p w14:paraId="0A19D02E">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20</w:t>
                  </w:r>
                </w:p>
              </w:tc>
              <w:tc>
                <w:tcPr>
                  <w:tcW w:w="419" w:type="pct"/>
                  <w:tcBorders>
                    <w:tl2br w:val="nil"/>
                    <w:tr2bl w:val="nil"/>
                  </w:tcBorders>
                  <w:vAlign w:val="center"/>
                </w:tcPr>
                <w:p w14:paraId="3177ACE1">
                  <w:pPr>
                    <w:jc w:val="center"/>
                    <w:rPr>
                      <w:rFonts w:hint="eastAsia"/>
                      <w:bCs/>
                      <w:color w:val="auto"/>
                      <w:szCs w:val="21"/>
                      <w:highlight w:val="none"/>
                    </w:rPr>
                  </w:pPr>
                  <w:r>
                    <w:rPr>
                      <w:rFonts w:hint="eastAsia"/>
                      <w:bCs/>
                      <w:color w:val="auto"/>
                      <w:szCs w:val="21"/>
                      <w:highlight w:val="none"/>
                    </w:rPr>
                    <w:t>达标</w:t>
                  </w:r>
                </w:p>
              </w:tc>
            </w:tr>
            <w:tr w14:paraId="44D9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1D333C91">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086B92A9">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4FAC48DD">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硫化物</w:t>
                  </w:r>
                </w:p>
              </w:tc>
              <w:tc>
                <w:tcPr>
                  <w:tcW w:w="1317" w:type="pct"/>
                  <w:tcBorders>
                    <w:tl2br w:val="nil"/>
                    <w:tr2bl w:val="nil"/>
                  </w:tcBorders>
                  <w:vAlign w:val="center"/>
                </w:tcPr>
                <w:p w14:paraId="3109BA4B">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ND</w:t>
                  </w:r>
                </w:p>
              </w:tc>
              <w:tc>
                <w:tcPr>
                  <w:tcW w:w="913" w:type="pct"/>
                  <w:tcBorders>
                    <w:tl2br w:val="nil"/>
                    <w:tr2bl w:val="nil"/>
                  </w:tcBorders>
                  <w:vAlign w:val="center"/>
                </w:tcPr>
                <w:p w14:paraId="423D4D7F">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1.0</w:t>
                  </w:r>
                </w:p>
              </w:tc>
              <w:tc>
                <w:tcPr>
                  <w:tcW w:w="419" w:type="pct"/>
                  <w:tcBorders>
                    <w:tl2br w:val="nil"/>
                    <w:tr2bl w:val="nil"/>
                  </w:tcBorders>
                  <w:vAlign w:val="center"/>
                </w:tcPr>
                <w:p w14:paraId="436A2F0E">
                  <w:pPr>
                    <w:jc w:val="center"/>
                    <w:rPr>
                      <w:rFonts w:hint="eastAsia"/>
                      <w:bCs/>
                      <w:color w:val="auto"/>
                      <w:szCs w:val="21"/>
                      <w:highlight w:val="none"/>
                    </w:rPr>
                  </w:pPr>
                  <w:r>
                    <w:rPr>
                      <w:rFonts w:hint="eastAsia"/>
                      <w:bCs/>
                      <w:color w:val="auto"/>
                      <w:szCs w:val="21"/>
                      <w:highlight w:val="none"/>
                    </w:rPr>
                    <w:t>达标</w:t>
                  </w:r>
                </w:p>
              </w:tc>
            </w:tr>
            <w:tr w14:paraId="5B43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1FA7298F">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1F59B2C6">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4451B57C">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氟化物</w:t>
                  </w:r>
                </w:p>
              </w:tc>
              <w:tc>
                <w:tcPr>
                  <w:tcW w:w="1317" w:type="pct"/>
                  <w:tcBorders>
                    <w:tl2br w:val="nil"/>
                    <w:tr2bl w:val="nil"/>
                  </w:tcBorders>
                  <w:vAlign w:val="center"/>
                </w:tcPr>
                <w:p w14:paraId="5D47EE0E">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0.46~0.54</w:t>
                  </w:r>
                </w:p>
              </w:tc>
              <w:tc>
                <w:tcPr>
                  <w:tcW w:w="913" w:type="pct"/>
                  <w:tcBorders>
                    <w:tl2br w:val="nil"/>
                    <w:tr2bl w:val="nil"/>
                  </w:tcBorders>
                  <w:vAlign w:val="center"/>
                </w:tcPr>
                <w:p w14:paraId="48326592">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20</w:t>
                  </w:r>
                </w:p>
              </w:tc>
              <w:tc>
                <w:tcPr>
                  <w:tcW w:w="419" w:type="pct"/>
                  <w:tcBorders>
                    <w:tl2br w:val="nil"/>
                    <w:tr2bl w:val="nil"/>
                  </w:tcBorders>
                  <w:vAlign w:val="center"/>
                </w:tcPr>
                <w:p w14:paraId="304DBE91">
                  <w:pPr>
                    <w:jc w:val="center"/>
                    <w:rPr>
                      <w:rFonts w:hint="eastAsia"/>
                      <w:bCs/>
                      <w:color w:val="auto"/>
                      <w:szCs w:val="21"/>
                      <w:highlight w:val="none"/>
                    </w:rPr>
                  </w:pPr>
                  <w:r>
                    <w:rPr>
                      <w:rFonts w:hint="eastAsia"/>
                      <w:bCs/>
                      <w:color w:val="auto"/>
                      <w:szCs w:val="21"/>
                      <w:highlight w:val="none"/>
                    </w:rPr>
                    <w:t>达标</w:t>
                  </w:r>
                </w:p>
              </w:tc>
            </w:tr>
            <w:tr w14:paraId="74CC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131BFDFB">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49BCAA10">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1CBAF976">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总钒</w:t>
                  </w:r>
                </w:p>
              </w:tc>
              <w:tc>
                <w:tcPr>
                  <w:tcW w:w="1317" w:type="pct"/>
                  <w:tcBorders>
                    <w:tl2br w:val="nil"/>
                    <w:tr2bl w:val="nil"/>
                  </w:tcBorders>
                  <w:vAlign w:val="center"/>
                </w:tcPr>
                <w:p w14:paraId="508779D5">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0.00230~0.00235</w:t>
                  </w:r>
                </w:p>
              </w:tc>
              <w:tc>
                <w:tcPr>
                  <w:tcW w:w="913" w:type="pct"/>
                  <w:tcBorders>
                    <w:tl2br w:val="nil"/>
                    <w:tr2bl w:val="nil"/>
                  </w:tcBorders>
                  <w:vAlign w:val="center"/>
                </w:tcPr>
                <w:p w14:paraId="130FB6E7">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1.0</w:t>
                  </w:r>
                </w:p>
              </w:tc>
              <w:tc>
                <w:tcPr>
                  <w:tcW w:w="419" w:type="pct"/>
                  <w:tcBorders>
                    <w:tl2br w:val="nil"/>
                    <w:tr2bl w:val="nil"/>
                  </w:tcBorders>
                  <w:vAlign w:val="center"/>
                </w:tcPr>
                <w:p w14:paraId="136A34C1">
                  <w:pPr>
                    <w:jc w:val="center"/>
                    <w:rPr>
                      <w:rFonts w:hint="eastAsia"/>
                      <w:bCs/>
                      <w:color w:val="auto"/>
                      <w:szCs w:val="21"/>
                      <w:highlight w:val="none"/>
                    </w:rPr>
                  </w:pPr>
                  <w:r>
                    <w:rPr>
                      <w:rFonts w:hint="eastAsia"/>
                      <w:bCs/>
                      <w:color w:val="auto"/>
                      <w:szCs w:val="21"/>
                      <w:highlight w:val="none"/>
                    </w:rPr>
                    <w:t>达标</w:t>
                  </w:r>
                </w:p>
              </w:tc>
            </w:tr>
            <w:tr w14:paraId="22A5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2C493B90">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38F9822A">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31CE60DE">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总铜</w:t>
                  </w:r>
                </w:p>
              </w:tc>
              <w:tc>
                <w:tcPr>
                  <w:tcW w:w="1317" w:type="pct"/>
                  <w:tcBorders>
                    <w:tl2br w:val="nil"/>
                    <w:tr2bl w:val="nil"/>
                  </w:tcBorders>
                  <w:vAlign w:val="center"/>
                </w:tcPr>
                <w:p w14:paraId="748F1944">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0.0220~0.0230</w:t>
                  </w:r>
                </w:p>
              </w:tc>
              <w:tc>
                <w:tcPr>
                  <w:tcW w:w="913" w:type="pct"/>
                  <w:tcBorders>
                    <w:tl2br w:val="nil"/>
                    <w:tr2bl w:val="nil"/>
                  </w:tcBorders>
                  <w:vAlign w:val="center"/>
                </w:tcPr>
                <w:p w14:paraId="13E49987">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0.5</w:t>
                  </w:r>
                </w:p>
              </w:tc>
              <w:tc>
                <w:tcPr>
                  <w:tcW w:w="419" w:type="pct"/>
                  <w:tcBorders>
                    <w:tl2br w:val="nil"/>
                    <w:tr2bl w:val="nil"/>
                  </w:tcBorders>
                  <w:vAlign w:val="center"/>
                </w:tcPr>
                <w:p w14:paraId="2869D5AC">
                  <w:pPr>
                    <w:jc w:val="center"/>
                    <w:rPr>
                      <w:rFonts w:hint="eastAsia"/>
                      <w:bCs/>
                      <w:color w:val="auto"/>
                      <w:szCs w:val="21"/>
                      <w:highlight w:val="none"/>
                    </w:rPr>
                  </w:pPr>
                  <w:r>
                    <w:rPr>
                      <w:rFonts w:hint="eastAsia"/>
                      <w:bCs/>
                      <w:color w:val="auto"/>
                      <w:szCs w:val="21"/>
                      <w:highlight w:val="none"/>
                    </w:rPr>
                    <w:t>达标</w:t>
                  </w:r>
                </w:p>
              </w:tc>
            </w:tr>
            <w:tr w14:paraId="4F69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7B51B053">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007324EC">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6E62A589">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总锌</w:t>
                  </w:r>
                </w:p>
              </w:tc>
              <w:tc>
                <w:tcPr>
                  <w:tcW w:w="1317" w:type="pct"/>
                  <w:tcBorders>
                    <w:tl2br w:val="nil"/>
                    <w:tr2bl w:val="nil"/>
                  </w:tcBorders>
                  <w:vAlign w:val="center"/>
                </w:tcPr>
                <w:p w14:paraId="62FACB8F">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0.273~0.285</w:t>
                  </w:r>
                </w:p>
              </w:tc>
              <w:tc>
                <w:tcPr>
                  <w:tcW w:w="913" w:type="pct"/>
                  <w:tcBorders>
                    <w:tl2br w:val="nil"/>
                    <w:tr2bl w:val="nil"/>
                  </w:tcBorders>
                  <w:vAlign w:val="center"/>
                </w:tcPr>
                <w:p w14:paraId="66C4847A">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2.0</w:t>
                  </w:r>
                </w:p>
              </w:tc>
              <w:tc>
                <w:tcPr>
                  <w:tcW w:w="419" w:type="pct"/>
                  <w:tcBorders>
                    <w:tl2br w:val="nil"/>
                    <w:tr2bl w:val="nil"/>
                  </w:tcBorders>
                  <w:vAlign w:val="center"/>
                </w:tcPr>
                <w:p w14:paraId="51A6E9E3">
                  <w:pPr>
                    <w:jc w:val="center"/>
                    <w:rPr>
                      <w:rFonts w:hint="eastAsia"/>
                      <w:bCs/>
                      <w:color w:val="auto"/>
                      <w:szCs w:val="21"/>
                      <w:highlight w:val="none"/>
                    </w:rPr>
                  </w:pPr>
                  <w:r>
                    <w:rPr>
                      <w:rFonts w:hint="eastAsia"/>
                      <w:bCs/>
                      <w:color w:val="auto"/>
                      <w:szCs w:val="21"/>
                      <w:highlight w:val="none"/>
                    </w:rPr>
                    <w:t>达标</w:t>
                  </w:r>
                </w:p>
              </w:tc>
            </w:tr>
            <w:tr w14:paraId="7662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578C1988">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2912B802">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433B85B1">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总氰化物</w:t>
                  </w:r>
                </w:p>
              </w:tc>
              <w:tc>
                <w:tcPr>
                  <w:tcW w:w="1317" w:type="pct"/>
                  <w:tcBorders>
                    <w:tl2br w:val="nil"/>
                    <w:tr2bl w:val="nil"/>
                  </w:tcBorders>
                  <w:vAlign w:val="center"/>
                </w:tcPr>
                <w:p w14:paraId="68FFD68D">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0.048~0.056</w:t>
                  </w:r>
                </w:p>
              </w:tc>
              <w:tc>
                <w:tcPr>
                  <w:tcW w:w="913" w:type="pct"/>
                  <w:tcBorders>
                    <w:tl2br w:val="nil"/>
                    <w:tr2bl w:val="nil"/>
                  </w:tcBorders>
                  <w:vAlign w:val="center"/>
                </w:tcPr>
                <w:p w14:paraId="57E9B4A2">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0.5</w:t>
                  </w:r>
                </w:p>
              </w:tc>
              <w:tc>
                <w:tcPr>
                  <w:tcW w:w="419" w:type="pct"/>
                  <w:tcBorders>
                    <w:tl2br w:val="nil"/>
                    <w:tr2bl w:val="nil"/>
                  </w:tcBorders>
                  <w:vAlign w:val="center"/>
                </w:tcPr>
                <w:p w14:paraId="2367C32C">
                  <w:pPr>
                    <w:jc w:val="center"/>
                    <w:rPr>
                      <w:rFonts w:hint="eastAsia"/>
                      <w:bCs/>
                      <w:color w:val="auto"/>
                      <w:szCs w:val="21"/>
                      <w:highlight w:val="none"/>
                    </w:rPr>
                  </w:pPr>
                  <w:r>
                    <w:rPr>
                      <w:rFonts w:hint="eastAsia"/>
                      <w:bCs/>
                      <w:color w:val="auto"/>
                      <w:szCs w:val="21"/>
                      <w:highlight w:val="none"/>
                    </w:rPr>
                    <w:t>达标</w:t>
                  </w:r>
                </w:p>
              </w:tc>
            </w:tr>
            <w:tr w14:paraId="563F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57" w:type="pct"/>
                  <w:vMerge w:val="continue"/>
                  <w:tcBorders>
                    <w:tl2br w:val="nil"/>
                    <w:tr2bl w:val="nil"/>
                  </w:tcBorders>
                  <w:vAlign w:val="center"/>
                </w:tcPr>
                <w:p w14:paraId="6AB06403">
                  <w:pPr>
                    <w:pStyle w:val="91"/>
                    <w:jc w:val="center"/>
                    <w:rPr>
                      <w:rFonts w:hint="eastAsia" w:ascii="Times New Roman" w:cs="Times New Roman"/>
                      <w:bCs/>
                      <w:color w:val="auto"/>
                      <w:sz w:val="21"/>
                      <w:szCs w:val="21"/>
                      <w:highlight w:val="none"/>
                    </w:rPr>
                  </w:pPr>
                </w:p>
              </w:tc>
              <w:tc>
                <w:tcPr>
                  <w:tcW w:w="730" w:type="pct"/>
                  <w:vMerge w:val="continue"/>
                  <w:tcBorders>
                    <w:tl2br w:val="nil"/>
                    <w:tr2bl w:val="nil"/>
                  </w:tcBorders>
                  <w:vAlign w:val="center"/>
                </w:tcPr>
                <w:p w14:paraId="2C48F405">
                  <w:pPr>
                    <w:pStyle w:val="91"/>
                    <w:jc w:val="center"/>
                    <w:rPr>
                      <w:rFonts w:hint="eastAsia" w:ascii="Times New Roman" w:cs="Times New Roman"/>
                      <w:bCs/>
                      <w:color w:val="auto"/>
                      <w:sz w:val="21"/>
                      <w:szCs w:val="21"/>
                      <w:highlight w:val="none"/>
                    </w:rPr>
                  </w:pPr>
                </w:p>
              </w:tc>
              <w:tc>
                <w:tcPr>
                  <w:tcW w:w="961" w:type="pct"/>
                  <w:tcBorders>
                    <w:tl2br w:val="nil"/>
                    <w:tr2bl w:val="nil"/>
                  </w:tcBorders>
                  <w:vAlign w:val="center"/>
                </w:tcPr>
                <w:p w14:paraId="3BBAA2BA">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可吸附有机卤化物</w:t>
                  </w:r>
                </w:p>
              </w:tc>
              <w:tc>
                <w:tcPr>
                  <w:tcW w:w="1317" w:type="pct"/>
                  <w:tcBorders>
                    <w:tl2br w:val="nil"/>
                    <w:tr2bl w:val="nil"/>
                  </w:tcBorders>
                  <w:vAlign w:val="center"/>
                </w:tcPr>
                <w:p w14:paraId="665ECF70">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0.111~0.572</w:t>
                  </w:r>
                </w:p>
              </w:tc>
              <w:tc>
                <w:tcPr>
                  <w:tcW w:w="913" w:type="pct"/>
                  <w:tcBorders>
                    <w:tl2br w:val="nil"/>
                    <w:tr2bl w:val="nil"/>
                  </w:tcBorders>
                  <w:vAlign w:val="center"/>
                </w:tcPr>
                <w:p w14:paraId="00A3DB14">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5.0</w:t>
                  </w:r>
                </w:p>
              </w:tc>
              <w:tc>
                <w:tcPr>
                  <w:tcW w:w="419" w:type="pct"/>
                  <w:tcBorders>
                    <w:tl2br w:val="nil"/>
                    <w:tr2bl w:val="nil"/>
                  </w:tcBorders>
                  <w:vAlign w:val="center"/>
                </w:tcPr>
                <w:p w14:paraId="28F45B88">
                  <w:pPr>
                    <w:jc w:val="center"/>
                    <w:rPr>
                      <w:rFonts w:hint="eastAsia"/>
                      <w:bCs/>
                      <w:color w:val="auto"/>
                      <w:szCs w:val="21"/>
                      <w:highlight w:val="none"/>
                    </w:rPr>
                  </w:pPr>
                  <w:r>
                    <w:rPr>
                      <w:rFonts w:hint="eastAsia"/>
                      <w:bCs/>
                      <w:color w:val="auto"/>
                      <w:szCs w:val="21"/>
                      <w:highlight w:val="none"/>
                    </w:rPr>
                    <w:t>达标</w:t>
                  </w:r>
                </w:p>
              </w:tc>
            </w:tr>
          </w:tbl>
          <w:p w14:paraId="728C9A8B">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监测结果表明：现有工程污水处理站废水总排口所排废水均符合《污水综合排放标准》（GB8978-1996）三级标准限值的要求。</w:t>
            </w:r>
          </w:p>
          <w:p w14:paraId="48731A47">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厂区</w:t>
            </w:r>
            <w:r>
              <w:rPr>
                <w:rFonts w:hint="eastAsia"/>
                <w:color w:val="auto"/>
                <w:sz w:val="24"/>
                <w:highlight w:val="none"/>
                <w:lang w:val="en-US" w:eastAsia="zh-CN"/>
              </w:rPr>
              <w:t>现有工程</w:t>
            </w:r>
            <w:r>
              <w:rPr>
                <w:rFonts w:hint="eastAsia"/>
                <w:color w:val="auto"/>
                <w:sz w:val="24"/>
                <w:highlight w:val="none"/>
              </w:rPr>
              <w:t>废水治理措施符合环评及批复要求，符合现行环保措施要求，无需整改。</w:t>
            </w:r>
          </w:p>
          <w:p w14:paraId="2330BA6D">
            <w:pPr>
              <w:numPr>
                <w:ilvl w:val="0"/>
                <w:numId w:val="24"/>
              </w:numPr>
              <w:spacing w:line="360" w:lineRule="auto"/>
              <w:ind w:firstLine="470" w:firstLineChars="196"/>
              <w:rPr>
                <w:color w:val="auto"/>
                <w:sz w:val="24"/>
                <w:highlight w:val="none"/>
              </w:rPr>
            </w:pPr>
            <w:r>
              <w:rPr>
                <w:rFonts w:hint="eastAsia"/>
                <w:color w:val="auto"/>
                <w:sz w:val="24"/>
                <w:highlight w:val="none"/>
                <w:lang w:val="en-US" w:eastAsia="zh-CN"/>
              </w:rPr>
              <w:t>现有工程</w:t>
            </w:r>
            <w:r>
              <w:rPr>
                <w:rFonts w:hint="eastAsia"/>
                <w:color w:val="auto"/>
                <w:sz w:val="24"/>
                <w:highlight w:val="none"/>
              </w:rPr>
              <w:t>废气的产生、治理及排放情况</w:t>
            </w:r>
          </w:p>
          <w:p w14:paraId="20AB4D96">
            <w:pPr>
              <w:spacing w:line="360" w:lineRule="auto"/>
              <w:ind w:firstLine="480" w:firstLineChars="200"/>
              <w:rPr>
                <w:color w:val="auto"/>
                <w:sz w:val="24"/>
                <w:highlight w:val="none"/>
              </w:rPr>
            </w:pPr>
            <w:r>
              <w:rPr>
                <w:rFonts w:hint="eastAsia"/>
                <w:color w:val="auto"/>
                <w:sz w:val="24"/>
                <w:highlight w:val="none"/>
              </w:rPr>
              <w:t>①废气产生及治理措施</w:t>
            </w:r>
          </w:p>
          <w:p w14:paraId="75D2A3C8">
            <w:pPr>
              <w:spacing w:line="360" w:lineRule="auto"/>
              <w:ind w:firstLine="480" w:firstLineChars="200"/>
              <w:rPr>
                <w:color w:val="auto"/>
                <w:sz w:val="24"/>
                <w:highlight w:val="none"/>
              </w:rPr>
            </w:pPr>
            <w:r>
              <w:rPr>
                <w:color w:val="auto"/>
                <w:sz w:val="24"/>
                <w:highlight w:val="none"/>
              </w:rPr>
              <w:t>根据现场勘查，</w:t>
            </w:r>
            <w:r>
              <w:rPr>
                <w:rFonts w:hint="eastAsia"/>
                <w:color w:val="auto"/>
                <w:sz w:val="24"/>
                <w:highlight w:val="none"/>
                <w:lang w:val="en-US" w:eastAsia="zh-CN"/>
              </w:rPr>
              <w:t>现有工程</w:t>
            </w:r>
            <w:r>
              <w:rPr>
                <w:rFonts w:hint="eastAsia"/>
                <w:color w:val="auto"/>
                <w:sz w:val="24"/>
                <w:highlight w:val="none"/>
              </w:rPr>
              <w:t>的废气产生及治理措施如下：</w:t>
            </w:r>
          </w:p>
          <w:p w14:paraId="07F70C32">
            <w:pPr>
              <w:pStyle w:val="42"/>
              <w:rPr>
                <w:color w:val="auto"/>
                <w:highlight w:val="none"/>
              </w:rPr>
            </w:pPr>
            <w:r>
              <w:rPr>
                <w:rFonts w:hint="eastAsia"/>
                <w:color w:val="auto"/>
                <w:highlight w:val="none"/>
                <w:lang w:val="en-US" w:eastAsia="zh-CN"/>
              </w:rPr>
              <w:t>现有工程</w:t>
            </w:r>
            <w:r>
              <w:rPr>
                <w:color w:val="auto"/>
                <w:highlight w:val="none"/>
              </w:rPr>
              <w:t>废气治理措施一览表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4"/>
              <w:gridCol w:w="919"/>
              <w:gridCol w:w="6625"/>
            </w:tblGrid>
            <w:tr w14:paraId="5BC5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40" w:type="pct"/>
                  <w:tcBorders>
                    <w:tl2br w:val="nil"/>
                    <w:tr2bl w:val="nil"/>
                  </w:tcBorders>
                  <w:vAlign w:val="center"/>
                </w:tcPr>
                <w:p w14:paraId="6F18C558">
                  <w:pPr>
                    <w:jc w:val="center"/>
                    <w:rPr>
                      <w:b/>
                      <w:bCs/>
                      <w:color w:val="auto"/>
                      <w:szCs w:val="21"/>
                      <w:highlight w:val="none"/>
                    </w:rPr>
                  </w:pPr>
                  <w:r>
                    <w:rPr>
                      <w:rFonts w:hint="eastAsia"/>
                      <w:b/>
                      <w:bCs/>
                      <w:color w:val="auto"/>
                      <w:szCs w:val="21"/>
                      <w:highlight w:val="none"/>
                    </w:rPr>
                    <w:t>位置</w:t>
                  </w:r>
                </w:p>
              </w:tc>
              <w:tc>
                <w:tcPr>
                  <w:tcW w:w="543" w:type="pct"/>
                  <w:tcBorders>
                    <w:tl2br w:val="nil"/>
                    <w:tr2bl w:val="nil"/>
                  </w:tcBorders>
                  <w:vAlign w:val="center"/>
                </w:tcPr>
                <w:p w14:paraId="70A14821">
                  <w:pPr>
                    <w:jc w:val="center"/>
                    <w:rPr>
                      <w:b/>
                      <w:bCs/>
                      <w:color w:val="auto"/>
                      <w:szCs w:val="21"/>
                      <w:highlight w:val="none"/>
                    </w:rPr>
                  </w:pPr>
                  <w:r>
                    <w:rPr>
                      <w:b/>
                      <w:bCs/>
                      <w:color w:val="auto"/>
                      <w:szCs w:val="21"/>
                      <w:highlight w:val="none"/>
                    </w:rPr>
                    <w:t>种类</w:t>
                  </w:r>
                </w:p>
              </w:tc>
              <w:tc>
                <w:tcPr>
                  <w:tcW w:w="3915" w:type="pct"/>
                  <w:tcBorders>
                    <w:tl2br w:val="nil"/>
                    <w:tr2bl w:val="nil"/>
                  </w:tcBorders>
                  <w:vAlign w:val="center"/>
                </w:tcPr>
                <w:p w14:paraId="554C3980">
                  <w:pPr>
                    <w:jc w:val="center"/>
                    <w:rPr>
                      <w:b/>
                      <w:bCs/>
                      <w:color w:val="auto"/>
                      <w:szCs w:val="21"/>
                      <w:highlight w:val="none"/>
                    </w:rPr>
                  </w:pPr>
                  <w:r>
                    <w:rPr>
                      <w:b/>
                      <w:bCs/>
                      <w:color w:val="auto"/>
                      <w:szCs w:val="21"/>
                      <w:highlight w:val="none"/>
                    </w:rPr>
                    <w:t>治理措施</w:t>
                  </w:r>
                </w:p>
              </w:tc>
            </w:tr>
            <w:tr w14:paraId="2483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restart"/>
                  <w:tcBorders>
                    <w:tl2br w:val="nil"/>
                    <w:tr2bl w:val="nil"/>
                  </w:tcBorders>
                  <w:vAlign w:val="center"/>
                </w:tcPr>
                <w:p w14:paraId="7889A7A9">
                  <w:pPr>
                    <w:jc w:val="center"/>
                    <w:rPr>
                      <w:rFonts w:hint="default"/>
                      <w:color w:val="auto"/>
                      <w:szCs w:val="21"/>
                      <w:highlight w:val="none"/>
                      <w:lang w:val="en-US" w:eastAsia="zh-CN"/>
                    </w:rPr>
                  </w:pPr>
                  <w:r>
                    <w:rPr>
                      <w:rFonts w:hint="eastAsia"/>
                      <w:color w:val="auto"/>
                      <w:szCs w:val="21"/>
                      <w:highlight w:val="none"/>
                      <w:lang w:val="en-US" w:eastAsia="zh-CN"/>
                    </w:rPr>
                    <w:t>生产装置</w:t>
                  </w:r>
                </w:p>
              </w:tc>
              <w:tc>
                <w:tcPr>
                  <w:tcW w:w="543" w:type="pct"/>
                  <w:tcBorders>
                    <w:tl2br w:val="nil"/>
                    <w:tr2bl w:val="nil"/>
                  </w:tcBorders>
                  <w:vAlign w:val="center"/>
                </w:tcPr>
                <w:p w14:paraId="6DF66B90">
                  <w:pPr>
                    <w:pStyle w:val="120"/>
                    <w:spacing w:before="30" w:line="228" w:lineRule="auto"/>
                    <w:ind w:left="108"/>
                    <w:rPr>
                      <w:rFonts w:hint="default" w:ascii="Times New Roman" w:hAnsi="Times New Roman" w:eastAsia="宋体" w:cs="Times New Roman"/>
                      <w:color w:val="auto"/>
                      <w:spacing w:val="-8"/>
                      <w:kern w:val="2"/>
                      <w:sz w:val="21"/>
                      <w:szCs w:val="24"/>
                      <w:highlight w:val="none"/>
                      <w:lang w:val="en-US" w:eastAsia="zh-CN" w:bidi="ar-SA"/>
                    </w:rPr>
                  </w:pPr>
                  <w:r>
                    <w:rPr>
                      <w:rFonts w:hint="eastAsia" w:ascii="Times New Roman" w:hAnsi="Times New Roman" w:eastAsia="宋体" w:cs="Times New Roman"/>
                      <w:color w:val="auto"/>
                      <w:spacing w:val="-8"/>
                      <w:kern w:val="2"/>
                      <w:sz w:val="21"/>
                      <w:szCs w:val="24"/>
                      <w:highlight w:val="none"/>
                      <w:lang w:val="en-US" w:eastAsia="zh-CN" w:bidi="ar-SA"/>
                    </w:rPr>
                    <w:t>装置放散气</w:t>
                  </w:r>
                </w:p>
              </w:tc>
              <w:tc>
                <w:tcPr>
                  <w:tcW w:w="3915" w:type="pct"/>
                  <w:tcBorders>
                    <w:tl2br w:val="nil"/>
                    <w:tr2bl w:val="nil"/>
                  </w:tcBorders>
                  <w:vAlign w:val="center"/>
                </w:tcPr>
                <w:p w14:paraId="5596293C">
                  <w:pPr>
                    <w:jc w:val="center"/>
                    <w:rPr>
                      <w:rFonts w:hint="eastAsia"/>
                      <w:color w:val="auto"/>
                      <w:spacing w:val="-8"/>
                      <w:highlight w:val="none"/>
                      <w:lang w:val="en-US" w:eastAsia="zh-CN"/>
                    </w:rPr>
                  </w:pPr>
                  <w:r>
                    <w:rPr>
                      <w:rFonts w:hint="eastAsia"/>
                      <w:color w:val="auto"/>
                      <w:spacing w:val="-8"/>
                      <w:highlight w:val="none"/>
                      <w:lang w:val="en-US" w:eastAsia="zh-CN"/>
                    </w:rPr>
                    <w:t>放散气中不凝气含有少量的水和氨（胺）气，由</w:t>
                  </w:r>
                  <w:r>
                    <w:rPr>
                      <w:rFonts w:hint="eastAsia" w:eastAsia="宋体"/>
                      <w:color w:val="auto"/>
                      <w:highlight w:val="none"/>
                      <w:lang w:val="en-US" w:eastAsia="zh-CN"/>
                    </w:rPr>
                    <w:t>放散气管线导入洗氨塔底部，</w:t>
                  </w:r>
                  <w:r>
                    <w:rPr>
                      <w:rFonts w:hint="eastAsia"/>
                      <w:color w:val="auto"/>
                      <w:spacing w:val="-8"/>
                      <w:highlight w:val="none"/>
                      <w:lang w:val="en-US" w:eastAsia="zh-CN"/>
                    </w:rPr>
                    <w:t>废气自下而上经洗氨塔顶部喷淋出的吸收剂进行吸收，洗去不凝气中的氨（胺）气后，再进入水洗塔。</w:t>
                  </w:r>
                </w:p>
              </w:tc>
            </w:tr>
            <w:tr w14:paraId="6C27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540" w:type="pct"/>
                  <w:vMerge w:val="continue"/>
                  <w:tcBorders>
                    <w:tl2br w:val="nil"/>
                    <w:tr2bl w:val="nil"/>
                  </w:tcBorders>
                  <w:vAlign w:val="center"/>
                </w:tcPr>
                <w:p w14:paraId="2F5E8925">
                  <w:pPr>
                    <w:jc w:val="center"/>
                    <w:rPr>
                      <w:rFonts w:hint="default"/>
                      <w:color w:val="auto"/>
                      <w:szCs w:val="21"/>
                      <w:highlight w:val="none"/>
                      <w:lang w:val="en-US" w:eastAsia="zh-CN"/>
                    </w:rPr>
                  </w:pPr>
                </w:p>
              </w:tc>
              <w:tc>
                <w:tcPr>
                  <w:tcW w:w="543" w:type="pct"/>
                  <w:tcBorders>
                    <w:tl2br w:val="nil"/>
                    <w:tr2bl w:val="nil"/>
                  </w:tcBorders>
                  <w:vAlign w:val="center"/>
                </w:tcPr>
                <w:p w14:paraId="7E94AF66">
                  <w:pPr>
                    <w:pStyle w:val="120"/>
                    <w:spacing w:before="26" w:line="227" w:lineRule="auto"/>
                    <w:ind w:left="109"/>
                    <w:rPr>
                      <w:rFonts w:hint="default" w:ascii="Times New Roman" w:hAnsi="Times New Roman" w:eastAsia="宋体" w:cs="Times New Roman"/>
                      <w:color w:val="auto"/>
                      <w:spacing w:val="-8"/>
                      <w:kern w:val="2"/>
                      <w:sz w:val="21"/>
                      <w:szCs w:val="24"/>
                      <w:highlight w:val="none"/>
                      <w:lang w:val="en-US" w:eastAsia="zh-CN" w:bidi="ar-SA"/>
                    </w:rPr>
                  </w:pPr>
                  <w:r>
                    <w:rPr>
                      <w:rFonts w:hint="eastAsia" w:ascii="Times New Roman" w:hAnsi="Times New Roman" w:eastAsia="宋体" w:cs="Times New Roman"/>
                      <w:color w:val="auto"/>
                      <w:spacing w:val="-8"/>
                      <w:kern w:val="2"/>
                      <w:sz w:val="21"/>
                      <w:szCs w:val="24"/>
                      <w:highlight w:val="none"/>
                      <w:lang w:val="en-US" w:eastAsia="zh-CN" w:bidi="ar-SA"/>
                    </w:rPr>
                    <w:t>工艺废气</w:t>
                  </w:r>
                </w:p>
              </w:tc>
              <w:tc>
                <w:tcPr>
                  <w:tcW w:w="3915" w:type="pct"/>
                  <w:tcBorders>
                    <w:tl2br w:val="nil"/>
                    <w:tr2bl w:val="nil"/>
                  </w:tcBorders>
                  <w:vAlign w:val="center"/>
                </w:tcPr>
                <w:p w14:paraId="5CCF4658">
                  <w:pPr>
                    <w:jc w:val="center"/>
                    <w:rPr>
                      <w:rFonts w:hint="eastAsia"/>
                      <w:color w:val="auto"/>
                      <w:spacing w:val="-8"/>
                      <w:highlight w:val="none"/>
                      <w:lang w:val="en-US" w:eastAsia="zh-CN"/>
                    </w:rPr>
                  </w:pPr>
                  <w:r>
                    <w:rPr>
                      <w:rFonts w:hint="eastAsia"/>
                      <w:color w:val="auto"/>
                      <w:spacing w:val="-8"/>
                      <w:highlight w:val="none"/>
                      <w:lang w:val="en-US" w:eastAsia="zh-CN"/>
                    </w:rPr>
                    <w:t>包括</w:t>
                  </w:r>
                  <w:r>
                    <w:rPr>
                      <w:rFonts w:hint="eastAsia" w:ascii="Times New Roman" w:hAnsi="Times New Roman" w:eastAsia="宋体" w:cs="Times New Roman"/>
                      <w:color w:val="auto"/>
                      <w:spacing w:val="-8"/>
                      <w:kern w:val="2"/>
                      <w:sz w:val="21"/>
                      <w:szCs w:val="24"/>
                      <w:highlight w:val="none"/>
                      <w:lang w:val="en-US" w:eastAsia="zh-CN" w:bidi="ar-SA"/>
                    </w:rPr>
                    <w:t>蒸氨脱水工序洗氨塔尾气</w:t>
                  </w:r>
                  <w:r>
                    <w:rPr>
                      <w:rFonts w:hint="eastAsia" w:eastAsia="宋体" w:cs="Times New Roman"/>
                      <w:color w:val="auto"/>
                      <w:spacing w:val="-8"/>
                      <w:kern w:val="2"/>
                      <w:sz w:val="21"/>
                      <w:szCs w:val="24"/>
                      <w:highlight w:val="none"/>
                      <w:lang w:val="en-US" w:eastAsia="zh-CN" w:bidi="ar-SA"/>
                    </w:rPr>
                    <w:t>和</w:t>
                  </w:r>
                  <w:r>
                    <w:rPr>
                      <w:rFonts w:hint="eastAsia" w:ascii="Times New Roman" w:hAnsi="Times New Roman" w:eastAsia="宋体" w:cs="Times New Roman"/>
                      <w:color w:val="auto"/>
                      <w:spacing w:val="-8"/>
                      <w:kern w:val="2"/>
                      <w:sz w:val="21"/>
                      <w:szCs w:val="24"/>
                      <w:highlight w:val="none"/>
                      <w:lang w:val="en-US" w:eastAsia="zh-CN" w:bidi="ar-SA"/>
                    </w:rPr>
                    <w:t>产品精制工序水洗塔尾气</w:t>
                  </w:r>
                  <w:r>
                    <w:rPr>
                      <w:rFonts w:hint="eastAsia" w:eastAsia="宋体" w:cs="Times New Roman"/>
                      <w:color w:val="auto"/>
                      <w:spacing w:val="-8"/>
                      <w:kern w:val="2"/>
                      <w:sz w:val="21"/>
                      <w:szCs w:val="24"/>
                      <w:highlight w:val="none"/>
                      <w:lang w:val="en-US" w:eastAsia="zh-CN" w:bidi="ar-SA"/>
                    </w:rPr>
                    <w:t>，</w:t>
                  </w:r>
                  <w:r>
                    <w:rPr>
                      <w:rFonts w:hint="eastAsia"/>
                      <w:color w:val="auto"/>
                      <w:spacing w:val="-8"/>
                      <w:highlight w:val="none"/>
                      <w:lang w:val="en-US" w:eastAsia="zh-CN"/>
                    </w:rPr>
                    <w:t>洗氨塔尾气、真空机组不凝气自流进入水洗塔底部，废气自下而上经水洗塔（四级水洗）顶部喷淋水吸收，洗去不凝气中的VOCs和微量氨气，再经28m排气筒DA001排放。</w:t>
                  </w:r>
                </w:p>
              </w:tc>
            </w:tr>
            <w:tr w14:paraId="6FC3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0" w:type="pct"/>
                  <w:tcBorders>
                    <w:tl2br w:val="nil"/>
                    <w:tr2bl w:val="nil"/>
                  </w:tcBorders>
                  <w:vAlign w:val="center"/>
                </w:tcPr>
                <w:p w14:paraId="42971E91">
                  <w:pPr>
                    <w:jc w:val="center"/>
                    <w:rPr>
                      <w:color w:val="auto"/>
                      <w:szCs w:val="21"/>
                      <w:highlight w:val="none"/>
                    </w:rPr>
                  </w:pPr>
                  <w:r>
                    <w:rPr>
                      <w:rFonts w:hint="eastAsia"/>
                      <w:color w:val="auto"/>
                      <w:szCs w:val="21"/>
                      <w:highlight w:val="none"/>
                    </w:rPr>
                    <w:t>锅炉房</w:t>
                  </w:r>
                </w:p>
              </w:tc>
              <w:tc>
                <w:tcPr>
                  <w:tcW w:w="543" w:type="pct"/>
                  <w:tcBorders>
                    <w:tl2br w:val="nil"/>
                    <w:tr2bl w:val="nil"/>
                  </w:tcBorders>
                  <w:vAlign w:val="center"/>
                </w:tcPr>
                <w:p w14:paraId="26F85F56">
                  <w:pPr>
                    <w:jc w:val="center"/>
                    <w:rPr>
                      <w:color w:val="auto"/>
                      <w:szCs w:val="21"/>
                      <w:highlight w:val="none"/>
                    </w:rPr>
                  </w:pPr>
                  <w:r>
                    <w:rPr>
                      <w:rFonts w:hint="eastAsia"/>
                      <w:color w:val="auto"/>
                      <w:szCs w:val="21"/>
                      <w:highlight w:val="none"/>
                    </w:rPr>
                    <w:t>锅炉废气</w:t>
                  </w:r>
                </w:p>
              </w:tc>
              <w:tc>
                <w:tcPr>
                  <w:tcW w:w="3915" w:type="pct"/>
                  <w:tcBorders>
                    <w:tl2br w:val="nil"/>
                    <w:tr2bl w:val="nil"/>
                  </w:tcBorders>
                  <w:vAlign w:val="center"/>
                </w:tcPr>
                <w:p w14:paraId="5C134935">
                  <w:pPr>
                    <w:jc w:val="center"/>
                    <w:rPr>
                      <w:color w:val="auto"/>
                      <w:szCs w:val="21"/>
                      <w:highlight w:val="none"/>
                    </w:rPr>
                  </w:pPr>
                  <w:r>
                    <w:rPr>
                      <w:rFonts w:hint="eastAsia"/>
                      <w:color w:val="auto"/>
                      <w:spacing w:val="-8"/>
                      <w:highlight w:val="none"/>
                      <w:lang w:val="en-US" w:eastAsia="zh-CN"/>
                    </w:rPr>
                    <w:t>采用天然气清洁燃料，并采用</w:t>
                  </w:r>
                  <w:r>
                    <w:rPr>
                      <w:color w:val="auto"/>
                      <w:spacing w:val="-8"/>
                      <w:highlight w:val="none"/>
                    </w:rPr>
                    <w:t>“低氮燃烧器</w:t>
                  </w:r>
                  <w:r>
                    <w:rPr>
                      <w:rFonts w:hint="eastAsia" w:ascii="黑体" w:hAnsi="黑体" w:eastAsia="黑体"/>
                      <w:color w:val="auto"/>
                      <w:highlight w:val="none"/>
                    </w:rPr>
                    <w:t>+</w:t>
                  </w:r>
                  <w:r>
                    <w:rPr>
                      <w:color w:val="auto"/>
                      <w:spacing w:val="-12"/>
                      <w:highlight w:val="none"/>
                    </w:rPr>
                    <w:t>烟气再循环技术”</w:t>
                  </w:r>
                  <w:r>
                    <w:rPr>
                      <w:rFonts w:hint="eastAsia"/>
                      <w:color w:val="auto"/>
                      <w:spacing w:val="-12"/>
                      <w:highlight w:val="none"/>
                      <w:lang w:eastAsia="zh-CN"/>
                    </w:rPr>
                    <w:t>，</w:t>
                  </w:r>
                  <w:r>
                    <w:rPr>
                      <w:color w:val="auto"/>
                      <w:spacing w:val="-1"/>
                      <w:highlight w:val="none"/>
                    </w:rPr>
                    <w:t>燃烧后废气</w:t>
                  </w:r>
                  <w:r>
                    <w:rPr>
                      <w:color w:val="auto"/>
                      <w:spacing w:val="-21"/>
                      <w:highlight w:val="none"/>
                    </w:rPr>
                    <w:t>通过</w:t>
                  </w:r>
                  <w:r>
                    <w:rPr>
                      <w:rFonts w:ascii="Times New Roman" w:hAnsi="Times New Roman" w:eastAsia="Times New Roman"/>
                      <w:color w:val="auto"/>
                      <w:highlight w:val="none"/>
                    </w:rPr>
                    <w:t>15m</w:t>
                  </w:r>
                  <w:r>
                    <w:rPr>
                      <w:color w:val="auto"/>
                      <w:spacing w:val="-3"/>
                      <w:highlight w:val="none"/>
                    </w:rPr>
                    <w:t>排气筒</w:t>
                  </w:r>
                  <w:r>
                    <w:rPr>
                      <w:rFonts w:hint="eastAsia"/>
                      <w:color w:val="auto"/>
                      <w:spacing w:val="-3"/>
                      <w:highlight w:val="none"/>
                      <w:lang w:val="en-US" w:eastAsia="zh-CN"/>
                    </w:rPr>
                    <w:t>DA002</w:t>
                  </w:r>
                  <w:r>
                    <w:rPr>
                      <w:color w:val="auto"/>
                      <w:spacing w:val="-3"/>
                      <w:highlight w:val="none"/>
                    </w:rPr>
                    <w:t>高空达标排放。</w:t>
                  </w:r>
                </w:p>
              </w:tc>
            </w:tr>
            <w:tr w14:paraId="2FE4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0" w:type="pct"/>
                  <w:tcBorders>
                    <w:tl2br w:val="nil"/>
                    <w:tr2bl w:val="nil"/>
                  </w:tcBorders>
                  <w:vAlign w:val="center"/>
                </w:tcPr>
                <w:p w14:paraId="567CAEF8">
                  <w:pPr>
                    <w:jc w:val="center"/>
                    <w:rPr>
                      <w:color w:val="auto"/>
                      <w:szCs w:val="21"/>
                      <w:highlight w:val="none"/>
                    </w:rPr>
                  </w:pPr>
                  <w:r>
                    <w:rPr>
                      <w:rFonts w:hint="eastAsia"/>
                      <w:color w:val="auto"/>
                      <w:szCs w:val="21"/>
                      <w:highlight w:val="none"/>
                    </w:rPr>
                    <w:t>污水处理站</w:t>
                  </w:r>
                </w:p>
              </w:tc>
              <w:tc>
                <w:tcPr>
                  <w:tcW w:w="543" w:type="pct"/>
                  <w:tcBorders>
                    <w:tl2br w:val="nil"/>
                    <w:tr2bl w:val="nil"/>
                  </w:tcBorders>
                  <w:vAlign w:val="center"/>
                </w:tcPr>
                <w:p w14:paraId="56CD26E1">
                  <w:pPr>
                    <w:jc w:val="center"/>
                    <w:rPr>
                      <w:color w:val="auto"/>
                      <w:szCs w:val="21"/>
                      <w:highlight w:val="none"/>
                    </w:rPr>
                  </w:pPr>
                  <w:r>
                    <w:rPr>
                      <w:color w:val="auto"/>
                      <w:szCs w:val="21"/>
                      <w:highlight w:val="none"/>
                    </w:rPr>
                    <w:t>恶臭</w:t>
                  </w:r>
                </w:p>
              </w:tc>
              <w:tc>
                <w:tcPr>
                  <w:tcW w:w="3915" w:type="pct"/>
                  <w:tcBorders>
                    <w:tl2br w:val="nil"/>
                    <w:tr2bl w:val="nil"/>
                  </w:tcBorders>
                  <w:vAlign w:val="center"/>
                </w:tcPr>
                <w:p w14:paraId="2D163140">
                  <w:pPr>
                    <w:jc w:val="center"/>
                    <w:rPr>
                      <w:rFonts w:hint="eastAsia"/>
                      <w:color w:val="auto"/>
                      <w:szCs w:val="21"/>
                      <w:highlight w:val="none"/>
                      <w:lang w:eastAsia="zh-CN"/>
                    </w:rPr>
                  </w:pPr>
                  <w:r>
                    <w:rPr>
                      <w:color w:val="auto"/>
                      <w:szCs w:val="21"/>
                      <w:highlight w:val="none"/>
                    </w:rPr>
                    <w:t>钢筋混凝土池盖封顶，池盖上预留臭气收集口，通过</w:t>
                  </w:r>
                  <w:r>
                    <w:rPr>
                      <w:rFonts w:hint="eastAsia" w:ascii="宋体" w:hAnsi="宋体" w:eastAsia="宋体" w:cs="宋体"/>
                      <w:color w:val="auto"/>
                      <w:szCs w:val="21"/>
                      <w:highlight w:val="none"/>
                    </w:rPr>
                    <w:t>“吸气罩+引风机”</w:t>
                  </w:r>
                  <w:r>
                    <w:rPr>
                      <w:color w:val="auto"/>
                      <w:szCs w:val="21"/>
                      <w:highlight w:val="none"/>
                    </w:rPr>
                    <w:t>集中收集废气（收集率≥90%），统一汇入排气量为3000Nm</w:t>
                  </w:r>
                  <w:r>
                    <w:rPr>
                      <w:color w:val="auto"/>
                      <w:szCs w:val="21"/>
                      <w:highlight w:val="none"/>
                      <w:vertAlign w:val="superscript"/>
                    </w:rPr>
                    <w:t>3</w:t>
                  </w:r>
                  <w:r>
                    <w:rPr>
                      <w:color w:val="auto"/>
                      <w:szCs w:val="21"/>
                      <w:highlight w:val="none"/>
                    </w:rPr>
                    <w:t>/h的</w:t>
                  </w:r>
                  <w:r>
                    <w:rPr>
                      <w:rFonts w:hint="eastAsia" w:ascii="宋体" w:hAnsi="宋体" w:eastAsia="宋体" w:cs="宋体"/>
                      <w:color w:val="auto"/>
                      <w:szCs w:val="21"/>
                      <w:highlight w:val="none"/>
                    </w:rPr>
                    <w:t>“稀碱液循环洗涤+活性炭吸附”</w:t>
                  </w:r>
                  <w:r>
                    <w:rPr>
                      <w:color w:val="auto"/>
                      <w:szCs w:val="21"/>
                      <w:highlight w:val="none"/>
                    </w:rPr>
                    <w:t>系统净化后（净化效率≥80%），经</w:t>
                  </w:r>
                  <w:r>
                    <w:rPr>
                      <w:rFonts w:hint="eastAsia"/>
                      <w:color w:val="auto"/>
                      <w:szCs w:val="21"/>
                      <w:highlight w:val="none"/>
                      <w:lang w:val="en-US" w:eastAsia="zh-CN"/>
                    </w:rPr>
                    <w:t>1</w:t>
                  </w:r>
                  <w:r>
                    <w:rPr>
                      <w:color w:val="auto"/>
                      <w:szCs w:val="21"/>
                      <w:highlight w:val="none"/>
                    </w:rPr>
                    <w:t>根15m排气筒</w:t>
                  </w:r>
                  <w:r>
                    <w:rPr>
                      <w:rFonts w:hint="eastAsia"/>
                      <w:color w:val="auto"/>
                      <w:szCs w:val="21"/>
                      <w:highlight w:val="none"/>
                      <w:lang w:val="en-US" w:eastAsia="zh-CN"/>
                    </w:rPr>
                    <w:t>DA003</w:t>
                  </w:r>
                  <w:r>
                    <w:rPr>
                      <w:color w:val="auto"/>
                      <w:szCs w:val="21"/>
                      <w:highlight w:val="none"/>
                    </w:rPr>
                    <w:t>排放。</w:t>
                  </w:r>
                </w:p>
              </w:tc>
            </w:tr>
            <w:tr w14:paraId="73F1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0" w:type="pct"/>
                  <w:tcBorders>
                    <w:tl2br w:val="nil"/>
                    <w:tr2bl w:val="nil"/>
                  </w:tcBorders>
                  <w:vAlign w:val="center"/>
                </w:tcPr>
                <w:p w14:paraId="0C363CD0">
                  <w:pPr>
                    <w:jc w:val="center"/>
                    <w:rPr>
                      <w:rFonts w:hint="eastAsia"/>
                      <w:color w:val="auto"/>
                      <w:szCs w:val="21"/>
                      <w:highlight w:val="none"/>
                    </w:rPr>
                  </w:pPr>
                  <w:r>
                    <w:rPr>
                      <w:rFonts w:hint="eastAsia"/>
                      <w:color w:val="auto"/>
                      <w:szCs w:val="21"/>
                      <w:highlight w:val="none"/>
                      <w:lang w:val="en-US" w:eastAsia="zh-CN"/>
                    </w:rPr>
                    <w:t>化验分析室</w:t>
                  </w:r>
                </w:p>
              </w:tc>
              <w:tc>
                <w:tcPr>
                  <w:tcW w:w="543" w:type="pct"/>
                  <w:tcBorders>
                    <w:tl2br w:val="nil"/>
                    <w:tr2bl w:val="nil"/>
                  </w:tcBorders>
                  <w:vAlign w:val="center"/>
                </w:tcPr>
                <w:p w14:paraId="54EF4634">
                  <w:pPr>
                    <w:jc w:val="center"/>
                    <w:rPr>
                      <w:color w:val="auto"/>
                      <w:szCs w:val="21"/>
                      <w:highlight w:val="none"/>
                    </w:rPr>
                  </w:pPr>
                  <w:r>
                    <w:rPr>
                      <w:rFonts w:hint="eastAsia"/>
                      <w:color w:val="auto"/>
                      <w:szCs w:val="21"/>
                      <w:highlight w:val="none"/>
                      <w:lang w:val="en-US" w:eastAsia="zh-CN"/>
                    </w:rPr>
                    <w:t>检验</w:t>
                  </w:r>
                  <w:r>
                    <w:rPr>
                      <w:rFonts w:hint="eastAsia"/>
                      <w:color w:val="auto"/>
                      <w:szCs w:val="21"/>
                      <w:highlight w:val="none"/>
                    </w:rPr>
                    <w:t>废气</w:t>
                  </w:r>
                </w:p>
              </w:tc>
              <w:tc>
                <w:tcPr>
                  <w:tcW w:w="3915" w:type="pct"/>
                  <w:tcBorders>
                    <w:tl2br w:val="nil"/>
                    <w:tr2bl w:val="nil"/>
                  </w:tcBorders>
                  <w:vAlign w:val="center"/>
                </w:tcPr>
                <w:p w14:paraId="3E513513">
                  <w:pPr>
                    <w:jc w:val="center"/>
                    <w:rPr>
                      <w:color w:val="auto"/>
                      <w:szCs w:val="21"/>
                      <w:highlight w:val="none"/>
                    </w:rPr>
                  </w:pPr>
                  <w:r>
                    <w:rPr>
                      <w:rFonts w:hint="eastAsia"/>
                      <w:color w:val="auto"/>
                      <w:szCs w:val="21"/>
                      <w:highlight w:val="none"/>
                    </w:rPr>
                    <w:t>通风橱/集气罩收集后，通过排风管道引至</w:t>
                  </w:r>
                  <w:r>
                    <w:rPr>
                      <w:rFonts w:hint="eastAsia"/>
                      <w:color w:val="auto"/>
                      <w:szCs w:val="21"/>
                      <w:highlight w:val="none"/>
                      <w:lang w:val="en-US" w:eastAsia="zh-CN"/>
                    </w:rPr>
                    <w:t>综合办公楼</w:t>
                  </w:r>
                  <w:r>
                    <w:rPr>
                      <w:rFonts w:hint="eastAsia"/>
                      <w:color w:val="auto"/>
                      <w:szCs w:val="21"/>
                      <w:highlight w:val="none"/>
                    </w:rPr>
                    <w:t>楼顶经</w:t>
                  </w:r>
                  <w:r>
                    <w:rPr>
                      <w:rFonts w:hint="eastAsia"/>
                      <w:color w:val="auto"/>
                      <w:szCs w:val="21"/>
                      <w:highlight w:val="none"/>
                      <w:lang w:val="en-US" w:eastAsia="zh-CN"/>
                    </w:rPr>
                    <w:t>1</w:t>
                  </w:r>
                  <w:r>
                    <w:rPr>
                      <w:rFonts w:hint="eastAsia"/>
                      <w:color w:val="auto"/>
                      <w:szCs w:val="21"/>
                      <w:highlight w:val="none"/>
                    </w:rPr>
                    <w:t>套</w:t>
                  </w:r>
                  <w:r>
                    <w:rPr>
                      <w:rFonts w:hint="eastAsia"/>
                      <w:color w:val="auto"/>
                      <w:szCs w:val="21"/>
                      <w:highlight w:val="none"/>
                      <w:lang w:val="en-US" w:eastAsia="zh-CN"/>
                    </w:rPr>
                    <w:t>活性炭吸附柜</w:t>
                  </w:r>
                  <w:r>
                    <w:rPr>
                      <w:rFonts w:hint="eastAsia"/>
                      <w:color w:val="auto"/>
                      <w:szCs w:val="21"/>
                      <w:highlight w:val="none"/>
                    </w:rPr>
                    <w:t>处理后，经</w:t>
                  </w:r>
                  <w:r>
                    <w:rPr>
                      <w:rFonts w:hint="eastAsia"/>
                      <w:color w:val="auto"/>
                      <w:szCs w:val="21"/>
                      <w:highlight w:val="none"/>
                      <w:lang w:val="en-US" w:eastAsia="zh-CN"/>
                    </w:rPr>
                    <w:t>1根15m排气筒</w:t>
                  </w:r>
                  <w:r>
                    <w:rPr>
                      <w:rFonts w:hint="eastAsia"/>
                      <w:color w:val="auto"/>
                      <w:szCs w:val="21"/>
                      <w:highlight w:val="none"/>
                    </w:rPr>
                    <w:t>排放。</w:t>
                  </w:r>
                </w:p>
              </w:tc>
            </w:tr>
            <w:tr w14:paraId="549B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540" w:type="pct"/>
                  <w:tcBorders>
                    <w:tl2br w:val="nil"/>
                    <w:tr2bl w:val="nil"/>
                  </w:tcBorders>
                  <w:vAlign w:val="center"/>
                </w:tcPr>
                <w:p w14:paraId="2B9FFCBA">
                  <w:pPr>
                    <w:jc w:val="center"/>
                    <w:rPr>
                      <w:color w:val="auto"/>
                      <w:szCs w:val="21"/>
                      <w:highlight w:val="none"/>
                    </w:rPr>
                  </w:pPr>
                  <w:r>
                    <w:rPr>
                      <w:rFonts w:hint="eastAsia"/>
                      <w:color w:val="auto"/>
                      <w:szCs w:val="21"/>
                      <w:highlight w:val="none"/>
                    </w:rPr>
                    <w:t>食堂</w:t>
                  </w:r>
                </w:p>
              </w:tc>
              <w:tc>
                <w:tcPr>
                  <w:tcW w:w="543" w:type="pct"/>
                  <w:tcBorders>
                    <w:tl2br w:val="nil"/>
                    <w:tr2bl w:val="nil"/>
                  </w:tcBorders>
                  <w:vAlign w:val="center"/>
                </w:tcPr>
                <w:p w14:paraId="558790ED">
                  <w:pPr>
                    <w:jc w:val="center"/>
                    <w:rPr>
                      <w:color w:val="auto"/>
                      <w:szCs w:val="21"/>
                      <w:highlight w:val="none"/>
                    </w:rPr>
                  </w:pPr>
                  <w:r>
                    <w:rPr>
                      <w:color w:val="auto"/>
                      <w:szCs w:val="21"/>
                      <w:highlight w:val="none"/>
                    </w:rPr>
                    <w:t>油烟</w:t>
                  </w:r>
                </w:p>
              </w:tc>
              <w:tc>
                <w:tcPr>
                  <w:tcW w:w="3915" w:type="pct"/>
                  <w:tcBorders>
                    <w:tl2br w:val="nil"/>
                    <w:tr2bl w:val="nil"/>
                  </w:tcBorders>
                  <w:vAlign w:val="center"/>
                </w:tcPr>
                <w:p w14:paraId="30DCFAC9">
                  <w:pPr>
                    <w:jc w:val="center"/>
                    <w:rPr>
                      <w:rFonts w:hint="eastAsia" w:eastAsia="宋体"/>
                      <w:color w:val="auto"/>
                      <w:szCs w:val="21"/>
                      <w:highlight w:val="none"/>
                      <w:lang w:eastAsia="zh-CN"/>
                    </w:rPr>
                  </w:pPr>
                  <w:r>
                    <w:rPr>
                      <w:color w:val="auto"/>
                      <w:szCs w:val="21"/>
                      <w:highlight w:val="none"/>
                    </w:rPr>
                    <w:t>设</w:t>
                  </w:r>
                  <w:r>
                    <w:rPr>
                      <w:rFonts w:hint="eastAsia"/>
                      <w:color w:val="auto"/>
                      <w:szCs w:val="21"/>
                      <w:highlight w:val="none"/>
                      <w:lang w:val="en-US" w:eastAsia="zh-CN"/>
                    </w:rPr>
                    <w:t>有</w:t>
                  </w:r>
                  <w:r>
                    <w:rPr>
                      <w:color w:val="auto"/>
                      <w:szCs w:val="21"/>
                      <w:highlight w:val="none"/>
                    </w:rPr>
                    <w:t>油烟净化装置，</w:t>
                  </w:r>
                  <w:r>
                    <w:rPr>
                      <w:rFonts w:hint="eastAsia"/>
                      <w:color w:val="auto"/>
                      <w:szCs w:val="21"/>
                      <w:highlight w:val="none"/>
                      <w:lang w:val="en-US" w:eastAsia="zh-CN"/>
                    </w:rPr>
                    <w:t>经</w:t>
                  </w:r>
                  <w:r>
                    <w:rPr>
                      <w:color w:val="auto"/>
                      <w:szCs w:val="21"/>
                      <w:highlight w:val="none"/>
                    </w:rPr>
                    <w:t>处理后通过墙体内烟道排放</w:t>
                  </w:r>
                  <w:r>
                    <w:rPr>
                      <w:rFonts w:hint="eastAsia"/>
                      <w:color w:val="auto"/>
                      <w:szCs w:val="21"/>
                      <w:highlight w:val="none"/>
                      <w:lang w:eastAsia="zh-CN"/>
                    </w:rPr>
                    <w:t>。</w:t>
                  </w:r>
                </w:p>
              </w:tc>
            </w:tr>
          </w:tbl>
          <w:p w14:paraId="7447F1C5">
            <w:pPr>
              <w:pStyle w:val="17"/>
              <w:spacing w:after="0" w:line="360" w:lineRule="auto"/>
              <w:rPr>
                <w:color w:val="auto"/>
                <w:sz w:val="24"/>
                <w:highlight w:val="none"/>
              </w:rPr>
            </w:pPr>
            <w:r>
              <w:rPr>
                <w:rFonts w:hint="eastAsia"/>
                <w:color w:val="auto"/>
                <w:sz w:val="24"/>
                <w:highlight w:val="none"/>
                <w:lang w:val="en-US" w:eastAsia="zh-CN"/>
              </w:rPr>
              <w:t>现有工程</w:t>
            </w:r>
            <w:r>
              <w:rPr>
                <w:rFonts w:hint="eastAsia"/>
                <w:color w:val="auto"/>
                <w:sz w:val="24"/>
                <w:highlight w:val="none"/>
              </w:rPr>
              <w:t>废气处理装置见下图：</w:t>
            </w:r>
          </w:p>
          <w:tbl>
            <w:tblPr>
              <w:tblStyle w:val="2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55"/>
            </w:tblGrid>
            <w:tr w14:paraId="2342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4" w:type="pct"/>
                  <w:tcBorders>
                    <w:top w:val="nil"/>
                    <w:left w:val="nil"/>
                    <w:bottom w:val="nil"/>
                    <w:right w:val="nil"/>
                  </w:tcBorders>
                  <w:vAlign w:val="center"/>
                </w:tcPr>
                <w:p w14:paraId="2C804F6A">
                  <w:pPr>
                    <w:jc w:val="center"/>
                    <w:rPr>
                      <w:rFonts w:hint="eastAsia" w:eastAsia="宋体"/>
                      <w:color w:val="auto"/>
                      <w:sz w:val="24"/>
                      <w:szCs w:val="20"/>
                      <w:highlight w:val="none"/>
                      <w:lang w:eastAsia="zh-CN"/>
                    </w:rPr>
                  </w:pPr>
                  <w:r>
                    <w:rPr>
                      <w:rFonts w:hint="eastAsia" w:eastAsia="宋体"/>
                      <w:color w:val="auto"/>
                      <w:sz w:val="24"/>
                      <w:szCs w:val="20"/>
                      <w:highlight w:val="none"/>
                      <w:lang w:eastAsia="zh-CN"/>
                    </w:rPr>
                    <w:drawing>
                      <wp:inline distT="0" distB="0" distL="114300" distR="114300">
                        <wp:extent cx="2518410" cy="1888490"/>
                        <wp:effectExtent l="0" t="0" r="15240" b="16510"/>
                        <wp:docPr id="135" name="图片 135" descr="原项目工艺反应区及废气处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原项目工艺反应区及废气处理区"/>
                                <pic:cNvPicPr>
                                  <a:picLocks noChangeAspect="1"/>
                                </pic:cNvPicPr>
                              </pic:nvPicPr>
                              <pic:blipFill>
                                <a:blip r:embed="rId31"/>
                                <a:stretch>
                                  <a:fillRect/>
                                </a:stretch>
                              </pic:blipFill>
                              <pic:spPr>
                                <a:xfrm>
                                  <a:off x="0" y="0"/>
                                  <a:ext cx="2518410" cy="1888490"/>
                                </a:xfrm>
                                <a:prstGeom prst="rect">
                                  <a:avLst/>
                                </a:prstGeom>
                              </pic:spPr>
                            </pic:pic>
                          </a:graphicData>
                        </a:graphic>
                      </wp:inline>
                    </w:drawing>
                  </w:r>
                </w:p>
              </w:tc>
              <w:tc>
                <w:tcPr>
                  <w:tcW w:w="2515" w:type="pct"/>
                  <w:tcBorders>
                    <w:top w:val="nil"/>
                    <w:left w:val="nil"/>
                    <w:bottom w:val="nil"/>
                    <w:right w:val="nil"/>
                  </w:tcBorders>
                  <w:vAlign w:val="center"/>
                </w:tcPr>
                <w:p w14:paraId="6A948267">
                  <w:pPr>
                    <w:jc w:val="center"/>
                    <w:rPr>
                      <w:rFonts w:hint="eastAsia" w:eastAsia="宋体"/>
                      <w:color w:val="auto"/>
                      <w:sz w:val="24"/>
                      <w:szCs w:val="20"/>
                      <w:highlight w:val="none"/>
                      <w:lang w:eastAsia="zh-CN"/>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1306830</wp:posOffset>
                            </wp:positionH>
                            <wp:positionV relativeFrom="paragraph">
                              <wp:posOffset>797560</wp:posOffset>
                            </wp:positionV>
                            <wp:extent cx="299085" cy="142875"/>
                            <wp:effectExtent l="12700" t="12700" r="31115" b="15875"/>
                            <wp:wrapNone/>
                            <wp:docPr id="136" name="椭圆 136"/>
                            <wp:cNvGraphicFramePr/>
                            <a:graphic xmlns:a="http://schemas.openxmlformats.org/drawingml/2006/main">
                              <a:graphicData uri="http://schemas.microsoft.com/office/word/2010/wordprocessingShape">
                                <wps:wsp>
                                  <wps:cNvSpPr/>
                                  <wps:spPr>
                                    <a:xfrm>
                                      <a:off x="5344160" y="4911725"/>
                                      <a:ext cx="299085" cy="14287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2.9pt;margin-top:62.8pt;height:11.25pt;width:23.55pt;z-index:251668480;v-text-anchor:middle;mso-width-relative:page;mso-height-relative:page;" filled="f" stroked="t" coordsize="21600,21600" o:gfxdata="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AaFxtgAAAALAQAADwAAAAAAAAABACAAAAAiAAAAZHJzL2Rvd25y&#10;ZXYueG1sUEsBAhQAFAAAAAgAh07iQNZkqUBwAgAAxgQAAA4AAAAAAAAAAQAgAAAAJwEAAGRycy9l&#10;Mm9Eb2MueG1sUEsFBgAAAAAGAAYAWQEAAAkGAAAAAA==&#10;">
                            <v:fill on="f" focussize="0,0"/>
                            <v:stroke weight="2pt" color="#FF0000 [2404]" joinstyle="round"/>
                            <v:imagedata o:title=""/>
                            <o:lock v:ext="edit" aspectratio="f"/>
                          </v:shape>
                        </w:pict>
                      </mc:Fallback>
                    </mc:AlternateContent>
                  </w:r>
                  <w:r>
                    <w:rPr>
                      <w:rFonts w:hint="eastAsia" w:eastAsia="宋体"/>
                      <w:color w:val="auto"/>
                      <w:szCs w:val="21"/>
                      <w:highlight w:val="none"/>
                      <w:lang w:eastAsia="zh-CN"/>
                    </w:rPr>
                    <w:drawing>
                      <wp:inline distT="0" distB="0" distL="114300" distR="114300">
                        <wp:extent cx="1816100" cy="2423160"/>
                        <wp:effectExtent l="0" t="0" r="12700" b="15240"/>
                        <wp:docPr id="137" name="图片 137" descr="生产废气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生产废气排气筒"/>
                                <pic:cNvPicPr>
                                  <a:picLocks noChangeAspect="1"/>
                                </pic:cNvPicPr>
                              </pic:nvPicPr>
                              <pic:blipFill>
                                <a:blip r:embed="rId32"/>
                                <a:stretch>
                                  <a:fillRect/>
                                </a:stretch>
                              </pic:blipFill>
                              <pic:spPr>
                                <a:xfrm>
                                  <a:off x="0" y="0"/>
                                  <a:ext cx="1816100" cy="2423160"/>
                                </a:xfrm>
                                <a:prstGeom prst="rect">
                                  <a:avLst/>
                                </a:prstGeom>
                              </pic:spPr>
                            </pic:pic>
                          </a:graphicData>
                        </a:graphic>
                      </wp:inline>
                    </w:drawing>
                  </w:r>
                </w:p>
              </w:tc>
            </w:tr>
            <w:tr w14:paraId="6D82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484" w:type="pct"/>
                  <w:tcBorders>
                    <w:top w:val="nil"/>
                    <w:left w:val="nil"/>
                    <w:bottom w:val="nil"/>
                    <w:right w:val="nil"/>
                  </w:tcBorders>
                  <w:vAlign w:val="center"/>
                </w:tcPr>
                <w:p w14:paraId="076E27CD">
                  <w:pPr>
                    <w:jc w:val="center"/>
                    <w:rPr>
                      <w:rFonts w:hint="default" w:eastAsia="宋体"/>
                      <w:color w:val="auto"/>
                      <w:szCs w:val="21"/>
                      <w:highlight w:val="none"/>
                      <w:lang w:val="en-US" w:eastAsia="zh-CN"/>
                    </w:rPr>
                  </w:pPr>
                  <w:r>
                    <w:rPr>
                      <w:rFonts w:hint="eastAsia"/>
                      <w:color w:val="auto"/>
                      <w:szCs w:val="21"/>
                      <w:highlight w:val="none"/>
                      <w:lang w:val="en-US" w:eastAsia="zh-CN"/>
                    </w:rPr>
                    <w:t>工艺废气处理装置-水洗塔+吸收塔</w:t>
                  </w:r>
                </w:p>
              </w:tc>
              <w:tc>
                <w:tcPr>
                  <w:tcW w:w="2515" w:type="pct"/>
                  <w:tcBorders>
                    <w:top w:val="nil"/>
                    <w:left w:val="nil"/>
                    <w:bottom w:val="nil"/>
                    <w:right w:val="nil"/>
                  </w:tcBorders>
                  <w:vAlign w:val="center"/>
                </w:tcPr>
                <w:p w14:paraId="5415E76E">
                  <w:pPr>
                    <w:jc w:val="center"/>
                    <w:rPr>
                      <w:rFonts w:hint="default" w:eastAsia="宋体"/>
                      <w:color w:val="auto"/>
                      <w:szCs w:val="21"/>
                      <w:highlight w:val="none"/>
                      <w:lang w:val="en-US" w:eastAsia="zh-CN"/>
                    </w:rPr>
                  </w:pPr>
                  <w:r>
                    <w:rPr>
                      <w:rFonts w:hint="eastAsia"/>
                      <w:color w:val="auto"/>
                      <w:szCs w:val="21"/>
                      <w:highlight w:val="none"/>
                      <w:lang w:val="en-US" w:eastAsia="zh-CN"/>
                    </w:rPr>
                    <w:t>工艺废气28m排气筒DA001</w:t>
                  </w:r>
                </w:p>
              </w:tc>
            </w:tr>
            <w:tr w14:paraId="01EB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4" w:type="pct"/>
                  <w:tcBorders>
                    <w:top w:val="nil"/>
                    <w:left w:val="nil"/>
                    <w:bottom w:val="nil"/>
                    <w:right w:val="nil"/>
                  </w:tcBorders>
                  <w:vAlign w:val="center"/>
                </w:tcPr>
                <w:p w14:paraId="4F17DAB9">
                  <w:pPr>
                    <w:jc w:val="center"/>
                    <w:rPr>
                      <w:color w:val="auto"/>
                      <w:position w:val="-81"/>
                      <w:highlight w:val="none"/>
                    </w:rPr>
                  </w:pPr>
                  <w:r>
                    <w:rPr>
                      <w:color w:val="auto"/>
                      <w:sz w:val="21"/>
                      <w:highlight w:val="none"/>
                    </w:rPr>
                    <mc:AlternateContent>
                      <mc:Choice Requires="wps">
                        <w:drawing>
                          <wp:anchor distT="0" distB="0" distL="114300" distR="114300" simplePos="0" relativeHeight="251672576" behindDoc="0" locked="0" layoutInCell="1" allowOverlap="1">
                            <wp:simplePos x="0" y="0"/>
                            <wp:positionH relativeFrom="column">
                              <wp:posOffset>1328420</wp:posOffset>
                            </wp:positionH>
                            <wp:positionV relativeFrom="paragraph">
                              <wp:posOffset>1567815</wp:posOffset>
                            </wp:positionV>
                            <wp:extent cx="717550" cy="419735"/>
                            <wp:effectExtent l="12700" t="12700" r="12700" b="24765"/>
                            <wp:wrapNone/>
                            <wp:docPr id="138" name="椭圆 138"/>
                            <wp:cNvGraphicFramePr/>
                            <a:graphic xmlns:a="http://schemas.openxmlformats.org/drawingml/2006/main">
                              <a:graphicData uri="http://schemas.microsoft.com/office/word/2010/wordprocessingShape">
                                <wps:wsp>
                                  <wps:cNvSpPr/>
                                  <wps:spPr>
                                    <a:xfrm>
                                      <a:off x="0" y="0"/>
                                      <a:ext cx="717550" cy="41973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4.6pt;margin-top:123.45pt;height:33.05pt;width:56.5pt;z-index:251672576;v-text-anchor:middle;mso-width-relative:page;mso-height-relative:page;" filled="f" stroked="t" coordsize="21600,21600" o:gfxdata="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5Ldfz2AAAAAsBAAAPAAAAAAAAAAEAIAAAACIAAABkcnMvZG93bnJldi54bWxQSwECFAAUAAAA&#10;CACHTuJAIlBMU2ACAAC6BAAADgAAAAAAAAABACAAAAAnAQAAZHJzL2Uyb0RvYy54bWxQSwUGAAAA&#10;AAYABgBZAQAA+QUAAAAA&#10;">
                            <v:fill on="f" focussize="0,0"/>
                            <v:stroke weight="2pt" color="#FF0000 [2404]" joinstyle="round"/>
                            <v:imagedata o:title=""/>
                            <o:lock v:ext="edit" aspectratio="f"/>
                          </v:shape>
                        </w:pict>
                      </mc:Fallback>
                    </mc:AlternateContent>
                  </w:r>
                  <w:r>
                    <w:rPr>
                      <w:color w:val="auto"/>
                      <w:position w:val="-81"/>
                      <w:highlight w:val="none"/>
                    </w:rPr>
                    <w:drawing>
                      <wp:inline distT="0" distB="0" distL="0" distR="0">
                        <wp:extent cx="1883410" cy="2109470"/>
                        <wp:effectExtent l="0" t="0" r="2540" b="5080"/>
                        <wp:docPr id="139" name="IM 84"/>
                        <wp:cNvGraphicFramePr/>
                        <a:graphic xmlns:a="http://schemas.openxmlformats.org/drawingml/2006/main">
                          <a:graphicData uri="http://schemas.openxmlformats.org/drawingml/2006/picture">
                            <pic:pic xmlns:pic="http://schemas.openxmlformats.org/drawingml/2006/picture">
                              <pic:nvPicPr>
                                <pic:cNvPr id="139" name="IM 84"/>
                                <pic:cNvPicPr/>
                              </pic:nvPicPr>
                              <pic:blipFill>
                                <a:blip r:embed="rId33"/>
                                <a:stretch>
                                  <a:fillRect/>
                                </a:stretch>
                              </pic:blipFill>
                              <pic:spPr>
                                <a:xfrm>
                                  <a:off x="0" y="0"/>
                                  <a:ext cx="1883410" cy="2109470"/>
                                </a:xfrm>
                                <a:prstGeom prst="rect">
                                  <a:avLst/>
                                </a:prstGeom>
                              </pic:spPr>
                            </pic:pic>
                          </a:graphicData>
                        </a:graphic>
                      </wp:inline>
                    </w:drawing>
                  </w:r>
                </w:p>
              </w:tc>
              <w:tc>
                <w:tcPr>
                  <w:tcW w:w="2515" w:type="pct"/>
                  <w:tcBorders>
                    <w:top w:val="nil"/>
                    <w:left w:val="nil"/>
                    <w:bottom w:val="nil"/>
                    <w:right w:val="nil"/>
                  </w:tcBorders>
                  <w:vAlign w:val="center"/>
                </w:tcPr>
                <w:p w14:paraId="09566930">
                  <w:pPr>
                    <w:rPr>
                      <w:color w:val="auto"/>
                      <w:sz w:val="21"/>
                      <w:highlight w:val="none"/>
                    </w:rPr>
                  </w:pP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1259205</wp:posOffset>
                            </wp:positionH>
                            <wp:positionV relativeFrom="paragraph">
                              <wp:posOffset>634365</wp:posOffset>
                            </wp:positionV>
                            <wp:extent cx="299085" cy="857250"/>
                            <wp:effectExtent l="12700" t="12700" r="31115" b="25400"/>
                            <wp:wrapNone/>
                            <wp:docPr id="140" name="椭圆 140"/>
                            <wp:cNvGraphicFramePr/>
                            <a:graphic xmlns:a="http://schemas.openxmlformats.org/drawingml/2006/main">
                              <a:graphicData uri="http://schemas.microsoft.com/office/word/2010/wordprocessingShape">
                                <wps:wsp>
                                  <wps:cNvSpPr/>
                                  <wps:spPr>
                                    <a:xfrm>
                                      <a:off x="0" y="0"/>
                                      <a:ext cx="299085" cy="85725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9.15pt;margin-top:49.95pt;height:67.5pt;width:23.55pt;z-index:251669504;v-text-anchor:middle;mso-width-relative:page;mso-height-relative:page;" filled="f" stroked="t" coordsize="21600,21600" o:gfxdata="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mi+QXXAAAACgEAAA8AAAAAAAAAAQAgAAAAIgAAAGRycy9kb3ducmV2LnhtbFBLAQIUABQAAAAI&#10;AIdO4kB3ea+6YAIAALoEAAAOAAAAAAAAAAEAIAAAACYBAABkcnMvZTJvRG9jLnhtbFBLBQYAAAAA&#10;BgAGAFkBAAD4BQAAAAA=&#10;">
                            <v:fill on="f" focussize="0,0"/>
                            <v:stroke weight="2pt" color="#FF0000 [2404]" joinstyle="round"/>
                            <v:imagedata o:title=""/>
                            <o:lock v:ext="edit" aspectratio="f"/>
                          </v:shape>
                        </w:pict>
                      </mc:Fallback>
                    </mc:AlternateContent>
                  </w:r>
                  <w:r>
                    <w:rPr>
                      <w:rFonts w:hint="eastAsia" w:eastAsia="宋体"/>
                      <w:color w:val="auto"/>
                      <w:szCs w:val="21"/>
                      <w:highlight w:val="none"/>
                      <w:lang w:eastAsia="zh-CN"/>
                    </w:rPr>
                    <w:drawing>
                      <wp:inline distT="0" distB="0" distL="114300" distR="114300">
                        <wp:extent cx="2528570" cy="2346960"/>
                        <wp:effectExtent l="0" t="0" r="5080" b="15240"/>
                        <wp:docPr id="141" name="图片 141" descr="污水处理站区及排气筒、紧挨为危废暂存间及后方的维修备件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污水处理站区及排气筒、紧挨为危废暂存间及后方的维修备件房"/>
                                <pic:cNvPicPr>
                                  <a:picLocks noChangeAspect="1"/>
                                </pic:cNvPicPr>
                              </pic:nvPicPr>
                              <pic:blipFill>
                                <a:blip r:embed="rId34"/>
                                <a:srcRect r="40292" b="26093"/>
                                <a:stretch>
                                  <a:fillRect/>
                                </a:stretch>
                              </pic:blipFill>
                              <pic:spPr>
                                <a:xfrm>
                                  <a:off x="0" y="0"/>
                                  <a:ext cx="2528570" cy="2346960"/>
                                </a:xfrm>
                                <a:prstGeom prst="rect">
                                  <a:avLst/>
                                </a:prstGeom>
                              </pic:spPr>
                            </pic:pic>
                          </a:graphicData>
                        </a:graphic>
                      </wp:inline>
                    </w:drawing>
                  </w:r>
                </w:p>
              </w:tc>
            </w:tr>
            <w:tr w14:paraId="0B0E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4" w:type="pct"/>
                  <w:tcBorders>
                    <w:top w:val="nil"/>
                    <w:left w:val="nil"/>
                    <w:bottom w:val="nil"/>
                    <w:right w:val="nil"/>
                  </w:tcBorders>
                  <w:vAlign w:val="center"/>
                </w:tcPr>
                <w:p w14:paraId="0630248D">
                  <w:pPr>
                    <w:jc w:val="center"/>
                    <w:rPr>
                      <w:rFonts w:hint="default" w:eastAsia="宋体"/>
                      <w:color w:val="auto"/>
                      <w:szCs w:val="21"/>
                      <w:highlight w:val="none"/>
                      <w:lang w:val="en-US" w:eastAsia="zh-CN"/>
                    </w:rPr>
                  </w:pPr>
                  <w:r>
                    <w:rPr>
                      <w:rFonts w:hint="eastAsia"/>
                      <w:color w:val="auto"/>
                      <w:szCs w:val="21"/>
                      <w:highlight w:val="none"/>
                      <w:lang w:val="en-US" w:eastAsia="zh-CN"/>
                    </w:rPr>
                    <w:t>活性炭吸附装置</w:t>
                  </w:r>
                </w:p>
              </w:tc>
              <w:tc>
                <w:tcPr>
                  <w:tcW w:w="2515" w:type="pct"/>
                  <w:tcBorders>
                    <w:top w:val="nil"/>
                    <w:left w:val="nil"/>
                    <w:bottom w:val="nil"/>
                    <w:right w:val="nil"/>
                  </w:tcBorders>
                  <w:vAlign w:val="center"/>
                </w:tcPr>
                <w:p w14:paraId="68DBCE32">
                  <w:pPr>
                    <w:jc w:val="center"/>
                    <w:rPr>
                      <w:color w:val="auto"/>
                      <w:szCs w:val="21"/>
                      <w:highlight w:val="none"/>
                    </w:rPr>
                  </w:pPr>
                  <w:r>
                    <w:rPr>
                      <w:rFonts w:hint="eastAsia"/>
                      <w:color w:val="auto"/>
                      <w:szCs w:val="21"/>
                      <w:highlight w:val="none"/>
                      <w:lang w:val="en-US" w:eastAsia="zh-CN"/>
                    </w:rPr>
                    <w:t>污水处理站15m排气筒DA003</w:t>
                  </w:r>
                </w:p>
              </w:tc>
            </w:tr>
            <w:tr w14:paraId="1195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4" w:type="pct"/>
                  <w:tcBorders>
                    <w:top w:val="nil"/>
                    <w:left w:val="nil"/>
                    <w:bottom w:val="nil"/>
                    <w:right w:val="nil"/>
                  </w:tcBorders>
                  <w:vAlign w:val="center"/>
                </w:tcPr>
                <w:p w14:paraId="3807932E">
                  <w:pPr>
                    <w:jc w:val="center"/>
                    <w:rPr>
                      <w:rFonts w:hint="eastAsia" w:eastAsia="宋体"/>
                      <w:color w:val="auto"/>
                      <w:szCs w:val="21"/>
                      <w:highlight w:val="none"/>
                      <w:lang w:eastAsia="zh-CN"/>
                    </w:rPr>
                  </w:pPr>
                  <w:r>
                    <w:rPr>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1470660</wp:posOffset>
                            </wp:positionH>
                            <wp:positionV relativeFrom="paragraph">
                              <wp:posOffset>426720</wp:posOffset>
                            </wp:positionV>
                            <wp:extent cx="299085" cy="657225"/>
                            <wp:effectExtent l="12700" t="12700" r="31115" b="15875"/>
                            <wp:wrapNone/>
                            <wp:docPr id="142" name="椭圆 142"/>
                            <wp:cNvGraphicFramePr/>
                            <a:graphic xmlns:a="http://schemas.openxmlformats.org/drawingml/2006/main">
                              <a:graphicData uri="http://schemas.microsoft.com/office/word/2010/wordprocessingShape">
                                <wps:wsp>
                                  <wps:cNvSpPr/>
                                  <wps:spPr>
                                    <a:xfrm>
                                      <a:off x="0" y="0"/>
                                      <a:ext cx="299085" cy="6572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5.8pt;margin-top:33.6pt;height:51.75pt;width:23.55pt;z-index:251670528;v-text-anchor:middle;mso-width-relative:page;mso-height-relative:page;" filled="f" stroked="t" coordsize="21600,21600" o:gfxdata="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B1xt9gAAAAKAQAADwAAAAAAAAABACAAAAAiAAAAZHJzL2Rvd25yZXYueG1sUEsBAhQAFAAA&#10;AAgAh07iQCUX641hAgAAugQAAA4AAAAAAAAAAQAgAAAAJwEAAGRycy9lMm9Eb2MueG1sUEsFBgAA&#10;AAAGAAYAWQEAAPoFAAAAAA==&#10;">
                            <v:fill on="f" focussize="0,0"/>
                            <v:stroke weight="2pt" color="#FF0000 [2404]" joinstyle="round"/>
                            <v:imagedata o:title=""/>
                            <o:lock v:ext="edit" aspectratio="f"/>
                          </v:shape>
                        </w:pict>
                      </mc:Fallback>
                    </mc:AlternateContent>
                  </w:r>
                  <w:r>
                    <w:rPr>
                      <w:rFonts w:hint="eastAsia" w:eastAsia="宋体"/>
                      <w:color w:val="auto"/>
                      <w:sz w:val="24"/>
                      <w:szCs w:val="20"/>
                      <w:highlight w:val="none"/>
                      <w:lang w:eastAsia="zh-CN"/>
                    </w:rPr>
                    <w:drawing>
                      <wp:inline distT="0" distB="0" distL="114300" distR="114300">
                        <wp:extent cx="2680335" cy="2034540"/>
                        <wp:effectExtent l="0" t="0" r="5715" b="3810"/>
                        <wp:docPr id="143" name="图片 143" descr="锅炉房及制冷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锅炉房及制冷站"/>
                                <pic:cNvPicPr>
                                  <a:picLocks noChangeAspect="1"/>
                                </pic:cNvPicPr>
                              </pic:nvPicPr>
                              <pic:blipFill>
                                <a:blip r:embed="rId35"/>
                                <a:srcRect l="28248" t="18094" r="15754" b="25199"/>
                                <a:stretch>
                                  <a:fillRect/>
                                </a:stretch>
                              </pic:blipFill>
                              <pic:spPr>
                                <a:xfrm>
                                  <a:off x="0" y="0"/>
                                  <a:ext cx="2680335" cy="2034540"/>
                                </a:xfrm>
                                <a:prstGeom prst="rect">
                                  <a:avLst/>
                                </a:prstGeom>
                              </pic:spPr>
                            </pic:pic>
                          </a:graphicData>
                        </a:graphic>
                      </wp:inline>
                    </w:drawing>
                  </w:r>
                </w:p>
              </w:tc>
              <w:tc>
                <w:tcPr>
                  <w:tcW w:w="2515" w:type="pct"/>
                  <w:tcBorders>
                    <w:top w:val="nil"/>
                    <w:left w:val="nil"/>
                    <w:bottom w:val="nil"/>
                    <w:right w:val="nil"/>
                  </w:tcBorders>
                  <w:vAlign w:val="center"/>
                </w:tcPr>
                <w:p w14:paraId="03EA45B9">
                  <w:pPr>
                    <w:jc w:val="center"/>
                    <w:rPr>
                      <w:rFonts w:hint="eastAsia" w:eastAsia="宋体"/>
                      <w:color w:val="auto"/>
                      <w:szCs w:val="21"/>
                      <w:highlight w:val="none"/>
                      <w:lang w:eastAsia="zh-CN"/>
                    </w:rPr>
                  </w:pPr>
                  <w:r>
                    <w:rPr>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897255</wp:posOffset>
                            </wp:positionH>
                            <wp:positionV relativeFrom="paragraph">
                              <wp:posOffset>359410</wp:posOffset>
                            </wp:positionV>
                            <wp:extent cx="299085" cy="514985"/>
                            <wp:effectExtent l="12700" t="12700" r="31115" b="24765"/>
                            <wp:wrapNone/>
                            <wp:docPr id="144" name="椭圆 144"/>
                            <wp:cNvGraphicFramePr/>
                            <a:graphic xmlns:a="http://schemas.openxmlformats.org/drawingml/2006/main">
                              <a:graphicData uri="http://schemas.microsoft.com/office/word/2010/wordprocessingShape">
                                <wps:wsp>
                                  <wps:cNvSpPr/>
                                  <wps:spPr>
                                    <a:xfrm>
                                      <a:off x="0" y="0"/>
                                      <a:ext cx="299085" cy="51498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0.65pt;margin-top:28.3pt;height:40.55pt;width:23.55pt;z-index:251671552;v-text-anchor:middle;mso-width-relative:page;mso-height-relative:page;" filled="f" stroked="t" coordsize="21600,21600" o:gfxdata="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Ab8r2AAAAAoBAAAPAAAAAAAAAAEAIAAAACIAAABkcnMvZG93bnJldi54bWxQSwECFAAUAAAA&#10;CACHTuJAFS1LYGACAAC6BAAADgAAAAAAAAABACAAAAAnAQAAZHJzL2Uyb0RvYy54bWxQSwUGAAAA&#10;AAYABgBZAQAA+QUAAAAA&#10;">
                            <v:fill on="f" focussize="0,0"/>
                            <v:stroke weight="2pt" color="#FF0000 [2404]" joinstyle="round"/>
                            <v:imagedata o:title=""/>
                            <o:lock v:ext="edit" aspectratio="f"/>
                          </v:shape>
                        </w:pict>
                      </mc:Fallback>
                    </mc:AlternateContent>
                  </w:r>
                  <w:r>
                    <w:rPr>
                      <w:rFonts w:hint="eastAsia" w:eastAsia="宋体"/>
                      <w:color w:val="auto"/>
                      <w:szCs w:val="21"/>
                      <w:highlight w:val="none"/>
                      <w:lang w:eastAsia="zh-CN"/>
                    </w:rPr>
                    <w:drawing>
                      <wp:inline distT="0" distB="0" distL="114300" distR="114300">
                        <wp:extent cx="2052955" cy="2014855"/>
                        <wp:effectExtent l="0" t="0" r="4445" b="4445"/>
                        <wp:docPr id="145" name="图片 145" descr="现有理化实验等废气排气筒，有活性炭过滤，15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现有理化实验等废气排气筒，有活性炭过滤，15m (2)"/>
                                <pic:cNvPicPr>
                                  <a:picLocks noChangeAspect="1"/>
                                </pic:cNvPicPr>
                              </pic:nvPicPr>
                              <pic:blipFill>
                                <a:blip r:embed="rId36"/>
                                <a:srcRect l="10449" t="7834" b="26275"/>
                                <a:stretch>
                                  <a:fillRect/>
                                </a:stretch>
                              </pic:blipFill>
                              <pic:spPr>
                                <a:xfrm>
                                  <a:off x="0" y="0"/>
                                  <a:ext cx="2052955" cy="2014855"/>
                                </a:xfrm>
                                <a:prstGeom prst="rect">
                                  <a:avLst/>
                                </a:prstGeom>
                              </pic:spPr>
                            </pic:pic>
                          </a:graphicData>
                        </a:graphic>
                      </wp:inline>
                    </w:drawing>
                  </w:r>
                </w:p>
              </w:tc>
            </w:tr>
            <w:tr w14:paraId="3231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4" w:type="pct"/>
                  <w:tcBorders>
                    <w:top w:val="nil"/>
                    <w:left w:val="nil"/>
                    <w:bottom w:val="nil"/>
                    <w:right w:val="nil"/>
                  </w:tcBorders>
                  <w:vAlign w:val="center"/>
                </w:tcPr>
                <w:p w14:paraId="4B96513E">
                  <w:pPr>
                    <w:jc w:val="center"/>
                    <w:rPr>
                      <w:rFonts w:hint="default" w:eastAsia="宋体"/>
                      <w:color w:val="auto"/>
                      <w:szCs w:val="21"/>
                      <w:highlight w:val="none"/>
                      <w:lang w:val="en-US" w:eastAsia="zh-CN"/>
                    </w:rPr>
                  </w:pPr>
                  <w:r>
                    <w:rPr>
                      <w:rFonts w:hint="eastAsia"/>
                      <w:color w:val="auto"/>
                      <w:szCs w:val="21"/>
                      <w:highlight w:val="none"/>
                      <w:lang w:val="en-US" w:eastAsia="zh-CN"/>
                    </w:rPr>
                    <w:t>锅炉房15m排气筒DA002</w:t>
                  </w:r>
                </w:p>
              </w:tc>
              <w:tc>
                <w:tcPr>
                  <w:tcW w:w="2515" w:type="pct"/>
                  <w:tcBorders>
                    <w:top w:val="nil"/>
                    <w:left w:val="nil"/>
                    <w:bottom w:val="nil"/>
                    <w:right w:val="nil"/>
                  </w:tcBorders>
                  <w:vAlign w:val="center"/>
                </w:tcPr>
                <w:p w14:paraId="3C5FEF2F">
                  <w:pPr>
                    <w:jc w:val="center"/>
                    <w:rPr>
                      <w:rFonts w:hint="default"/>
                      <w:color w:val="auto"/>
                      <w:szCs w:val="21"/>
                      <w:highlight w:val="none"/>
                      <w:lang w:val="en-US"/>
                    </w:rPr>
                  </w:pPr>
                  <w:r>
                    <w:rPr>
                      <w:rFonts w:hint="eastAsia"/>
                      <w:color w:val="auto"/>
                      <w:szCs w:val="21"/>
                      <w:highlight w:val="none"/>
                      <w:lang w:val="en-US" w:eastAsia="zh-CN"/>
                    </w:rPr>
                    <w:t>实验室15m排气筒DA004</w:t>
                  </w:r>
                </w:p>
              </w:tc>
            </w:tr>
          </w:tbl>
          <w:p w14:paraId="2BF4D6B4">
            <w:pPr>
              <w:spacing w:line="360" w:lineRule="auto"/>
              <w:ind w:firstLine="480" w:firstLineChars="200"/>
              <w:rPr>
                <w:color w:val="auto"/>
                <w:sz w:val="24"/>
                <w:highlight w:val="none"/>
              </w:rPr>
            </w:pPr>
            <w:r>
              <w:rPr>
                <w:rFonts w:hint="eastAsia"/>
                <w:color w:val="auto"/>
                <w:sz w:val="24"/>
                <w:highlight w:val="none"/>
              </w:rPr>
              <w:t>②达标分析</w:t>
            </w:r>
          </w:p>
          <w:p w14:paraId="4C999B00">
            <w:pPr>
              <w:spacing w:line="360" w:lineRule="auto"/>
              <w:ind w:firstLine="480" w:firstLineChars="200"/>
              <w:rPr>
                <w:color w:val="auto"/>
                <w:sz w:val="24"/>
                <w:highlight w:val="none"/>
              </w:rPr>
            </w:pPr>
            <w:r>
              <w:rPr>
                <w:rFonts w:hint="eastAsia"/>
                <w:color w:val="auto"/>
                <w:sz w:val="24"/>
                <w:highlight w:val="none"/>
                <w:lang w:val="en-US" w:eastAsia="zh-CN"/>
              </w:rPr>
              <w:t>现有工程</w:t>
            </w:r>
            <w:r>
              <w:rPr>
                <w:rFonts w:hint="eastAsia"/>
                <w:color w:val="auto"/>
                <w:sz w:val="24"/>
                <w:highlight w:val="none"/>
              </w:rPr>
              <w:t>已进行验收，</w:t>
            </w:r>
            <w:r>
              <w:rPr>
                <w:rFonts w:hint="eastAsia"/>
                <w:b w:val="0"/>
                <w:bCs w:val="0"/>
                <w:color w:val="auto"/>
                <w:sz w:val="24"/>
                <w:highlight w:val="none"/>
              </w:rPr>
              <w:t>根据</w:t>
            </w:r>
            <w:r>
              <w:rPr>
                <w:rFonts w:hint="eastAsia"/>
                <w:b w:val="0"/>
                <w:bCs w:val="0"/>
                <w:color w:val="auto"/>
                <w:sz w:val="24"/>
                <w:highlight w:val="none"/>
                <w:lang w:eastAsia="zh-CN"/>
              </w:rPr>
              <w:t>四川</w:t>
            </w:r>
            <w:r>
              <w:rPr>
                <w:rFonts w:hint="eastAsia"/>
                <w:b w:val="0"/>
                <w:bCs w:val="0"/>
                <w:color w:val="auto"/>
                <w:sz w:val="24"/>
                <w:highlight w:val="none"/>
                <w:lang w:val="en-US" w:eastAsia="zh-CN"/>
              </w:rPr>
              <w:t>省中晟环保科技有限公司</w:t>
            </w:r>
            <w:r>
              <w:rPr>
                <w:rFonts w:hint="eastAsia"/>
                <w:b w:val="0"/>
                <w:bCs w:val="0"/>
                <w:color w:val="auto"/>
                <w:sz w:val="24"/>
                <w:highlight w:val="none"/>
              </w:rPr>
              <w:t>于202</w:t>
            </w:r>
            <w:r>
              <w:rPr>
                <w:rFonts w:hint="eastAsia"/>
                <w:b w:val="0"/>
                <w:bCs w:val="0"/>
                <w:color w:val="auto"/>
                <w:sz w:val="24"/>
                <w:highlight w:val="none"/>
                <w:lang w:val="en-US" w:eastAsia="zh-CN"/>
              </w:rPr>
              <w:t>1</w:t>
            </w:r>
            <w:r>
              <w:rPr>
                <w:rFonts w:hint="eastAsia"/>
                <w:b w:val="0"/>
                <w:bCs w:val="0"/>
                <w:color w:val="auto"/>
                <w:sz w:val="24"/>
                <w:highlight w:val="none"/>
              </w:rPr>
              <w:t>年</w:t>
            </w:r>
            <w:r>
              <w:rPr>
                <w:rFonts w:hint="eastAsia"/>
                <w:b w:val="0"/>
                <w:bCs w:val="0"/>
                <w:color w:val="auto"/>
                <w:sz w:val="24"/>
                <w:highlight w:val="none"/>
                <w:lang w:val="en-US" w:eastAsia="zh-CN"/>
              </w:rPr>
              <w:t>8</w:t>
            </w:r>
            <w:r>
              <w:rPr>
                <w:rFonts w:hint="eastAsia"/>
                <w:b w:val="0"/>
                <w:bCs w:val="0"/>
                <w:color w:val="auto"/>
                <w:sz w:val="24"/>
                <w:highlight w:val="none"/>
              </w:rPr>
              <w:t>月</w:t>
            </w:r>
            <w:r>
              <w:rPr>
                <w:rFonts w:hint="eastAsia"/>
                <w:b w:val="0"/>
                <w:bCs w:val="0"/>
                <w:color w:val="auto"/>
                <w:sz w:val="24"/>
                <w:highlight w:val="none"/>
                <w:lang w:val="en-US" w:eastAsia="zh-CN"/>
              </w:rPr>
              <w:t>3~4</w:t>
            </w:r>
            <w:r>
              <w:rPr>
                <w:rFonts w:hint="eastAsia"/>
                <w:b w:val="0"/>
                <w:bCs w:val="0"/>
                <w:color w:val="auto"/>
                <w:sz w:val="24"/>
                <w:highlight w:val="none"/>
              </w:rPr>
              <w:t>日</w:t>
            </w:r>
            <w:r>
              <w:rPr>
                <w:rFonts w:hint="eastAsia"/>
                <w:b w:val="0"/>
                <w:bCs w:val="0"/>
                <w:color w:val="auto"/>
                <w:sz w:val="24"/>
                <w:highlight w:val="none"/>
                <w:lang w:eastAsia="zh-CN"/>
              </w:rPr>
              <w:t>、</w:t>
            </w:r>
            <w:r>
              <w:rPr>
                <w:rFonts w:hint="eastAsia"/>
                <w:b w:val="0"/>
                <w:bCs w:val="0"/>
                <w:color w:val="auto"/>
                <w:sz w:val="24"/>
                <w:highlight w:val="none"/>
                <w:lang w:val="en-US" w:eastAsia="zh-CN"/>
              </w:rPr>
              <w:t>2021年11月13~14日</w:t>
            </w:r>
            <w:r>
              <w:rPr>
                <w:rFonts w:hint="eastAsia"/>
                <w:b w:val="0"/>
                <w:bCs w:val="0"/>
                <w:color w:val="auto"/>
                <w:sz w:val="24"/>
                <w:highlight w:val="none"/>
              </w:rPr>
              <w:t>对《</w:t>
            </w:r>
            <w:r>
              <w:rPr>
                <w:rFonts w:hint="eastAsia"/>
                <w:b w:val="0"/>
                <w:bCs w:val="0"/>
                <w:color w:val="auto"/>
                <w:sz w:val="24"/>
                <w:highlight w:val="none"/>
                <w:lang w:val="en-US" w:eastAsia="zh-CN"/>
              </w:rPr>
              <w:t>四川屹光新材料制造有限公司废气验收检测</w:t>
            </w:r>
            <w:r>
              <w:rPr>
                <w:rFonts w:hint="eastAsia"/>
                <w:b w:val="0"/>
                <w:bCs w:val="0"/>
                <w:color w:val="auto"/>
                <w:sz w:val="24"/>
                <w:highlight w:val="none"/>
              </w:rPr>
              <w:t>》报告（</w:t>
            </w:r>
            <w:r>
              <w:rPr>
                <w:rFonts w:hint="eastAsia"/>
                <w:b w:val="0"/>
                <w:bCs w:val="0"/>
                <w:color w:val="auto"/>
                <w:sz w:val="24"/>
                <w:highlight w:val="none"/>
                <w:lang w:val="en-US" w:eastAsia="zh-CN"/>
              </w:rPr>
              <w:t>中晟检（M202108）第2018号、中晟检（M202111）第2002号）以及企业2024年例行检测报告（JC检字（2024）第010256号、JC检字（2024）第060253号）</w:t>
            </w:r>
            <w:r>
              <w:rPr>
                <w:rFonts w:hint="eastAsia"/>
                <w:b w:val="0"/>
                <w:bCs w:val="0"/>
                <w:color w:val="auto"/>
                <w:sz w:val="24"/>
                <w:highlight w:val="none"/>
              </w:rPr>
              <w:t>可知，项目废</w:t>
            </w:r>
            <w:r>
              <w:rPr>
                <w:rFonts w:hint="eastAsia"/>
                <w:b w:val="0"/>
                <w:bCs w:val="0"/>
                <w:color w:val="auto"/>
                <w:sz w:val="24"/>
                <w:highlight w:val="none"/>
                <w:lang w:val="en-US" w:eastAsia="zh-CN"/>
              </w:rPr>
              <w:t>气</w:t>
            </w:r>
            <w:r>
              <w:rPr>
                <w:rFonts w:hint="eastAsia"/>
                <w:b w:val="0"/>
                <w:bCs w:val="0"/>
                <w:color w:val="auto"/>
                <w:sz w:val="24"/>
                <w:highlight w:val="none"/>
              </w:rPr>
              <w:t>排放情况如下：</w:t>
            </w:r>
          </w:p>
          <w:p w14:paraId="0342CDCA">
            <w:pPr>
              <w:pStyle w:val="42"/>
              <w:rPr>
                <w:color w:val="auto"/>
                <w:highlight w:val="none"/>
              </w:rPr>
            </w:pPr>
            <w:r>
              <w:rPr>
                <w:rFonts w:hint="eastAsia"/>
                <w:color w:val="auto"/>
                <w:highlight w:val="none"/>
              </w:rPr>
              <w:t>有组织废气监测结果</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797"/>
              <w:gridCol w:w="417"/>
              <w:gridCol w:w="1773"/>
              <w:gridCol w:w="1859"/>
              <w:gridCol w:w="1167"/>
              <w:gridCol w:w="992"/>
              <w:gridCol w:w="417"/>
            </w:tblGrid>
            <w:tr w14:paraId="236C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13" w:type="pct"/>
                  <w:vMerge w:val="restart"/>
                  <w:tcBorders>
                    <w:tl2br w:val="nil"/>
                    <w:tr2bl w:val="nil"/>
                  </w:tcBorders>
                  <w:vAlign w:val="center"/>
                </w:tcPr>
                <w:p w14:paraId="47F858B8">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采样日期</w:t>
                  </w:r>
                </w:p>
              </w:tc>
              <w:tc>
                <w:tcPr>
                  <w:tcW w:w="471" w:type="pct"/>
                  <w:vMerge w:val="restart"/>
                  <w:tcBorders>
                    <w:tl2br w:val="nil"/>
                    <w:tr2bl w:val="nil"/>
                  </w:tcBorders>
                  <w:vAlign w:val="center"/>
                </w:tcPr>
                <w:p w14:paraId="5E99CEB1">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监测点</w:t>
                  </w:r>
                </w:p>
              </w:tc>
              <w:tc>
                <w:tcPr>
                  <w:tcW w:w="246" w:type="pct"/>
                  <w:vMerge w:val="restart"/>
                  <w:tcBorders>
                    <w:tl2br w:val="nil"/>
                    <w:tr2bl w:val="nil"/>
                  </w:tcBorders>
                  <w:vAlign w:val="center"/>
                </w:tcPr>
                <w:p w14:paraId="6B01D82D">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污染物</w:t>
                  </w:r>
                </w:p>
              </w:tc>
              <w:tc>
                <w:tcPr>
                  <w:tcW w:w="2145" w:type="pct"/>
                  <w:gridSpan w:val="2"/>
                  <w:tcBorders>
                    <w:tl2br w:val="nil"/>
                    <w:tr2bl w:val="nil"/>
                  </w:tcBorders>
                  <w:vAlign w:val="center"/>
                </w:tcPr>
                <w:p w14:paraId="0BC95A51">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监测结果</w:t>
                  </w:r>
                </w:p>
              </w:tc>
              <w:tc>
                <w:tcPr>
                  <w:tcW w:w="689" w:type="pct"/>
                  <w:vMerge w:val="restart"/>
                  <w:tcBorders>
                    <w:tl2br w:val="nil"/>
                    <w:tr2bl w:val="nil"/>
                  </w:tcBorders>
                  <w:vAlign w:val="center"/>
                </w:tcPr>
                <w:p w14:paraId="2B704AC0">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最高允许排放浓度（mg/m</w:t>
                  </w:r>
                  <w:r>
                    <w:rPr>
                      <w:rFonts w:ascii="Times New Roman" w:cs="Times New Roman"/>
                      <w:b/>
                      <w:color w:val="auto"/>
                      <w:sz w:val="21"/>
                      <w:szCs w:val="21"/>
                      <w:highlight w:val="none"/>
                      <w:vertAlign w:val="superscript"/>
                    </w:rPr>
                    <w:t>3</w:t>
                  </w:r>
                  <w:r>
                    <w:rPr>
                      <w:rFonts w:ascii="Times New Roman" w:cs="Times New Roman"/>
                      <w:b/>
                      <w:color w:val="auto"/>
                      <w:sz w:val="21"/>
                      <w:szCs w:val="21"/>
                      <w:highlight w:val="none"/>
                    </w:rPr>
                    <w:t>）</w:t>
                  </w:r>
                </w:p>
              </w:tc>
              <w:tc>
                <w:tcPr>
                  <w:tcW w:w="586" w:type="pct"/>
                  <w:vMerge w:val="restart"/>
                  <w:tcBorders>
                    <w:tl2br w:val="nil"/>
                    <w:tr2bl w:val="nil"/>
                  </w:tcBorders>
                  <w:vAlign w:val="center"/>
                </w:tcPr>
                <w:p w14:paraId="1B093E19">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最高允许排放速率（kg/h）</w:t>
                  </w:r>
                </w:p>
              </w:tc>
              <w:tc>
                <w:tcPr>
                  <w:tcW w:w="246" w:type="pct"/>
                  <w:vMerge w:val="restart"/>
                  <w:tcBorders>
                    <w:tl2br w:val="nil"/>
                    <w:tr2bl w:val="nil"/>
                  </w:tcBorders>
                  <w:vAlign w:val="center"/>
                </w:tcPr>
                <w:p w14:paraId="27DC78D8">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评价</w:t>
                  </w:r>
                </w:p>
              </w:tc>
            </w:tr>
            <w:tr w14:paraId="1321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3" w:type="pct"/>
                  <w:vMerge w:val="continue"/>
                  <w:tcBorders>
                    <w:tl2br w:val="nil"/>
                    <w:tr2bl w:val="nil"/>
                  </w:tcBorders>
                  <w:vAlign w:val="center"/>
                </w:tcPr>
                <w:p w14:paraId="2F3FA966">
                  <w:pPr>
                    <w:pStyle w:val="91"/>
                    <w:jc w:val="center"/>
                    <w:rPr>
                      <w:rFonts w:ascii="Times New Roman" w:cs="Times New Roman"/>
                      <w:color w:val="auto"/>
                      <w:sz w:val="21"/>
                      <w:szCs w:val="21"/>
                      <w:highlight w:val="none"/>
                    </w:rPr>
                  </w:pPr>
                </w:p>
              </w:tc>
              <w:tc>
                <w:tcPr>
                  <w:tcW w:w="471" w:type="pct"/>
                  <w:vMerge w:val="continue"/>
                  <w:tcBorders>
                    <w:tl2br w:val="nil"/>
                    <w:tr2bl w:val="nil"/>
                  </w:tcBorders>
                  <w:vAlign w:val="center"/>
                </w:tcPr>
                <w:p w14:paraId="4B70AD87">
                  <w:pPr>
                    <w:pStyle w:val="91"/>
                    <w:jc w:val="center"/>
                    <w:rPr>
                      <w:rFonts w:ascii="Times New Roman" w:cs="Times New Roman"/>
                      <w:color w:val="auto"/>
                      <w:sz w:val="21"/>
                      <w:szCs w:val="21"/>
                      <w:highlight w:val="none"/>
                    </w:rPr>
                  </w:pPr>
                </w:p>
              </w:tc>
              <w:tc>
                <w:tcPr>
                  <w:tcW w:w="246" w:type="pct"/>
                  <w:vMerge w:val="continue"/>
                  <w:tcBorders>
                    <w:tl2br w:val="nil"/>
                    <w:tr2bl w:val="nil"/>
                  </w:tcBorders>
                  <w:vAlign w:val="center"/>
                </w:tcPr>
                <w:p w14:paraId="0F03F8AE">
                  <w:pPr>
                    <w:pStyle w:val="91"/>
                    <w:jc w:val="center"/>
                    <w:rPr>
                      <w:rFonts w:ascii="Times New Roman" w:cs="Times New Roman"/>
                      <w:color w:val="auto"/>
                      <w:sz w:val="21"/>
                      <w:szCs w:val="21"/>
                      <w:highlight w:val="none"/>
                    </w:rPr>
                  </w:pPr>
                </w:p>
              </w:tc>
              <w:tc>
                <w:tcPr>
                  <w:tcW w:w="1047" w:type="pct"/>
                  <w:tcBorders>
                    <w:tl2br w:val="nil"/>
                    <w:tr2bl w:val="nil"/>
                  </w:tcBorders>
                  <w:vAlign w:val="center"/>
                </w:tcPr>
                <w:p w14:paraId="5B290A38">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排放浓度（mg/m</w:t>
                  </w:r>
                  <w:r>
                    <w:rPr>
                      <w:rFonts w:ascii="Times New Roman" w:cs="Times New Roman"/>
                      <w:b/>
                      <w:color w:val="auto"/>
                      <w:sz w:val="21"/>
                      <w:szCs w:val="21"/>
                      <w:highlight w:val="none"/>
                      <w:vertAlign w:val="superscript"/>
                    </w:rPr>
                    <w:t>3</w:t>
                  </w:r>
                  <w:r>
                    <w:rPr>
                      <w:rFonts w:ascii="Times New Roman" w:cs="Times New Roman"/>
                      <w:b/>
                      <w:color w:val="auto"/>
                      <w:sz w:val="21"/>
                      <w:szCs w:val="21"/>
                      <w:highlight w:val="none"/>
                    </w:rPr>
                    <w:t>）</w:t>
                  </w:r>
                </w:p>
              </w:tc>
              <w:tc>
                <w:tcPr>
                  <w:tcW w:w="1098" w:type="pct"/>
                  <w:tcBorders>
                    <w:tl2br w:val="nil"/>
                    <w:tr2bl w:val="nil"/>
                  </w:tcBorders>
                  <w:vAlign w:val="center"/>
                </w:tcPr>
                <w:p w14:paraId="29B7C82E">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排放速率（kg/h）</w:t>
                  </w:r>
                </w:p>
              </w:tc>
              <w:tc>
                <w:tcPr>
                  <w:tcW w:w="689" w:type="pct"/>
                  <w:vMerge w:val="continue"/>
                  <w:tcBorders>
                    <w:tl2br w:val="nil"/>
                    <w:tr2bl w:val="nil"/>
                  </w:tcBorders>
                  <w:vAlign w:val="center"/>
                </w:tcPr>
                <w:p w14:paraId="1EB6E4B6">
                  <w:pPr>
                    <w:pStyle w:val="91"/>
                    <w:jc w:val="center"/>
                    <w:rPr>
                      <w:rFonts w:ascii="Times New Roman" w:cs="Times New Roman"/>
                      <w:b/>
                      <w:color w:val="auto"/>
                      <w:sz w:val="21"/>
                      <w:szCs w:val="21"/>
                      <w:highlight w:val="none"/>
                    </w:rPr>
                  </w:pPr>
                </w:p>
              </w:tc>
              <w:tc>
                <w:tcPr>
                  <w:tcW w:w="586" w:type="pct"/>
                  <w:vMerge w:val="continue"/>
                  <w:tcBorders>
                    <w:tl2br w:val="nil"/>
                    <w:tr2bl w:val="nil"/>
                  </w:tcBorders>
                  <w:vAlign w:val="center"/>
                </w:tcPr>
                <w:p w14:paraId="59BBFD8F">
                  <w:pPr>
                    <w:pStyle w:val="91"/>
                    <w:jc w:val="center"/>
                    <w:rPr>
                      <w:rFonts w:ascii="Times New Roman" w:cs="Times New Roman"/>
                      <w:b/>
                      <w:color w:val="auto"/>
                      <w:sz w:val="21"/>
                      <w:szCs w:val="21"/>
                      <w:highlight w:val="none"/>
                    </w:rPr>
                  </w:pPr>
                </w:p>
              </w:tc>
              <w:tc>
                <w:tcPr>
                  <w:tcW w:w="246" w:type="pct"/>
                  <w:vMerge w:val="continue"/>
                  <w:tcBorders>
                    <w:tl2br w:val="nil"/>
                    <w:tr2bl w:val="nil"/>
                  </w:tcBorders>
                  <w:vAlign w:val="center"/>
                </w:tcPr>
                <w:p w14:paraId="110C5DDE">
                  <w:pPr>
                    <w:pStyle w:val="91"/>
                    <w:jc w:val="center"/>
                    <w:rPr>
                      <w:rFonts w:ascii="Times New Roman" w:cs="Times New Roman"/>
                      <w:b/>
                      <w:color w:val="auto"/>
                      <w:sz w:val="21"/>
                      <w:szCs w:val="21"/>
                      <w:highlight w:val="none"/>
                    </w:rPr>
                  </w:pPr>
                </w:p>
              </w:tc>
            </w:tr>
            <w:tr w14:paraId="3A34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13" w:type="pct"/>
                  <w:vMerge w:val="restart"/>
                  <w:tcBorders>
                    <w:tl2br w:val="nil"/>
                    <w:tr2bl w:val="nil"/>
                  </w:tcBorders>
                  <w:vAlign w:val="center"/>
                </w:tcPr>
                <w:p w14:paraId="703A3FBF">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rPr>
                    <w:t>202</w:t>
                  </w:r>
                  <w:r>
                    <w:rPr>
                      <w:rFonts w:hint="eastAsia" w:ascii="Times New Roman" w:cs="Times New Roman"/>
                      <w:bCs/>
                      <w:color w:val="auto"/>
                      <w:sz w:val="21"/>
                      <w:szCs w:val="21"/>
                      <w:highlight w:val="none"/>
                      <w:lang w:val="en-US" w:eastAsia="zh-CN"/>
                    </w:rPr>
                    <w:t>4.1.9、2024.6.19</w:t>
                  </w:r>
                </w:p>
              </w:tc>
              <w:tc>
                <w:tcPr>
                  <w:tcW w:w="471" w:type="pct"/>
                  <w:vMerge w:val="restart"/>
                  <w:tcBorders>
                    <w:tl2br w:val="nil"/>
                    <w:tr2bl w:val="nil"/>
                  </w:tcBorders>
                  <w:vAlign w:val="center"/>
                </w:tcPr>
                <w:p w14:paraId="08DCEA03">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工艺废气排口</w:t>
                  </w:r>
                </w:p>
              </w:tc>
              <w:tc>
                <w:tcPr>
                  <w:tcW w:w="246" w:type="pct"/>
                  <w:tcBorders>
                    <w:tl2br w:val="nil"/>
                    <w:tr2bl w:val="nil"/>
                  </w:tcBorders>
                  <w:vAlign w:val="center"/>
                </w:tcPr>
                <w:p w14:paraId="3C4FEE3A">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非甲烷总烃</w:t>
                  </w:r>
                </w:p>
              </w:tc>
              <w:tc>
                <w:tcPr>
                  <w:tcW w:w="1047" w:type="pct"/>
                  <w:tcBorders>
                    <w:tl2br w:val="nil"/>
                    <w:tr2bl w:val="nil"/>
                  </w:tcBorders>
                  <w:vAlign w:val="center"/>
                </w:tcPr>
                <w:p w14:paraId="4DA96F67">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2.47~10.9</w:t>
                  </w:r>
                </w:p>
              </w:tc>
              <w:tc>
                <w:tcPr>
                  <w:tcW w:w="1098" w:type="pct"/>
                  <w:tcBorders>
                    <w:tl2br w:val="nil"/>
                    <w:tr2bl w:val="nil"/>
                  </w:tcBorders>
                  <w:vAlign w:val="center"/>
                </w:tcPr>
                <w:p w14:paraId="13078E6E">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2.35</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4</w:t>
                  </w:r>
                  <w:r>
                    <w:rPr>
                      <w:rFonts w:hint="eastAsia" w:ascii="Times New Roman" w:cs="Times New Roman"/>
                      <w:bCs/>
                      <w:color w:val="auto"/>
                      <w:sz w:val="21"/>
                      <w:szCs w:val="21"/>
                      <w:highlight w:val="none"/>
                      <w:lang w:val="en-US" w:eastAsia="zh-CN"/>
                    </w:rPr>
                    <w:t>~9.27</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4</w:t>
                  </w:r>
                </w:p>
              </w:tc>
              <w:tc>
                <w:tcPr>
                  <w:tcW w:w="689" w:type="pct"/>
                  <w:tcBorders>
                    <w:tl2br w:val="nil"/>
                    <w:tr2bl w:val="nil"/>
                  </w:tcBorders>
                  <w:vAlign w:val="center"/>
                </w:tcPr>
                <w:p w14:paraId="20877CA7">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60</w:t>
                  </w:r>
                </w:p>
              </w:tc>
              <w:tc>
                <w:tcPr>
                  <w:tcW w:w="586" w:type="pct"/>
                  <w:tcBorders>
                    <w:tl2br w:val="nil"/>
                    <w:tr2bl w:val="nil"/>
                  </w:tcBorders>
                  <w:vAlign w:val="center"/>
                </w:tcPr>
                <w:p w14:paraId="6F37B1C4">
                  <w:pPr>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17.36</w:t>
                  </w:r>
                </w:p>
              </w:tc>
              <w:tc>
                <w:tcPr>
                  <w:tcW w:w="246" w:type="pct"/>
                  <w:tcBorders>
                    <w:tl2br w:val="nil"/>
                    <w:tr2bl w:val="nil"/>
                  </w:tcBorders>
                  <w:vAlign w:val="center"/>
                </w:tcPr>
                <w:p w14:paraId="22619DC1">
                  <w:pPr>
                    <w:pStyle w:val="91"/>
                    <w:jc w:val="center"/>
                    <w:rPr>
                      <w:rFonts w:ascii="Times New Roman" w:cs="Times New Roman"/>
                      <w:bCs/>
                      <w:color w:val="auto"/>
                      <w:sz w:val="21"/>
                      <w:szCs w:val="21"/>
                      <w:highlight w:val="none"/>
                    </w:rPr>
                  </w:pPr>
                  <w:r>
                    <w:rPr>
                      <w:rFonts w:ascii="Times New Roman" w:cs="Times New Roman"/>
                      <w:bCs/>
                      <w:color w:val="auto"/>
                      <w:sz w:val="21"/>
                      <w:szCs w:val="21"/>
                      <w:highlight w:val="none"/>
                    </w:rPr>
                    <w:t>达标</w:t>
                  </w:r>
                </w:p>
              </w:tc>
            </w:tr>
            <w:tr w14:paraId="62DA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13" w:type="pct"/>
                  <w:vMerge w:val="continue"/>
                  <w:tcBorders>
                    <w:tl2br w:val="nil"/>
                    <w:tr2bl w:val="nil"/>
                  </w:tcBorders>
                  <w:vAlign w:val="center"/>
                </w:tcPr>
                <w:p w14:paraId="771F6FDF">
                  <w:pPr>
                    <w:pStyle w:val="91"/>
                    <w:jc w:val="center"/>
                    <w:rPr>
                      <w:rFonts w:hint="eastAsia" w:ascii="Times New Roman" w:cs="Times New Roman"/>
                      <w:bCs/>
                      <w:color w:val="auto"/>
                      <w:sz w:val="21"/>
                      <w:szCs w:val="21"/>
                      <w:highlight w:val="none"/>
                      <w:lang w:val="en-US" w:eastAsia="zh-CN"/>
                    </w:rPr>
                  </w:pPr>
                </w:p>
              </w:tc>
              <w:tc>
                <w:tcPr>
                  <w:tcW w:w="471" w:type="pct"/>
                  <w:vMerge w:val="continue"/>
                  <w:tcBorders>
                    <w:tl2br w:val="nil"/>
                    <w:tr2bl w:val="nil"/>
                  </w:tcBorders>
                  <w:vAlign w:val="center"/>
                </w:tcPr>
                <w:p w14:paraId="515BDD16">
                  <w:pPr>
                    <w:pStyle w:val="91"/>
                    <w:jc w:val="center"/>
                    <w:rPr>
                      <w:rFonts w:ascii="Times New Roman" w:cs="Times New Roman"/>
                      <w:bCs/>
                      <w:color w:val="auto"/>
                      <w:sz w:val="21"/>
                      <w:szCs w:val="21"/>
                      <w:highlight w:val="none"/>
                    </w:rPr>
                  </w:pPr>
                </w:p>
              </w:tc>
              <w:tc>
                <w:tcPr>
                  <w:tcW w:w="246" w:type="pct"/>
                  <w:tcBorders>
                    <w:tl2br w:val="nil"/>
                    <w:tr2bl w:val="nil"/>
                  </w:tcBorders>
                  <w:vAlign w:val="center"/>
                </w:tcPr>
                <w:p w14:paraId="56E8CB2D">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氨</w:t>
                  </w:r>
                </w:p>
              </w:tc>
              <w:tc>
                <w:tcPr>
                  <w:tcW w:w="1047" w:type="pct"/>
                  <w:tcBorders>
                    <w:tl2br w:val="nil"/>
                    <w:tr2bl w:val="nil"/>
                  </w:tcBorders>
                  <w:vAlign w:val="center"/>
                </w:tcPr>
                <w:p w14:paraId="5AF21EFC">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3.36</w:t>
                  </w:r>
                  <w:r>
                    <w:rPr>
                      <w:rFonts w:ascii="Times New Roman" w:cs="Times New Roman"/>
                      <w:bCs/>
                      <w:color w:val="auto"/>
                      <w:sz w:val="21"/>
                      <w:szCs w:val="21"/>
                      <w:highlight w:val="none"/>
                    </w:rPr>
                    <w:t>×10</w:t>
                  </w:r>
                  <w:r>
                    <w:rPr>
                      <w:rFonts w:hint="eastAsia" w:ascii="Times New Roman" w:cs="Times New Roman"/>
                      <w:bCs/>
                      <w:color w:val="auto"/>
                      <w:sz w:val="21"/>
                      <w:szCs w:val="21"/>
                      <w:highlight w:val="none"/>
                      <w:vertAlign w:val="superscript"/>
                      <w:lang w:val="en-US" w:eastAsia="zh-CN"/>
                    </w:rPr>
                    <w:t>3</w:t>
                  </w:r>
                  <w:r>
                    <w:rPr>
                      <w:rFonts w:hint="eastAsia" w:ascii="Times New Roman" w:cs="Times New Roman"/>
                      <w:bCs/>
                      <w:color w:val="auto"/>
                      <w:sz w:val="21"/>
                      <w:szCs w:val="21"/>
                      <w:highlight w:val="none"/>
                      <w:lang w:val="en-US" w:eastAsia="zh-CN"/>
                    </w:rPr>
                    <w:t>~4.85</w:t>
                  </w:r>
                  <w:r>
                    <w:rPr>
                      <w:rFonts w:ascii="Times New Roman" w:cs="Times New Roman"/>
                      <w:bCs/>
                      <w:color w:val="auto"/>
                      <w:sz w:val="21"/>
                      <w:szCs w:val="21"/>
                      <w:highlight w:val="none"/>
                    </w:rPr>
                    <w:t>×10</w:t>
                  </w:r>
                  <w:r>
                    <w:rPr>
                      <w:rFonts w:hint="eastAsia" w:ascii="Times New Roman" w:cs="Times New Roman"/>
                      <w:bCs/>
                      <w:color w:val="auto"/>
                      <w:sz w:val="21"/>
                      <w:szCs w:val="21"/>
                      <w:highlight w:val="none"/>
                      <w:vertAlign w:val="superscript"/>
                      <w:lang w:val="en-US" w:eastAsia="zh-CN"/>
                    </w:rPr>
                    <w:t>3</w:t>
                  </w:r>
                </w:p>
              </w:tc>
              <w:tc>
                <w:tcPr>
                  <w:tcW w:w="1098" w:type="pct"/>
                  <w:tcBorders>
                    <w:tl2br w:val="nil"/>
                    <w:tr2bl w:val="nil"/>
                  </w:tcBorders>
                  <w:vAlign w:val="center"/>
                </w:tcPr>
                <w:p w14:paraId="2ED0FCCD">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0.195~0.412</w:t>
                  </w:r>
                </w:p>
              </w:tc>
              <w:tc>
                <w:tcPr>
                  <w:tcW w:w="689" w:type="pct"/>
                  <w:tcBorders>
                    <w:tl2br w:val="nil"/>
                    <w:tr2bl w:val="nil"/>
                  </w:tcBorders>
                  <w:vAlign w:val="center"/>
                </w:tcPr>
                <w:p w14:paraId="1745EECF">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w:t>
                  </w:r>
                </w:p>
              </w:tc>
              <w:tc>
                <w:tcPr>
                  <w:tcW w:w="586" w:type="pct"/>
                  <w:tcBorders>
                    <w:tl2br w:val="nil"/>
                    <w:tr2bl w:val="nil"/>
                  </w:tcBorders>
                  <w:vAlign w:val="center"/>
                </w:tcPr>
                <w:p w14:paraId="4F6CDDFD">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4.9</w:t>
                  </w:r>
                </w:p>
              </w:tc>
              <w:tc>
                <w:tcPr>
                  <w:tcW w:w="246" w:type="pct"/>
                  <w:tcBorders>
                    <w:tl2br w:val="nil"/>
                    <w:tr2bl w:val="nil"/>
                  </w:tcBorders>
                  <w:vAlign w:val="center"/>
                </w:tcPr>
                <w:p w14:paraId="25551B43">
                  <w:pPr>
                    <w:pStyle w:val="91"/>
                    <w:jc w:val="center"/>
                    <w:rPr>
                      <w:rFonts w:ascii="Times New Roman" w:cs="Times New Roman"/>
                      <w:bCs/>
                      <w:color w:val="auto"/>
                      <w:sz w:val="21"/>
                      <w:szCs w:val="21"/>
                      <w:highlight w:val="none"/>
                    </w:rPr>
                  </w:pPr>
                  <w:r>
                    <w:rPr>
                      <w:rFonts w:ascii="Times New Roman" w:cs="Times New Roman"/>
                      <w:bCs/>
                      <w:color w:val="auto"/>
                      <w:sz w:val="21"/>
                      <w:szCs w:val="21"/>
                      <w:highlight w:val="none"/>
                    </w:rPr>
                    <w:t>达标</w:t>
                  </w:r>
                </w:p>
              </w:tc>
            </w:tr>
            <w:tr w14:paraId="09C2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13" w:type="pct"/>
                  <w:vMerge w:val="continue"/>
                  <w:tcBorders>
                    <w:tl2br w:val="nil"/>
                    <w:tr2bl w:val="nil"/>
                  </w:tcBorders>
                  <w:vAlign w:val="center"/>
                </w:tcPr>
                <w:p w14:paraId="36492423">
                  <w:pPr>
                    <w:pStyle w:val="91"/>
                    <w:jc w:val="center"/>
                    <w:rPr>
                      <w:rFonts w:hint="default" w:ascii="Times New Roman" w:eastAsia="宋体" w:cs="Times New Roman"/>
                      <w:bCs/>
                      <w:color w:val="auto"/>
                      <w:sz w:val="21"/>
                      <w:szCs w:val="21"/>
                      <w:highlight w:val="none"/>
                      <w:lang w:val="en-US" w:eastAsia="zh-CN"/>
                    </w:rPr>
                  </w:pPr>
                </w:p>
              </w:tc>
              <w:tc>
                <w:tcPr>
                  <w:tcW w:w="471" w:type="pct"/>
                  <w:vMerge w:val="restart"/>
                  <w:tcBorders>
                    <w:tl2br w:val="nil"/>
                    <w:tr2bl w:val="nil"/>
                  </w:tcBorders>
                  <w:vAlign w:val="center"/>
                </w:tcPr>
                <w:p w14:paraId="59DCED09">
                  <w:pPr>
                    <w:pStyle w:val="91"/>
                    <w:jc w:val="center"/>
                    <w:rPr>
                      <w:rFonts w:ascii="Times New Roman" w:cs="Times New Roman"/>
                      <w:bCs/>
                      <w:color w:val="auto"/>
                      <w:sz w:val="21"/>
                      <w:szCs w:val="21"/>
                      <w:highlight w:val="none"/>
                    </w:rPr>
                  </w:pPr>
                  <w:r>
                    <w:rPr>
                      <w:color w:val="auto"/>
                      <w:spacing w:val="1"/>
                      <w:sz w:val="21"/>
                      <w:szCs w:val="21"/>
                      <w:highlight w:val="none"/>
                    </w:rPr>
                    <w:t>锅炉</w:t>
                  </w:r>
                  <w:r>
                    <w:rPr>
                      <w:rFonts w:hint="eastAsia"/>
                      <w:color w:val="auto"/>
                      <w:spacing w:val="1"/>
                      <w:sz w:val="21"/>
                      <w:szCs w:val="21"/>
                      <w:highlight w:val="none"/>
                      <w:lang w:val="en-US" w:eastAsia="zh-CN"/>
                    </w:rPr>
                    <w:t>废气排口</w:t>
                  </w:r>
                </w:p>
              </w:tc>
              <w:tc>
                <w:tcPr>
                  <w:tcW w:w="246" w:type="pct"/>
                  <w:tcBorders>
                    <w:tl2br w:val="nil"/>
                    <w:tr2bl w:val="nil"/>
                  </w:tcBorders>
                  <w:vAlign w:val="center"/>
                </w:tcPr>
                <w:p w14:paraId="2A51A4A1">
                  <w:pPr>
                    <w:pStyle w:val="91"/>
                    <w:jc w:val="center"/>
                    <w:rPr>
                      <w:rFonts w:hint="eastAsia" w:asci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val="en-US" w:eastAsia="zh-CN"/>
                    </w:rPr>
                    <w:t>颗粒物</w:t>
                  </w:r>
                </w:p>
              </w:tc>
              <w:tc>
                <w:tcPr>
                  <w:tcW w:w="1047" w:type="pct"/>
                  <w:tcBorders>
                    <w:tl2br w:val="nil"/>
                    <w:tr2bl w:val="nil"/>
                  </w:tcBorders>
                  <w:vAlign w:val="center"/>
                </w:tcPr>
                <w:p w14:paraId="7A6D7731">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1.4~1.7</w:t>
                  </w:r>
                </w:p>
              </w:tc>
              <w:tc>
                <w:tcPr>
                  <w:tcW w:w="1098" w:type="pct"/>
                  <w:tcBorders>
                    <w:tl2br w:val="nil"/>
                    <w:tr2bl w:val="nil"/>
                  </w:tcBorders>
                  <w:vAlign w:val="center"/>
                </w:tcPr>
                <w:p w14:paraId="1D37C2CB">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3.61</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3</w:t>
                  </w:r>
                  <w:r>
                    <w:rPr>
                      <w:rFonts w:hint="eastAsia" w:ascii="Times New Roman" w:cs="Times New Roman"/>
                      <w:bCs/>
                      <w:color w:val="auto"/>
                      <w:sz w:val="21"/>
                      <w:szCs w:val="21"/>
                      <w:highlight w:val="none"/>
                      <w:vertAlign w:val="baseline"/>
                      <w:lang w:val="en-US" w:eastAsia="zh-CN"/>
                    </w:rPr>
                    <w:t>~4.08</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3</w:t>
                  </w:r>
                </w:p>
              </w:tc>
              <w:tc>
                <w:tcPr>
                  <w:tcW w:w="689" w:type="pct"/>
                  <w:tcBorders>
                    <w:tl2br w:val="nil"/>
                    <w:tr2bl w:val="nil"/>
                  </w:tcBorders>
                  <w:vAlign w:val="center"/>
                </w:tcPr>
                <w:p w14:paraId="67DB4B4D">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20</w:t>
                  </w:r>
                </w:p>
              </w:tc>
              <w:tc>
                <w:tcPr>
                  <w:tcW w:w="586" w:type="pct"/>
                  <w:tcBorders>
                    <w:tl2br w:val="nil"/>
                    <w:tr2bl w:val="nil"/>
                  </w:tcBorders>
                  <w:vAlign w:val="center"/>
                </w:tcPr>
                <w:p w14:paraId="7C3D6C90">
                  <w:pPr>
                    <w:pStyle w:val="91"/>
                    <w:jc w:val="center"/>
                    <w:rPr>
                      <w:rFonts w:hint="eastAsia"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w:t>
                  </w:r>
                </w:p>
              </w:tc>
              <w:tc>
                <w:tcPr>
                  <w:tcW w:w="246" w:type="pct"/>
                  <w:tcBorders>
                    <w:tl2br w:val="nil"/>
                    <w:tr2bl w:val="nil"/>
                  </w:tcBorders>
                  <w:vAlign w:val="center"/>
                </w:tcPr>
                <w:p w14:paraId="5AF5A2AB">
                  <w:pPr>
                    <w:jc w:val="center"/>
                    <w:rPr>
                      <w:bCs/>
                      <w:color w:val="auto"/>
                      <w:sz w:val="21"/>
                      <w:szCs w:val="21"/>
                      <w:highlight w:val="none"/>
                    </w:rPr>
                  </w:pPr>
                  <w:r>
                    <w:rPr>
                      <w:rFonts w:hint="eastAsia"/>
                      <w:bCs/>
                      <w:color w:val="auto"/>
                      <w:sz w:val="21"/>
                      <w:szCs w:val="21"/>
                      <w:highlight w:val="none"/>
                    </w:rPr>
                    <w:t>达标</w:t>
                  </w:r>
                </w:p>
              </w:tc>
            </w:tr>
            <w:tr w14:paraId="2EFB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13" w:type="pct"/>
                  <w:vMerge w:val="continue"/>
                  <w:tcBorders>
                    <w:tl2br w:val="nil"/>
                    <w:tr2bl w:val="nil"/>
                  </w:tcBorders>
                  <w:vAlign w:val="center"/>
                </w:tcPr>
                <w:p w14:paraId="54C4420C">
                  <w:pPr>
                    <w:pStyle w:val="91"/>
                    <w:jc w:val="center"/>
                    <w:rPr>
                      <w:rFonts w:hint="default" w:ascii="Times New Roman" w:eastAsia="宋体" w:cs="Times New Roman"/>
                      <w:bCs/>
                      <w:color w:val="auto"/>
                      <w:sz w:val="21"/>
                      <w:szCs w:val="21"/>
                      <w:highlight w:val="none"/>
                      <w:lang w:val="en-US" w:eastAsia="zh-CN"/>
                    </w:rPr>
                  </w:pPr>
                </w:p>
              </w:tc>
              <w:tc>
                <w:tcPr>
                  <w:tcW w:w="471" w:type="pct"/>
                  <w:vMerge w:val="continue"/>
                  <w:tcBorders>
                    <w:tl2br w:val="nil"/>
                    <w:tr2bl w:val="nil"/>
                  </w:tcBorders>
                  <w:vAlign w:val="center"/>
                </w:tcPr>
                <w:p w14:paraId="1296DC74">
                  <w:pPr>
                    <w:pStyle w:val="91"/>
                    <w:jc w:val="center"/>
                    <w:rPr>
                      <w:rFonts w:ascii="Times New Roman" w:cs="Times New Roman"/>
                      <w:bCs/>
                      <w:color w:val="auto"/>
                      <w:sz w:val="21"/>
                      <w:szCs w:val="21"/>
                      <w:highlight w:val="none"/>
                    </w:rPr>
                  </w:pPr>
                </w:p>
              </w:tc>
              <w:tc>
                <w:tcPr>
                  <w:tcW w:w="246" w:type="pct"/>
                  <w:tcBorders>
                    <w:tl2br w:val="nil"/>
                    <w:tr2bl w:val="nil"/>
                  </w:tcBorders>
                  <w:vAlign w:val="center"/>
                </w:tcPr>
                <w:p w14:paraId="1DB97564">
                  <w:pPr>
                    <w:pStyle w:val="91"/>
                    <w:jc w:val="center"/>
                    <w:rPr>
                      <w:rFonts w:hint="eastAsia"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二氧化硫</w:t>
                  </w:r>
                </w:p>
              </w:tc>
              <w:tc>
                <w:tcPr>
                  <w:tcW w:w="1047" w:type="pct"/>
                  <w:tcBorders>
                    <w:tl2br w:val="nil"/>
                    <w:tr2bl w:val="nil"/>
                  </w:tcBorders>
                  <w:vAlign w:val="center"/>
                </w:tcPr>
                <w:p w14:paraId="0139DDB2">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ND</w:t>
                  </w:r>
                </w:p>
              </w:tc>
              <w:tc>
                <w:tcPr>
                  <w:tcW w:w="1098" w:type="pct"/>
                  <w:tcBorders>
                    <w:tl2br w:val="nil"/>
                    <w:tr2bl w:val="nil"/>
                  </w:tcBorders>
                  <w:vAlign w:val="center"/>
                </w:tcPr>
                <w:p w14:paraId="53BBB305">
                  <w:pPr>
                    <w:jc w:val="center"/>
                    <w:rPr>
                      <w:rFonts w:hint="eastAsia" w:asci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val="en-US" w:eastAsia="zh-CN"/>
                    </w:rPr>
                    <w:t>/</w:t>
                  </w:r>
                </w:p>
              </w:tc>
              <w:tc>
                <w:tcPr>
                  <w:tcW w:w="689" w:type="pct"/>
                  <w:tcBorders>
                    <w:tl2br w:val="nil"/>
                    <w:tr2bl w:val="nil"/>
                  </w:tcBorders>
                  <w:vAlign w:val="center"/>
                </w:tcPr>
                <w:p w14:paraId="7FFD1B81">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5</w:t>
                  </w:r>
                  <w:r>
                    <w:rPr>
                      <w:rFonts w:hint="eastAsia" w:ascii="Times New Roman" w:cs="Times New Roman"/>
                      <w:bCs/>
                      <w:color w:val="auto"/>
                      <w:sz w:val="21"/>
                      <w:szCs w:val="21"/>
                      <w:highlight w:val="none"/>
                    </w:rPr>
                    <w:t>0</w:t>
                  </w:r>
                </w:p>
              </w:tc>
              <w:tc>
                <w:tcPr>
                  <w:tcW w:w="586" w:type="pct"/>
                  <w:tcBorders>
                    <w:tl2br w:val="nil"/>
                    <w:tr2bl w:val="nil"/>
                  </w:tcBorders>
                  <w:vAlign w:val="center"/>
                </w:tcPr>
                <w:p w14:paraId="66318CF7">
                  <w:pPr>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w:t>
                  </w:r>
                </w:p>
              </w:tc>
              <w:tc>
                <w:tcPr>
                  <w:tcW w:w="246" w:type="pct"/>
                  <w:tcBorders>
                    <w:tl2br w:val="nil"/>
                    <w:tr2bl w:val="nil"/>
                  </w:tcBorders>
                  <w:vAlign w:val="center"/>
                </w:tcPr>
                <w:p w14:paraId="2099705E">
                  <w:pPr>
                    <w:jc w:val="center"/>
                    <w:rPr>
                      <w:bCs/>
                      <w:color w:val="auto"/>
                      <w:sz w:val="21"/>
                      <w:szCs w:val="21"/>
                      <w:highlight w:val="none"/>
                    </w:rPr>
                  </w:pPr>
                  <w:r>
                    <w:rPr>
                      <w:rFonts w:hint="eastAsia"/>
                      <w:bCs/>
                      <w:color w:val="auto"/>
                      <w:sz w:val="21"/>
                      <w:szCs w:val="21"/>
                      <w:highlight w:val="none"/>
                    </w:rPr>
                    <w:t>达标</w:t>
                  </w:r>
                </w:p>
              </w:tc>
            </w:tr>
            <w:tr w14:paraId="6A7F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13" w:type="pct"/>
                  <w:vMerge w:val="continue"/>
                  <w:tcBorders>
                    <w:tl2br w:val="nil"/>
                    <w:tr2bl w:val="nil"/>
                  </w:tcBorders>
                  <w:vAlign w:val="center"/>
                </w:tcPr>
                <w:p w14:paraId="5327E45A">
                  <w:pPr>
                    <w:pStyle w:val="91"/>
                    <w:jc w:val="center"/>
                    <w:rPr>
                      <w:rFonts w:hint="default" w:ascii="Times New Roman" w:eastAsia="宋体" w:cs="Times New Roman"/>
                      <w:bCs/>
                      <w:color w:val="auto"/>
                      <w:sz w:val="21"/>
                      <w:szCs w:val="21"/>
                      <w:highlight w:val="none"/>
                      <w:lang w:val="en-US" w:eastAsia="zh-CN"/>
                    </w:rPr>
                  </w:pPr>
                </w:p>
              </w:tc>
              <w:tc>
                <w:tcPr>
                  <w:tcW w:w="471" w:type="pct"/>
                  <w:vMerge w:val="continue"/>
                  <w:tcBorders>
                    <w:tl2br w:val="nil"/>
                    <w:tr2bl w:val="nil"/>
                  </w:tcBorders>
                  <w:vAlign w:val="center"/>
                </w:tcPr>
                <w:p w14:paraId="33E01F1D">
                  <w:pPr>
                    <w:pStyle w:val="91"/>
                    <w:jc w:val="center"/>
                    <w:rPr>
                      <w:rFonts w:ascii="Times New Roman" w:cs="Times New Roman"/>
                      <w:bCs/>
                      <w:color w:val="auto"/>
                      <w:sz w:val="21"/>
                      <w:szCs w:val="21"/>
                      <w:highlight w:val="none"/>
                    </w:rPr>
                  </w:pPr>
                </w:p>
              </w:tc>
              <w:tc>
                <w:tcPr>
                  <w:tcW w:w="246" w:type="pct"/>
                  <w:tcBorders>
                    <w:tl2br w:val="nil"/>
                    <w:tr2bl w:val="nil"/>
                  </w:tcBorders>
                  <w:vAlign w:val="center"/>
                </w:tcPr>
                <w:p w14:paraId="508CE160">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氮氧化物</w:t>
                  </w:r>
                </w:p>
              </w:tc>
              <w:tc>
                <w:tcPr>
                  <w:tcW w:w="1047" w:type="pct"/>
                  <w:tcBorders>
                    <w:tl2br w:val="nil"/>
                    <w:tr2bl w:val="nil"/>
                  </w:tcBorders>
                  <w:vAlign w:val="center"/>
                </w:tcPr>
                <w:p w14:paraId="0298F377">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25~29</w:t>
                  </w:r>
                </w:p>
              </w:tc>
              <w:tc>
                <w:tcPr>
                  <w:tcW w:w="1098" w:type="pct"/>
                  <w:tcBorders>
                    <w:tl2br w:val="nil"/>
                    <w:tr2bl w:val="nil"/>
                  </w:tcBorders>
                  <w:vAlign w:val="center"/>
                </w:tcPr>
                <w:p w14:paraId="4A89EBFB">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0.076~0.130</w:t>
                  </w:r>
                </w:p>
              </w:tc>
              <w:tc>
                <w:tcPr>
                  <w:tcW w:w="689" w:type="pct"/>
                  <w:tcBorders>
                    <w:tl2br w:val="nil"/>
                    <w:tr2bl w:val="nil"/>
                  </w:tcBorders>
                  <w:vAlign w:val="center"/>
                </w:tcPr>
                <w:p w14:paraId="28AB25EA">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150</w:t>
                  </w:r>
                </w:p>
              </w:tc>
              <w:tc>
                <w:tcPr>
                  <w:tcW w:w="586" w:type="pct"/>
                  <w:tcBorders>
                    <w:tl2br w:val="nil"/>
                    <w:tr2bl w:val="nil"/>
                  </w:tcBorders>
                  <w:vAlign w:val="center"/>
                </w:tcPr>
                <w:p w14:paraId="1C9DC60D">
                  <w:pPr>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w:t>
                  </w:r>
                </w:p>
              </w:tc>
              <w:tc>
                <w:tcPr>
                  <w:tcW w:w="246" w:type="pct"/>
                  <w:tcBorders>
                    <w:tl2br w:val="nil"/>
                    <w:tr2bl w:val="nil"/>
                  </w:tcBorders>
                  <w:vAlign w:val="center"/>
                </w:tcPr>
                <w:p w14:paraId="136FB4C6">
                  <w:pPr>
                    <w:jc w:val="center"/>
                    <w:rPr>
                      <w:bCs/>
                      <w:color w:val="auto"/>
                      <w:sz w:val="21"/>
                      <w:szCs w:val="21"/>
                      <w:highlight w:val="none"/>
                    </w:rPr>
                  </w:pPr>
                  <w:r>
                    <w:rPr>
                      <w:bCs/>
                      <w:color w:val="auto"/>
                      <w:sz w:val="21"/>
                      <w:szCs w:val="21"/>
                      <w:highlight w:val="none"/>
                    </w:rPr>
                    <w:t>达标</w:t>
                  </w:r>
                </w:p>
              </w:tc>
            </w:tr>
            <w:tr w14:paraId="226E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13" w:type="pct"/>
                  <w:vMerge w:val="continue"/>
                  <w:tcBorders>
                    <w:tl2br w:val="nil"/>
                    <w:tr2bl w:val="nil"/>
                  </w:tcBorders>
                  <w:vAlign w:val="center"/>
                </w:tcPr>
                <w:p w14:paraId="1F91AEB0">
                  <w:pPr>
                    <w:pStyle w:val="91"/>
                    <w:jc w:val="center"/>
                    <w:rPr>
                      <w:rFonts w:hint="default" w:ascii="Times New Roman" w:eastAsia="宋体" w:cs="Times New Roman"/>
                      <w:bCs/>
                      <w:color w:val="auto"/>
                      <w:sz w:val="21"/>
                      <w:szCs w:val="21"/>
                      <w:highlight w:val="none"/>
                      <w:lang w:val="en-US" w:eastAsia="zh-CN"/>
                    </w:rPr>
                  </w:pPr>
                </w:p>
              </w:tc>
              <w:tc>
                <w:tcPr>
                  <w:tcW w:w="471" w:type="pct"/>
                  <w:vMerge w:val="restart"/>
                  <w:tcBorders>
                    <w:tl2br w:val="nil"/>
                    <w:tr2bl w:val="nil"/>
                  </w:tcBorders>
                  <w:vAlign w:val="center"/>
                </w:tcPr>
                <w:p w14:paraId="50B44970">
                  <w:pPr>
                    <w:pStyle w:val="91"/>
                    <w:jc w:val="center"/>
                    <w:rPr>
                      <w:rFonts w:ascii="Times New Roman" w:cs="Times New Roman"/>
                      <w:bCs/>
                      <w:color w:val="auto"/>
                      <w:sz w:val="21"/>
                      <w:szCs w:val="21"/>
                      <w:highlight w:val="none"/>
                    </w:rPr>
                  </w:pPr>
                  <w:r>
                    <w:rPr>
                      <w:color w:val="auto"/>
                      <w:sz w:val="21"/>
                      <w:szCs w:val="21"/>
                      <w:highlight w:val="none"/>
                    </w:rPr>
                    <w:t>污水处理站</w:t>
                  </w:r>
                  <w:r>
                    <w:rPr>
                      <w:rFonts w:hint="eastAsia"/>
                      <w:color w:val="auto"/>
                      <w:sz w:val="21"/>
                      <w:szCs w:val="21"/>
                      <w:highlight w:val="none"/>
                      <w:lang w:val="en-US" w:eastAsia="zh-CN"/>
                    </w:rPr>
                    <w:t>废气排</w:t>
                  </w:r>
                  <w:r>
                    <w:rPr>
                      <w:color w:val="auto"/>
                      <w:sz w:val="21"/>
                      <w:szCs w:val="21"/>
                      <w:highlight w:val="none"/>
                    </w:rPr>
                    <w:t>口</w:t>
                  </w:r>
                </w:p>
              </w:tc>
              <w:tc>
                <w:tcPr>
                  <w:tcW w:w="246" w:type="pct"/>
                  <w:tcBorders>
                    <w:tl2br w:val="nil"/>
                    <w:tr2bl w:val="nil"/>
                  </w:tcBorders>
                  <w:vAlign w:val="center"/>
                </w:tcPr>
                <w:p w14:paraId="553EA54A">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非甲烷总烃</w:t>
                  </w:r>
                </w:p>
              </w:tc>
              <w:tc>
                <w:tcPr>
                  <w:tcW w:w="1047" w:type="pct"/>
                  <w:tcBorders>
                    <w:tl2br w:val="nil"/>
                    <w:tr2bl w:val="nil"/>
                  </w:tcBorders>
                  <w:vAlign w:val="center"/>
                </w:tcPr>
                <w:p w14:paraId="74DB7723">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1.86~7.68</w:t>
                  </w:r>
                </w:p>
              </w:tc>
              <w:tc>
                <w:tcPr>
                  <w:tcW w:w="1098" w:type="pct"/>
                  <w:tcBorders>
                    <w:tl2br w:val="nil"/>
                    <w:tr2bl w:val="nil"/>
                  </w:tcBorders>
                  <w:vAlign w:val="center"/>
                </w:tcPr>
                <w:p w14:paraId="613E3A0F">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vertAlign w:val="baseline"/>
                      <w:lang w:val="en-US" w:eastAsia="zh-CN"/>
                    </w:rPr>
                    <w:t>6.8</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3</w:t>
                  </w:r>
                  <w:r>
                    <w:rPr>
                      <w:rFonts w:hint="eastAsia" w:ascii="Times New Roman" w:cs="Times New Roman"/>
                      <w:bCs/>
                      <w:color w:val="auto"/>
                      <w:sz w:val="21"/>
                      <w:szCs w:val="21"/>
                      <w:highlight w:val="none"/>
                      <w:lang w:val="en-US" w:eastAsia="zh-CN"/>
                    </w:rPr>
                    <w:t>~0.021</w:t>
                  </w:r>
                </w:p>
              </w:tc>
              <w:tc>
                <w:tcPr>
                  <w:tcW w:w="689" w:type="pct"/>
                  <w:tcBorders>
                    <w:tl2br w:val="nil"/>
                    <w:tr2bl w:val="nil"/>
                  </w:tcBorders>
                  <w:vAlign w:val="center"/>
                </w:tcPr>
                <w:p w14:paraId="6C257918">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60</w:t>
                  </w:r>
                </w:p>
              </w:tc>
              <w:tc>
                <w:tcPr>
                  <w:tcW w:w="586" w:type="pct"/>
                  <w:tcBorders>
                    <w:tl2br w:val="nil"/>
                    <w:tr2bl w:val="nil"/>
                  </w:tcBorders>
                  <w:vAlign w:val="center"/>
                </w:tcPr>
                <w:p w14:paraId="27726C62">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3.4</w:t>
                  </w:r>
                </w:p>
              </w:tc>
              <w:tc>
                <w:tcPr>
                  <w:tcW w:w="246" w:type="pct"/>
                  <w:tcBorders>
                    <w:tl2br w:val="nil"/>
                    <w:tr2bl w:val="nil"/>
                  </w:tcBorders>
                  <w:vAlign w:val="center"/>
                </w:tcPr>
                <w:p w14:paraId="6B8FCBD7">
                  <w:pPr>
                    <w:jc w:val="center"/>
                    <w:rPr>
                      <w:bCs/>
                      <w:color w:val="auto"/>
                      <w:sz w:val="21"/>
                      <w:szCs w:val="21"/>
                      <w:highlight w:val="none"/>
                    </w:rPr>
                  </w:pPr>
                  <w:r>
                    <w:rPr>
                      <w:bCs/>
                      <w:color w:val="auto"/>
                      <w:sz w:val="21"/>
                      <w:szCs w:val="21"/>
                      <w:highlight w:val="none"/>
                    </w:rPr>
                    <w:t>达标</w:t>
                  </w:r>
                </w:p>
              </w:tc>
            </w:tr>
            <w:tr w14:paraId="231C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13" w:type="pct"/>
                  <w:vMerge w:val="continue"/>
                  <w:tcBorders>
                    <w:tl2br w:val="nil"/>
                    <w:tr2bl w:val="nil"/>
                  </w:tcBorders>
                  <w:vAlign w:val="center"/>
                </w:tcPr>
                <w:p w14:paraId="24926F1F">
                  <w:pPr>
                    <w:pStyle w:val="91"/>
                    <w:jc w:val="center"/>
                    <w:rPr>
                      <w:rFonts w:hint="default" w:ascii="Times New Roman" w:eastAsia="宋体" w:cs="Times New Roman"/>
                      <w:bCs/>
                      <w:color w:val="auto"/>
                      <w:sz w:val="21"/>
                      <w:szCs w:val="21"/>
                      <w:highlight w:val="none"/>
                      <w:lang w:val="en-US" w:eastAsia="zh-CN"/>
                    </w:rPr>
                  </w:pPr>
                </w:p>
              </w:tc>
              <w:tc>
                <w:tcPr>
                  <w:tcW w:w="471" w:type="pct"/>
                  <w:vMerge w:val="continue"/>
                  <w:tcBorders>
                    <w:tl2br w:val="nil"/>
                    <w:tr2bl w:val="nil"/>
                  </w:tcBorders>
                  <w:vAlign w:val="center"/>
                </w:tcPr>
                <w:p w14:paraId="6654857B">
                  <w:pPr>
                    <w:pStyle w:val="91"/>
                    <w:jc w:val="center"/>
                    <w:rPr>
                      <w:rFonts w:ascii="Times New Roman" w:cs="Times New Roman"/>
                      <w:bCs/>
                      <w:color w:val="auto"/>
                      <w:sz w:val="21"/>
                      <w:szCs w:val="21"/>
                      <w:highlight w:val="none"/>
                    </w:rPr>
                  </w:pPr>
                </w:p>
              </w:tc>
              <w:tc>
                <w:tcPr>
                  <w:tcW w:w="246" w:type="pct"/>
                  <w:tcBorders>
                    <w:tl2br w:val="nil"/>
                    <w:tr2bl w:val="nil"/>
                  </w:tcBorders>
                  <w:vAlign w:val="center"/>
                </w:tcPr>
                <w:p w14:paraId="1C01E6D2">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硫化氢</w:t>
                  </w:r>
                </w:p>
              </w:tc>
              <w:tc>
                <w:tcPr>
                  <w:tcW w:w="1047" w:type="pct"/>
                  <w:tcBorders>
                    <w:tl2br w:val="nil"/>
                    <w:tr2bl w:val="nil"/>
                  </w:tcBorders>
                  <w:vAlign w:val="center"/>
                </w:tcPr>
                <w:p w14:paraId="1AAEEFE8">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0.01~0.08</w:t>
                  </w:r>
                </w:p>
              </w:tc>
              <w:tc>
                <w:tcPr>
                  <w:tcW w:w="1098" w:type="pct"/>
                  <w:tcBorders>
                    <w:tl2br w:val="nil"/>
                    <w:tr2bl w:val="nil"/>
                  </w:tcBorders>
                  <w:vAlign w:val="center"/>
                </w:tcPr>
                <w:p w14:paraId="26DE9F2F">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2.76</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5</w:t>
                  </w:r>
                  <w:r>
                    <w:rPr>
                      <w:rFonts w:hint="eastAsia" w:ascii="Times New Roman" w:cs="Times New Roman"/>
                      <w:bCs/>
                      <w:color w:val="auto"/>
                      <w:sz w:val="21"/>
                      <w:szCs w:val="21"/>
                      <w:highlight w:val="none"/>
                      <w:lang w:val="en-US" w:eastAsia="zh-CN"/>
                    </w:rPr>
                    <w:t>~2.92</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4</w:t>
                  </w:r>
                </w:p>
              </w:tc>
              <w:tc>
                <w:tcPr>
                  <w:tcW w:w="689" w:type="pct"/>
                  <w:tcBorders>
                    <w:tl2br w:val="nil"/>
                    <w:tr2bl w:val="nil"/>
                  </w:tcBorders>
                  <w:vAlign w:val="center"/>
                </w:tcPr>
                <w:p w14:paraId="1E66E550">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w:t>
                  </w:r>
                </w:p>
              </w:tc>
              <w:tc>
                <w:tcPr>
                  <w:tcW w:w="586" w:type="pct"/>
                  <w:tcBorders>
                    <w:tl2br w:val="nil"/>
                    <w:tr2bl w:val="nil"/>
                  </w:tcBorders>
                  <w:vAlign w:val="center"/>
                </w:tcPr>
                <w:p w14:paraId="11F25286">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0.33</w:t>
                  </w:r>
                </w:p>
              </w:tc>
              <w:tc>
                <w:tcPr>
                  <w:tcW w:w="246" w:type="pct"/>
                  <w:tcBorders>
                    <w:tl2br w:val="nil"/>
                    <w:tr2bl w:val="nil"/>
                  </w:tcBorders>
                  <w:vAlign w:val="center"/>
                </w:tcPr>
                <w:p w14:paraId="6452FF9E">
                  <w:pPr>
                    <w:jc w:val="center"/>
                    <w:rPr>
                      <w:bCs/>
                      <w:color w:val="auto"/>
                      <w:sz w:val="21"/>
                      <w:szCs w:val="21"/>
                      <w:highlight w:val="none"/>
                    </w:rPr>
                  </w:pPr>
                  <w:r>
                    <w:rPr>
                      <w:bCs/>
                      <w:color w:val="auto"/>
                      <w:sz w:val="21"/>
                      <w:szCs w:val="21"/>
                      <w:highlight w:val="none"/>
                    </w:rPr>
                    <w:t>达标</w:t>
                  </w:r>
                </w:p>
              </w:tc>
            </w:tr>
            <w:tr w14:paraId="2E22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3" w:type="pct"/>
                  <w:tcBorders>
                    <w:tl2br w:val="nil"/>
                    <w:tr2bl w:val="nil"/>
                  </w:tcBorders>
                  <w:vAlign w:val="center"/>
                </w:tcPr>
                <w:p w14:paraId="10A350E7">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rPr>
                    <w:t>202</w:t>
                  </w:r>
                  <w:r>
                    <w:rPr>
                      <w:rFonts w:hint="eastAsia" w:ascii="Times New Roman" w:cs="Times New Roman"/>
                      <w:bCs/>
                      <w:color w:val="auto"/>
                      <w:sz w:val="21"/>
                      <w:szCs w:val="21"/>
                      <w:highlight w:val="none"/>
                      <w:lang w:val="en-US" w:eastAsia="zh-CN"/>
                    </w:rPr>
                    <w:t>1.08.03~04</w:t>
                  </w:r>
                </w:p>
              </w:tc>
              <w:tc>
                <w:tcPr>
                  <w:tcW w:w="471" w:type="pct"/>
                  <w:vMerge w:val="continue"/>
                  <w:tcBorders>
                    <w:tl2br w:val="nil"/>
                    <w:tr2bl w:val="nil"/>
                  </w:tcBorders>
                  <w:vAlign w:val="center"/>
                </w:tcPr>
                <w:p w14:paraId="018B2973">
                  <w:pPr>
                    <w:pStyle w:val="91"/>
                    <w:jc w:val="center"/>
                    <w:rPr>
                      <w:rFonts w:ascii="Times New Roman" w:cs="Times New Roman"/>
                      <w:bCs/>
                      <w:color w:val="auto"/>
                      <w:sz w:val="21"/>
                      <w:szCs w:val="21"/>
                      <w:highlight w:val="none"/>
                    </w:rPr>
                  </w:pPr>
                </w:p>
              </w:tc>
              <w:tc>
                <w:tcPr>
                  <w:tcW w:w="246" w:type="pct"/>
                  <w:tcBorders>
                    <w:tl2br w:val="nil"/>
                    <w:tr2bl w:val="nil"/>
                  </w:tcBorders>
                  <w:vAlign w:val="center"/>
                </w:tcPr>
                <w:p w14:paraId="1EA0F41E">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氨</w:t>
                  </w:r>
                </w:p>
              </w:tc>
              <w:tc>
                <w:tcPr>
                  <w:tcW w:w="1047" w:type="pct"/>
                  <w:tcBorders>
                    <w:tl2br w:val="nil"/>
                    <w:tr2bl w:val="nil"/>
                  </w:tcBorders>
                  <w:vAlign w:val="center"/>
                </w:tcPr>
                <w:p w14:paraId="799580CF">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158~4.55</w:t>
                  </w:r>
                </w:p>
              </w:tc>
              <w:tc>
                <w:tcPr>
                  <w:tcW w:w="1098" w:type="pct"/>
                  <w:tcBorders>
                    <w:tl2br w:val="nil"/>
                    <w:tr2bl w:val="nil"/>
                  </w:tcBorders>
                  <w:vAlign w:val="center"/>
                </w:tcPr>
                <w:p w14:paraId="20C0F0E5">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4.28</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3</w:t>
                  </w:r>
                  <w:r>
                    <w:rPr>
                      <w:rFonts w:hint="eastAsia" w:ascii="Times New Roman" w:cs="Times New Roman"/>
                      <w:bCs/>
                      <w:color w:val="auto"/>
                      <w:sz w:val="21"/>
                      <w:szCs w:val="21"/>
                      <w:highlight w:val="none"/>
                      <w:vertAlign w:val="baseline"/>
                      <w:lang w:val="en-US" w:eastAsia="zh-CN"/>
                    </w:rPr>
                    <w:t>~1.14</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2</w:t>
                  </w:r>
                </w:p>
              </w:tc>
              <w:tc>
                <w:tcPr>
                  <w:tcW w:w="689" w:type="pct"/>
                  <w:tcBorders>
                    <w:tl2br w:val="nil"/>
                    <w:tr2bl w:val="nil"/>
                  </w:tcBorders>
                  <w:vAlign w:val="center"/>
                </w:tcPr>
                <w:p w14:paraId="3DB71DEC">
                  <w:pPr>
                    <w:pStyle w:val="91"/>
                    <w:jc w:val="center"/>
                    <w:rPr>
                      <w:rFonts w:hint="eastAsia"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w:t>
                  </w:r>
                </w:p>
              </w:tc>
              <w:tc>
                <w:tcPr>
                  <w:tcW w:w="586" w:type="pct"/>
                  <w:tcBorders>
                    <w:tl2br w:val="nil"/>
                    <w:tr2bl w:val="nil"/>
                  </w:tcBorders>
                  <w:vAlign w:val="center"/>
                </w:tcPr>
                <w:p w14:paraId="7734716D">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17.6</w:t>
                  </w:r>
                </w:p>
              </w:tc>
              <w:tc>
                <w:tcPr>
                  <w:tcW w:w="246" w:type="pct"/>
                  <w:tcBorders>
                    <w:tl2br w:val="nil"/>
                    <w:tr2bl w:val="nil"/>
                  </w:tcBorders>
                  <w:vAlign w:val="center"/>
                </w:tcPr>
                <w:p w14:paraId="64194A7C">
                  <w:pPr>
                    <w:jc w:val="center"/>
                    <w:rPr>
                      <w:bCs/>
                      <w:color w:val="auto"/>
                      <w:sz w:val="21"/>
                      <w:szCs w:val="21"/>
                      <w:highlight w:val="none"/>
                    </w:rPr>
                  </w:pPr>
                  <w:r>
                    <w:rPr>
                      <w:bCs/>
                      <w:color w:val="auto"/>
                      <w:sz w:val="21"/>
                      <w:szCs w:val="21"/>
                      <w:highlight w:val="none"/>
                    </w:rPr>
                    <w:t>达标</w:t>
                  </w:r>
                </w:p>
              </w:tc>
            </w:tr>
            <w:tr w14:paraId="5DF0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613" w:type="pct"/>
                  <w:tcBorders>
                    <w:tl2br w:val="nil"/>
                    <w:tr2bl w:val="nil"/>
                  </w:tcBorders>
                  <w:vAlign w:val="center"/>
                </w:tcPr>
                <w:p w14:paraId="18473E48">
                  <w:pPr>
                    <w:pStyle w:val="91"/>
                    <w:jc w:val="both"/>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rPr>
                    <w:t>2021.1</w:t>
                  </w:r>
                  <w:r>
                    <w:rPr>
                      <w:rFonts w:hint="eastAsia" w:ascii="Times New Roman" w:cs="Times New Roman"/>
                      <w:bCs/>
                      <w:color w:val="auto"/>
                      <w:sz w:val="21"/>
                      <w:szCs w:val="21"/>
                      <w:highlight w:val="none"/>
                      <w:lang w:val="en-US" w:eastAsia="zh-CN"/>
                    </w:rPr>
                    <w:t>1.13~14</w:t>
                  </w:r>
                </w:p>
              </w:tc>
              <w:tc>
                <w:tcPr>
                  <w:tcW w:w="471" w:type="pct"/>
                  <w:tcBorders>
                    <w:tl2br w:val="nil"/>
                    <w:tr2bl w:val="nil"/>
                  </w:tcBorders>
                  <w:vAlign w:val="center"/>
                </w:tcPr>
                <w:p w14:paraId="0ED5BB81">
                  <w:pPr>
                    <w:pStyle w:val="91"/>
                    <w:jc w:val="center"/>
                    <w:rPr>
                      <w:rFonts w:ascii="Times New Roman" w:cs="Times New Roman"/>
                      <w:bCs/>
                      <w:color w:val="auto"/>
                      <w:sz w:val="21"/>
                      <w:szCs w:val="21"/>
                      <w:highlight w:val="none"/>
                    </w:rPr>
                  </w:pPr>
                  <w:r>
                    <w:rPr>
                      <w:color w:val="auto"/>
                      <w:sz w:val="21"/>
                      <w:szCs w:val="21"/>
                      <w:highlight w:val="none"/>
                    </w:rPr>
                    <w:t>化验室气体排气筒</w:t>
                  </w:r>
                </w:p>
              </w:tc>
              <w:tc>
                <w:tcPr>
                  <w:tcW w:w="246" w:type="pct"/>
                  <w:tcBorders>
                    <w:tl2br w:val="nil"/>
                    <w:tr2bl w:val="nil"/>
                  </w:tcBorders>
                  <w:vAlign w:val="center"/>
                </w:tcPr>
                <w:p w14:paraId="39472DC4">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非甲烷总烃</w:t>
                  </w:r>
                </w:p>
              </w:tc>
              <w:tc>
                <w:tcPr>
                  <w:tcW w:w="1047" w:type="pct"/>
                  <w:tcBorders>
                    <w:tl2br w:val="nil"/>
                    <w:tr2bl w:val="nil"/>
                  </w:tcBorders>
                  <w:vAlign w:val="center"/>
                </w:tcPr>
                <w:p w14:paraId="41319DCD">
                  <w:pPr>
                    <w:pStyle w:val="91"/>
                    <w:jc w:val="center"/>
                    <w:rPr>
                      <w:rFonts w:hint="default" w:ascii="Times New Roman" w:cs="Times New Roman"/>
                      <w:bCs/>
                      <w:color w:val="auto"/>
                      <w:sz w:val="21"/>
                      <w:szCs w:val="21"/>
                      <w:highlight w:val="none"/>
                      <w:lang w:val="en-US"/>
                    </w:rPr>
                  </w:pPr>
                  <w:r>
                    <w:rPr>
                      <w:rFonts w:hint="eastAsia" w:ascii="Times New Roman" w:cs="Times New Roman"/>
                      <w:bCs/>
                      <w:color w:val="auto"/>
                      <w:sz w:val="21"/>
                      <w:szCs w:val="21"/>
                      <w:highlight w:val="none"/>
                      <w:lang w:val="en-US" w:eastAsia="zh-CN"/>
                    </w:rPr>
                    <w:t>0.56~0.90</w:t>
                  </w:r>
                </w:p>
              </w:tc>
              <w:tc>
                <w:tcPr>
                  <w:tcW w:w="1098" w:type="pct"/>
                  <w:tcBorders>
                    <w:tl2br w:val="nil"/>
                    <w:tr2bl w:val="nil"/>
                  </w:tcBorders>
                  <w:vAlign w:val="center"/>
                </w:tcPr>
                <w:p w14:paraId="0DD518F1">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2.03</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3</w:t>
                  </w:r>
                  <w:r>
                    <w:rPr>
                      <w:rFonts w:hint="eastAsia" w:ascii="Times New Roman" w:cs="Times New Roman"/>
                      <w:bCs/>
                      <w:color w:val="auto"/>
                      <w:sz w:val="21"/>
                      <w:szCs w:val="21"/>
                      <w:highlight w:val="none"/>
                      <w:vertAlign w:val="baseline"/>
                      <w:lang w:val="en-US" w:eastAsia="zh-CN"/>
                    </w:rPr>
                    <w:t>~3.49</w:t>
                  </w:r>
                  <w:r>
                    <w:rPr>
                      <w:rFonts w:ascii="Times New Roman" w:cs="Times New Roman"/>
                      <w:bCs/>
                      <w:color w:val="auto"/>
                      <w:sz w:val="21"/>
                      <w:szCs w:val="21"/>
                      <w:highlight w:val="none"/>
                    </w:rPr>
                    <w:t>×10</w:t>
                  </w:r>
                  <w:r>
                    <w:rPr>
                      <w:rFonts w:ascii="Times New Roman" w:cs="Times New Roman"/>
                      <w:bCs/>
                      <w:color w:val="auto"/>
                      <w:sz w:val="21"/>
                      <w:szCs w:val="21"/>
                      <w:highlight w:val="none"/>
                      <w:vertAlign w:val="superscript"/>
                    </w:rPr>
                    <w:t>-</w:t>
                  </w:r>
                  <w:r>
                    <w:rPr>
                      <w:rFonts w:hint="eastAsia" w:ascii="Times New Roman" w:cs="Times New Roman"/>
                      <w:bCs/>
                      <w:color w:val="auto"/>
                      <w:sz w:val="21"/>
                      <w:szCs w:val="21"/>
                      <w:highlight w:val="none"/>
                      <w:vertAlign w:val="superscript"/>
                      <w:lang w:val="en-US" w:eastAsia="zh-CN"/>
                    </w:rPr>
                    <w:t>3</w:t>
                  </w:r>
                </w:p>
              </w:tc>
              <w:tc>
                <w:tcPr>
                  <w:tcW w:w="689" w:type="pct"/>
                  <w:tcBorders>
                    <w:tl2br w:val="nil"/>
                    <w:tr2bl w:val="nil"/>
                  </w:tcBorders>
                  <w:vAlign w:val="center"/>
                </w:tcPr>
                <w:p w14:paraId="7846657A">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60</w:t>
                  </w:r>
                </w:p>
              </w:tc>
              <w:tc>
                <w:tcPr>
                  <w:tcW w:w="586" w:type="pct"/>
                  <w:tcBorders>
                    <w:tl2br w:val="nil"/>
                    <w:tr2bl w:val="nil"/>
                  </w:tcBorders>
                  <w:vAlign w:val="center"/>
                </w:tcPr>
                <w:p w14:paraId="4C463150">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3.4</w:t>
                  </w:r>
                </w:p>
              </w:tc>
              <w:tc>
                <w:tcPr>
                  <w:tcW w:w="246" w:type="pct"/>
                  <w:tcBorders>
                    <w:tl2br w:val="nil"/>
                    <w:tr2bl w:val="nil"/>
                  </w:tcBorders>
                  <w:vAlign w:val="center"/>
                </w:tcPr>
                <w:p w14:paraId="4991273A">
                  <w:pPr>
                    <w:jc w:val="center"/>
                    <w:rPr>
                      <w:bCs/>
                      <w:color w:val="auto"/>
                      <w:sz w:val="21"/>
                      <w:szCs w:val="21"/>
                      <w:highlight w:val="none"/>
                    </w:rPr>
                  </w:pPr>
                  <w:r>
                    <w:rPr>
                      <w:rFonts w:hint="eastAsia"/>
                      <w:bCs/>
                      <w:color w:val="auto"/>
                      <w:sz w:val="21"/>
                      <w:szCs w:val="21"/>
                      <w:highlight w:val="none"/>
                    </w:rPr>
                    <w:t>达标</w:t>
                  </w:r>
                </w:p>
              </w:tc>
            </w:tr>
          </w:tbl>
          <w:p w14:paraId="3FD06B33">
            <w:pPr>
              <w:pStyle w:val="91"/>
              <w:spacing w:line="360" w:lineRule="auto"/>
              <w:ind w:firstLine="488" w:firstLineChars="200"/>
              <w:jc w:val="both"/>
              <w:rPr>
                <w:rFonts w:ascii="Times New Roman" w:cs="Times New Roman"/>
                <w:b/>
                <w:color w:val="auto"/>
                <w:sz w:val="21"/>
                <w:szCs w:val="21"/>
                <w:highlight w:val="none"/>
                <w:lang w:val="zh-CN"/>
              </w:rPr>
            </w:pPr>
            <w:r>
              <w:rPr>
                <w:rFonts w:ascii="Times New Roman" w:cs="Times New Roman"/>
                <w:color w:val="auto"/>
                <w:spacing w:val="2"/>
                <w:highlight w:val="none"/>
              </w:rPr>
              <w:t>监测结果表明：</w:t>
            </w:r>
            <w:r>
              <w:rPr>
                <w:rFonts w:hint="eastAsia" w:ascii="Times New Roman" w:cs="Times New Roman"/>
                <w:color w:val="auto"/>
                <w:spacing w:val="2"/>
                <w:highlight w:val="none"/>
              </w:rPr>
              <w:t>现有工程</w:t>
            </w:r>
            <w:r>
              <w:rPr>
                <w:rFonts w:hint="eastAsia" w:ascii="Times New Roman" w:cs="Times New Roman"/>
                <w:color w:val="auto"/>
                <w:spacing w:val="2"/>
                <w:highlight w:val="none"/>
                <w:lang w:val="en-US" w:eastAsia="zh-CN"/>
              </w:rPr>
              <w:t>生产装置废气有组织废气中氨、非甲烷总烃的排放速率及浓度分别符合</w:t>
            </w:r>
            <w:r>
              <w:rPr>
                <w:rFonts w:ascii="Times New Roman" w:cs="Times New Roman"/>
                <w:color w:val="auto"/>
                <w:spacing w:val="2"/>
                <w:highlight w:val="none"/>
              </w:rPr>
              <w:t>《恶臭污染物排放标准》（GB14554-93）表2标准限值</w:t>
            </w:r>
            <w:r>
              <w:rPr>
                <w:rFonts w:hint="eastAsia" w:ascii="Times New Roman" w:cs="Times New Roman"/>
                <w:color w:val="auto"/>
                <w:spacing w:val="2"/>
                <w:highlight w:val="none"/>
              </w:rPr>
              <w:t>及</w:t>
            </w:r>
            <w:r>
              <w:rPr>
                <w:rFonts w:ascii="Times New Roman" w:cs="Times New Roman"/>
                <w:color w:val="auto"/>
                <w:spacing w:val="2"/>
                <w:highlight w:val="none"/>
              </w:rPr>
              <w:t>《四川省固定污染源大气挥发性有机物排放标准》（DB51/2377-2017）表3中</w:t>
            </w:r>
            <w:r>
              <w:rPr>
                <w:rFonts w:hint="eastAsia" w:ascii="Times New Roman" w:cs="Times New Roman"/>
                <w:color w:val="auto"/>
                <w:spacing w:val="2"/>
                <w:highlight w:val="none"/>
                <w:lang w:val="en-US" w:eastAsia="zh-CN"/>
              </w:rPr>
              <w:t>涉及有机溶剂生产和使用的其他行业</w:t>
            </w:r>
            <w:r>
              <w:rPr>
                <w:rFonts w:ascii="Times New Roman" w:cs="Times New Roman"/>
                <w:color w:val="auto"/>
                <w:spacing w:val="2"/>
                <w:highlight w:val="none"/>
              </w:rPr>
              <w:t>标准限值的要求；污水处理站有组织废气中氨、硫化氢</w:t>
            </w:r>
            <w:r>
              <w:rPr>
                <w:rFonts w:hint="eastAsia" w:ascii="Times New Roman" w:cs="Times New Roman"/>
                <w:color w:val="auto"/>
                <w:spacing w:val="2"/>
                <w:highlight w:val="none"/>
                <w:lang w:val="en-US" w:eastAsia="zh-CN"/>
              </w:rPr>
              <w:t>及非甲烷总烃</w:t>
            </w:r>
            <w:r>
              <w:rPr>
                <w:rFonts w:ascii="Times New Roman" w:cs="Times New Roman"/>
                <w:color w:val="auto"/>
                <w:spacing w:val="2"/>
                <w:highlight w:val="none"/>
              </w:rPr>
              <w:t>的排放</w:t>
            </w:r>
            <w:r>
              <w:rPr>
                <w:rFonts w:hint="eastAsia" w:ascii="Times New Roman" w:cs="Times New Roman"/>
                <w:color w:val="auto"/>
                <w:spacing w:val="2"/>
                <w:highlight w:val="none"/>
              </w:rPr>
              <w:t>速率</w:t>
            </w:r>
            <w:r>
              <w:rPr>
                <w:rFonts w:ascii="Times New Roman" w:cs="Times New Roman"/>
                <w:color w:val="auto"/>
                <w:spacing w:val="2"/>
                <w:highlight w:val="none"/>
              </w:rPr>
              <w:t>及浓度</w:t>
            </w:r>
            <w:r>
              <w:rPr>
                <w:rFonts w:hint="eastAsia" w:ascii="Times New Roman" w:cs="Times New Roman"/>
                <w:color w:val="auto"/>
                <w:spacing w:val="2"/>
                <w:highlight w:val="none"/>
              </w:rPr>
              <w:t>分别符合</w:t>
            </w:r>
            <w:r>
              <w:rPr>
                <w:rFonts w:ascii="Times New Roman" w:cs="Times New Roman"/>
                <w:color w:val="auto"/>
                <w:spacing w:val="2"/>
                <w:highlight w:val="none"/>
              </w:rPr>
              <w:t>《恶臭污染物排放标准》（GB14554-93）表2标准限值</w:t>
            </w:r>
            <w:r>
              <w:rPr>
                <w:rFonts w:hint="eastAsia" w:ascii="Times New Roman" w:cs="Times New Roman"/>
                <w:color w:val="auto"/>
                <w:spacing w:val="2"/>
                <w:highlight w:val="none"/>
              </w:rPr>
              <w:t>及</w:t>
            </w:r>
            <w:r>
              <w:rPr>
                <w:rFonts w:ascii="Times New Roman" w:cs="Times New Roman"/>
                <w:color w:val="auto"/>
                <w:spacing w:val="2"/>
                <w:highlight w:val="none"/>
              </w:rPr>
              <w:t>《四川省固定污染源大气挥发性有机物排放标准》（DB51/2377-2017）表3中</w:t>
            </w:r>
            <w:r>
              <w:rPr>
                <w:rFonts w:hint="eastAsia" w:ascii="Times New Roman" w:cs="Times New Roman"/>
                <w:color w:val="auto"/>
                <w:spacing w:val="2"/>
                <w:highlight w:val="none"/>
                <w:lang w:eastAsia="zh-CN"/>
              </w:rPr>
              <w:t>涉及有机溶剂生产和使用的其他行业</w:t>
            </w:r>
            <w:r>
              <w:rPr>
                <w:rFonts w:ascii="Times New Roman" w:cs="Times New Roman"/>
                <w:color w:val="auto"/>
                <w:spacing w:val="2"/>
                <w:highlight w:val="none"/>
              </w:rPr>
              <w:t>标准限值的要求；锅炉有组织废气中二氧化硫、氮氧化物、颗粒物的</w:t>
            </w:r>
            <w:r>
              <w:rPr>
                <w:rFonts w:hint="eastAsia" w:ascii="Times New Roman" w:cs="Times New Roman"/>
                <w:color w:val="auto"/>
                <w:spacing w:val="2"/>
                <w:highlight w:val="none"/>
                <w:lang w:val="en-US" w:eastAsia="zh-CN"/>
              </w:rPr>
              <w:t>排放</w:t>
            </w:r>
            <w:r>
              <w:rPr>
                <w:rFonts w:ascii="Times New Roman" w:cs="Times New Roman"/>
                <w:color w:val="auto"/>
                <w:spacing w:val="2"/>
                <w:highlight w:val="none"/>
              </w:rPr>
              <w:t>浓度均符合《锅炉大气污染物排放标准》（</w:t>
            </w:r>
            <w:r>
              <w:rPr>
                <w:rFonts w:hint="eastAsia" w:ascii="Times New Roman" w:cs="Times New Roman"/>
                <w:color w:val="auto"/>
                <w:spacing w:val="2"/>
                <w:highlight w:val="none"/>
                <w:lang w:val="en-US" w:eastAsia="zh-CN"/>
              </w:rPr>
              <w:t>G</w:t>
            </w:r>
            <w:r>
              <w:rPr>
                <w:rFonts w:ascii="Times New Roman" w:cs="Times New Roman"/>
                <w:color w:val="auto"/>
                <w:spacing w:val="2"/>
                <w:highlight w:val="none"/>
              </w:rPr>
              <w:t>B</w:t>
            </w:r>
            <w:r>
              <w:rPr>
                <w:rFonts w:hint="eastAsia" w:ascii="Times New Roman" w:cs="Times New Roman"/>
                <w:color w:val="auto"/>
                <w:spacing w:val="2"/>
                <w:highlight w:val="none"/>
                <w:lang w:val="en-US" w:eastAsia="zh-CN"/>
              </w:rPr>
              <w:t>13271</w:t>
            </w:r>
            <w:r>
              <w:rPr>
                <w:rFonts w:ascii="Times New Roman" w:cs="Times New Roman"/>
                <w:color w:val="auto"/>
                <w:spacing w:val="2"/>
                <w:highlight w:val="none"/>
              </w:rPr>
              <w:t>-20</w:t>
            </w:r>
            <w:r>
              <w:rPr>
                <w:rFonts w:hint="eastAsia" w:ascii="Times New Roman" w:cs="Times New Roman"/>
                <w:color w:val="auto"/>
                <w:spacing w:val="2"/>
                <w:highlight w:val="none"/>
                <w:lang w:val="en-US" w:eastAsia="zh-CN"/>
              </w:rPr>
              <w:t>14</w:t>
            </w:r>
            <w:r>
              <w:rPr>
                <w:rFonts w:ascii="Times New Roman" w:cs="Times New Roman"/>
                <w:color w:val="auto"/>
                <w:spacing w:val="2"/>
                <w:highlight w:val="none"/>
              </w:rPr>
              <w:t>）表</w:t>
            </w:r>
            <w:r>
              <w:rPr>
                <w:rFonts w:hint="eastAsia" w:ascii="Times New Roman" w:cs="Times New Roman"/>
                <w:color w:val="auto"/>
                <w:spacing w:val="2"/>
                <w:highlight w:val="none"/>
                <w:lang w:val="en-US" w:eastAsia="zh-CN"/>
              </w:rPr>
              <w:t>3</w:t>
            </w:r>
            <w:r>
              <w:rPr>
                <w:rFonts w:ascii="Times New Roman" w:cs="Times New Roman"/>
                <w:color w:val="auto"/>
                <w:spacing w:val="2"/>
                <w:highlight w:val="none"/>
              </w:rPr>
              <w:t>中</w:t>
            </w:r>
            <w:r>
              <w:rPr>
                <w:rFonts w:hint="eastAsia" w:ascii="Times New Roman" w:cs="Times New Roman"/>
                <w:color w:val="auto"/>
                <w:spacing w:val="2"/>
                <w:highlight w:val="none"/>
                <w:lang w:val="en-US" w:eastAsia="zh-CN"/>
              </w:rPr>
              <w:t>燃气锅炉</w:t>
            </w:r>
            <w:r>
              <w:rPr>
                <w:rFonts w:ascii="Times New Roman" w:cs="Times New Roman"/>
                <w:color w:val="auto"/>
                <w:spacing w:val="2"/>
                <w:highlight w:val="none"/>
              </w:rPr>
              <w:t>标准限值的要求；</w:t>
            </w:r>
            <w:r>
              <w:rPr>
                <w:rFonts w:hint="eastAsia" w:ascii="Times New Roman" w:cs="Times New Roman"/>
                <w:color w:val="auto"/>
                <w:spacing w:val="2"/>
                <w:highlight w:val="none"/>
                <w:lang w:val="en-US" w:eastAsia="zh-CN"/>
              </w:rPr>
              <w:t>检验废气有组织废气中非甲烷总烃</w:t>
            </w:r>
            <w:r>
              <w:rPr>
                <w:rFonts w:ascii="Times New Roman" w:cs="Times New Roman"/>
                <w:color w:val="auto"/>
                <w:spacing w:val="2"/>
                <w:highlight w:val="none"/>
              </w:rPr>
              <w:t>的排放浓度及排放速率均符合《四川省固定污染源大气挥发性有机物排放标准》（DB51/2377-2017）表3中</w:t>
            </w:r>
            <w:r>
              <w:rPr>
                <w:rFonts w:hint="eastAsia" w:ascii="Times New Roman" w:cs="Times New Roman"/>
                <w:color w:val="auto"/>
                <w:spacing w:val="2"/>
                <w:highlight w:val="none"/>
                <w:lang w:eastAsia="zh-CN"/>
              </w:rPr>
              <w:t>涉及有机溶剂生产和使用的其他行业</w:t>
            </w:r>
            <w:r>
              <w:rPr>
                <w:rFonts w:ascii="Times New Roman" w:cs="Times New Roman"/>
                <w:color w:val="auto"/>
                <w:spacing w:val="2"/>
                <w:highlight w:val="none"/>
              </w:rPr>
              <w:t>标准限值的要求；</w:t>
            </w:r>
            <w:r>
              <w:rPr>
                <w:rFonts w:hint="eastAsia" w:ascii="Times New Roman" w:cs="Times New Roman"/>
                <w:color w:val="auto"/>
                <w:spacing w:val="2"/>
                <w:highlight w:val="none"/>
              </w:rPr>
              <w:t>食堂</w:t>
            </w:r>
            <w:r>
              <w:rPr>
                <w:rFonts w:ascii="Times New Roman" w:cs="Times New Roman"/>
                <w:color w:val="auto"/>
                <w:spacing w:val="2"/>
                <w:highlight w:val="none"/>
              </w:rPr>
              <w:t>所排有组织废气中油烟的折算浓度符合《饮食业油烟排放标准（试行）》（GB18483-2001）表2标准限值的要求。</w:t>
            </w:r>
          </w:p>
          <w:p w14:paraId="33A0367A">
            <w:pPr>
              <w:pStyle w:val="42"/>
              <w:rPr>
                <w:color w:val="auto"/>
                <w:highlight w:val="none"/>
              </w:rPr>
            </w:pPr>
            <w:r>
              <w:rPr>
                <w:rFonts w:hint="eastAsia"/>
                <w:color w:val="auto"/>
                <w:highlight w:val="none"/>
              </w:rPr>
              <w:t>厂界无组织废气监测结果</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115"/>
              <w:gridCol w:w="1626"/>
              <w:gridCol w:w="2371"/>
              <w:gridCol w:w="1775"/>
              <w:gridCol w:w="779"/>
            </w:tblGrid>
            <w:tr w14:paraId="71A6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67" w:type="pct"/>
                  <w:vMerge w:val="restart"/>
                  <w:tcBorders>
                    <w:tl2br w:val="nil"/>
                    <w:tr2bl w:val="nil"/>
                  </w:tcBorders>
                  <w:vAlign w:val="center"/>
                </w:tcPr>
                <w:p w14:paraId="12AF5309">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采样日期</w:t>
                  </w:r>
                </w:p>
              </w:tc>
              <w:tc>
                <w:tcPr>
                  <w:tcW w:w="659" w:type="pct"/>
                  <w:vMerge w:val="restart"/>
                  <w:tcBorders>
                    <w:tl2br w:val="nil"/>
                    <w:tr2bl w:val="nil"/>
                  </w:tcBorders>
                  <w:vAlign w:val="center"/>
                </w:tcPr>
                <w:p w14:paraId="1A89F095">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监测点</w:t>
                  </w:r>
                </w:p>
              </w:tc>
              <w:tc>
                <w:tcPr>
                  <w:tcW w:w="961" w:type="pct"/>
                  <w:vMerge w:val="restart"/>
                  <w:tcBorders>
                    <w:tl2br w:val="nil"/>
                    <w:tr2bl w:val="nil"/>
                  </w:tcBorders>
                  <w:vAlign w:val="center"/>
                </w:tcPr>
                <w:p w14:paraId="02E50FDB">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污染物</w:t>
                  </w:r>
                </w:p>
              </w:tc>
              <w:tc>
                <w:tcPr>
                  <w:tcW w:w="1401" w:type="pct"/>
                  <w:tcBorders>
                    <w:tl2br w:val="nil"/>
                    <w:tr2bl w:val="nil"/>
                  </w:tcBorders>
                  <w:vAlign w:val="center"/>
                </w:tcPr>
                <w:p w14:paraId="6CF77778">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监测结果</w:t>
                  </w:r>
                </w:p>
              </w:tc>
              <w:tc>
                <w:tcPr>
                  <w:tcW w:w="1049" w:type="pct"/>
                  <w:vMerge w:val="restart"/>
                  <w:tcBorders>
                    <w:tl2br w:val="nil"/>
                    <w:tr2bl w:val="nil"/>
                  </w:tcBorders>
                  <w:vAlign w:val="center"/>
                </w:tcPr>
                <w:p w14:paraId="00672FE9">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最高允许排放浓度（mg/m</w:t>
                  </w:r>
                  <w:r>
                    <w:rPr>
                      <w:rFonts w:ascii="Times New Roman" w:cs="Times New Roman"/>
                      <w:b/>
                      <w:color w:val="auto"/>
                      <w:sz w:val="21"/>
                      <w:szCs w:val="21"/>
                      <w:highlight w:val="none"/>
                      <w:vertAlign w:val="superscript"/>
                    </w:rPr>
                    <w:t>3</w:t>
                  </w:r>
                  <w:r>
                    <w:rPr>
                      <w:rFonts w:ascii="Times New Roman" w:cs="Times New Roman"/>
                      <w:b/>
                      <w:color w:val="auto"/>
                      <w:sz w:val="21"/>
                      <w:szCs w:val="21"/>
                      <w:highlight w:val="none"/>
                    </w:rPr>
                    <w:t>）</w:t>
                  </w:r>
                </w:p>
              </w:tc>
              <w:tc>
                <w:tcPr>
                  <w:tcW w:w="460" w:type="pct"/>
                  <w:vMerge w:val="restart"/>
                  <w:tcBorders>
                    <w:tl2br w:val="nil"/>
                    <w:tr2bl w:val="nil"/>
                  </w:tcBorders>
                  <w:vAlign w:val="center"/>
                </w:tcPr>
                <w:p w14:paraId="0DA49648">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评价</w:t>
                  </w:r>
                </w:p>
              </w:tc>
            </w:tr>
            <w:tr w14:paraId="46FD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5BE9FACE">
                  <w:pPr>
                    <w:pStyle w:val="91"/>
                    <w:jc w:val="center"/>
                    <w:rPr>
                      <w:rFonts w:ascii="Times New Roman" w:cs="Times New Roman"/>
                      <w:color w:val="auto"/>
                      <w:highlight w:val="none"/>
                    </w:rPr>
                  </w:pPr>
                </w:p>
              </w:tc>
              <w:tc>
                <w:tcPr>
                  <w:tcW w:w="659" w:type="pct"/>
                  <w:vMerge w:val="continue"/>
                  <w:tcBorders>
                    <w:tl2br w:val="nil"/>
                    <w:tr2bl w:val="nil"/>
                  </w:tcBorders>
                  <w:vAlign w:val="center"/>
                </w:tcPr>
                <w:p w14:paraId="456F73C8">
                  <w:pPr>
                    <w:pStyle w:val="91"/>
                    <w:jc w:val="center"/>
                    <w:rPr>
                      <w:rFonts w:ascii="Times New Roman" w:cs="Times New Roman"/>
                      <w:color w:val="auto"/>
                      <w:highlight w:val="none"/>
                    </w:rPr>
                  </w:pPr>
                </w:p>
              </w:tc>
              <w:tc>
                <w:tcPr>
                  <w:tcW w:w="961" w:type="pct"/>
                  <w:vMerge w:val="continue"/>
                  <w:tcBorders>
                    <w:tl2br w:val="nil"/>
                    <w:tr2bl w:val="nil"/>
                  </w:tcBorders>
                  <w:vAlign w:val="center"/>
                </w:tcPr>
                <w:p w14:paraId="09BECCF1">
                  <w:pPr>
                    <w:pStyle w:val="91"/>
                    <w:jc w:val="center"/>
                    <w:rPr>
                      <w:rFonts w:ascii="Times New Roman" w:cs="Times New Roman"/>
                      <w:color w:val="auto"/>
                      <w:highlight w:val="none"/>
                    </w:rPr>
                  </w:pPr>
                </w:p>
              </w:tc>
              <w:tc>
                <w:tcPr>
                  <w:tcW w:w="1401" w:type="pct"/>
                  <w:tcBorders>
                    <w:tl2br w:val="nil"/>
                    <w:tr2bl w:val="nil"/>
                  </w:tcBorders>
                  <w:vAlign w:val="center"/>
                </w:tcPr>
                <w:p w14:paraId="2F46492D">
                  <w:pPr>
                    <w:pStyle w:val="91"/>
                    <w:jc w:val="center"/>
                    <w:rPr>
                      <w:rFonts w:ascii="Times New Roman" w:cs="Times New Roman"/>
                      <w:b/>
                      <w:color w:val="auto"/>
                      <w:sz w:val="21"/>
                      <w:szCs w:val="21"/>
                      <w:highlight w:val="none"/>
                    </w:rPr>
                  </w:pPr>
                  <w:r>
                    <w:rPr>
                      <w:rFonts w:ascii="Times New Roman" w:cs="Times New Roman"/>
                      <w:b/>
                      <w:color w:val="auto"/>
                      <w:sz w:val="21"/>
                      <w:szCs w:val="21"/>
                      <w:highlight w:val="none"/>
                    </w:rPr>
                    <w:t>排放浓度（mg/m</w:t>
                  </w:r>
                  <w:r>
                    <w:rPr>
                      <w:rFonts w:ascii="Times New Roman" w:cs="Times New Roman"/>
                      <w:b/>
                      <w:color w:val="auto"/>
                      <w:sz w:val="21"/>
                      <w:szCs w:val="21"/>
                      <w:highlight w:val="none"/>
                      <w:vertAlign w:val="superscript"/>
                    </w:rPr>
                    <w:t>3</w:t>
                  </w:r>
                  <w:r>
                    <w:rPr>
                      <w:rFonts w:ascii="Times New Roman" w:cs="Times New Roman"/>
                      <w:b/>
                      <w:color w:val="auto"/>
                      <w:sz w:val="21"/>
                      <w:szCs w:val="21"/>
                      <w:highlight w:val="none"/>
                    </w:rPr>
                    <w:t>）</w:t>
                  </w:r>
                </w:p>
              </w:tc>
              <w:tc>
                <w:tcPr>
                  <w:tcW w:w="1049" w:type="pct"/>
                  <w:vMerge w:val="continue"/>
                  <w:tcBorders>
                    <w:tl2br w:val="nil"/>
                    <w:tr2bl w:val="nil"/>
                  </w:tcBorders>
                  <w:vAlign w:val="center"/>
                </w:tcPr>
                <w:p w14:paraId="40399C32">
                  <w:pPr>
                    <w:pStyle w:val="91"/>
                    <w:jc w:val="center"/>
                    <w:rPr>
                      <w:rFonts w:ascii="Times New Roman" w:cs="Times New Roman"/>
                      <w:b/>
                      <w:color w:val="auto"/>
                      <w:sz w:val="21"/>
                      <w:szCs w:val="21"/>
                      <w:highlight w:val="none"/>
                    </w:rPr>
                  </w:pPr>
                </w:p>
              </w:tc>
              <w:tc>
                <w:tcPr>
                  <w:tcW w:w="460" w:type="pct"/>
                  <w:vMerge w:val="continue"/>
                  <w:tcBorders>
                    <w:tl2br w:val="nil"/>
                    <w:tr2bl w:val="nil"/>
                  </w:tcBorders>
                  <w:vAlign w:val="center"/>
                </w:tcPr>
                <w:p w14:paraId="639DB078">
                  <w:pPr>
                    <w:pStyle w:val="91"/>
                    <w:jc w:val="center"/>
                    <w:rPr>
                      <w:rFonts w:ascii="Times New Roman" w:cs="Times New Roman"/>
                      <w:b/>
                      <w:color w:val="auto"/>
                      <w:sz w:val="21"/>
                      <w:szCs w:val="21"/>
                      <w:highlight w:val="none"/>
                    </w:rPr>
                  </w:pPr>
                </w:p>
              </w:tc>
            </w:tr>
            <w:tr w14:paraId="7688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restart"/>
                  <w:tcBorders>
                    <w:tl2br w:val="nil"/>
                    <w:tr2bl w:val="nil"/>
                  </w:tcBorders>
                  <w:vAlign w:val="center"/>
                </w:tcPr>
                <w:p w14:paraId="0CE19AA8">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rPr>
                    <w:t>202</w:t>
                  </w:r>
                  <w:r>
                    <w:rPr>
                      <w:rFonts w:hint="eastAsia" w:ascii="Times New Roman" w:cs="Times New Roman"/>
                      <w:bCs/>
                      <w:color w:val="auto"/>
                      <w:sz w:val="21"/>
                      <w:szCs w:val="21"/>
                      <w:highlight w:val="none"/>
                      <w:lang w:val="en-US" w:eastAsia="zh-CN"/>
                    </w:rPr>
                    <w:t>4.6.19</w:t>
                  </w:r>
                </w:p>
              </w:tc>
              <w:tc>
                <w:tcPr>
                  <w:tcW w:w="659" w:type="pct"/>
                  <w:vMerge w:val="restart"/>
                  <w:tcBorders>
                    <w:tl2br w:val="nil"/>
                    <w:tr2bl w:val="nil"/>
                  </w:tcBorders>
                  <w:vAlign w:val="center"/>
                </w:tcPr>
                <w:p w14:paraId="157DAADD">
                  <w:pPr>
                    <w:pStyle w:val="91"/>
                    <w:jc w:val="center"/>
                    <w:rPr>
                      <w:rFonts w:ascii="Times New Roman" w:hAnsi="Times New Roman" w:eastAsia="宋体" w:cs="Times New Roman"/>
                      <w:bCs/>
                      <w:color w:val="auto"/>
                      <w:sz w:val="21"/>
                      <w:szCs w:val="21"/>
                      <w:highlight w:val="none"/>
                      <w:lang w:val="en-US" w:eastAsia="zh-CN" w:bidi="ar-SA"/>
                    </w:rPr>
                  </w:pPr>
                  <w:r>
                    <w:rPr>
                      <w:rFonts w:hint="eastAsia" w:ascii="Times New Roman" w:cs="Times New Roman"/>
                      <w:bCs/>
                      <w:color w:val="auto"/>
                      <w:sz w:val="21"/>
                      <w:szCs w:val="21"/>
                      <w:highlight w:val="none"/>
                    </w:rPr>
                    <w:t>1#</w:t>
                  </w:r>
                  <w:r>
                    <w:rPr>
                      <w:rFonts w:hint="eastAsia" w:ascii="Times New Roman" w:cs="Times New Roman"/>
                      <w:bCs/>
                      <w:color w:val="auto"/>
                      <w:sz w:val="21"/>
                      <w:szCs w:val="21"/>
                      <w:highlight w:val="none"/>
                      <w:lang w:val="en-US" w:eastAsia="zh-CN"/>
                    </w:rPr>
                    <w:t>项目南侧厂界外</w:t>
                  </w:r>
                </w:p>
              </w:tc>
              <w:tc>
                <w:tcPr>
                  <w:tcW w:w="961" w:type="pct"/>
                  <w:tcBorders>
                    <w:tl2br w:val="nil"/>
                    <w:tr2bl w:val="nil"/>
                  </w:tcBorders>
                  <w:vAlign w:val="center"/>
                </w:tcPr>
                <w:p w14:paraId="0F85DA72">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颗粒物</w:t>
                  </w:r>
                </w:p>
              </w:tc>
              <w:tc>
                <w:tcPr>
                  <w:tcW w:w="1401" w:type="pct"/>
                  <w:tcBorders>
                    <w:tl2br w:val="nil"/>
                    <w:tr2bl w:val="nil"/>
                  </w:tcBorders>
                  <w:vAlign w:val="center"/>
                </w:tcPr>
                <w:p w14:paraId="5A7025B8">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0.058~0.097</w:t>
                  </w:r>
                </w:p>
              </w:tc>
              <w:tc>
                <w:tcPr>
                  <w:tcW w:w="1049" w:type="pct"/>
                  <w:tcBorders>
                    <w:tl2br w:val="nil"/>
                    <w:tr2bl w:val="nil"/>
                  </w:tcBorders>
                  <w:vAlign w:val="center"/>
                </w:tcPr>
                <w:p w14:paraId="5A654594">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1.0</w:t>
                  </w:r>
                </w:p>
              </w:tc>
              <w:tc>
                <w:tcPr>
                  <w:tcW w:w="460" w:type="pct"/>
                  <w:tcBorders>
                    <w:tl2br w:val="nil"/>
                    <w:tr2bl w:val="nil"/>
                  </w:tcBorders>
                  <w:vAlign w:val="center"/>
                </w:tcPr>
                <w:p w14:paraId="265AE049">
                  <w:pPr>
                    <w:jc w:val="center"/>
                    <w:rPr>
                      <w:bCs/>
                      <w:color w:val="auto"/>
                      <w:szCs w:val="21"/>
                      <w:highlight w:val="none"/>
                    </w:rPr>
                  </w:pPr>
                  <w:r>
                    <w:rPr>
                      <w:rFonts w:hint="eastAsia"/>
                      <w:bCs/>
                      <w:color w:val="auto"/>
                      <w:szCs w:val="21"/>
                      <w:highlight w:val="none"/>
                    </w:rPr>
                    <w:t>达标</w:t>
                  </w:r>
                </w:p>
              </w:tc>
            </w:tr>
            <w:tr w14:paraId="1293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67" w:type="pct"/>
                  <w:vMerge w:val="continue"/>
                  <w:tcBorders>
                    <w:tl2br w:val="nil"/>
                    <w:tr2bl w:val="nil"/>
                  </w:tcBorders>
                  <w:vAlign w:val="center"/>
                </w:tcPr>
                <w:p w14:paraId="288F889F">
                  <w:pPr>
                    <w:pStyle w:val="91"/>
                    <w:jc w:val="center"/>
                    <w:rPr>
                      <w:rFonts w:ascii="Times New Roman" w:cs="Times New Roman"/>
                      <w:bCs/>
                      <w:color w:val="auto"/>
                      <w:sz w:val="21"/>
                      <w:szCs w:val="21"/>
                      <w:highlight w:val="none"/>
                    </w:rPr>
                  </w:pPr>
                </w:p>
              </w:tc>
              <w:tc>
                <w:tcPr>
                  <w:tcW w:w="659" w:type="pct"/>
                  <w:vMerge w:val="continue"/>
                  <w:tcBorders>
                    <w:tl2br w:val="nil"/>
                    <w:tr2bl w:val="nil"/>
                  </w:tcBorders>
                  <w:vAlign w:val="center"/>
                </w:tcPr>
                <w:p w14:paraId="72DD5AB4">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116C114D">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非甲烷总烃</w:t>
                  </w:r>
                </w:p>
              </w:tc>
              <w:tc>
                <w:tcPr>
                  <w:tcW w:w="1401" w:type="pct"/>
                  <w:tcBorders>
                    <w:tl2br w:val="nil"/>
                    <w:tr2bl w:val="nil"/>
                  </w:tcBorders>
                  <w:vAlign w:val="center"/>
                </w:tcPr>
                <w:p w14:paraId="4644685E">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0.41~0.62</w:t>
                  </w:r>
                </w:p>
              </w:tc>
              <w:tc>
                <w:tcPr>
                  <w:tcW w:w="1049" w:type="pct"/>
                  <w:tcBorders>
                    <w:tl2br w:val="nil"/>
                    <w:tr2bl w:val="nil"/>
                  </w:tcBorders>
                  <w:vAlign w:val="center"/>
                </w:tcPr>
                <w:p w14:paraId="6FA2E474">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2.0</w:t>
                  </w:r>
                </w:p>
              </w:tc>
              <w:tc>
                <w:tcPr>
                  <w:tcW w:w="460" w:type="pct"/>
                  <w:tcBorders>
                    <w:tl2br w:val="nil"/>
                    <w:tr2bl w:val="nil"/>
                  </w:tcBorders>
                  <w:vAlign w:val="center"/>
                </w:tcPr>
                <w:p w14:paraId="7BAB09AA">
                  <w:pPr>
                    <w:jc w:val="center"/>
                    <w:rPr>
                      <w:bCs/>
                      <w:color w:val="auto"/>
                      <w:szCs w:val="21"/>
                      <w:highlight w:val="none"/>
                    </w:rPr>
                  </w:pPr>
                  <w:r>
                    <w:rPr>
                      <w:rFonts w:hint="eastAsia"/>
                      <w:bCs/>
                      <w:color w:val="auto"/>
                      <w:szCs w:val="21"/>
                      <w:highlight w:val="none"/>
                    </w:rPr>
                    <w:t>达标</w:t>
                  </w:r>
                </w:p>
              </w:tc>
            </w:tr>
            <w:tr w14:paraId="4910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7E8B4F8F">
                  <w:pPr>
                    <w:pStyle w:val="91"/>
                    <w:jc w:val="center"/>
                    <w:rPr>
                      <w:rFonts w:hint="default" w:ascii="Times New Roman" w:eastAsia="宋体" w:cs="Times New Roman"/>
                      <w:bCs/>
                      <w:color w:val="auto"/>
                      <w:sz w:val="21"/>
                      <w:szCs w:val="21"/>
                      <w:highlight w:val="none"/>
                      <w:lang w:val="en-US" w:eastAsia="zh-CN"/>
                    </w:rPr>
                  </w:pPr>
                </w:p>
              </w:tc>
              <w:tc>
                <w:tcPr>
                  <w:tcW w:w="659" w:type="pct"/>
                  <w:vMerge w:val="continue"/>
                  <w:tcBorders>
                    <w:tl2br w:val="nil"/>
                    <w:tr2bl w:val="nil"/>
                  </w:tcBorders>
                  <w:vAlign w:val="center"/>
                </w:tcPr>
                <w:p w14:paraId="0E19E73A">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48A019EF">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氨</w:t>
                  </w:r>
                </w:p>
              </w:tc>
              <w:tc>
                <w:tcPr>
                  <w:tcW w:w="1401" w:type="pct"/>
                  <w:tcBorders>
                    <w:tl2br w:val="nil"/>
                    <w:tr2bl w:val="nil"/>
                  </w:tcBorders>
                  <w:vAlign w:val="center"/>
                </w:tcPr>
                <w:p w14:paraId="737C3EB6">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0.23~0.37</w:t>
                  </w:r>
                </w:p>
              </w:tc>
              <w:tc>
                <w:tcPr>
                  <w:tcW w:w="1049" w:type="pct"/>
                  <w:tcBorders>
                    <w:tl2br w:val="nil"/>
                    <w:tr2bl w:val="nil"/>
                  </w:tcBorders>
                  <w:vAlign w:val="center"/>
                </w:tcPr>
                <w:p w14:paraId="115B3E04">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2.0</w:t>
                  </w:r>
                </w:p>
              </w:tc>
              <w:tc>
                <w:tcPr>
                  <w:tcW w:w="460" w:type="pct"/>
                  <w:tcBorders>
                    <w:tl2br w:val="nil"/>
                    <w:tr2bl w:val="nil"/>
                  </w:tcBorders>
                  <w:vAlign w:val="center"/>
                </w:tcPr>
                <w:p w14:paraId="75742569">
                  <w:pPr>
                    <w:pStyle w:val="91"/>
                    <w:jc w:val="center"/>
                    <w:rPr>
                      <w:bCs/>
                      <w:color w:val="auto"/>
                      <w:szCs w:val="21"/>
                      <w:highlight w:val="none"/>
                    </w:rPr>
                  </w:pPr>
                  <w:r>
                    <w:rPr>
                      <w:rFonts w:hint="eastAsia" w:ascii="Times New Roman" w:cs="Times New Roman"/>
                      <w:bCs/>
                      <w:color w:val="auto"/>
                      <w:sz w:val="21"/>
                      <w:szCs w:val="21"/>
                      <w:highlight w:val="none"/>
                    </w:rPr>
                    <w:t>达标</w:t>
                  </w:r>
                </w:p>
              </w:tc>
            </w:tr>
            <w:tr w14:paraId="6637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2451F3D9">
                  <w:pPr>
                    <w:pStyle w:val="91"/>
                    <w:jc w:val="center"/>
                    <w:rPr>
                      <w:rFonts w:ascii="Times New Roman" w:cs="Times New Roman"/>
                      <w:bCs/>
                      <w:color w:val="auto"/>
                      <w:sz w:val="21"/>
                      <w:szCs w:val="21"/>
                      <w:highlight w:val="none"/>
                    </w:rPr>
                  </w:pPr>
                </w:p>
              </w:tc>
              <w:tc>
                <w:tcPr>
                  <w:tcW w:w="659" w:type="pct"/>
                  <w:vMerge w:val="continue"/>
                  <w:tcBorders>
                    <w:tl2br w:val="nil"/>
                    <w:tr2bl w:val="nil"/>
                  </w:tcBorders>
                  <w:vAlign w:val="center"/>
                </w:tcPr>
                <w:p w14:paraId="19280A2D">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70D5EA3E">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硫化氢</w:t>
                  </w:r>
                </w:p>
              </w:tc>
              <w:tc>
                <w:tcPr>
                  <w:tcW w:w="1401" w:type="pct"/>
                  <w:tcBorders>
                    <w:tl2br w:val="nil"/>
                    <w:tr2bl w:val="nil"/>
                  </w:tcBorders>
                  <w:vAlign w:val="center"/>
                </w:tcPr>
                <w:p w14:paraId="3708E126">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0.001~0.004</w:t>
                  </w:r>
                </w:p>
              </w:tc>
              <w:tc>
                <w:tcPr>
                  <w:tcW w:w="1049" w:type="pct"/>
                  <w:tcBorders>
                    <w:tl2br w:val="nil"/>
                    <w:tr2bl w:val="nil"/>
                  </w:tcBorders>
                  <w:vAlign w:val="center"/>
                </w:tcPr>
                <w:p w14:paraId="38E573DE">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0.1</w:t>
                  </w:r>
                </w:p>
              </w:tc>
              <w:tc>
                <w:tcPr>
                  <w:tcW w:w="460" w:type="pct"/>
                  <w:tcBorders>
                    <w:tl2br w:val="nil"/>
                    <w:tr2bl w:val="nil"/>
                  </w:tcBorders>
                  <w:vAlign w:val="center"/>
                </w:tcPr>
                <w:p w14:paraId="56B1CB02">
                  <w:pPr>
                    <w:jc w:val="center"/>
                    <w:rPr>
                      <w:bCs/>
                      <w:color w:val="auto"/>
                      <w:szCs w:val="21"/>
                      <w:highlight w:val="none"/>
                    </w:rPr>
                  </w:pPr>
                  <w:r>
                    <w:rPr>
                      <w:rFonts w:hint="eastAsia"/>
                      <w:bCs/>
                      <w:color w:val="auto"/>
                      <w:szCs w:val="21"/>
                      <w:highlight w:val="none"/>
                    </w:rPr>
                    <w:t>达标</w:t>
                  </w:r>
                </w:p>
              </w:tc>
            </w:tr>
            <w:tr w14:paraId="1EC7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4D843BC3">
                  <w:pPr>
                    <w:pStyle w:val="91"/>
                    <w:jc w:val="center"/>
                    <w:rPr>
                      <w:rFonts w:ascii="Times New Roman" w:cs="Times New Roman"/>
                      <w:bCs/>
                      <w:color w:val="auto"/>
                      <w:sz w:val="21"/>
                      <w:szCs w:val="21"/>
                      <w:highlight w:val="none"/>
                    </w:rPr>
                  </w:pPr>
                </w:p>
              </w:tc>
              <w:tc>
                <w:tcPr>
                  <w:tcW w:w="659" w:type="pct"/>
                  <w:vMerge w:val="continue"/>
                  <w:tcBorders>
                    <w:tl2br w:val="nil"/>
                    <w:tr2bl w:val="nil"/>
                  </w:tcBorders>
                  <w:vAlign w:val="center"/>
                </w:tcPr>
                <w:p w14:paraId="06FAB344">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025C1C6E">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臭气浓度</w:t>
                  </w:r>
                </w:p>
              </w:tc>
              <w:tc>
                <w:tcPr>
                  <w:tcW w:w="1401" w:type="pct"/>
                  <w:tcBorders>
                    <w:tl2br w:val="nil"/>
                    <w:tr2bl w:val="nil"/>
                  </w:tcBorders>
                  <w:vAlign w:val="center"/>
                </w:tcPr>
                <w:p w14:paraId="75C61BED">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＜10</w:t>
                  </w:r>
                </w:p>
              </w:tc>
              <w:tc>
                <w:tcPr>
                  <w:tcW w:w="1049" w:type="pct"/>
                  <w:tcBorders>
                    <w:tl2br w:val="nil"/>
                    <w:tr2bl w:val="nil"/>
                  </w:tcBorders>
                  <w:vAlign w:val="center"/>
                </w:tcPr>
                <w:p w14:paraId="760352DD">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30</w:t>
                  </w:r>
                </w:p>
              </w:tc>
              <w:tc>
                <w:tcPr>
                  <w:tcW w:w="460" w:type="pct"/>
                  <w:tcBorders>
                    <w:tl2br w:val="nil"/>
                    <w:tr2bl w:val="nil"/>
                  </w:tcBorders>
                  <w:vAlign w:val="center"/>
                </w:tcPr>
                <w:p w14:paraId="146056AD">
                  <w:pPr>
                    <w:jc w:val="center"/>
                    <w:rPr>
                      <w:bCs/>
                      <w:color w:val="auto"/>
                      <w:szCs w:val="21"/>
                      <w:highlight w:val="none"/>
                    </w:rPr>
                  </w:pPr>
                  <w:r>
                    <w:rPr>
                      <w:rFonts w:hint="eastAsia"/>
                      <w:bCs/>
                      <w:color w:val="auto"/>
                      <w:szCs w:val="21"/>
                      <w:highlight w:val="none"/>
                    </w:rPr>
                    <w:t>达标</w:t>
                  </w:r>
                </w:p>
              </w:tc>
            </w:tr>
            <w:tr w14:paraId="1EEC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67" w:type="pct"/>
                  <w:vMerge w:val="continue"/>
                  <w:tcBorders>
                    <w:tl2br w:val="nil"/>
                    <w:tr2bl w:val="nil"/>
                  </w:tcBorders>
                  <w:vAlign w:val="center"/>
                </w:tcPr>
                <w:p w14:paraId="3CAC6011">
                  <w:pPr>
                    <w:pStyle w:val="91"/>
                    <w:jc w:val="center"/>
                    <w:rPr>
                      <w:rFonts w:hint="default" w:ascii="Times New Roman" w:cs="Times New Roman"/>
                      <w:bCs/>
                      <w:color w:val="auto"/>
                      <w:sz w:val="21"/>
                      <w:szCs w:val="21"/>
                      <w:highlight w:val="none"/>
                      <w:lang w:val="en-US"/>
                    </w:rPr>
                  </w:pPr>
                </w:p>
              </w:tc>
              <w:tc>
                <w:tcPr>
                  <w:tcW w:w="659" w:type="pct"/>
                  <w:vMerge w:val="restart"/>
                  <w:tcBorders>
                    <w:tl2br w:val="nil"/>
                    <w:tr2bl w:val="nil"/>
                  </w:tcBorders>
                  <w:vAlign w:val="center"/>
                </w:tcPr>
                <w:p w14:paraId="2144D5EB">
                  <w:pPr>
                    <w:jc w:val="center"/>
                    <w:rPr>
                      <w:rFonts w:hint="eastAsia" w:asci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2</w:t>
                  </w:r>
                  <w:r>
                    <w:rPr>
                      <w:rFonts w:hint="eastAsia" w:ascii="Times New Roman" w:cs="Times New Roman"/>
                      <w:bCs/>
                      <w:color w:val="auto"/>
                      <w:sz w:val="21"/>
                      <w:szCs w:val="21"/>
                      <w:highlight w:val="none"/>
                    </w:rPr>
                    <w:t>#</w:t>
                  </w:r>
                  <w:r>
                    <w:rPr>
                      <w:rFonts w:hint="eastAsia" w:ascii="Times New Roman" w:cs="Times New Roman"/>
                      <w:bCs/>
                      <w:color w:val="auto"/>
                      <w:sz w:val="21"/>
                      <w:szCs w:val="21"/>
                      <w:highlight w:val="none"/>
                      <w:lang w:val="en-US" w:eastAsia="zh-CN"/>
                    </w:rPr>
                    <w:t>项目南侧厂界外</w:t>
                  </w:r>
                </w:p>
              </w:tc>
              <w:tc>
                <w:tcPr>
                  <w:tcW w:w="961" w:type="pct"/>
                  <w:tcBorders>
                    <w:tl2br w:val="nil"/>
                    <w:tr2bl w:val="nil"/>
                  </w:tcBorders>
                  <w:vAlign w:val="center"/>
                </w:tcPr>
                <w:p w14:paraId="7BE4377B">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颗粒物</w:t>
                  </w:r>
                </w:p>
              </w:tc>
              <w:tc>
                <w:tcPr>
                  <w:tcW w:w="1401" w:type="pct"/>
                  <w:tcBorders>
                    <w:tl2br w:val="nil"/>
                    <w:tr2bl w:val="nil"/>
                  </w:tcBorders>
                  <w:vAlign w:val="center"/>
                </w:tcPr>
                <w:p w14:paraId="3480AE2D">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0.058~0.097</w:t>
                  </w:r>
                </w:p>
              </w:tc>
              <w:tc>
                <w:tcPr>
                  <w:tcW w:w="1049" w:type="pct"/>
                  <w:tcBorders>
                    <w:tl2br w:val="nil"/>
                    <w:tr2bl w:val="nil"/>
                  </w:tcBorders>
                  <w:vAlign w:val="center"/>
                </w:tcPr>
                <w:p w14:paraId="5E6CEE64">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1.0</w:t>
                  </w:r>
                </w:p>
              </w:tc>
              <w:tc>
                <w:tcPr>
                  <w:tcW w:w="460" w:type="pct"/>
                  <w:tcBorders>
                    <w:tl2br w:val="nil"/>
                    <w:tr2bl w:val="nil"/>
                  </w:tcBorders>
                  <w:vAlign w:val="center"/>
                </w:tcPr>
                <w:p w14:paraId="40AABFC5">
                  <w:pPr>
                    <w:jc w:val="center"/>
                    <w:rPr>
                      <w:bCs/>
                      <w:color w:val="auto"/>
                      <w:szCs w:val="21"/>
                      <w:highlight w:val="none"/>
                    </w:rPr>
                  </w:pPr>
                  <w:r>
                    <w:rPr>
                      <w:rFonts w:hint="eastAsia"/>
                      <w:bCs/>
                      <w:color w:val="auto"/>
                      <w:szCs w:val="21"/>
                      <w:highlight w:val="none"/>
                    </w:rPr>
                    <w:t>达标</w:t>
                  </w:r>
                </w:p>
              </w:tc>
            </w:tr>
            <w:tr w14:paraId="7E75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67" w:type="pct"/>
                  <w:vMerge w:val="continue"/>
                  <w:tcBorders>
                    <w:tl2br w:val="nil"/>
                    <w:tr2bl w:val="nil"/>
                  </w:tcBorders>
                  <w:vAlign w:val="center"/>
                </w:tcPr>
                <w:p w14:paraId="06439530">
                  <w:pPr>
                    <w:pStyle w:val="91"/>
                    <w:jc w:val="center"/>
                    <w:rPr>
                      <w:rFonts w:hint="default" w:ascii="Times New Roman" w:cs="Times New Roman"/>
                      <w:bCs/>
                      <w:color w:val="auto"/>
                      <w:sz w:val="21"/>
                      <w:szCs w:val="21"/>
                      <w:highlight w:val="none"/>
                      <w:lang w:val="en-US"/>
                    </w:rPr>
                  </w:pPr>
                </w:p>
              </w:tc>
              <w:tc>
                <w:tcPr>
                  <w:tcW w:w="659" w:type="pct"/>
                  <w:vMerge w:val="continue"/>
                  <w:tcBorders>
                    <w:tl2br w:val="nil"/>
                    <w:tr2bl w:val="nil"/>
                  </w:tcBorders>
                  <w:vAlign w:val="center"/>
                </w:tcPr>
                <w:p w14:paraId="17EF0357">
                  <w:pPr>
                    <w:pStyle w:val="91"/>
                    <w:jc w:val="center"/>
                    <w:rPr>
                      <w:rFonts w:hint="eastAsia" w:ascii="Times New Roman" w:cs="Times New Roman"/>
                      <w:bCs/>
                      <w:color w:val="auto"/>
                      <w:sz w:val="21"/>
                      <w:szCs w:val="21"/>
                      <w:highlight w:val="none"/>
                      <w:lang w:val="en-US" w:eastAsia="zh-CN"/>
                    </w:rPr>
                  </w:pPr>
                </w:p>
              </w:tc>
              <w:tc>
                <w:tcPr>
                  <w:tcW w:w="961" w:type="pct"/>
                  <w:tcBorders>
                    <w:tl2br w:val="nil"/>
                    <w:tr2bl w:val="nil"/>
                  </w:tcBorders>
                  <w:vAlign w:val="center"/>
                </w:tcPr>
                <w:p w14:paraId="5C244EDD">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非甲烷总烃</w:t>
                  </w:r>
                </w:p>
              </w:tc>
              <w:tc>
                <w:tcPr>
                  <w:tcW w:w="1401" w:type="pct"/>
                  <w:tcBorders>
                    <w:tl2br w:val="nil"/>
                    <w:tr2bl w:val="nil"/>
                  </w:tcBorders>
                  <w:vAlign w:val="center"/>
                </w:tcPr>
                <w:p w14:paraId="7CC53978">
                  <w:pPr>
                    <w:pStyle w:val="91"/>
                    <w:jc w:val="center"/>
                    <w:rPr>
                      <w:rFonts w:hint="default" w:asci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0.36~0.65</w:t>
                  </w:r>
                </w:p>
              </w:tc>
              <w:tc>
                <w:tcPr>
                  <w:tcW w:w="1049" w:type="pct"/>
                  <w:tcBorders>
                    <w:tl2br w:val="nil"/>
                    <w:tr2bl w:val="nil"/>
                  </w:tcBorders>
                  <w:vAlign w:val="center"/>
                </w:tcPr>
                <w:p w14:paraId="3072B4BF">
                  <w:pPr>
                    <w:pStyle w:val="91"/>
                    <w:jc w:val="center"/>
                    <w:rPr>
                      <w:rFonts w:hint="eastAsia" w:ascii="Times New Roman" w:cs="Times New Roman"/>
                      <w:bCs/>
                      <w:color w:val="auto"/>
                      <w:sz w:val="21"/>
                      <w:szCs w:val="21"/>
                      <w:highlight w:val="none"/>
                    </w:rPr>
                  </w:pPr>
                  <w:r>
                    <w:rPr>
                      <w:rFonts w:hint="eastAsia" w:ascii="Times New Roman" w:cs="Times New Roman"/>
                      <w:bCs/>
                      <w:color w:val="auto"/>
                      <w:sz w:val="21"/>
                      <w:szCs w:val="21"/>
                      <w:highlight w:val="none"/>
                    </w:rPr>
                    <w:t>2.0</w:t>
                  </w:r>
                </w:p>
              </w:tc>
              <w:tc>
                <w:tcPr>
                  <w:tcW w:w="460" w:type="pct"/>
                  <w:tcBorders>
                    <w:tl2br w:val="nil"/>
                    <w:tr2bl w:val="nil"/>
                  </w:tcBorders>
                  <w:vAlign w:val="center"/>
                </w:tcPr>
                <w:p w14:paraId="191C9C2F">
                  <w:pPr>
                    <w:jc w:val="center"/>
                    <w:rPr>
                      <w:rFonts w:hint="eastAsia"/>
                      <w:bCs/>
                      <w:color w:val="auto"/>
                      <w:szCs w:val="21"/>
                      <w:highlight w:val="none"/>
                    </w:rPr>
                  </w:pPr>
                  <w:r>
                    <w:rPr>
                      <w:rFonts w:hint="eastAsia"/>
                      <w:bCs/>
                      <w:color w:val="auto"/>
                      <w:szCs w:val="21"/>
                      <w:highlight w:val="none"/>
                    </w:rPr>
                    <w:t>达标</w:t>
                  </w:r>
                </w:p>
              </w:tc>
            </w:tr>
            <w:tr w14:paraId="23A4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4EF5E246">
                  <w:pPr>
                    <w:pStyle w:val="91"/>
                    <w:jc w:val="center"/>
                    <w:rPr>
                      <w:rFonts w:ascii="Times New Roman" w:cs="Times New Roman"/>
                      <w:bCs/>
                      <w:color w:val="auto"/>
                      <w:sz w:val="21"/>
                      <w:szCs w:val="21"/>
                      <w:highlight w:val="none"/>
                    </w:rPr>
                  </w:pPr>
                </w:p>
              </w:tc>
              <w:tc>
                <w:tcPr>
                  <w:tcW w:w="659" w:type="pct"/>
                  <w:vMerge w:val="continue"/>
                  <w:tcBorders>
                    <w:tl2br w:val="nil"/>
                    <w:tr2bl w:val="nil"/>
                  </w:tcBorders>
                  <w:vAlign w:val="center"/>
                </w:tcPr>
                <w:p w14:paraId="6E6D38CF">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5FF3F999">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氨</w:t>
                  </w:r>
                </w:p>
              </w:tc>
              <w:tc>
                <w:tcPr>
                  <w:tcW w:w="1401" w:type="pct"/>
                  <w:tcBorders>
                    <w:tl2br w:val="nil"/>
                    <w:tr2bl w:val="nil"/>
                  </w:tcBorders>
                  <w:vAlign w:val="center"/>
                </w:tcPr>
                <w:p w14:paraId="4A9FF8B3">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0.24~0.33</w:t>
                  </w:r>
                </w:p>
              </w:tc>
              <w:tc>
                <w:tcPr>
                  <w:tcW w:w="1049" w:type="pct"/>
                  <w:tcBorders>
                    <w:tl2br w:val="nil"/>
                    <w:tr2bl w:val="nil"/>
                  </w:tcBorders>
                  <w:vAlign w:val="center"/>
                </w:tcPr>
                <w:p w14:paraId="23FFC8BD">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2.0</w:t>
                  </w:r>
                </w:p>
              </w:tc>
              <w:tc>
                <w:tcPr>
                  <w:tcW w:w="460" w:type="pct"/>
                  <w:tcBorders>
                    <w:tl2br w:val="nil"/>
                    <w:tr2bl w:val="nil"/>
                  </w:tcBorders>
                  <w:vAlign w:val="center"/>
                </w:tcPr>
                <w:p w14:paraId="0F6CFEF6">
                  <w:pPr>
                    <w:pStyle w:val="91"/>
                    <w:jc w:val="center"/>
                    <w:rPr>
                      <w:bCs/>
                      <w:color w:val="auto"/>
                      <w:szCs w:val="21"/>
                      <w:highlight w:val="none"/>
                    </w:rPr>
                  </w:pPr>
                  <w:r>
                    <w:rPr>
                      <w:rFonts w:hint="eastAsia" w:ascii="Times New Roman" w:cs="Times New Roman"/>
                      <w:bCs/>
                      <w:color w:val="auto"/>
                      <w:sz w:val="21"/>
                      <w:szCs w:val="21"/>
                      <w:highlight w:val="none"/>
                    </w:rPr>
                    <w:t>达标</w:t>
                  </w:r>
                </w:p>
              </w:tc>
            </w:tr>
            <w:tr w14:paraId="5549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70594445">
                  <w:pPr>
                    <w:pStyle w:val="91"/>
                    <w:jc w:val="center"/>
                    <w:rPr>
                      <w:rFonts w:ascii="Times New Roman" w:cs="Times New Roman"/>
                      <w:bCs/>
                      <w:color w:val="auto"/>
                      <w:sz w:val="21"/>
                      <w:szCs w:val="21"/>
                      <w:highlight w:val="none"/>
                    </w:rPr>
                  </w:pPr>
                </w:p>
              </w:tc>
              <w:tc>
                <w:tcPr>
                  <w:tcW w:w="659" w:type="pct"/>
                  <w:vMerge w:val="continue"/>
                  <w:tcBorders>
                    <w:tl2br w:val="nil"/>
                    <w:tr2bl w:val="nil"/>
                  </w:tcBorders>
                  <w:vAlign w:val="center"/>
                </w:tcPr>
                <w:p w14:paraId="6CD0BA11">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6F6B631C">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硫化氢</w:t>
                  </w:r>
                </w:p>
              </w:tc>
              <w:tc>
                <w:tcPr>
                  <w:tcW w:w="1401" w:type="pct"/>
                  <w:tcBorders>
                    <w:tl2br w:val="nil"/>
                    <w:tr2bl w:val="nil"/>
                  </w:tcBorders>
                  <w:vAlign w:val="center"/>
                </w:tcPr>
                <w:p w14:paraId="242EB9C8">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0.001~0.003</w:t>
                  </w:r>
                </w:p>
              </w:tc>
              <w:tc>
                <w:tcPr>
                  <w:tcW w:w="1049" w:type="pct"/>
                  <w:tcBorders>
                    <w:tl2br w:val="nil"/>
                    <w:tr2bl w:val="nil"/>
                  </w:tcBorders>
                  <w:vAlign w:val="center"/>
                </w:tcPr>
                <w:p w14:paraId="3EE48DC6">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0.1</w:t>
                  </w:r>
                </w:p>
              </w:tc>
              <w:tc>
                <w:tcPr>
                  <w:tcW w:w="460" w:type="pct"/>
                  <w:tcBorders>
                    <w:tl2br w:val="nil"/>
                    <w:tr2bl w:val="nil"/>
                  </w:tcBorders>
                  <w:vAlign w:val="center"/>
                </w:tcPr>
                <w:p w14:paraId="70C762B3">
                  <w:pPr>
                    <w:jc w:val="center"/>
                    <w:rPr>
                      <w:bCs/>
                      <w:color w:val="auto"/>
                      <w:szCs w:val="21"/>
                      <w:highlight w:val="none"/>
                    </w:rPr>
                  </w:pPr>
                  <w:r>
                    <w:rPr>
                      <w:rFonts w:hint="eastAsia"/>
                      <w:bCs/>
                      <w:color w:val="auto"/>
                      <w:szCs w:val="21"/>
                      <w:highlight w:val="none"/>
                    </w:rPr>
                    <w:t>达标</w:t>
                  </w:r>
                </w:p>
              </w:tc>
            </w:tr>
            <w:tr w14:paraId="63D2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363FF3C7">
                  <w:pPr>
                    <w:pStyle w:val="91"/>
                    <w:jc w:val="center"/>
                    <w:rPr>
                      <w:rFonts w:ascii="Times New Roman" w:cs="Times New Roman"/>
                      <w:bCs/>
                      <w:color w:val="auto"/>
                      <w:sz w:val="21"/>
                      <w:szCs w:val="21"/>
                      <w:highlight w:val="none"/>
                    </w:rPr>
                  </w:pPr>
                </w:p>
              </w:tc>
              <w:tc>
                <w:tcPr>
                  <w:tcW w:w="659" w:type="pct"/>
                  <w:vMerge w:val="continue"/>
                  <w:tcBorders>
                    <w:tl2br w:val="nil"/>
                    <w:tr2bl w:val="nil"/>
                  </w:tcBorders>
                  <w:vAlign w:val="center"/>
                </w:tcPr>
                <w:p w14:paraId="0FF04306">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2B7E130C">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臭气浓度</w:t>
                  </w:r>
                </w:p>
              </w:tc>
              <w:tc>
                <w:tcPr>
                  <w:tcW w:w="1401" w:type="pct"/>
                  <w:tcBorders>
                    <w:tl2br w:val="nil"/>
                    <w:tr2bl w:val="nil"/>
                  </w:tcBorders>
                  <w:vAlign w:val="center"/>
                </w:tcPr>
                <w:p w14:paraId="662DCBF1">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＜10</w:t>
                  </w:r>
                </w:p>
              </w:tc>
              <w:tc>
                <w:tcPr>
                  <w:tcW w:w="1049" w:type="pct"/>
                  <w:tcBorders>
                    <w:tl2br w:val="nil"/>
                    <w:tr2bl w:val="nil"/>
                  </w:tcBorders>
                  <w:vAlign w:val="center"/>
                </w:tcPr>
                <w:p w14:paraId="31521719">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30</w:t>
                  </w:r>
                </w:p>
              </w:tc>
              <w:tc>
                <w:tcPr>
                  <w:tcW w:w="460" w:type="pct"/>
                  <w:tcBorders>
                    <w:tl2br w:val="nil"/>
                    <w:tr2bl w:val="nil"/>
                  </w:tcBorders>
                  <w:vAlign w:val="center"/>
                </w:tcPr>
                <w:p w14:paraId="14FCD162">
                  <w:pPr>
                    <w:jc w:val="center"/>
                    <w:rPr>
                      <w:bCs/>
                      <w:color w:val="auto"/>
                      <w:szCs w:val="21"/>
                      <w:highlight w:val="none"/>
                    </w:rPr>
                  </w:pPr>
                  <w:r>
                    <w:rPr>
                      <w:rFonts w:hint="eastAsia"/>
                      <w:bCs/>
                      <w:color w:val="auto"/>
                      <w:szCs w:val="21"/>
                      <w:highlight w:val="none"/>
                    </w:rPr>
                    <w:t>达标</w:t>
                  </w:r>
                </w:p>
              </w:tc>
            </w:tr>
            <w:tr w14:paraId="2ADB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0764D9AC">
                  <w:pPr>
                    <w:pStyle w:val="91"/>
                    <w:jc w:val="center"/>
                    <w:rPr>
                      <w:rFonts w:hint="default" w:ascii="Times New Roman" w:eastAsia="宋体" w:cs="Times New Roman"/>
                      <w:bCs/>
                      <w:color w:val="auto"/>
                      <w:sz w:val="21"/>
                      <w:szCs w:val="21"/>
                      <w:highlight w:val="none"/>
                      <w:lang w:val="en-US" w:eastAsia="zh-CN"/>
                    </w:rPr>
                  </w:pPr>
                </w:p>
              </w:tc>
              <w:tc>
                <w:tcPr>
                  <w:tcW w:w="659" w:type="pct"/>
                  <w:vMerge w:val="restart"/>
                  <w:tcBorders>
                    <w:tl2br w:val="nil"/>
                    <w:tr2bl w:val="nil"/>
                  </w:tcBorders>
                  <w:vAlign w:val="center"/>
                </w:tcPr>
                <w:p w14:paraId="0EEDC3F4">
                  <w:pPr>
                    <w:jc w:val="center"/>
                    <w:rPr>
                      <w:rFonts w:ascii="Times New Roman" w:hAnsi="Times New Roman" w:eastAsia="宋体" w:cs="Times New Roman"/>
                      <w:bCs/>
                      <w:color w:val="auto"/>
                      <w:sz w:val="21"/>
                      <w:szCs w:val="21"/>
                      <w:highlight w:val="none"/>
                      <w:lang w:val="en-US" w:eastAsia="zh-CN" w:bidi="ar-SA"/>
                    </w:rPr>
                  </w:pPr>
                  <w:r>
                    <w:rPr>
                      <w:rFonts w:hint="eastAsia" w:cs="Times New Roman"/>
                      <w:bCs/>
                      <w:color w:val="auto"/>
                      <w:sz w:val="21"/>
                      <w:szCs w:val="21"/>
                      <w:highlight w:val="none"/>
                      <w:lang w:val="en-US" w:eastAsia="zh-CN"/>
                    </w:rPr>
                    <w:t>3</w:t>
                  </w:r>
                  <w:r>
                    <w:rPr>
                      <w:rFonts w:hint="eastAsia" w:ascii="Times New Roman" w:cs="Times New Roman"/>
                      <w:bCs/>
                      <w:color w:val="auto"/>
                      <w:sz w:val="21"/>
                      <w:szCs w:val="21"/>
                      <w:highlight w:val="none"/>
                    </w:rPr>
                    <w:t>#</w:t>
                  </w:r>
                  <w:r>
                    <w:rPr>
                      <w:rFonts w:hint="eastAsia" w:ascii="Times New Roman" w:cs="Times New Roman"/>
                      <w:bCs/>
                      <w:color w:val="auto"/>
                      <w:sz w:val="21"/>
                      <w:szCs w:val="21"/>
                      <w:highlight w:val="none"/>
                      <w:lang w:val="en-US" w:eastAsia="zh-CN"/>
                    </w:rPr>
                    <w:t>项目</w:t>
                  </w:r>
                  <w:r>
                    <w:rPr>
                      <w:rFonts w:hint="eastAsia" w:cs="Times New Roman"/>
                      <w:bCs/>
                      <w:color w:val="auto"/>
                      <w:sz w:val="21"/>
                      <w:szCs w:val="21"/>
                      <w:highlight w:val="none"/>
                      <w:lang w:val="en-US" w:eastAsia="zh-CN"/>
                    </w:rPr>
                    <w:t>西</w:t>
                  </w:r>
                  <w:r>
                    <w:rPr>
                      <w:rFonts w:hint="eastAsia" w:ascii="Times New Roman" w:cs="Times New Roman"/>
                      <w:bCs/>
                      <w:color w:val="auto"/>
                      <w:sz w:val="21"/>
                      <w:szCs w:val="21"/>
                      <w:highlight w:val="none"/>
                      <w:lang w:val="en-US" w:eastAsia="zh-CN"/>
                    </w:rPr>
                    <w:t>侧厂界外</w:t>
                  </w:r>
                </w:p>
              </w:tc>
              <w:tc>
                <w:tcPr>
                  <w:tcW w:w="961" w:type="pct"/>
                  <w:tcBorders>
                    <w:tl2br w:val="nil"/>
                    <w:tr2bl w:val="nil"/>
                  </w:tcBorders>
                  <w:vAlign w:val="center"/>
                </w:tcPr>
                <w:p w14:paraId="1252661C">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颗粒物</w:t>
                  </w:r>
                </w:p>
              </w:tc>
              <w:tc>
                <w:tcPr>
                  <w:tcW w:w="1401" w:type="pct"/>
                  <w:tcBorders>
                    <w:tl2br w:val="nil"/>
                    <w:tr2bl w:val="nil"/>
                  </w:tcBorders>
                  <w:vAlign w:val="center"/>
                </w:tcPr>
                <w:p w14:paraId="65F5D27E">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0.058~0.097</w:t>
                  </w:r>
                </w:p>
              </w:tc>
              <w:tc>
                <w:tcPr>
                  <w:tcW w:w="1049" w:type="pct"/>
                  <w:tcBorders>
                    <w:tl2br w:val="nil"/>
                    <w:tr2bl w:val="nil"/>
                  </w:tcBorders>
                  <w:vAlign w:val="center"/>
                </w:tcPr>
                <w:p w14:paraId="48EF95AD">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1.0</w:t>
                  </w:r>
                </w:p>
              </w:tc>
              <w:tc>
                <w:tcPr>
                  <w:tcW w:w="460" w:type="pct"/>
                  <w:tcBorders>
                    <w:tl2br w:val="nil"/>
                    <w:tr2bl w:val="nil"/>
                  </w:tcBorders>
                  <w:vAlign w:val="center"/>
                </w:tcPr>
                <w:p w14:paraId="120CCEC3">
                  <w:pPr>
                    <w:jc w:val="center"/>
                    <w:rPr>
                      <w:bCs/>
                      <w:color w:val="auto"/>
                      <w:szCs w:val="21"/>
                      <w:highlight w:val="none"/>
                    </w:rPr>
                  </w:pPr>
                  <w:r>
                    <w:rPr>
                      <w:rFonts w:hint="eastAsia"/>
                      <w:bCs/>
                      <w:color w:val="auto"/>
                      <w:szCs w:val="21"/>
                      <w:highlight w:val="none"/>
                    </w:rPr>
                    <w:t>达标</w:t>
                  </w:r>
                </w:p>
              </w:tc>
            </w:tr>
            <w:tr w14:paraId="0608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29EAD607">
                  <w:pPr>
                    <w:pStyle w:val="91"/>
                    <w:jc w:val="center"/>
                    <w:rPr>
                      <w:rFonts w:ascii="Times New Roman" w:cs="Times New Roman"/>
                      <w:bCs/>
                      <w:color w:val="auto"/>
                      <w:sz w:val="21"/>
                      <w:szCs w:val="21"/>
                      <w:highlight w:val="none"/>
                    </w:rPr>
                  </w:pPr>
                </w:p>
              </w:tc>
              <w:tc>
                <w:tcPr>
                  <w:tcW w:w="659" w:type="pct"/>
                  <w:vMerge w:val="continue"/>
                  <w:tcBorders>
                    <w:tl2br w:val="nil"/>
                    <w:tr2bl w:val="nil"/>
                  </w:tcBorders>
                  <w:vAlign w:val="center"/>
                </w:tcPr>
                <w:p w14:paraId="5B7E3DDC">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27EF08F7">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非甲烷总烃</w:t>
                  </w:r>
                </w:p>
              </w:tc>
              <w:tc>
                <w:tcPr>
                  <w:tcW w:w="1401" w:type="pct"/>
                  <w:tcBorders>
                    <w:tl2br w:val="nil"/>
                    <w:tr2bl w:val="nil"/>
                  </w:tcBorders>
                  <w:vAlign w:val="center"/>
                </w:tcPr>
                <w:p w14:paraId="3F3CE429">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0.33~0.60</w:t>
                  </w:r>
                </w:p>
              </w:tc>
              <w:tc>
                <w:tcPr>
                  <w:tcW w:w="1049" w:type="pct"/>
                  <w:tcBorders>
                    <w:tl2br w:val="nil"/>
                    <w:tr2bl w:val="nil"/>
                  </w:tcBorders>
                  <w:vAlign w:val="center"/>
                </w:tcPr>
                <w:p w14:paraId="324E4238">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2.0</w:t>
                  </w:r>
                </w:p>
              </w:tc>
              <w:tc>
                <w:tcPr>
                  <w:tcW w:w="460" w:type="pct"/>
                  <w:tcBorders>
                    <w:tl2br w:val="nil"/>
                    <w:tr2bl w:val="nil"/>
                  </w:tcBorders>
                  <w:vAlign w:val="center"/>
                </w:tcPr>
                <w:p w14:paraId="44B63341">
                  <w:pPr>
                    <w:jc w:val="center"/>
                    <w:rPr>
                      <w:bCs/>
                      <w:color w:val="auto"/>
                      <w:szCs w:val="21"/>
                      <w:highlight w:val="none"/>
                    </w:rPr>
                  </w:pPr>
                  <w:r>
                    <w:rPr>
                      <w:rFonts w:hint="eastAsia"/>
                      <w:bCs/>
                      <w:color w:val="auto"/>
                      <w:szCs w:val="21"/>
                      <w:highlight w:val="none"/>
                    </w:rPr>
                    <w:t>达标</w:t>
                  </w:r>
                </w:p>
              </w:tc>
            </w:tr>
            <w:tr w14:paraId="526F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0965A4CA">
                  <w:pPr>
                    <w:pStyle w:val="91"/>
                    <w:jc w:val="center"/>
                    <w:rPr>
                      <w:rFonts w:hint="default" w:ascii="Times New Roman" w:eastAsia="宋体" w:cs="Times New Roman"/>
                      <w:bCs/>
                      <w:color w:val="auto"/>
                      <w:sz w:val="21"/>
                      <w:szCs w:val="21"/>
                      <w:highlight w:val="none"/>
                      <w:lang w:val="en-US" w:eastAsia="zh-CN"/>
                    </w:rPr>
                  </w:pPr>
                </w:p>
              </w:tc>
              <w:tc>
                <w:tcPr>
                  <w:tcW w:w="659" w:type="pct"/>
                  <w:vMerge w:val="continue"/>
                  <w:tcBorders>
                    <w:tl2br w:val="nil"/>
                    <w:tr2bl w:val="nil"/>
                  </w:tcBorders>
                  <w:vAlign w:val="center"/>
                </w:tcPr>
                <w:p w14:paraId="0B6799FC">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56679A58">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氨</w:t>
                  </w:r>
                </w:p>
              </w:tc>
              <w:tc>
                <w:tcPr>
                  <w:tcW w:w="1401" w:type="pct"/>
                  <w:tcBorders>
                    <w:tl2br w:val="nil"/>
                    <w:tr2bl w:val="nil"/>
                  </w:tcBorders>
                  <w:vAlign w:val="center"/>
                </w:tcPr>
                <w:p w14:paraId="25E6AD1B">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0.090~.14</w:t>
                  </w:r>
                </w:p>
              </w:tc>
              <w:tc>
                <w:tcPr>
                  <w:tcW w:w="1049" w:type="pct"/>
                  <w:tcBorders>
                    <w:tl2br w:val="nil"/>
                    <w:tr2bl w:val="nil"/>
                  </w:tcBorders>
                  <w:vAlign w:val="center"/>
                </w:tcPr>
                <w:p w14:paraId="28B8854B">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2.0</w:t>
                  </w:r>
                </w:p>
              </w:tc>
              <w:tc>
                <w:tcPr>
                  <w:tcW w:w="460" w:type="pct"/>
                  <w:tcBorders>
                    <w:tl2br w:val="nil"/>
                    <w:tr2bl w:val="nil"/>
                  </w:tcBorders>
                  <w:vAlign w:val="center"/>
                </w:tcPr>
                <w:p w14:paraId="4771A410">
                  <w:pPr>
                    <w:pStyle w:val="91"/>
                    <w:jc w:val="center"/>
                    <w:rPr>
                      <w:bCs/>
                      <w:color w:val="auto"/>
                      <w:szCs w:val="21"/>
                      <w:highlight w:val="none"/>
                    </w:rPr>
                  </w:pPr>
                  <w:r>
                    <w:rPr>
                      <w:rFonts w:hint="eastAsia" w:ascii="Times New Roman" w:cs="Times New Roman"/>
                      <w:bCs/>
                      <w:color w:val="auto"/>
                      <w:sz w:val="21"/>
                      <w:szCs w:val="21"/>
                      <w:highlight w:val="none"/>
                    </w:rPr>
                    <w:t>达标</w:t>
                  </w:r>
                </w:p>
              </w:tc>
            </w:tr>
            <w:tr w14:paraId="66F8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42ECE389">
                  <w:pPr>
                    <w:pStyle w:val="91"/>
                    <w:jc w:val="center"/>
                    <w:rPr>
                      <w:rFonts w:ascii="Times New Roman" w:cs="Times New Roman"/>
                      <w:bCs/>
                      <w:color w:val="auto"/>
                      <w:sz w:val="21"/>
                      <w:szCs w:val="21"/>
                      <w:highlight w:val="none"/>
                    </w:rPr>
                  </w:pPr>
                </w:p>
              </w:tc>
              <w:tc>
                <w:tcPr>
                  <w:tcW w:w="659" w:type="pct"/>
                  <w:vMerge w:val="continue"/>
                  <w:tcBorders>
                    <w:tl2br w:val="nil"/>
                    <w:tr2bl w:val="nil"/>
                  </w:tcBorders>
                  <w:vAlign w:val="center"/>
                </w:tcPr>
                <w:p w14:paraId="1D405C8D">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08B11FB6">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硫化氢</w:t>
                  </w:r>
                </w:p>
              </w:tc>
              <w:tc>
                <w:tcPr>
                  <w:tcW w:w="1401" w:type="pct"/>
                  <w:tcBorders>
                    <w:tl2br w:val="nil"/>
                    <w:tr2bl w:val="nil"/>
                  </w:tcBorders>
                  <w:vAlign w:val="center"/>
                </w:tcPr>
                <w:p w14:paraId="27EB2725">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0.002</w:t>
                  </w:r>
                </w:p>
              </w:tc>
              <w:tc>
                <w:tcPr>
                  <w:tcW w:w="1049" w:type="pct"/>
                  <w:tcBorders>
                    <w:tl2br w:val="nil"/>
                    <w:tr2bl w:val="nil"/>
                  </w:tcBorders>
                  <w:vAlign w:val="center"/>
                </w:tcPr>
                <w:p w14:paraId="3D38E294">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lang w:val="en-US" w:eastAsia="zh-CN"/>
                    </w:rPr>
                    <w:t>0.1</w:t>
                  </w:r>
                </w:p>
              </w:tc>
              <w:tc>
                <w:tcPr>
                  <w:tcW w:w="460" w:type="pct"/>
                  <w:tcBorders>
                    <w:tl2br w:val="nil"/>
                    <w:tr2bl w:val="nil"/>
                  </w:tcBorders>
                  <w:vAlign w:val="center"/>
                </w:tcPr>
                <w:p w14:paraId="426E60FF">
                  <w:pPr>
                    <w:jc w:val="center"/>
                    <w:rPr>
                      <w:bCs/>
                      <w:color w:val="auto"/>
                      <w:szCs w:val="21"/>
                      <w:highlight w:val="none"/>
                    </w:rPr>
                  </w:pPr>
                  <w:r>
                    <w:rPr>
                      <w:rFonts w:hint="eastAsia"/>
                      <w:bCs/>
                      <w:color w:val="auto"/>
                      <w:szCs w:val="21"/>
                      <w:highlight w:val="none"/>
                    </w:rPr>
                    <w:t>达标</w:t>
                  </w:r>
                </w:p>
              </w:tc>
            </w:tr>
            <w:tr w14:paraId="352A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Merge w:val="continue"/>
                  <w:tcBorders>
                    <w:tl2br w:val="nil"/>
                    <w:tr2bl w:val="nil"/>
                  </w:tcBorders>
                  <w:vAlign w:val="center"/>
                </w:tcPr>
                <w:p w14:paraId="77C8702B">
                  <w:pPr>
                    <w:pStyle w:val="91"/>
                    <w:jc w:val="center"/>
                    <w:rPr>
                      <w:rFonts w:ascii="Times New Roman" w:cs="Times New Roman"/>
                      <w:bCs/>
                      <w:color w:val="auto"/>
                      <w:sz w:val="21"/>
                      <w:szCs w:val="21"/>
                      <w:highlight w:val="none"/>
                    </w:rPr>
                  </w:pPr>
                </w:p>
              </w:tc>
              <w:tc>
                <w:tcPr>
                  <w:tcW w:w="659" w:type="pct"/>
                  <w:vMerge w:val="continue"/>
                  <w:tcBorders>
                    <w:tl2br w:val="nil"/>
                    <w:tr2bl w:val="nil"/>
                  </w:tcBorders>
                  <w:vAlign w:val="center"/>
                </w:tcPr>
                <w:p w14:paraId="150815E0">
                  <w:pPr>
                    <w:pStyle w:val="91"/>
                    <w:jc w:val="center"/>
                    <w:rPr>
                      <w:rFonts w:ascii="Times New Roman" w:cs="Times New Roman"/>
                      <w:bCs/>
                      <w:color w:val="auto"/>
                      <w:sz w:val="21"/>
                      <w:szCs w:val="21"/>
                      <w:highlight w:val="none"/>
                    </w:rPr>
                  </w:pPr>
                </w:p>
              </w:tc>
              <w:tc>
                <w:tcPr>
                  <w:tcW w:w="961" w:type="pct"/>
                  <w:tcBorders>
                    <w:tl2br w:val="nil"/>
                    <w:tr2bl w:val="nil"/>
                  </w:tcBorders>
                  <w:vAlign w:val="center"/>
                </w:tcPr>
                <w:p w14:paraId="0C4EE235">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臭气浓度</w:t>
                  </w:r>
                </w:p>
              </w:tc>
              <w:tc>
                <w:tcPr>
                  <w:tcW w:w="1401" w:type="pct"/>
                  <w:tcBorders>
                    <w:tl2br w:val="nil"/>
                    <w:tr2bl w:val="nil"/>
                  </w:tcBorders>
                  <w:vAlign w:val="center"/>
                </w:tcPr>
                <w:p w14:paraId="4E55F85F">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＜10</w:t>
                  </w:r>
                </w:p>
              </w:tc>
              <w:tc>
                <w:tcPr>
                  <w:tcW w:w="1049" w:type="pct"/>
                  <w:tcBorders>
                    <w:tl2br w:val="nil"/>
                    <w:tr2bl w:val="nil"/>
                  </w:tcBorders>
                  <w:vAlign w:val="center"/>
                </w:tcPr>
                <w:p w14:paraId="434A3B33">
                  <w:pPr>
                    <w:pStyle w:val="91"/>
                    <w:jc w:val="center"/>
                    <w:rPr>
                      <w:rFonts w:hint="default"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30</w:t>
                  </w:r>
                </w:p>
              </w:tc>
              <w:tc>
                <w:tcPr>
                  <w:tcW w:w="460" w:type="pct"/>
                  <w:tcBorders>
                    <w:tl2br w:val="nil"/>
                    <w:tr2bl w:val="nil"/>
                  </w:tcBorders>
                  <w:vAlign w:val="center"/>
                </w:tcPr>
                <w:p w14:paraId="364B8D56">
                  <w:pPr>
                    <w:jc w:val="center"/>
                    <w:rPr>
                      <w:bCs/>
                      <w:color w:val="auto"/>
                      <w:szCs w:val="21"/>
                      <w:highlight w:val="none"/>
                    </w:rPr>
                  </w:pPr>
                  <w:r>
                    <w:rPr>
                      <w:rFonts w:hint="eastAsia"/>
                      <w:bCs/>
                      <w:color w:val="auto"/>
                      <w:szCs w:val="21"/>
                      <w:highlight w:val="none"/>
                    </w:rPr>
                    <w:t>达标</w:t>
                  </w:r>
                </w:p>
              </w:tc>
            </w:tr>
          </w:tbl>
          <w:p w14:paraId="4257DD46">
            <w:pPr>
              <w:spacing w:line="360" w:lineRule="auto"/>
              <w:ind w:firstLine="478" w:firstLineChars="196"/>
              <w:rPr>
                <w:rFonts w:hint="default" w:eastAsia="宋体"/>
                <w:color w:val="auto"/>
                <w:spacing w:val="2"/>
                <w:sz w:val="24"/>
                <w:szCs w:val="20"/>
                <w:highlight w:val="none"/>
                <w:lang w:val="en-US" w:eastAsia="zh-CN"/>
              </w:rPr>
            </w:pPr>
            <w:r>
              <w:rPr>
                <w:rFonts w:hint="eastAsia"/>
                <w:color w:val="auto"/>
                <w:spacing w:val="2"/>
                <w:sz w:val="24"/>
                <w:szCs w:val="20"/>
                <w:highlight w:val="none"/>
              </w:rPr>
              <w:t>监测结果表明：项目无组织排放废气中氨、硫化氢</w:t>
            </w:r>
            <w:r>
              <w:rPr>
                <w:rFonts w:hint="eastAsia"/>
                <w:color w:val="auto"/>
                <w:spacing w:val="2"/>
                <w:sz w:val="24"/>
                <w:szCs w:val="20"/>
                <w:highlight w:val="none"/>
                <w:lang w:eastAsia="zh-CN"/>
              </w:rPr>
              <w:t>、</w:t>
            </w:r>
            <w:r>
              <w:rPr>
                <w:rFonts w:hint="eastAsia"/>
                <w:color w:val="auto"/>
                <w:spacing w:val="2"/>
                <w:sz w:val="24"/>
                <w:szCs w:val="20"/>
                <w:highlight w:val="none"/>
                <w:lang w:val="en-US" w:eastAsia="zh-CN"/>
              </w:rPr>
              <w:t>臭气浓度</w:t>
            </w:r>
            <w:r>
              <w:rPr>
                <w:rFonts w:hint="eastAsia"/>
                <w:color w:val="auto"/>
                <w:spacing w:val="2"/>
                <w:sz w:val="24"/>
                <w:szCs w:val="20"/>
                <w:highlight w:val="none"/>
              </w:rPr>
              <w:t>的排放浓度均符合《恶臭污染物排放标准》（</w:t>
            </w:r>
            <w:r>
              <w:rPr>
                <w:color w:val="auto"/>
                <w:spacing w:val="2"/>
                <w:sz w:val="24"/>
                <w:szCs w:val="20"/>
                <w:highlight w:val="none"/>
              </w:rPr>
              <w:t>GB14554-93</w:t>
            </w:r>
            <w:r>
              <w:rPr>
                <w:rFonts w:hint="eastAsia"/>
                <w:color w:val="auto"/>
                <w:spacing w:val="2"/>
                <w:sz w:val="24"/>
                <w:szCs w:val="20"/>
                <w:highlight w:val="none"/>
              </w:rPr>
              <w:t>）表</w:t>
            </w:r>
            <w:r>
              <w:rPr>
                <w:color w:val="auto"/>
                <w:spacing w:val="2"/>
                <w:sz w:val="24"/>
                <w:szCs w:val="20"/>
                <w:highlight w:val="none"/>
              </w:rPr>
              <w:t>1</w:t>
            </w:r>
            <w:r>
              <w:rPr>
                <w:rFonts w:hint="eastAsia"/>
                <w:color w:val="auto"/>
                <w:spacing w:val="2"/>
                <w:sz w:val="24"/>
                <w:szCs w:val="20"/>
                <w:highlight w:val="none"/>
              </w:rPr>
              <w:t>二级</w:t>
            </w:r>
            <w:r>
              <w:rPr>
                <w:rFonts w:hint="eastAsia"/>
                <w:color w:val="auto"/>
                <w:spacing w:val="2"/>
                <w:sz w:val="24"/>
                <w:szCs w:val="20"/>
                <w:highlight w:val="none"/>
                <w:lang w:val="en-US" w:eastAsia="zh-CN"/>
              </w:rPr>
              <w:t>现有</w:t>
            </w:r>
            <w:r>
              <w:rPr>
                <w:rFonts w:hint="eastAsia"/>
                <w:color w:val="auto"/>
                <w:spacing w:val="2"/>
                <w:sz w:val="24"/>
                <w:szCs w:val="20"/>
                <w:highlight w:val="none"/>
              </w:rPr>
              <w:t>标准限值的要求；颗粒物的排放浓度符合《大气污染物综合排放标准》（</w:t>
            </w:r>
            <w:r>
              <w:rPr>
                <w:color w:val="auto"/>
                <w:spacing w:val="2"/>
                <w:sz w:val="24"/>
                <w:szCs w:val="20"/>
                <w:highlight w:val="none"/>
              </w:rPr>
              <w:t>GB16297-1996</w:t>
            </w:r>
            <w:r>
              <w:rPr>
                <w:rFonts w:hint="eastAsia"/>
                <w:color w:val="auto"/>
                <w:spacing w:val="2"/>
                <w:sz w:val="24"/>
                <w:szCs w:val="20"/>
                <w:highlight w:val="none"/>
              </w:rPr>
              <w:t>）表</w:t>
            </w:r>
            <w:r>
              <w:rPr>
                <w:color w:val="auto"/>
                <w:spacing w:val="2"/>
                <w:sz w:val="24"/>
                <w:szCs w:val="20"/>
                <w:highlight w:val="none"/>
              </w:rPr>
              <w:t>2</w:t>
            </w:r>
            <w:r>
              <w:rPr>
                <w:rFonts w:hint="eastAsia"/>
                <w:color w:val="auto"/>
                <w:spacing w:val="2"/>
                <w:sz w:val="24"/>
                <w:szCs w:val="20"/>
                <w:highlight w:val="none"/>
              </w:rPr>
              <w:t>其他类无组织标准限值的要求；非甲烷总烃的排放浓度符合《四川省固定污染源大气挥发性有机物排放标准》</w:t>
            </w:r>
            <w:r>
              <w:rPr>
                <w:rFonts w:hint="eastAsia"/>
                <w:color w:val="auto"/>
                <w:spacing w:val="2"/>
                <w:sz w:val="24"/>
                <w:szCs w:val="20"/>
                <w:highlight w:val="none"/>
                <w:lang w:eastAsia="zh-CN"/>
              </w:rPr>
              <w:t>（</w:t>
            </w:r>
            <w:r>
              <w:rPr>
                <w:color w:val="auto"/>
                <w:spacing w:val="2"/>
                <w:sz w:val="24"/>
                <w:szCs w:val="20"/>
                <w:highlight w:val="none"/>
              </w:rPr>
              <w:t>DB51/2377-2017</w:t>
            </w:r>
            <w:r>
              <w:rPr>
                <w:rFonts w:hint="eastAsia"/>
                <w:color w:val="auto"/>
                <w:spacing w:val="2"/>
                <w:sz w:val="24"/>
                <w:szCs w:val="20"/>
                <w:highlight w:val="none"/>
                <w:lang w:eastAsia="zh-CN"/>
              </w:rPr>
              <w:t>）</w:t>
            </w:r>
            <w:r>
              <w:rPr>
                <w:rFonts w:hint="eastAsia"/>
                <w:color w:val="auto"/>
                <w:spacing w:val="2"/>
                <w:sz w:val="24"/>
                <w:szCs w:val="20"/>
                <w:highlight w:val="none"/>
              </w:rPr>
              <w:t>表</w:t>
            </w:r>
            <w:r>
              <w:rPr>
                <w:color w:val="auto"/>
                <w:spacing w:val="2"/>
                <w:sz w:val="24"/>
                <w:szCs w:val="20"/>
                <w:highlight w:val="none"/>
              </w:rPr>
              <w:t>5</w:t>
            </w:r>
            <w:r>
              <w:rPr>
                <w:rFonts w:hint="eastAsia"/>
                <w:color w:val="auto"/>
                <w:spacing w:val="2"/>
                <w:sz w:val="24"/>
                <w:szCs w:val="20"/>
                <w:highlight w:val="none"/>
              </w:rPr>
              <w:t>其他无组织排放标准限值的要求</w:t>
            </w:r>
            <w:r>
              <w:rPr>
                <w:rFonts w:hint="eastAsia"/>
                <w:color w:val="auto"/>
                <w:spacing w:val="2"/>
                <w:sz w:val="24"/>
                <w:szCs w:val="20"/>
                <w:highlight w:val="none"/>
                <w:lang w:val="en-US" w:eastAsia="zh-CN"/>
              </w:rPr>
              <w:t>。</w:t>
            </w:r>
          </w:p>
          <w:p w14:paraId="71B5C36B">
            <w:pPr>
              <w:spacing w:line="360" w:lineRule="auto"/>
              <w:ind w:firstLine="478" w:firstLineChars="196"/>
              <w:rPr>
                <w:rFonts w:hint="eastAsia" w:eastAsia="宋体"/>
                <w:color w:val="auto"/>
                <w:sz w:val="24"/>
                <w:highlight w:val="none"/>
                <w:lang w:eastAsia="zh-CN"/>
              </w:rPr>
            </w:pPr>
            <w:r>
              <w:rPr>
                <w:rFonts w:hint="eastAsia"/>
                <w:color w:val="auto"/>
                <w:spacing w:val="2"/>
                <w:sz w:val="24"/>
                <w:szCs w:val="20"/>
                <w:highlight w:val="none"/>
              </w:rPr>
              <w:t>综上，</w:t>
            </w:r>
            <w:r>
              <w:rPr>
                <w:rFonts w:hint="eastAsia"/>
                <w:color w:val="auto"/>
                <w:spacing w:val="2"/>
                <w:sz w:val="24"/>
                <w:szCs w:val="20"/>
                <w:highlight w:val="none"/>
                <w:lang w:val="en-US" w:eastAsia="zh-CN"/>
              </w:rPr>
              <w:t>现有工程</w:t>
            </w:r>
            <w:r>
              <w:rPr>
                <w:rFonts w:hint="eastAsia"/>
                <w:color w:val="auto"/>
                <w:spacing w:val="2"/>
                <w:sz w:val="24"/>
                <w:szCs w:val="20"/>
                <w:highlight w:val="none"/>
              </w:rPr>
              <w:t>废气污染物可以做到达标排放，采用的废气处理措施可行，运行过程中产生的废气对大气环境产生的影响很小，根据监测数据，</w:t>
            </w:r>
            <w:r>
              <w:rPr>
                <w:rFonts w:hint="eastAsia"/>
                <w:color w:val="auto"/>
                <w:spacing w:val="2"/>
                <w:sz w:val="24"/>
                <w:szCs w:val="20"/>
                <w:highlight w:val="none"/>
                <w:lang w:val="en-US" w:eastAsia="zh-CN"/>
              </w:rPr>
              <w:t>现有工程</w:t>
            </w:r>
            <w:r>
              <w:rPr>
                <w:rFonts w:hint="eastAsia"/>
                <w:color w:val="auto"/>
                <w:spacing w:val="2"/>
                <w:sz w:val="24"/>
                <w:szCs w:val="20"/>
                <w:highlight w:val="none"/>
              </w:rPr>
              <w:t>废气处理措施合理，运行正常，无需整改。</w:t>
            </w:r>
          </w:p>
          <w:p w14:paraId="2EE608BC">
            <w:pPr>
              <w:numPr>
                <w:ilvl w:val="0"/>
                <w:numId w:val="24"/>
              </w:numPr>
              <w:spacing w:line="360" w:lineRule="auto"/>
              <w:ind w:firstLine="478" w:firstLineChars="196"/>
              <w:rPr>
                <w:color w:val="auto"/>
                <w:sz w:val="24"/>
                <w:highlight w:val="none"/>
              </w:rPr>
            </w:pPr>
            <w:r>
              <w:rPr>
                <w:rFonts w:hint="eastAsia"/>
                <w:color w:val="auto"/>
                <w:spacing w:val="2"/>
                <w:sz w:val="24"/>
                <w:szCs w:val="20"/>
                <w:highlight w:val="none"/>
                <w:lang w:val="en-US" w:eastAsia="zh-CN"/>
              </w:rPr>
              <w:t>现有工程</w:t>
            </w:r>
            <w:r>
              <w:rPr>
                <w:rFonts w:hint="eastAsia"/>
                <w:color w:val="auto"/>
                <w:sz w:val="24"/>
                <w:highlight w:val="none"/>
              </w:rPr>
              <w:t>噪声产生、治理及排放情况</w:t>
            </w:r>
          </w:p>
          <w:p w14:paraId="686676F1">
            <w:pPr>
              <w:spacing w:line="360" w:lineRule="auto"/>
              <w:ind w:firstLine="478" w:firstLineChars="196"/>
              <w:rPr>
                <w:rFonts w:hint="eastAsia"/>
                <w:color w:val="auto"/>
                <w:spacing w:val="2"/>
                <w:sz w:val="24"/>
                <w:szCs w:val="20"/>
                <w:highlight w:val="none"/>
              </w:rPr>
            </w:pPr>
            <w:r>
              <w:rPr>
                <w:rFonts w:hint="eastAsia"/>
                <w:color w:val="auto"/>
                <w:spacing w:val="2"/>
                <w:sz w:val="24"/>
                <w:szCs w:val="20"/>
                <w:highlight w:val="none"/>
                <w:lang w:val="en-US" w:eastAsia="zh-CN"/>
              </w:rPr>
              <w:t>企业现有工程噪声主要为空气动力性噪声及机械性噪声，其噪声较大的声源主要有：进料反应单元、脱水蒸氨单元、产品精制单元和物料装卸栈台的各种泵，给排水系统的水泵、冷却塔；空压站的空压机等，声源强度在75～95dB（A）范围内。</w:t>
            </w:r>
          </w:p>
          <w:p w14:paraId="097CE4FB">
            <w:pPr>
              <w:spacing w:line="360" w:lineRule="auto"/>
              <w:ind w:firstLine="478" w:firstLineChars="196"/>
              <w:rPr>
                <w:color w:val="auto"/>
                <w:spacing w:val="2"/>
                <w:sz w:val="24"/>
                <w:szCs w:val="20"/>
                <w:highlight w:val="none"/>
              </w:rPr>
            </w:pPr>
            <w:r>
              <w:rPr>
                <w:rFonts w:hint="eastAsia"/>
                <w:color w:val="auto"/>
                <w:spacing w:val="2"/>
                <w:sz w:val="24"/>
                <w:szCs w:val="20"/>
                <w:highlight w:val="none"/>
                <w:lang w:val="en-US" w:eastAsia="zh-CN"/>
              </w:rPr>
              <w:t>厂区已选用低噪声设备，设备安装基座减振，再通过厂房隔声及合理布局</w:t>
            </w:r>
            <w:r>
              <w:rPr>
                <w:color w:val="auto"/>
                <w:spacing w:val="2"/>
                <w:sz w:val="24"/>
                <w:szCs w:val="20"/>
                <w:highlight w:val="none"/>
              </w:rPr>
              <w:t>等治理措施后，经距离衰减作用到厂界位置可下降至55~60dB</w:t>
            </w:r>
            <w:r>
              <w:rPr>
                <w:rFonts w:hint="eastAsia"/>
                <w:color w:val="auto"/>
                <w:spacing w:val="2"/>
                <w:sz w:val="24"/>
                <w:szCs w:val="20"/>
                <w:highlight w:val="none"/>
                <w:lang w:eastAsia="zh-CN"/>
              </w:rPr>
              <w:t>（</w:t>
            </w:r>
            <w:r>
              <w:rPr>
                <w:color w:val="auto"/>
                <w:spacing w:val="2"/>
                <w:sz w:val="24"/>
                <w:szCs w:val="20"/>
                <w:highlight w:val="none"/>
              </w:rPr>
              <w:t>A</w:t>
            </w:r>
            <w:r>
              <w:rPr>
                <w:rFonts w:hint="eastAsia"/>
                <w:color w:val="auto"/>
                <w:spacing w:val="2"/>
                <w:sz w:val="24"/>
                <w:szCs w:val="20"/>
                <w:highlight w:val="none"/>
                <w:lang w:eastAsia="zh-CN"/>
              </w:rPr>
              <w:t>）</w:t>
            </w:r>
            <w:r>
              <w:rPr>
                <w:color w:val="auto"/>
                <w:spacing w:val="2"/>
                <w:sz w:val="24"/>
                <w:szCs w:val="20"/>
                <w:highlight w:val="none"/>
              </w:rPr>
              <w:t>，能满足《工业企业厂界环境噪声排放标准》（GBl2348-2008）3类标准要求，实现达标排放。</w:t>
            </w:r>
          </w:p>
          <w:p w14:paraId="22248945">
            <w:pPr>
              <w:spacing w:line="360" w:lineRule="auto"/>
              <w:ind w:firstLine="470" w:firstLineChars="196"/>
              <w:rPr>
                <w:rFonts w:hint="eastAsia" w:eastAsia="宋体"/>
                <w:b w:val="0"/>
                <w:bCs w:val="0"/>
                <w:color w:val="auto"/>
                <w:spacing w:val="2"/>
                <w:sz w:val="24"/>
                <w:szCs w:val="20"/>
                <w:highlight w:val="none"/>
                <w:lang w:eastAsia="zh-CN"/>
              </w:rPr>
            </w:pPr>
            <w:r>
              <w:rPr>
                <w:rFonts w:hint="eastAsia"/>
                <w:b w:val="0"/>
                <w:bCs w:val="0"/>
                <w:color w:val="auto"/>
                <w:sz w:val="24"/>
                <w:highlight w:val="none"/>
              </w:rPr>
              <w:t>根据</w:t>
            </w:r>
            <w:r>
              <w:rPr>
                <w:rFonts w:hint="eastAsia"/>
                <w:b w:val="0"/>
                <w:bCs w:val="0"/>
                <w:color w:val="auto"/>
                <w:sz w:val="24"/>
                <w:highlight w:val="none"/>
                <w:lang w:val="en-US" w:eastAsia="zh-CN"/>
              </w:rPr>
              <w:t>企业最新例行检测报告（JC检字（2024）第060253号，2024年6月）</w:t>
            </w:r>
            <w:r>
              <w:rPr>
                <w:rFonts w:hint="eastAsia"/>
                <w:b w:val="0"/>
                <w:bCs w:val="0"/>
                <w:color w:val="auto"/>
                <w:sz w:val="24"/>
                <w:highlight w:val="none"/>
              </w:rPr>
              <w:t>可知，</w:t>
            </w:r>
            <w:r>
              <w:rPr>
                <w:rFonts w:hint="eastAsia"/>
                <w:b w:val="0"/>
                <w:bCs w:val="0"/>
                <w:color w:val="auto"/>
                <w:sz w:val="24"/>
                <w:highlight w:val="none"/>
                <w:lang w:val="en-US" w:eastAsia="zh-CN"/>
              </w:rPr>
              <w:t>现有工程厂区</w:t>
            </w:r>
            <w:r>
              <w:rPr>
                <w:rFonts w:hint="eastAsia"/>
                <w:b w:val="0"/>
                <w:bCs w:val="0"/>
                <w:color w:val="auto"/>
                <w:sz w:val="24"/>
                <w:highlight w:val="none"/>
              </w:rPr>
              <w:t>噪声排放情况如下：</w:t>
            </w:r>
          </w:p>
          <w:p w14:paraId="270800B6">
            <w:pPr>
              <w:pStyle w:val="42"/>
              <w:rPr>
                <w:color w:val="auto"/>
                <w:highlight w:val="none"/>
              </w:rPr>
            </w:pPr>
            <w:r>
              <w:rPr>
                <w:color w:val="auto"/>
                <w:highlight w:val="none"/>
              </w:rPr>
              <w:t>现有工程噪声监测结果</w:t>
            </w:r>
          </w:p>
          <w:tbl>
            <w:tblPr>
              <w:tblStyle w:val="27"/>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902"/>
              <w:gridCol w:w="1174"/>
              <w:gridCol w:w="980"/>
              <w:gridCol w:w="1284"/>
              <w:gridCol w:w="1028"/>
            </w:tblGrid>
            <w:tr w14:paraId="46A8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29" w:type="pct"/>
                  <w:tcBorders>
                    <w:tl2br w:val="nil"/>
                    <w:tr2bl w:val="nil"/>
                  </w:tcBorders>
                  <w:vAlign w:val="center"/>
                </w:tcPr>
                <w:p w14:paraId="1A821964">
                  <w:pPr>
                    <w:jc w:val="center"/>
                    <w:rPr>
                      <w:b/>
                      <w:bCs/>
                      <w:color w:val="auto"/>
                      <w:szCs w:val="21"/>
                      <w:highlight w:val="none"/>
                    </w:rPr>
                  </w:pPr>
                  <w:r>
                    <w:rPr>
                      <w:b/>
                      <w:bCs/>
                      <w:color w:val="auto"/>
                      <w:szCs w:val="21"/>
                      <w:highlight w:val="none"/>
                    </w:rPr>
                    <w:t>监测</w:t>
                  </w:r>
                  <w:r>
                    <w:rPr>
                      <w:rFonts w:hint="eastAsia"/>
                      <w:b/>
                      <w:bCs/>
                      <w:color w:val="auto"/>
                      <w:szCs w:val="21"/>
                      <w:highlight w:val="none"/>
                    </w:rPr>
                    <w:t>日期</w:t>
                  </w:r>
                </w:p>
              </w:tc>
              <w:tc>
                <w:tcPr>
                  <w:tcW w:w="1720" w:type="pct"/>
                  <w:tcBorders>
                    <w:tl2br w:val="nil"/>
                    <w:tr2bl w:val="nil"/>
                  </w:tcBorders>
                  <w:vAlign w:val="center"/>
                </w:tcPr>
                <w:p w14:paraId="07A46AF0">
                  <w:pPr>
                    <w:jc w:val="center"/>
                    <w:rPr>
                      <w:b/>
                      <w:bCs/>
                      <w:color w:val="auto"/>
                      <w:szCs w:val="21"/>
                      <w:highlight w:val="none"/>
                    </w:rPr>
                  </w:pPr>
                  <w:r>
                    <w:rPr>
                      <w:b/>
                      <w:bCs/>
                      <w:color w:val="auto"/>
                      <w:szCs w:val="21"/>
                      <w:highlight w:val="none"/>
                    </w:rPr>
                    <w:t>监测点位</w:t>
                  </w:r>
                </w:p>
              </w:tc>
              <w:tc>
                <w:tcPr>
                  <w:tcW w:w="696" w:type="pct"/>
                  <w:tcBorders>
                    <w:tl2br w:val="nil"/>
                    <w:tr2bl w:val="nil"/>
                  </w:tcBorders>
                  <w:vAlign w:val="center"/>
                </w:tcPr>
                <w:p w14:paraId="5407B7F2">
                  <w:pPr>
                    <w:jc w:val="center"/>
                    <w:rPr>
                      <w:rFonts w:hint="eastAsia" w:eastAsia="宋体"/>
                      <w:b/>
                      <w:bCs/>
                      <w:color w:val="auto"/>
                      <w:szCs w:val="21"/>
                      <w:highlight w:val="none"/>
                      <w:lang w:eastAsia="zh-CN"/>
                    </w:rPr>
                  </w:pPr>
                  <w:r>
                    <w:rPr>
                      <w:b/>
                      <w:bCs/>
                      <w:color w:val="auto"/>
                      <w:szCs w:val="21"/>
                      <w:highlight w:val="none"/>
                    </w:rPr>
                    <w:t>昼间监测结果</w:t>
                  </w:r>
                  <w:r>
                    <w:rPr>
                      <w:rFonts w:hint="eastAsia"/>
                      <w:b/>
                      <w:bCs/>
                      <w:color w:val="auto"/>
                      <w:szCs w:val="21"/>
                      <w:highlight w:val="none"/>
                    </w:rPr>
                    <w:t>dB</w:t>
                  </w:r>
                  <w:r>
                    <w:rPr>
                      <w:rFonts w:hint="eastAsia"/>
                      <w:b/>
                      <w:bCs/>
                      <w:color w:val="auto"/>
                      <w:szCs w:val="21"/>
                      <w:highlight w:val="none"/>
                      <w:lang w:eastAsia="zh-CN"/>
                    </w:rPr>
                    <w:t>（</w:t>
                  </w:r>
                  <w:r>
                    <w:rPr>
                      <w:rFonts w:hint="eastAsia"/>
                      <w:b/>
                      <w:bCs/>
                      <w:color w:val="auto"/>
                      <w:szCs w:val="21"/>
                      <w:highlight w:val="none"/>
                    </w:rPr>
                    <w:t>A</w:t>
                  </w:r>
                  <w:r>
                    <w:rPr>
                      <w:rFonts w:hint="eastAsia"/>
                      <w:b/>
                      <w:bCs/>
                      <w:color w:val="auto"/>
                      <w:szCs w:val="21"/>
                      <w:highlight w:val="none"/>
                      <w:lang w:eastAsia="zh-CN"/>
                    </w:rPr>
                    <w:t>）</w:t>
                  </w:r>
                </w:p>
              </w:tc>
              <w:tc>
                <w:tcPr>
                  <w:tcW w:w="581" w:type="pct"/>
                  <w:tcBorders>
                    <w:tl2br w:val="nil"/>
                    <w:tr2bl w:val="nil"/>
                  </w:tcBorders>
                  <w:vAlign w:val="center"/>
                </w:tcPr>
                <w:p w14:paraId="6E5E83F1">
                  <w:pPr>
                    <w:jc w:val="center"/>
                    <w:rPr>
                      <w:rFonts w:hint="eastAsia" w:eastAsia="宋体"/>
                      <w:b/>
                      <w:bCs/>
                      <w:color w:val="auto"/>
                      <w:szCs w:val="21"/>
                      <w:highlight w:val="none"/>
                      <w:lang w:eastAsia="zh-CN"/>
                    </w:rPr>
                  </w:pPr>
                  <w:r>
                    <w:rPr>
                      <w:b/>
                      <w:bCs/>
                      <w:color w:val="auto"/>
                      <w:szCs w:val="21"/>
                      <w:highlight w:val="none"/>
                    </w:rPr>
                    <w:t>标准限值</w:t>
                  </w:r>
                  <w:r>
                    <w:rPr>
                      <w:rFonts w:hint="eastAsia"/>
                      <w:b/>
                      <w:bCs/>
                      <w:color w:val="auto"/>
                      <w:szCs w:val="21"/>
                      <w:highlight w:val="none"/>
                    </w:rPr>
                    <w:t>dB</w:t>
                  </w:r>
                  <w:r>
                    <w:rPr>
                      <w:rFonts w:hint="eastAsia"/>
                      <w:b/>
                      <w:bCs/>
                      <w:color w:val="auto"/>
                      <w:szCs w:val="21"/>
                      <w:highlight w:val="none"/>
                      <w:lang w:eastAsia="zh-CN"/>
                    </w:rPr>
                    <w:t>（</w:t>
                  </w:r>
                  <w:r>
                    <w:rPr>
                      <w:rFonts w:hint="eastAsia"/>
                      <w:b/>
                      <w:bCs/>
                      <w:color w:val="auto"/>
                      <w:szCs w:val="21"/>
                      <w:highlight w:val="none"/>
                    </w:rPr>
                    <w:t>A</w:t>
                  </w:r>
                  <w:r>
                    <w:rPr>
                      <w:rFonts w:hint="eastAsia"/>
                      <w:b/>
                      <w:bCs/>
                      <w:color w:val="auto"/>
                      <w:szCs w:val="21"/>
                      <w:highlight w:val="none"/>
                      <w:lang w:eastAsia="zh-CN"/>
                    </w:rPr>
                    <w:t>）</w:t>
                  </w:r>
                </w:p>
              </w:tc>
              <w:tc>
                <w:tcPr>
                  <w:tcW w:w="761" w:type="pct"/>
                  <w:tcBorders>
                    <w:tl2br w:val="nil"/>
                    <w:tr2bl w:val="nil"/>
                  </w:tcBorders>
                  <w:vAlign w:val="center"/>
                </w:tcPr>
                <w:p w14:paraId="3AEFE089">
                  <w:pPr>
                    <w:jc w:val="center"/>
                    <w:rPr>
                      <w:rFonts w:hint="eastAsia" w:eastAsia="宋体"/>
                      <w:b/>
                      <w:bCs/>
                      <w:color w:val="auto"/>
                      <w:szCs w:val="21"/>
                      <w:highlight w:val="none"/>
                      <w:lang w:eastAsia="zh-CN"/>
                    </w:rPr>
                  </w:pPr>
                  <w:r>
                    <w:rPr>
                      <w:b/>
                      <w:bCs/>
                      <w:color w:val="auto"/>
                      <w:szCs w:val="21"/>
                      <w:highlight w:val="none"/>
                    </w:rPr>
                    <w:t>夜间监测结果</w:t>
                  </w:r>
                  <w:r>
                    <w:rPr>
                      <w:rFonts w:hint="eastAsia"/>
                      <w:b/>
                      <w:bCs/>
                      <w:color w:val="auto"/>
                      <w:szCs w:val="21"/>
                      <w:highlight w:val="none"/>
                    </w:rPr>
                    <w:t>dB</w:t>
                  </w:r>
                  <w:r>
                    <w:rPr>
                      <w:rFonts w:hint="eastAsia"/>
                      <w:b/>
                      <w:bCs/>
                      <w:color w:val="auto"/>
                      <w:szCs w:val="21"/>
                      <w:highlight w:val="none"/>
                      <w:lang w:eastAsia="zh-CN"/>
                    </w:rPr>
                    <w:t>（</w:t>
                  </w:r>
                  <w:r>
                    <w:rPr>
                      <w:rFonts w:hint="eastAsia"/>
                      <w:b/>
                      <w:bCs/>
                      <w:color w:val="auto"/>
                      <w:szCs w:val="21"/>
                      <w:highlight w:val="none"/>
                    </w:rPr>
                    <w:t>A</w:t>
                  </w:r>
                  <w:r>
                    <w:rPr>
                      <w:rFonts w:hint="eastAsia"/>
                      <w:b/>
                      <w:bCs/>
                      <w:color w:val="auto"/>
                      <w:szCs w:val="21"/>
                      <w:highlight w:val="none"/>
                      <w:lang w:eastAsia="zh-CN"/>
                    </w:rPr>
                    <w:t>）</w:t>
                  </w:r>
                </w:p>
              </w:tc>
              <w:tc>
                <w:tcPr>
                  <w:tcW w:w="609" w:type="pct"/>
                  <w:tcBorders>
                    <w:tl2br w:val="nil"/>
                    <w:tr2bl w:val="nil"/>
                  </w:tcBorders>
                  <w:vAlign w:val="center"/>
                </w:tcPr>
                <w:p w14:paraId="139D79AF">
                  <w:pPr>
                    <w:jc w:val="center"/>
                    <w:rPr>
                      <w:rFonts w:hint="eastAsia" w:eastAsia="宋体"/>
                      <w:b/>
                      <w:bCs/>
                      <w:color w:val="auto"/>
                      <w:szCs w:val="21"/>
                      <w:highlight w:val="none"/>
                      <w:lang w:eastAsia="zh-CN"/>
                    </w:rPr>
                  </w:pPr>
                  <w:r>
                    <w:rPr>
                      <w:b/>
                      <w:bCs/>
                      <w:color w:val="auto"/>
                      <w:szCs w:val="21"/>
                      <w:highlight w:val="none"/>
                    </w:rPr>
                    <w:t>标准限值dB</w:t>
                  </w:r>
                  <w:r>
                    <w:rPr>
                      <w:rFonts w:hint="eastAsia"/>
                      <w:b/>
                      <w:bCs/>
                      <w:color w:val="auto"/>
                      <w:szCs w:val="21"/>
                      <w:highlight w:val="none"/>
                      <w:lang w:eastAsia="zh-CN"/>
                    </w:rPr>
                    <w:t>（</w:t>
                  </w:r>
                  <w:r>
                    <w:rPr>
                      <w:b/>
                      <w:bCs/>
                      <w:color w:val="auto"/>
                      <w:szCs w:val="21"/>
                      <w:highlight w:val="none"/>
                    </w:rPr>
                    <w:t>A</w:t>
                  </w:r>
                  <w:r>
                    <w:rPr>
                      <w:rFonts w:hint="eastAsia"/>
                      <w:b/>
                      <w:bCs/>
                      <w:color w:val="auto"/>
                      <w:szCs w:val="21"/>
                      <w:highlight w:val="none"/>
                      <w:lang w:eastAsia="zh-CN"/>
                    </w:rPr>
                    <w:t>）</w:t>
                  </w:r>
                </w:p>
              </w:tc>
            </w:tr>
            <w:tr w14:paraId="114B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29" w:type="pct"/>
                  <w:vMerge w:val="restart"/>
                  <w:tcBorders>
                    <w:tl2br w:val="nil"/>
                    <w:tr2bl w:val="nil"/>
                  </w:tcBorders>
                  <w:vAlign w:val="center"/>
                </w:tcPr>
                <w:p w14:paraId="298CEF60">
                  <w:pPr>
                    <w:pStyle w:val="91"/>
                    <w:jc w:val="center"/>
                    <w:rPr>
                      <w:rFonts w:hint="default" w:eastAsia="宋体"/>
                      <w:color w:val="auto"/>
                      <w:szCs w:val="21"/>
                      <w:highlight w:val="none"/>
                      <w:lang w:val="en-US" w:eastAsia="zh-CN"/>
                    </w:rPr>
                  </w:pPr>
                  <w:r>
                    <w:rPr>
                      <w:rFonts w:hint="eastAsia" w:ascii="Times New Roman" w:cs="Times New Roman"/>
                      <w:bCs/>
                      <w:color w:val="auto"/>
                      <w:sz w:val="21"/>
                      <w:szCs w:val="21"/>
                      <w:highlight w:val="none"/>
                    </w:rPr>
                    <w:t>202</w:t>
                  </w:r>
                  <w:r>
                    <w:rPr>
                      <w:rFonts w:hint="eastAsia" w:ascii="Times New Roman" w:cs="Times New Roman"/>
                      <w:bCs/>
                      <w:color w:val="auto"/>
                      <w:sz w:val="21"/>
                      <w:szCs w:val="21"/>
                      <w:highlight w:val="none"/>
                      <w:lang w:val="en-US" w:eastAsia="zh-CN"/>
                    </w:rPr>
                    <w:t>4.6.19</w:t>
                  </w:r>
                </w:p>
              </w:tc>
              <w:tc>
                <w:tcPr>
                  <w:tcW w:w="1720" w:type="pct"/>
                  <w:tcBorders>
                    <w:tl2br w:val="nil"/>
                    <w:tr2bl w:val="nil"/>
                  </w:tcBorders>
                  <w:vAlign w:val="center"/>
                </w:tcPr>
                <w:p w14:paraId="0EAA6E5A">
                  <w:pPr>
                    <w:jc w:val="center"/>
                    <w:rPr>
                      <w:rFonts w:hint="default" w:eastAsia="宋体"/>
                      <w:color w:val="auto"/>
                      <w:szCs w:val="21"/>
                      <w:highlight w:val="none"/>
                      <w:lang w:val="en-US" w:eastAsia="zh-CN"/>
                    </w:rPr>
                  </w:pPr>
                  <w:r>
                    <w:rPr>
                      <w:color w:val="auto"/>
                      <w:szCs w:val="21"/>
                      <w:highlight w:val="none"/>
                    </w:rPr>
                    <w:t>1#</w:t>
                  </w:r>
                  <w:r>
                    <w:rPr>
                      <w:rFonts w:hint="eastAsia"/>
                      <w:color w:val="auto"/>
                      <w:szCs w:val="21"/>
                      <w:highlight w:val="none"/>
                      <w:lang w:val="en-US" w:eastAsia="zh-CN"/>
                    </w:rPr>
                    <w:t>项目南侧厂界外1m，高1.5m处</w:t>
                  </w:r>
                </w:p>
              </w:tc>
              <w:tc>
                <w:tcPr>
                  <w:tcW w:w="696" w:type="pct"/>
                  <w:tcBorders>
                    <w:tl2br w:val="nil"/>
                    <w:tr2bl w:val="nil"/>
                  </w:tcBorders>
                  <w:vAlign w:val="center"/>
                </w:tcPr>
                <w:p w14:paraId="37EBBF6E">
                  <w:pPr>
                    <w:jc w:val="center"/>
                    <w:rPr>
                      <w:rFonts w:hint="default" w:eastAsia="宋体"/>
                      <w:color w:val="auto"/>
                      <w:szCs w:val="21"/>
                      <w:highlight w:val="none"/>
                      <w:lang w:val="en-US" w:eastAsia="zh-CN"/>
                    </w:rPr>
                  </w:pPr>
                  <w:r>
                    <w:rPr>
                      <w:rFonts w:hint="eastAsia"/>
                      <w:color w:val="auto"/>
                      <w:szCs w:val="21"/>
                      <w:highlight w:val="none"/>
                      <w:lang w:val="en-US" w:eastAsia="zh-CN"/>
                    </w:rPr>
                    <w:t>53</w:t>
                  </w:r>
                </w:p>
              </w:tc>
              <w:tc>
                <w:tcPr>
                  <w:tcW w:w="581" w:type="pct"/>
                  <w:tcBorders>
                    <w:tl2br w:val="nil"/>
                    <w:tr2bl w:val="nil"/>
                  </w:tcBorders>
                  <w:vAlign w:val="center"/>
                </w:tcPr>
                <w:p w14:paraId="5C163392">
                  <w:pPr>
                    <w:jc w:val="center"/>
                    <w:rPr>
                      <w:color w:val="auto"/>
                      <w:szCs w:val="21"/>
                      <w:highlight w:val="none"/>
                    </w:rPr>
                  </w:pPr>
                  <w:r>
                    <w:rPr>
                      <w:rFonts w:hint="eastAsia"/>
                      <w:color w:val="auto"/>
                      <w:szCs w:val="21"/>
                      <w:highlight w:val="none"/>
                    </w:rPr>
                    <w:t>65</w:t>
                  </w:r>
                </w:p>
              </w:tc>
              <w:tc>
                <w:tcPr>
                  <w:tcW w:w="761" w:type="pct"/>
                  <w:tcBorders>
                    <w:tl2br w:val="nil"/>
                    <w:tr2bl w:val="nil"/>
                  </w:tcBorders>
                  <w:vAlign w:val="center"/>
                </w:tcPr>
                <w:p w14:paraId="2C0D089C">
                  <w:pPr>
                    <w:jc w:val="center"/>
                    <w:rPr>
                      <w:rFonts w:hint="default" w:eastAsia="宋体"/>
                      <w:color w:val="auto"/>
                      <w:szCs w:val="21"/>
                      <w:highlight w:val="none"/>
                      <w:lang w:val="en-US" w:eastAsia="zh-CN"/>
                    </w:rPr>
                  </w:pPr>
                  <w:r>
                    <w:rPr>
                      <w:rFonts w:hint="eastAsia"/>
                      <w:color w:val="auto"/>
                      <w:szCs w:val="21"/>
                      <w:highlight w:val="none"/>
                      <w:lang w:val="en-US" w:eastAsia="zh-CN"/>
                    </w:rPr>
                    <w:t>51</w:t>
                  </w:r>
                </w:p>
              </w:tc>
              <w:tc>
                <w:tcPr>
                  <w:tcW w:w="609" w:type="pct"/>
                  <w:tcBorders>
                    <w:tl2br w:val="nil"/>
                    <w:tr2bl w:val="nil"/>
                  </w:tcBorders>
                  <w:vAlign w:val="center"/>
                </w:tcPr>
                <w:p w14:paraId="5A77BC0E">
                  <w:pPr>
                    <w:jc w:val="center"/>
                    <w:rPr>
                      <w:color w:val="auto"/>
                      <w:szCs w:val="21"/>
                      <w:highlight w:val="none"/>
                    </w:rPr>
                  </w:pPr>
                  <w:r>
                    <w:rPr>
                      <w:rFonts w:hint="eastAsia"/>
                      <w:color w:val="auto"/>
                      <w:szCs w:val="21"/>
                      <w:highlight w:val="none"/>
                    </w:rPr>
                    <w:t>55</w:t>
                  </w:r>
                </w:p>
              </w:tc>
            </w:tr>
            <w:tr w14:paraId="2F62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29" w:type="pct"/>
                  <w:vMerge w:val="continue"/>
                  <w:tcBorders>
                    <w:tl2br w:val="nil"/>
                    <w:tr2bl w:val="nil"/>
                  </w:tcBorders>
                  <w:vAlign w:val="center"/>
                </w:tcPr>
                <w:p w14:paraId="1FBF96A6">
                  <w:pPr>
                    <w:jc w:val="center"/>
                    <w:rPr>
                      <w:color w:val="auto"/>
                      <w:szCs w:val="21"/>
                      <w:highlight w:val="none"/>
                    </w:rPr>
                  </w:pPr>
                </w:p>
              </w:tc>
              <w:tc>
                <w:tcPr>
                  <w:tcW w:w="1720" w:type="pct"/>
                  <w:tcBorders>
                    <w:tl2br w:val="nil"/>
                    <w:tr2bl w:val="nil"/>
                  </w:tcBorders>
                  <w:vAlign w:val="center"/>
                </w:tcPr>
                <w:p w14:paraId="4D8CB5FB">
                  <w:pPr>
                    <w:jc w:val="center"/>
                    <w:rPr>
                      <w:color w:val="auto"/>
                      <w:szCs w:val="21"/>
                      <w:highlight w:val="none"/>
                    </w:rPr>
                  </w:pPr>
                  <w:r>
                    <w:rPr>
                      <w:rFonts w:hint="eastAsia"/>
                      <w:color w:val="auto"/>
                      <w:szCs w:val="21"/>
                      <w:highlight w:val="none"/>
                      <w:lang w:val="en-US" w:eastAsia="zh-CN"/>
                    </w:rPr>
                    <w:t>2</w:t>
                  </w:r>
                  <w:r>
                    <w:rPr>
                      <w:color w:val="auto"/>
                      <w:szCs w:val="21"/>
                      <w:highlight w:val="none"/>
                    </w:rPr>
                    <w:t>#</w:t>
                  </w:r>
                  <w:r>
                    <w:rPr>
                      <w:rFonts w:hint="eastAsia"/>
                      <w:color w:val="auto"/>
                      <w:szCs w:val="21"/>
                      <w:highlight w:val="none"/>
                      <w:lang w:val="en-US" w:eastAsia="zh-CN"/>
                    </w:rPr>
                    <w:t>西侧厂界外1m，高1.5m处</w:t>
                  </w:r>
                </w:p>
              </w:tc>
              <w:tc>
                <w:tcPr>
                  <w:tcW w:w="696" w:type="pct"/>
                  <w:tcBorders>
                    <w:tl2br w:val="nil"/>
                    <w:tr2bl w:val="nil"/>
                  </w:tcBorders>
                  <w:vAlign w:val="center"/>
                </w:tcPr>
                <w:p w14:paraId="5F263FCA">
                  <w:pPr>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581" w:type="pct"/>
                  <w:tcBorders>
                    <w:tl2br w:val="nil"/>
                    <w:tr2bl w:val="nil"/>
                  </w:tcBorders>
                  <w:vAlign w:val="center"/>
                </w:tcPr>
                <w:p w14:paraId="3F40A4CB">
                  <w:pPr>
                    <w:jc w:val="center"/>
                    <w:rPr>
                      <w:color w:val="auto"/>
                      <w:szCs w:val="21"/>
                      <w:highlight w:val="none"/>
                    </w:rPr>
                  </w:pPr>
                  <w:r>
                    <w:rPr>
                      <w:rFonts w:hint="eastAsia"/>
                      <w:color w:val="auto"/>
                      <w:szCs w:val="21"/>
                      <w:highlight w:val="none"/>
                    </w:rPr>
                    <w:t>65</w:t>
                  </w:r>
                </w:p>
              </w:tc>
              <w:tc>
                <w:tcPr>
                  <w:tcW w:w="761" w:type="pct"/>
                  <w:tcBorders>
                    <w:tl2br w:val="nil"/>
                    <w:tr2bl w:val="nil"/>
                  </w:tcBorders>
                  <w:vAlign w:val="center"/>
                </w:tcPr>
                <w:p w14:paraId="27A96A21">
                  <w:pPr>
                    <w:jc w:val="center"/>
                    <w:rPr>
                      <w:rFonts w:hint="default" w:eastAsia="宋体"/>
                      <w:color w:val="auto"/>
                      <w:szCs w:val="21"/>
                      <w:highlight w:val="none"/>
                      <w:lang w:val="en-US" w:eastAsia="zh-CN"/>
                    </w:rPr>
                  </w:pPr>
                  <w:r>
                    <w:rPr>
                      <w:rFonts w:hint="eastAsia"/>
                      <w:color w:val="auto"/>
                      <w:szCs w:val="21"/>
                      <w:highlight w:val="none"/>
                      <w:lang w:val="en-US" w:eastAsia="zh-CN"/>
                    </w:rPr>
                    <w:t>47</w:t>
                  </w:r>
                </w:p>
              </w:tc>
              <w:tc>
                <w:tcPr>
                  <w:tcW w:w="609" w:type="pct"/>
                  <w:tcBorders>
                    <w:tl2br w:val="nil"/>
                    <w:tr2bl w:val="nil"/>
                  </w:tcBorders>
                  <w:vAlign w:val="center"/>
                </w:tcPr>
                <w:p w14:paraId="5FA9D7C0">
                  <w:pPr>
                    <w:jc w:val="center"/>
                    <w:rPr>
                      <w:color w:val="auto"/>
                      <w:szCs w:val="21"/>
                      <w:highlight w:val="none"/>
                    </w:rPr>
                  </w:pPr>
                  <w:r>
                    <w:rPr>
                      <w:rFonts w:hint="eastAsia"/>
                      <w:color w:val="auto"/>
                      <w:szCs w:val="21"/>
                      <w:highlight w:val="none"/>
                    </w:rPr>
                    <w:t>55</w:t>
                  </w:r>
                </w:p>
              </w:tc>
            </w:tr>
            <w:tr w14:paraId="30B5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29" w:type="pct"/>
                  <w:vMerge w:val="continue"/>
                  <w:tcBorders>
                    <w:tl2br w:val="nil"/>
                    <w:tr2bl w:val="nil"/>
                  </w:tcBorders>
                  <w:vAlign w:val="center"/>
                </w:tcPr>
                <w:p w14:paraId="13FCCE50">
                  <w:pPr>
                    <w:jc w:val="center"/>
                    <w:rPr>
                      <w:color w:val="auto"/>
                      <w:szCs w:val="21"/>
                      <w:highlight w:val="none"/>
                    </w:rPr>
                  </w:pPr>
                </w:p>
              </w:tc>
              <w:tc>
                <w:tcPr>
                  <w:tcW w:w="1720" w:type="pct"/>
                  <w:tcBorders>
                    <w:tl2br w:val="nil"/>
                    <w:tr2bl w:val="nil"/>
                  </w:tcBorders>
                  <w:vAlign w:val="center"/>
                </w:tcPr>
                <w:p w14:paraId="5EF877DE">
                  <w:pPr>
                    <w:jc w:val="center"/>
                    <w:rPr>
                      <w:color w:val="auto"/>
                      <w:szCs w:val="21"/>
                      <w:highlight w:val="none"/>
                    </w:rPr>
                  </w:pPr>
                  <w:r>
                    <w:rPr>
                      <w:rFonts w:hint="eastAsia"/>
                      <w:color w:val="auto"/>
                      <w:szCs w:val="21"/>
                      <w:highlight w:val="none"/>
                      <w:lang w:val="en-US" w:eastAsia="zh-CN"/>
                    </w:rPr>
                    <w:t>3</w:t>
                  </w:r>
                  <w:r>
                    <w:rPr>
                      <w:color w:val="auto"/>
                      <w:szCs w:val="21"/>
                      <w:highlight w:val="none"/>
                    </w:rPr>
                    <w:t>#</w:t>
                  </w:r>
                  <w:r>
                    <w:rPr>
                      <w:rFonts w:hint="eastAsia"/>
                      <w:color w:val="auto"/>
                      <w:szCs w:val="21"/>
                      <w:highlight w:val="none"/>
                      <w:lang w:val="en-US" w:eastAsia="zh-CN"/>
                    </w:rPr>
                    <w:t>北侧厂界外1m，高于围墙0.5m处</w:t>
                  </w:r>
                </w:p>
              </w:tc>
              <w:tc>
                <w:tcPr>
                  <w:tcW w:w="696" w:type="pct"/>
                  <w:tcBorders>
                    <w:tl2br w:val="nil"/>
                    <w:tr2bl w:val="nil"/>
                  </w:tcBorders>
                  <w:vAlign w:val="center"/>
                </w:tcPr>
                <w:p w14:paraId="23FCEF8E">
                  <w:pPr>
                    <w:jc w:val="center"/>
                    <w:rPr>
                      <w:rFonts w:hint="default" w:eastAsia="宋体"/>
                      <w:color w:val="auto"/>
                      <w:szCs w:val="21"/>
                      <w:highlight w:val="none"/>
                      <w:lang w:val="en-US" w:eastAsia="zh-CN"/>
                    </w:rPr>
                  </w:pPr>
                  <w:r>
                    <w:rPr>
                      <w:rFonts w:hint="eastAsia"/>
                      <w:color w:val="auto"/>
                      <w:szCs w:val="21"/>
                      <w:highlight w:val="none"/>
                      <w:lang w:val="en-US" w:eastAsia="zh-CN"/>
                    </w:rPr>
                    <w:t>61</w:t>
                  </w:r>
                </w:p>
              </w:tc>
              <w:tc>
                <w:tcPr>
                  <w:tcW w:w="581" w:type="pct"/>
                  <w:tcBorders>
                    <w:tl2br w:val="nil"/>
                    <w:tr2bl w:val="nil"/>
                  </w:tcBorders>
                  <w:vAlign w:val="center"/>
                </w:tcPr>
                <w:p w14:paraId="084F75DE">
                  <w:pPr>
                    <w:jc w:val="center"/>
                    <w:rPr>
                      <w:color w:val="auto"/>
                      <w:szCs w:val="21"/>
                      <w:highlight w:val="none"/>
                    </w:rPr>
                  </w:pPr>
                  <w:r>
                    <w:rPr>
                      <w:rFonts w:hint="eastAsia"/>
                      <w:color w:val="auto"/>
                      <w:szCs w:val="21"/>
                      <w:highlight w:val="none"/>
                    </w:rPr>
                    <w:t>65</w:t>
                  </w:r>
                </w:p>
              </w:tc>
              <w:tc>
                <w:tcPr>
                  <w:tcW w:w="761" w:type="pct"/>
                  <w:tcBorders>
                    <w:tl2br w:val="nil"/>
                    <w:tr2bl w:val="nil"/>
                  </w:tcBorders>
                  <w:vAlign w:val="center"/>
                </w:tcPr>
                <w:p w14:paraId="047AE917">
                  <w:pPr>
                    <w:jc w:val="center"/>
                    <w:rPr>
                      <w:rFonts w:hint="default" w:eastAsia="宋体"/>
                      <w:color w:val="auto"/>
                      <w:szCs w:val="21"/>
                      <w:highlight w:val="none"/>
                      <w:lang w:val="en-US" w:eastAsia="zh-CN"/>
                    </w:rPr>
                  </w:pPr>
                  <w:r>
                    <w:rPr>
                      <w:rFonts w:hint="eastAsia"/>
                      <w:color w:val="auto"/>
                      <w:szCs w:val="21"/>
                      <w:highlight w:val="none"/>
                      <w:lang w:val="en-US" w:eastAsia="zh-CN"/>
                    </w:rPr>
                    <w:t>52</w:t>
                  </w:r>
                </w:p>
              </w:tc>
              <w:tc>
                <w:tcPr>
                  <w:tcW w:w="609" w:type="pct"/>
                  <w:tcBorders>
                    <w:tl2br w:val="nil"/>
                    <w:tr2bl w:val="nil"/>
                  </w:tcBorders>
                  <w:vAlign w:val="center"/>
                </w:tcPr>
                <w:p w14:paraId="021EF1BE">
                  <w:pPr>
                    <w:jc w:val="center"/>
                    <w:rPr>
                      <w:color w:val="auto"/>
                      <w:szCs w:val="21"/>
                      <w:highlight w:val="none"/>
                    </w:rPr>
                  </w:pPr>
                  <w:r>
                    <w:rPr>
                      <w:rFonts w:hint="eastAsia"/>
                      <w:color w:val="auto"/>
                      <w:szCs w:val="21"/>
                      <w:highlight w:val="none"/>
                    </w:rPr>
                    <w:t>55</w:t>
                  </w:r>
                </w:p>
              </w:tc>
            </w:tr>
            <w:tr w14:paraId="2B1B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29" w:type="pct"/>
                  <w:vMerge w:val="continue"/>
                  <w:tcBorders>
                    <w:tl2br w:val="nil"/>
                    <w:tr2bl w:val="nil"/>
                  </w:tcBorders>
                  <w:vAlign w:val="center"/>
                </w:tcPr>
                <w:p w14:paraId="5D49B390">
                  <w:pPr>
                    <w:jc w:val="center"/>
                    <w:rPr>
                      <w:color w:val="auto"/>
                      <w:szCs w:val="21"/>
                      <w:highlight w:val="none"/>
                    </w:rPr>
                  </w:pPr>
                </w:p>
              </w:tc>
              <w:tc>
                <w:tcPr>
                  <w:tcW w:w="1720" w:type="pct"/>
                  <w:tcBorders>
                    <w:tl2br w:val="nil"/>
                    <w:tr2bl w:val="nil"/>
                  </w:tcBorders>
                  <w:vAlign w:val="center"/>
                </w:tcPr>
                <w:p w14:paraId="7AE056D5">
                  <w:pPr>
                    <w:jc w:val="center"/>
                    <w:rPr>
                      <w:color w:val="auto"/>
                      <w:szCs w:val="21"/>
                      <w:highlight w:val="none"/>
                    </w:rPr>
                  </w:pPr>
                  <w:r>
                    <w:rPr>
                      <w:rFonts w:hint="eastAsia"/>
                      <w:color w:val="auto"/>
                      <w:szCs w:val="21"/>
                      <w:highlight w:val="none"/>
                      <w:lang w:val="en-US" w:eastAsia="zh-CN"/>
                    </w:rPr>
                    <w:t>4</w:t>
                  </w:r>
                  <w:r>
                    <w:rPr>
                      <w:color w:val="auto"/>
                      <w:szCs w:val="21"/>
                      <w:highlight w:val="none"/>
                    </w:rPr>
                    <w:t>#</w:t>
                  </w:r>
                  <w:r>
                    <w:rPr>
                      <w:rFonts w:hint="eastAsia"/>
                      <w:color w:val="auto"/>
                      <w:szCs w:val="21"/>
                      <w:highlight w:val="none"/>
                      <w:lang w:val="en-US" w:eastAsia="zh-CN"/>
                    </w:rPr>
                    <w:t>北侧厂界外1m，高于围墙0.5m处</w:t>
                  </w:r>
                </w:p>
              </w:tc>
              <w:tc>
                <w:tcPr>
                  <w:tcW w:w="696" w:type="pct"/>
                  <w:tcBorders>
                    <w:tl2br w:val="nil"/>
                    <w:tr2bl w:val="nil"/>
                  </w:tcBorders>
                  <w:vAlign w:val="center"/>
                </w:tcPr>
                <w:p w14:paraId="642275E9">
                  <w:pPr>
                    <w:jc w:val="center"/>
                    <w:rPr>
                      <w:rFonts w:hint="default" w:eastAsia="宋体"/>
                      <w:color w:val="auto"/>
                      <w:szCs w:val="21"/>
                      <w:highlight w:val="none"/>
                      <w:lang w:val="en-US" w:eastAsia="zh-CN"/>
                    </w:rPr>
                  </w:pPr>
                  <w:r>
                    <w:rPr>
                      <w:rFonts w:hint="eastAsia"/>
                      <w:color w:val="auto"/>
                      <w:szCs w:val="21"/>
                      <w:highlight w:val="none"/>
                      <w:lang w:val="en-US" w:eastAsia="zh-CN"/>
                    </w:rPr>
                    <w:t>61</w:t>
                  </w:r>
                </w:p>
              </w:tc>
              <w:tc>
                <w:tcPr>
                  <w:tcW w:w="581" w:type="pct"/>
                  <w:tcBorders>
                    <w:tl2br w:val="nil"/>
                    <w:tr2bl w:val="nil"/>
                  </w:tcBorders>
                  <w:vAlign w:val="center"/>
                </w:tcPr>
                <w:p w14:paraId="7C4E4073">
                  <w:pPr>
                    <w:jc w:val="center"/>
                    <w:rPr>
                      <w:color w:val="auto"/>
                      <w:szCs w:val="21"/>
                      <w:highlight w:val="none"/>
                    </w:rPr>
                  </w:pPr>
                  <w:r>
                    <w:rPr>
                      <w:rFonts w:hint="eastAsia"/>
                      <w:color w:val="auto"/>
                      <w:szCs w:val="21"/>
                      <w:highlight w:val="none"/>
                    </w:rPr>
                    <w:t>65</w:t>
                  </w:r>
                </w:p>
              </w:tc>
              <w:tc>
                <w:tcPr>
                  <w:tcW w:w="761" w:type="pct"/>
                  <w:tcBorders>
                    <w:tl2br w:val="nil"/>
                    <w:tr2bl w:val="nil"/>
                  </w:tcBorders>
                  <w:vAlign w:val="center"/>
                </w:tcPr>
                <w:p w14:paraId="3C9E7504">
                  <w:pPr>
                    <w:jc w:val="center"/>
                    <w:rPr>
                      <w:rFonts w:hint="default" w:eastAsia="宋体"/>
                      <w:color w:val="auto"/>
                      <w:szCs w:val="21"/>
                      <w:highlight w:val="none"/>
                      <w:lang w:val="en-US" w:eastAsia="zh-CN"/>
                    </w:rPr>
                  </w:pPr>
                  <w:r>
                    <w:rPr>
                      <w:rFonts w:hint="eastAsia"/>
                      <w:color w:val="auto"/>
                      <w:szCs w:val="21"/>
                      <w:highlight w:val="none"/>
                      <w:lang w:val="en-US" w:eastAsia="zh-CN"/>
                    </w:rPr>
                    <w:t>53</w:t>
                  </w:r>
                </w:p>
              </w:tc>
              <w:tc>
                <w:tcPr>
                  <w:tcW w:w="609" w:type="pct"/>
                  <w:tcBorders>
                    <w:tl2br w:val="nil"/>
                    <w:tr2bl w:val="nil"/>
                  </w:tcBorders>
                  <w:vAlign w:val="center"/>
                </w:tcPr>
                <w:p w14:paraId="3B46A7F2">
                  <w:pPr>
                    <w:jc w:val="center"/>
                    <w:rPr>
                      <w:color w:val="auto"/>
                      <w:szCs w:val="21"/>
                      <w:highlight w:val="none"/>
                    </w:rPr>
                  </w:pPr>
                  <w:r>
                    <w:rPr>
                      <w:rFonts w:hint="eastAsia"/>
                      <w:color w:val="auto"/>
                      <w:szCs w:val="21"/>
                      <w:highlight w:val="none"/>
                    </w:rPr>
                    <w:t>55</w:t>
                  </w:r>
                </w:p>
              </w:tc>
            </w:tr>
          </w:tbl>
          <w:p w14:paraId="677AF164">
            <w:pPr>
              <w:spacing w:line="360" w:lineRule="auto"/>
              <w:ind w:firstLine="480" w:firstLineChars="200"/>
              <w:rPr>
                <w:color w:val="auto"/>
                <w:sz w:val="24"/>
                <w:highlight w:val="none"/>
              </w:rPr>
            </w:pPr>
            <w:r>
              <w:rPr>
                <w:color w:val="auto"/>
                <w:sz w:val="24"/>
                <w:highlight w:val="none"/>
              </w:rPr>
              <w:t>监测结果表明：项目各监测点位厂界噪声昼、夜间监测结果符合《工业企业厂界环境噪声排放标准》（GB12348-2008）表1中3类标准限值的要求。</w:t>
            </w:r>
          </w:p>
          <w:p w14:paraId="5FF46153">
            <w:pPr>
              <w:numPr>
                <w:ilvl w:val="0"/>
                <w:numId w:val="24"/>
              </w:numPr>
              <w:spacing w:line="360" w:lineRule="auto"/>
              <w:ind w:firstLine="470" w:firstLineChars="196"/>
              <w:rPr>
                <w:color w:val="auto"/>
                <w:sz w:val="24"/>
                <w:highlight w:val="none"/>
              </w:rPr>
            </w:pPr>
            <w:r>
              <w:rPr>
                <w:rFonts w:hint="eastAsia"/>
                <w:color w:val="auto"/>
                <w:sz w:val="24"/>
                <w:highlight w:val="none"/>
                <w:lang w:val="en-US" w:eastAsia="zh-CN"/>
              </w:rPr>
              <w:t>现有工程</w:t>
            </w:r>
            <w:r>
              <w:rPr>
                <w:rFonts w:hint="eastAsia"/>
                <w:color w:val="auto"/>
                <w:sz w:val="24"/>
                <w:highlight w:val="none"/>
              </w:rPr>
              <w:t>固体废弃物产生及治理措施</w:t>
            </w:r>
          </w:p>
          <w:p w14:paraId="051636E7">
            <w:pPr>
              <w:spacing w:line="360" w:lineRule="auto"/>
              <w:ind w:firstLine="480" w:firstLineChars="200"/>
              <w:rPr>
                <w:color w:val="auto"/>
                <w:sz w:val="24"/>
                <w:highlight w:val="none"/>
              </w:rPr>
            </w:pPr>
            <w:r>
              <w:rPr>
                <w:rFonts w:hint="eastAsia"/>
                <w:color w:val="auto"/>
                <w:sz w:val="24"/>
                <w:highlight w:val="none"/>
                <w:lang w:val="en-US" w:eastAsia="zh-CN"/>
              </w:rPr>
              <w:t>现有工程</w:t>
            </w:r>
            <w:r>
              <w:rPr>
                <w:rFonts w:hint="eastAsia"/>
                <w:color w:val="auto"/>
                <w:sz w:val="24"/>
                <w:highlight w:val="none"/>
              </w:rPr>
              <w:t>固体废物主要为危险废物、一般固废。</w:t>
            </w:r>
          </w:p>
          <w:p w14:paraId="51054BB6">
            <w:pPr>
              <w:spacing w:line="360" w:lineRule="auto"/>
              <w:ind w:firstLine="480" w:firstLineChars="200"/>
              <w:rPr>
                <w:rFonts w:hint="eastAsia"/>
                <w:color w:val="auto"/>
                <w:sz w:val="24"/>
                <w:highlight w:val="none"/>
                <w:lang w:val="en-US" w:eastAsia="zh-CN"/>
              </w:rPr>
            </w:pPr>
            <w:r>
              <w:rPr>
                <w:rFonts w:hint="eastAsia"/>
                <w:color w:val="auto"/>
                <w:sz w:val="24"/>
                <w:highlight w:val="none"/>
              </w:rPr>
              <w:t>一般固废：生活垃圾</w:t>
            </w:r>
            <w:r>
              <w:rPr>
                <w:rFonts w:hint="eastAsia"/>
                <w:color w:val="auto"/>
                <w:sz w:val="24"/>
                <w:highlight w:val="none"/>
                <w:lang w:eastAsia="zh-CN"/>
              </w:rPr>
              <w:t>、</w:t>
            </w:r>
            <w:r>
              <w:rPr>
                <w:rFonts w:hint="eastAsia"/>
                <w:color w:val="auto"/>
                <w:sz w:val="24"/>
                <w:highlight w:val="none"/>
                <w:lang w:val="en-US" w:eastAsia="zh-CN"/>
              </w:rPr>
              <w:t>废含有棉纱、手套和预处理池污泥，</w:t>
            </w:r>
            <w:r>
              <w:rPr>
                <w:rFonts w:hint="eastAsia"/>
                <w:color w:val="auto"/>
                <w:sz w:val="24"/>
                <w:highlight w:val="none"/>
              </w:rPr>
              <w:t>由环卫部门统一清运处置。</w:t>
            </w:r>
            <w:r>
              <w:rPr>
                <w:rFonts w:hint="eastAsia"/>
                <w:color w:val="auto"/>
                <w:sz w:val="24"/>
                <w:szCs w:val="24"/>
                <w:highlight w:val="none"/>
                <w:lang w:val="en-US" w:eastAsia="zh-CN"/>
              </w:rPr>
              <w:t>其中废含有棉纱、手套为</w:t>
            </w:r>
            <w:r>
              <w:rPr>
                <w:rFonts w:hint="default" w:ascii="Times New Roman" w:hAnsi="Times New Roman" w:eastAsia="宋体" w:cs="Times New Roman"/>
                <w:color w:val="auto"/>
                <w:sz w:val="24"/>
                <w:szCs w:val="24"/>
                <w:highlight w:val="none"/>
                <w:lang w:val="en-US" w:eastAsia="zh-CN"/>
              </w:rPr>
              <w:t>《国家危险废物名录》（202</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版）</w:t>
            </w:r>
            <w:r>
              <w:rPr>
                <w:rFonts w:hint="eastAsia" w:eastAsia="宋体" w:cs="Times New Roman"/>
                <w:color w:val="auto"/>
                <w:sz w:val="24"/>
                <w:szCs w:val="24"/>
                <w:highlight w:val="none"/>
                <w:lang w:val="en-US" w:eastAsia="zh-CN"/>
              </w:rPr>
              <w:t>中</w:t>
            </w:r>
            <w:r>
              <w:rPr>
                <w:rFonts w:hint="eastAsia"/>
                <w:color w:val="auto"/>
                <w:sz w:val="24"/>
                <w:szCs w:val="24"/>
                <w:highlight w:val="none"/>
                <w:lang w:val="en-US" w:eastAsia="zh-CN"/>
              </w:rPr>
              <w:t>全过程豁免的危险废物</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HW49其他废物900-041-49</w:t>
            </w:r>
            <w:r>
              <w:rPr>
                <w:rFonts w:hint="eastAsia" w:eastAsia="宋体" w:cs="Times New Roman"/>
                <w:color w:val="auto"/>
                <w:sz w:val="24"/>
                <w:szCs w:val="24"/>
                <w:highlight w:val="none"/>
                <w:lang w:val="en-US" w:eastAsia="zh-CN"/>
              </w:rPr>
              <w:t>）</w:t>
            </w:r>
            <w:r>
              <w:rPr>
                <w:rFonts w:hint="eastAsia"/>
                <w:color w:val="auto"/>
                <w:sz w:val="24"/>
                <w:szCs w:val="24"/>
                <w:highlight w:val="none"/>
                <w:lang w:val="en-US" w:eastAsia="zh-CN"/>
              </w:rPr>
              <w:t>，未分类收集，交由环卫部门统一清运处置。</w:t>
            </w:r>
          </w:p>
          <w:p w14:paraId="3E169C1C">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本项目在机器设备维修养护过程会产生一定的废含油棉纱、手套，约0.04t/a</w:t>
            </w:r>
            <w:r>
              <w:rPr>
                <w:rFonts w:hint="eastAsia" w:ascii="Times New Roman" w:hAnsi="Times New Roman" w:eastAsia="宋体" w:cs="Times New Roman"/>
                <w:color w:val="auto"/>
                <w:sz w:val="24"/>
                <w:highlight w:val="none"/>
                <w:lang w:val="en-US" w:eastAsia="zh-CN"/>
              </w:rPr>
              <w:t>，</w:t>
            </w:r>
            <w:r>
              <w:rPr>
                <w:rFonts w:hint="eastAsia" w:eastAsia="宋体" w:cs="Times New Roman"/>
                <w:color w:val="auto"/>
                <w:sz w:val="24"/>
                <w:highlight w:val="none"/>
                <w:lang w:val="en-US" w:eastAsia="zh-CN"/>
              </w:rPr>
              <w:t>该类危废量少且分散，不进行分类收集，</w:t>
            </w:r>
            <w:r>
              <w:rPr>
                <w:rFonts w:hint="default" w:ascii="Times New Roman" w:hAnsi="Times New Roman" w:eastAsia="宋体" w:cs="Times New Roman"/>
                <w:color w:val="auto"/>
                <w:sz w:val="24"/>
                <w:highlight w:val="none"/>
                <w:lang w:val="en-US" w:eastAsia="zh-CN"/>
              </w:rPr>
              <w:t>根据《国家危险废物名录》（202</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版）</w:t>
            </w:r>
            <w:r>
              <w:rPr>
                <w:rFonts w:hint="eastAsia" w:eastAsia="宋体" w:cs="Times New Roman"/>
                <w:color w:val="auto"/>
                <w:sz w:val="24"/>
                <w:highlight w:val="none"/>
                <w:lang w:val="en-US" w:eastAsia="zh-CN"/>
              </w:rPr>
              <w:t>，该类（</w:t>
            </w:r>
            <w:r>
              <w:rPr>
                <w:rFonts w:hint="default" w:ascii="Times New Roman" w:hAnsi="Times New Roman" w:eastAsia="宋体" w:cs="Times New Roman"/>
                <w:color w:val="auto"/>
                <w:sz w:val="24"/>
                <w:highlight w:val="none"/>
                <w:lang w:val="en-US" w:eastAsia="zh-CN"/>
              </w:rPr>
              <w:t>HW49其他废物900-041-49</w:t>
            </w:r>
            <w:r>
              <w:rPr>
                <w:rFonts w:hint="eastAsia" w:eastAsia="宋体" w:cs="Times New Roman"/>
                <w:color w:val="auto"/>
                <w:sz w:val="24"/>
                <w:highlight w:val="none"/>
                <w:lang w:val="en-US" w:eastAsia="zh-CN"/>
              </w:rPr>
              <w:t>）固废全过程豁免危废管理，与生活垃圾一并收集后直接交由环卫部们清运处置。</w:t>
            </w:r>
          </w:p>
          <w:p w14:paraId="2F944925">
            <w:pPr>
              <w:spacing w:line="360" w:lineRule="auto"/>
              <w:ind w:firstLine="480" w:firstLineChars="200"/>
              <w:rPr>
                <w:rFonts w:hint="eastAsia"/>
                <w:color w:val="auto"/>
                <w:sz w:val="24"/>
                <w:highlight w:val="none"/>
                <w:lang w:val="en-US" w:eastAsia="zh-CN"/>
              </w:rPr>
            </w:pPr>
          </w:p>
          <w:p w14:paraId="07FC3F6F">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危险废物：</w:t>
            </w:r>
            <w:r>
              <w:rPr>
                <w:rFonts w:hint="eastAsia"/>
                <w:color w:val="auto"/>
                <w:sz w:val="24"/>
                <w:highlight w:val="none"/>
                <w:lang w:val="en-US" w:eastAsia="zh-CN"/>
              </w:rPr>
              <w:t>废润滑油、污水处理站污泥以及废活性炭</w:t>
            </w:r>
            <w:r>
              <w:rPr>
                <w:rFonts w:hint="eastAsia"/>
                <w:color w:val="auto"/>
                <w:sz w:val="24"/>
                <w:highlight w:val="none"/>
              </w:rPr>
              <w:t>等分类收集暂存于</w:t>
            </w:r>
            <w:r>
              <w:rPr>
                <w:rFonts w:hint="eastAsia"/>
                <w:color w:val="auto"/>
                <w:sz w:val="24"/>
                <w:highlight w:val="none"/>
                <w:lang w:eastAsia="zh-CN"/>
              </w:rPr>
              <w:t>危废贮存库</w:t>
            </w:r>
            <w:r>
              <w:rPr>
                <w:rFonts w:hint="eastAsia"/>
                <w:color w:val="auto"/>
                <w:sz w:val="24"/>
                <w:highlight w:val="none"/>
              </w:rPr>
              <w:t>，定期交有资质单位处理，目前建设单位已与</w:t>
            </w:r>
            <w:r>
              <w:rPr>
                <w:rFonts w:hint="eastAsia"/>
                <w:color w:val="auto"/>
                <w:sz w:val="24"/>
                <w:highlight w:val="none"/>
                <w:lang w:val="en-US" w:eastAsia="zh-CN"/>
              </w:rPr>
              <w:t>四川省兴茂石化有限责任公司</w:t>
            </w:r>
            <w:r>
              <w:rPr>
                <w:rFonts w:hint="eastAsia"/>
                <w:color w:val="auto"/>
                <w:sz w:val="24"/>
                <w:highlight w:val="none"/>
              </w:rPr>
              <w:t>签订危废处置协议（</w:t>
            </w:r>
            <w:r>
              <w:rPr>
                <w:rFonts w:hint="eastAsia"/>
                <w:color w:val="auto"/>
                <w:sz w:val="24"/>
                <w:highlight w:val="none"/>
                <w:lang w:val="en-US" w:eastAsia="zh-CN"/>
              </w:rPr>
              <w:t>详见</w:t>
            </w:r>
            <w:r>
              <w:rPr>
                <w:rFonts w:hint="eastAsia"/>
                <w:color w:val="auto"/>
                <w:sz w:val="24"/>
                <w:highlight w:val="none"/>
              </w:rPr>
              <w:t>附件）。</w:t>
            </w:r>
          </w:p>
          <w:p w14:paraId="671B735A">
            <w:pPr>
              <w:spacing w:line="360" w:lineRule="auto"/>
              <w:ind w:firstLine="480" w:firstLineChars="200"/>
              <w:rPr>
                <w:rFonts w:hint="eastAsia"/>
                <w:color w:val="auto"/>
                <w:sz w:val="24"/>
                <w:highlight w:val="none"/>
              </w:rPr>
            </w:pPr>
            <w:r>
              <w:rPr>
                <w:rFonts w:hint="eastAsia"/>
                <w:color w:val="auto"/>
                <w:sz w:val="24"/>
                <w:highlight w:val="none"/>
                <w:lang w:eastAsia="zh-CN"/>
              </w:rPr>
              <w:t>危废贮存库</w:t>
            </w:r>
            <w:r>
              <w:rPr>
                <w:rFonts w:hint="eastAsia"/>
                <w:color w:val="auto"/>
                <w:sz w:val="24"/>
                <w:highlight w:val="none"/>
              </w:rPr>
              <w:t>位于厂区</w:t>
            </w:r>
            <w:r>
              <w:rPr>
                <w:rFonts w:hint="eastAsia"/>
                <w:color w:val="auto"/>
                <w:sz w:val="24"/>
                <w:highlight w:val="none"/>
                <w:lang w:val="en-US" w:eastAsia="zh-CN"/>
              </w:rPr>
              <w:t>最北侧污水处理站内风机泵房旁</w:t>
            </w:r>
            <w:r>
              <w:rPr>
                <w:rFonts w:hint="eastAsia"/>
                <w:color w:val="auto"/>
                <w:sz w:val="24"/>
                <w:highlight w:val="none"/>
              </w:rPr>
              <w:t>，面积约</w:t>
            </w:r>
            <w:r>
              <w:rPr>
                <w:rFonts w:hint="eastAsia"/>
                <w:color w:val="auto"/>
                <w:sz w:val="24"/>
                <w:highlight w:val="none"/>
                <w:lang w:val="en-US" w:eastAsia="zh-CN"/>
              </w:rPr>
              <w:t>3.0</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，用于全厂危险废物暂存。危废间已按</w:t>
            </w:r>
            <w:r>
              <w:rPr>
                <w:rFonts w:hint="eastAsia"/>
                <w:bCs/>
                <w:color w:val="auto"/>
                <w:sz w:val="24"/>
                <w:highlight w:val="none"/>
                <w:lang w:eastAsia="zh-CN"/>
              </w:rPr>
              <w:t>《</w:t>
            </w:r>
            <w:r>
              <w:rPr>
                <w:rFonts w:hint="eastAsia"/>
                <w:bCs/>
                <w:color w:val="auto"/>
                <w:sz w:val="24"/>
                <w:highlight w:val="none"/>
              </w:rPr>
              <w:t>危险废物贮存污染控制标准（GB18597</w:t>
            </w:r>
            <w:r>
              <w:rPr>
                <w:rFonts w:hint="eastAsia"/>
                <w:bCs/>
                <w:color w:val="auto"/>
                <w:sz w:val="24"/>
                <w:highlight w:val="none"/>
                <w:lang w:eastAsia="zh-CN"/>
              </w:rPr>
              <w:t>-</w:t>
            </w:r>
            <w:r>
              <w:rPr>
                <w:rFonts w:hint="eastAsia"/>
                <w:bCs/>
                <w:color w:val="auto"/>
                <w:sz w:val="24"/>
                <w:highlight w:val="none"/>
              </w:rPr>
              <w:t>2023）</w:t>
            </w:r>
            <w:r>
              <w:rPr>
                <w:rFonts w:hint="eastAsia"/>
                <w:bCs/>
                <w:color w:val="auto"/>
                <w:sz w:val="24"/>
                <w:highlight w:val="none"/>
                <w:lang w:eastAsia="zh-CN"/>
              </w:rPr>
              <w:t>》</w:t>
            </w:r>
            <w:r>
              <w:rPr>
                <w:rFonts w:hint="eastAsia"/>
                <w:color w:val="auto"/>
                <w:sz w:val="24"/>
                <w:highlight w:val="none"/>
              </w:rPr>
              <w:t>规范建设，已采取“2mm厚的HDPE膜+防渗混凝土”重点防渗措施</w:t>
            </w:r>
            <w:r>
              <w:rPr>
                <w:rFonts w:hint="eastAsia"/>
                <w:color w:val="auto"/>
                <w:sz w:val="24"/>
                <w:highlight w:val="none"/>
                <w:lang w:val="en-US" w:eastAsia="zh-CN"/>
              </w:rPr>
              <w:t>及</w:t>
            </w:r>
            <w:r>
              <w:rPr>
                <w:rFonts w:hint="eastAsia"/>
                <w:color w:val="auto"/>
                <w:sz w:val="24"/>
                <w:highlight w:val="none"/>
              </w:rPr>
              <w:t>防风、防雨措施。</w:t>
            </w:r>
          </w:p>
          <w:p w14:paraId="000D72CD">
            <w:pPr>
              <w:numPr>
                <w:ilvl w:val="0"/>
                <w:numId w:val="24"/>
              </w:numPr>
              <w:spacing w:line="360" w:lineRule="auto"/>
              <w:ind w:firstLine="470" w:firstLineChars="196"/>
              <w:rPr>
                <w:color w:val="auto"/>
                <w:sz w:val="24"/>
                <w:highlight w:val="none"/>
              </w:rPr>
            </w:pPr>
            <w:r>
              <w:rPr>
                <w:rFonts w:hint="eastAsia"/>
                <w:color w:val="auto"/>
                <w:sz w:val="24"/>
                <w:highlight w:val="none"/>
                <w:lang w:val="en-US" w:eastAsia="zh-CN"/>
              </w:rPr>
              <w:t>现有工程</w:t>
            </w:r>
            <w:r>
              <w:rPr>
                <w:rFonts w:hint="eastAsia"/>
                <w:color w:val="auto"/>
                <w:sz w:val="24"/>
                <w:highlight w:val="none"/>
              </w:rPr>
              <w:t>地下水防治措施</w:t>
            </w:r>
          </w:p>
          <w:p w14:paraId="14826AF8">
            <w:pPr>
              <w:spacing w:line="360" w:lineRule="auto"/>
              <w:ind w:firstLine="480" w:firstLineChars="200"/>
              <w:rPr>
                <w:color w:val="auto"/>
                <w:sz w:val="24"/>
                <w:highlight w:val="none"/>
              </w:rPr>
            </w:pPr>
            <w:r>
              <w:rPr>
                <w:rFonts w:hint="eastAsia"/>
                <w:color w:val="auto"/>
                <w:sz w:val="24"/>
                <w:highlight w:val="none"/>
              </w:rPr>
              <w:t>厂区地下水污染防治措施如下：</w:t>
            </w:r>
          </w:p>
          <w:p w14:paraId="56332688">
            <w:pPr>
              <w:pStyle w:val="42"/>
              <w:rPr>
                <w:color w:val="auto"/>
                <w:szCs w:val="21"/>
                <w:highlight w:val="none"/>
              </w:rPr>
            </w:pPr>
            <w:r>
              <w:rPr>
                <w:rFonts w:hint="eastAsia"/>
                <w:color w:val="auto"/>
                <w:szCs w:val="21"/>
                <w:highlight w:val="none"/>
              </w:rPr>
              <w:t>厂区</w:t>
            </w:r>
            <w:r>
              <w:rPr>
                <w:rFonts w:hint="eastAsia"/>
                <w:color w:val="auto"/>
                <w:szCs w:val="21"/>
                <w:highlight w:val="none"/>
                <w:lang w:eastAsia="zh-CN"/>
              </w:rPr>
              <w:t>已</w:t>
            </w:r>
            <w:r>
              <w:rPr>
                <w:rFonts w:hint="eastAsia"/>
                <w:color w:val="auto"/>
                <w:szCs w:val="21"/>
                <w:highlight w:val="none"/>
                <w:lang w:val="en-US" w:eastAsia="zh-CN"/>
              </w:rPr>
              <w:t>建</w:t>
            </w:r>
            <w:r>
              <w:rPr>
                <w:color w:val="auto"/>
                <w:szCs w:val="21"/>
                <w:highlight w:val="none"/>
              </w:rPr>
              <w:t>分区防渗要求</w:t>
            </w:r>
          </w:p>
          <w:tbl>
            <w:tblPr>
              <w:tblStyle w:val="121"/>
              <w:tblW w:w="4991"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2"/>
              <w:gridCol w:w="549"/>
              <w:gridCol w:w="1403"/>
              <w:gridCol w:w="4753"/>
              <w:gridCol w:w="1206"/>
            </w:tblGrid>
            <w:tr w14:paraId="7841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315" w:type="pct"/>
                  <w:tcBorders>
                    <w:tl2br w:val="nil"/>
                  </w:tcBorders>
                  <w:shd w:val="clear" w:color="auto" w:fill="FFFFFF"/>
                  <w:vAlign w:val="center"/>
                </w:tcPr>
                <w:p w14:paraId="65052251">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val="0"/>
                      <w:color w:val="auto"/>
                      <w:spacing w:val="9"/>
                      <w:sz w:val="21"/>
                      <w:szCs w:val="21"/>
                      <w:highlight w:val="none"/>
                    </w:rPr>
                  </w:pPr>
                  <w:r>
                    <w:rPr>
                      <w:rFonts w:hint="default" w:ascii="Times New Roman" w:hAnsi="Times New Roman" w:eastAsia="宋体" w:cs="Times New Roman"/>
                      <w:b/>
                      <w:bCs w:val="0"/>
                      <w:color w:val="auto"/>
                      <w:spacing w:val="9"/>
                      <w:sz w:val="21"/>
                      <w:szCs w:val="21"/>
                      <w:highlight w:val="none"/>
                    </w:rPr>
                    <w:t>序号</w:t>
                  </w:r>
                </w:p>
              </w:tc>
              <w:tc>
                <w:tcPr>
                  <w:tcW w:w="1156" w:type="pct"/>
                  <w:gridSpan w:val="2"/>
                  <w:shd w:val="clear" w:color="auto" w:fill="FFFFFF"/>
                  <w:vAlign w:val="center"/>
                </w:tcPr>
                <w:p w14:paraId="6AFFE865">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val="0"/>
                      <w:color w:val="auto"/>
                      <w:spacing w:val="9"/>
                      <w:sz w:val="21"/>
                      <w:szCs w:val="21"/>
                      <w:highlight w:val="none"/>
                    </w:rPr>
                  </w:pPr>
                  <w:r>
                    <w:rPr>
                      <w:rFonts w:hint="default" w:ascii="Times New Roman" w:hAnsi="Times New Roman" w:eastAsia="宋体" w:cs="Times New Roman"/>
                      <w:b/>
                      <w:bCs w:val="0"/>
                      <w:color w:val="auto"/>
                      <w:spacing w:val="9"/>
                      <w:sz w:val="21"/>
                      <w:szCs w:val="21"/>
                      <w:highlight w:val="none"/>
                    </w:rPr>
                    <w:t>防渗分区</w:t>
                  </w:r>
                </w:p>
              </w:tc>
              <w:tc>
                <w:tcPr>
                  <w:tcW w:w="2815" w:type="pct"/>
                  <w:shd w:val="clear" w:color="auto" w:fill="FFFFFF"/>
                  <w:vAlign w:val="center"/>
                </w:tcPr>
                <w:p w14:paraId="453EE349">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val="0"/>
                      <w:color w:val="auto"/>
                      <w:spacing w:val="9"/>
                      <w:sz w:val="21"/>
                      <w:szCs w:val="21"/>
                      <w:highlight w:val="none"/>
                    </w:rPr>
                  </w:pPr>
                  <w:r>
                    <w:rPr>
                      <w:rFonts w:hint="default" w:ascii="Times New Roman" w:hAnsi="Times New Roman" w:eastAsia="宋体" w:cs="Times New Roman"/>
                      <w:b/>
                      <w:bCs w:val="0"/>
                      <w:color w:val="auto"/>
                      <w:spacing w:val="9"/>
                      <w:sz w:val="21"/>
                      <w:szCs w:val="21"/>
                      <w:highlight w:val="none"/>
                    </w:rPr>
                    <w:t>防渗措施</w:t>
                  </w:r>
                </w:p>
              </w:tc>
              <w:tc>
                <w:tcPr>
                  <w:tcW w:w="712" w:type="pct"/>
                  <w:shd w:val="clear" w:color="auto" w:fill="FFFFFF"/>
                  <w:vAlign w:val="center"/>
                </w:tcPr>
                <w:p w14:paraId="0D4D04E5">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val="0"/>
                      <w:color w:val="auto"/>
                      <w:spacing w:val="9"/>
                      <w:sz w:val="21"/>
                      <w:szCs w:val="21"/>
                      <w:highlight w:val="none"/>
                    </w:rPr>
                  </w:pPr>
                  <w:r>
                    <w:rPr>
                      <w:rFonts w:hint="default" w:ascii="Times New Roman" w:hAnsi="Times New Roman" w:eastAsia="宋体" w:cs="Times New Roman"/>
                      <w:b/>
                      <w:bCs w:val="0"/>
                      <w:color w:val="auto"/>
                      <w:spacing w:val="9"/>
                      <w:sz w:val="21"/>
                      <w:szCs w:val="21"/>
                      <w:highlight w:val="none"/>
                    </w:rPr>
                    <w:t>防渗系数</w:t>
                  </w:r>
                </w:p>
              </w:tc>
            </w:tr>
            <w:tr w14:paraId="3D69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000" w:type="pct"/>
                  <w:gridSpan w:val="5"/>
                  <w:shd w:val="clear" w:color="auto" w:fill="FFFFFF"/>
                  <w:vAlign w:val="center"/>
                </w:tcPr>
                <w:p w14:paraId="2E8145CC">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bCs/>
                      <w:color w:val="auto"/>
                      <w:spacing w:val="8"/>
                      <w:sz w:val="21"/>
                      <w:szCs w:val="21"/>
                      <w:highlight w:val="none"/>
                    </w:rPr>
                    <w:t>一、重点防渗区</w:t>
                  </w:r>
                </w:p>
              </w:tc>
            </w:tr>
            <w:tr w14:paraId="532B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3" w:hRule="atLeast"/>
              </w:trPr>
              <w:tc>
                <w:tcPr>
                  <w:tcW w:w="315" w:type="pct"/>
                  <w:shd w:val="clear" w:color="auto" w:fill="FFFFFF"/>
                  <w:vAlign w:val="center"/>
                </w:tcPr>
                <w:p w14:paraId="0494B9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01</w:t>
                  </w:r>
                </w:p>
              </w:tc>
              <w:tc>
                <w:tcPr>
                  <w:tcW w:w="325" w:type="pct"/>
                  <w:shd w:val="clear" w:color="auto" w:fill="FFFFFF"/>
                  <w:vAlign w:val="center"/>
                </w:tcPr>
                <w:p w14:paraId="5494A454">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pacing w:val="3"/>
                      <w:sz w:val="21"/>
                      <w:szCs w:val="21"/>
                      <w:highlight w:val="none"/>
                    </w:rPr>
                  </w:pPr>
                  <w:r>
                    <w:rPr>
                      <w:rFonts w:hint="default" w:ascii="Times New Roman" w:hAnsi="Times New Roman" w:eastAsia="宋体" w:cs="Times New Roman"/>
                      <w:b w:val="0"/>
                      <w:color w:val="auto"/>
                      <w:spacing w:val="3"/>
                      <w:sz w:val="21"/>
                      <w:szCs w:val="21"/>
                      <w:highlight w:val="none"/>
                    </w:rPr>
                    <w:t>生产</w:t>
                  </w:r>
                </w:p>
                <w:p w14:paraId="55CE3FB8">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3"/>
                      <w:sz w:val="21"/>
                      <w:szCs w:val="21"/>
                      <w:highlight w:val="none"/>
                    </w:rPr>
                    <w:t>车间</w:t>
                  </w:r>
                </w:p>
              </w:tc>
              <w:tc>
                <w:tcPr>
                  <w:tcW w:w="831" w:type="pct"/>
                  <w:shd w:val="clear" w:color="auto" w:fill="FFFFFF"/>
                  <w:vAlign w:val="center"/>
                </w:tcPr>
                <w:p w14:paraId="01F91634">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8"/>
                      <w:sz w:val="21"/>
                      <w:szCs w:val="21"/>
                      <w:highlight w:val="none"/>
                    </w:rPr>
                    <w:t>环氧乙烷</w:t>
                  </w:r>
                  <w:r>
                    <w:rPr>
                      <w:rFonts w:hint="eastAsia" w:ascii="Times New Roman" w:hAnsi="Times New Roman" w:cs="Times New Roman"/>
                      <w:b w:val="0"/>
                      <w:color w:val="auto"/>
                      <w:spacing w:val="8"/>
                      <w:sz w:val="21"/>
                      <w:szCs w:val="21"/>
                      <w:highlight w:val="none"/>
                      <w:lang w:eastAsia="zh-CN"/>
                    </w:rPr>
                    <w:t>胺基化</w:t>
                  </w:r>
                  <w:r>
                    <w:rPr>
                      <w:rFonts w:hint="default" w:ascii="Times New Roman" w:hAnsi="Times New Roman" w:eastAsia="宋体" w:cs="Times New Roman"/>
                      <w:b w:val="0"/>
                      <w:color w:val="auto"/>
                      <w:spacing w:val="7"/>
                      <w:sz w:val="21"/>
                      <w:szCs w:val="21"/>
                      <w:highlight w:val="none"/>
                    </w:rPr>
                    <w:t>生产装置区</w:t>
                  </w:r>
                </w:p>
              </w:tc>
              <w:tc>
                <w:tcPr>
                  <w:tcW w:w="2815" w:type="pct"/>
                  <w:shd w:val="clear" w:color="auto" w:fill="FFFFFF"/>
                  <w:vAlign w:val="center"/>
                </w:tcPr>
                <w:p w14:paraId="3570EB32">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pacing w:val="9"/>
                      <w:sz w:val="21"/>
                      <w:szCs w:val="21"/>
                      <w:highlight w:val="none"/>
                    </w:rPr>
                  </w:pPr>
                  <w:r>
                    <w:rPr>
                      <w:rFonts w:hint="default" w:ascii="Times New Roman" w:hAnsi="Times New Roman" w:eastAsia="宋体" w:cs="Times New Roman"/>
                      <w:b w:val="0"/>
                      <w:color w:val="auto"/>
                      <w:spacing w:val="9"/>
                      <w:sz w:val="21"/>
                      <w:szCs w:val="21"/>
                      <w:highlight w:val="none"/>
                    </w:rPr>
                    <w:t>车间地面硬化，采用混凝土砼基基础，收缩缝均</w:t>
                  </w:r>
                </w:p>
                <w:p w14:paraId="0125D2DC">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9"/>
                      <w:sz w:val="21"/>
                      <w:szCs w:val="21"/>
                      <w:highlight w:val="none"/>
                    </w:rPr>
                    <w:t>采用玻纤布+沥青；车间内进料管线、泵等设施</w:t>
                  </w:r>
                </w:p>
                <w:p w14:paraId="6E1A4FC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8"/>
                      <w:sz w:val="21"/>
                      <w:szCs w:val="21"/>
                      <w:highlight w:val="none"/>
                    </w:rPr>
                    <w:t>内各种管线采用碳钢无缝管线连接；厂房外四周</w:t>
                  </w:r>
                </w:p>
                <w:p w14:paraId="5F33230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pacing w:val="9"/>
                      <w:sz w:val="21"/>
                      <w:szCs w:val="21"/>
                      <w:highlight w:val="none"/>
                    </w:rPr>
                  </w:pPr>
                  <w:r>
                    <w:rPr>
                      <w:rFonts w:hint="default" w:ascii="Times New Roman" w:hAnsi="Times New Roman" w:eastAsia="宋体" w:cs="Times New Roman"/>
                      <w:b w:val="0"/>
                      <w:color w:val="auto"/>
                      <w:spacing w:val="9"/>
                      <w:sz w:val="21"/>
                      <w:szCs w:val="21"/>
                      <w:highlight w:val="none"/>
                    </w:rPr>
                    <w:t>设置排污沟及围堰，围堰和排污沟</w:t>
                  </w:r>
                  <w:r>
                    <w:rPr>
                      <w:rFonts w:hint="eastAsia" w:ascii="Times New Roman" w:hAnsi="Times New Roman" w:cs="Times New Roman"/>
                      <w:b w:val="0"/>
                      <w:color w:val="auto"/>
                      <w:spacing w:val="9"/>
                      <w:sz w:val="21"/>
                      <w:szCs w:val="21"/>
                      <w:highlight w:val="none"/>
                      <w:lang w:eastAsia="zh-CN"/>
                    </w:rPr>
                    <w:t>采用</w:t>
                  </w:r>
                  <w:r>
                    <w:rPr>
                      <w:rFonts w:hint="default" w:ascii="Times New Roman" w:hAnsi="Times New Roman" w:eastAsia="宋体" w:cs="Times New Roman"/>
                      <w:b w:val="0"/>
                      <w:color w:val="auto"/>
                      <w:spacing w:val="9"/>
                      <w:sz w:val="21"/>
                      <w:szCs w:val="21"/>
                      <w:highlight w:val="none"/>
                    </w:rPr>
                    <w:t>粘土</w:t>
                  </w:r>
                </w:p>
                <w:p w14:paraId="3C91259C">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5"/>
                      <w:sz w:val="21"/>
                      <w:szCs w:val="21"/>
                      <w:highlight w:val="none"/>
                    </w:rPr>
                    <w:t>铺底，再在上层铺10-15</w:t>
                  </w:r>
                  <w:r>
                    <w:rPr>
                      <w:rFonts w:hint="default" w:ascii="Times New Roman" w:hAnsi="Times New Roman" w:eastAsia="宋体" w:cs="Times New Roman"/>
                      <w:b w:val="0"/>
                      <w:color w:val="auto"/>
                      <w:sz w:val="21"/>
                      <w:szCs w:val="21"/>
                      <w:highlight w:val="none"/>
                    </w:rPr>
                    <w:t>cm</w:t>
                  </w:r>
                  <w:r>
                    <w:rPr>
                      <w:rFonts w:hint="default" w:ascii="Times New Roman" w:hAnsi="Times New Roman" w:eastAsia="宋体" w:cs="Times New Roman"/>
                      <w:b w:val="0"/>
                      <w:color w:val="auto"/>
                      <w:spacing w:val="5"/>
                      <w:sz w:val="21"/>
                      <w:szCs w:val="21"/>
                      <w:highlight w:val="none"/>
                    </w:rPr>
                    <w:t>的水泥进行硬化，用</w:t>
                  </w:r>
                </w:p>
                <w:p w14:paraId="19AF80F1">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9"/>
                      <w:sz w:val="21"/>
                      <w:szCs w:val="21"/>
                      <w:highlight w:val="none"/>
                    </w:rPr>
                    <w:t>2</w:t>
                  </w:r>
                  <w:r>
                    <w:rPr>
                      <w:rFonts w:hint="default" w:ascii="Times New Roman" w:hAnsi="Times New Roman" w:eastAsia="宋体" w:cs="Times New Roman"/>
                      <w:b w:val="0"/>
                      <w:color w:val="auto"/>
                      <w:sz w:val="21"/>
                      <w:szCs w:val="21"/>
                      <w:highlight w:val="none"/>
                    </w:rPr>
                    <w:t>mm</w:t>
                  </w:r>
                  <w:r>
                    <w:rPr>
                      <w:rFonts w:hint="default" w:ascii="Times New Roman" w:hAnsi="Times New Roman" w:eastAsia="宋体" w:cs="Times New Roman"/>
                      <w:b w:val="0"/>
                      <w:color w:val="auto"/>
                      <w:spacing w:val="9"/>
                      <w:sz w:val="21"/>
                      <w:szCs w:val="21"/>
                      <w:highlight w:val="none"/>
                    </w:rPr>
                    <w:t>厚的高密度聚乙烯材料作防渗处理</w:t>
                  </w:r>
                </w:p>
              </w:tc>
              <w:tc>
                <w:tcPr>
                  <w:tcW w:w="712" w:type="pct"/>
                  <w:shd w:val="clear" w:color="auto" w:fill="FFFFFF"/>
                  <w:vAlign w:val="center"/>
                </w:tcPr>
                <w:p w14:paraId="5AA2DF19">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4"/>
                      <w:sz w:val="21"/>
                      <w:szCs w:val="21"/>
                      <w:highlight w:val="none"/>
                    </w:rPr>
                    <w:t>防渗层渗</w:t>
                  </w:r>
                  <w:r>
                    <w:rPr>
                      <w:rFonts w:hint="default" w:ascii="Times New Roman" w:hAnsi="Times New Roman" w:eastAsia="宋体" w:cs="Times New Roman"/>
                      <w:b w:val="0"/>
                      <w:color w:val="auto"/>
                      <w:spacing w:val="7"/>
                      <w:sz w:val="21"/>
                      <w:szCs w:val="21"/>
                      <w:highlight w:val="none"/>
                    </w:rPr>
                    <w:t>透系数</w:t>
                  </w:r>
                  <w:r>
                    <w:rPr>
                      <w:rFonts w:hint="default" w:ascii="Times New Roman" w:hAnsi="Times New Roman" w:eastAsia="宋体" w:cs="Times New Roman"/>
                      <w:b w:val="0"/>
                      <w:color w:val="auto"/>
                      <w:spacing w:val="3"/>
                      <w:position w:val="-1"/>
                      <w:sz w:val="21"/>
                      <w:szCs w:val="21"/>
                      <w:highlight w:val="none"/>
                    </w:rPr>
                    <w:t>≤</w:t>
                  </w:r>
                  <w:r>
                    <w:rPr>
                      <w:rFonts w:hint="default" w:ascii="Times New Roman" w:hAnsi="Times New Roman" w:eastAsia="宋体" w:cs="Times New Roman"/>
                      <w:b w:val="0"/>
                      <w:color w:val="auto"/>
                      <w:spacing w:val="1"/>
                      <w:sz w:val="21"/>
                      <w:szCs w:val="21"/>
                      <w:highlight w:val="none"/>
                    </w:rPr>
                    <w:t>10</w:t>
                  </w:r>
                  <w:r>
                    <w:rPr>
                      <w:rFonts w:hint="eastAsia" w:ascii="Times New Roman" w:hAnsi="Times New Roman" w:eastAsia="宋体" w:cs="Times New Roman"/>
                      <w:b w:val="0"/>
                      <w:color w:val="auto"/>
                      <w:spacing w:val="1"/>
                      <w:sz w:val="21"/>
                      <w:szCs w:val="21"/>
                      <w:highlight w:val="none"/>
                      <w:vertAlign w:val="superscript"/>
                      <w:lang w:val="en-US" w:eastAsia="zh-CN"/>
                    </w:rPr>
                    <w:t>-10</w:t>
                  </w:r>
                  <w:r>
                    <w:rPr>
                      <w:rFonts w:hint="default" w:ascii="Times New Roman" w:hAnsi="Times New Roman" w:eastAsia="宋体" w:cs="Times New Roman"/>
                      <w:b w:val="0"/>
                      <w:color w:val="auto"/>
                      <w:position w:val="-1"/>
                      <w:sz w:val="21"/>
                      <w:szCs w:val="21"/>
                      <w:highlight w:val="none"/>
                    </w:rPr>
                    <w:t>cm</w:t>
                  </w:r>
                  <w:r>
                    <w:rPr>
                      <w:rFonts w:hint="default" w:ascii="Times New Roman" w:hAnsi="Times New Roman" w:eastAsia="宋体" w:cs="Times New Roman"/>
                      <w:b w:val="0"/>
                      <w:color w:val="auto"/>
                      <w:spacing w:val="3"/>
                      <w:position w:val="-1"/>
                      <w:sz w:val="21"/>
                      <w:szCs w:val="21"/>
                      <w:highlight w:val="none"/>
                    </w:rPr>
                    <w:t>/s</w:t>
                  </w:r>
                </w:p>
              </w:tc>
            </w:tr>
            <w:tr w14:paraId="03A5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5" w:type="pct"/>
                  <w:vMerge w:val="restart"/>
                  <w:shd w:val="clear" w:color="auto" w:fill="FFFFFF"/>
                  <w:vAlign w:val="center"/>
                </w:tcPr>
                <w:p w14:paraId="40D155A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02</w:t>
                  </w:r>
                </w:p>
              </w:tc>
              <w:tc>
                <w:tcPr>
                  <w:tcW w:w="325" w:type="pct"/>
                  <w:vMerge w:val="restart"/>
                  <w:shd w:val="clear" w:color="auto" w:fill="FFFFFF"/>
                  <w:vAlign w:val="center"/>
                </w:tcPr>
                <w:p w14:paraId="4C893D37">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5"/>
                      <w:sz w:val="21"/>
                      <w:szCs w:val="21"/>
                      <w:highlight w:val="none"/>
                    </w:rPr>
                    <w:t>仓储</w:t>
                  </w:r>
                  <w:r>
                    <w:rPr>
                      <w:rFonts w:hint="default" w:ascii="Times New Roman" w:hAnsi="Times New Roman" w:eastAsia="宋体" w:cs="Times New Roman"/>
                      <w:b w:val="0"/>
                      <w:color w:val="auto"/>
                      <w:sz w:val="21"/>
                      <w:szCs w:val="21"/>
                      <w:highlight w:val="none"/>
                    </w:rPr>
                    <w:t>区</w:t>
                  </w:r>
                </w:p>
              </w:tc>
              <w:tc>
                <w:tcPr>
                  <w:tcW w:w="831" w:type="pct"/>
                  <w:shd w:val="clear" w:color="auto" w:fill="FFFFFF"/>
                  <w:vAlign w:val="center"/>
                </w:tcPr>
                <w:p w14:paraId="53A64ADB">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6"/>
                      <w:sz w:val="21"/>
                      <w:szCs w:val="21"/>
                      <w:highlight w:val="none"/>
                    </w:rPr>
                    <w:t>原料储罐</w:t>
                  </w:r>
                </w:p>
              </w:tc>
              <w:tc>
                <w:tcPr>
                  <w:tcW w:w="2815" w:type="pct"/>
                  <w:vMerge w:val="restart"/>
                  <w:shd w:val="clear" w:color="auto" w:fill="FFFFFF"/>
                  <w:vAlign w:val="center"/>
                </w:tcPr>
                <w:p w14:paraId="0A7FA6A5">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1"/>
                      <w:sz w:val="21"/>
                      <w:szCs w:val="21"/>
                      <w:highlight w:val="none"/>
                    </w:rPr>
                    <w:t>储罐罐体基础采取40</w:t>
                  </w:r>
                  <w:r>
                    <w:rPr>
                      <w:rFonts w:hint="default" w:ascii="Times New Roman" w:hAnsi="Times New Roman" w:eastAsia="宋体" w:cs="Times New Roman"/>
                      <w:b w:val="0"/>
                      <w:color w:val="auto"/>
                      <w:sz w:val="21"/>
                      <w:szCs w:val="21"/>
                      <w:highlight w:val="none"/>
                    </w:rPr>
                    <w:t>cm</w:t>
                  </w:r>
                  <w:r>
                    <w:rPr>
                      <w:rFonts w:hint="default" w:ascii="Times New Roman" w:hAnsi="Times New Roman" w:eastAsia="宋体" w:cs="Times New Roman"/>
                      <w:b w:val="0"/>
                      <w:color w:val="auto"/>
                      <w:spacing w:val="11"/>
                      <w:sz w:val="21"/>
                      <w:szCs w:val="21"/>
                      <w:highlight w:val="none"/>
                    </w:rPr>
                    <w:t>水泥+沥青+玻纤布的防</w:t>
                  </w:r>
                  <w:r>
                    <w:rPr>
                      <w:rFonts w:hint="default" w:ascii="Times New Roman" w:hAnsi="Times New Roman" w:eastAsia="宋体" w:cs="Times New Roman"/>
                      <w:b w:val="0"/>
                      <w:color w:val="auto"/>
                      <w:spacing w:val="9"/>
                      <w:sz w:val="21"/>
                      <w:szCs w:val="21"/>
                      <w:highlight w:val="none"/>
                    </w:rPr>
                    <w:t>渗措施；罐底除锈后涂刷两次防锈漆；原料储罐</w:t>
                  </w:r>
                  <w:r>
                    <w:rPr>
                      <w:rFonts w:hint="default" w:ascii="Times New Roman" w:hAnsi="Times New Roman" w:eastAsia="宋体" w:cs="Times New Roman"/>
                      <w:b w:val="0"/>
                      <w:color w:val="auto"/>
                      <w:spacing w:val="5"/>
                      <w:sz w:val="21"/>
                      <w:szCs w:val="21"/>
                      <w:highlight w:val="none"/>
                    </w:rPr>
                    <w:t>区设置0.5-0.6m的防火堤，防火堤设置4个安全</w:t>
                  </w:r>
                  <w:r>
                    <w:rPr>
                      <w:rFonts w:hint="default" w:ascii="Times New Roman" w:hAnsi="Times New Roman" w:eastAsia="宋体" w:cs="Times New Roman"/>
                      <w:b w:val="0"/>
                      <w:color w:val="auto"/>
                      <w:spacing w:val="8"/>
                      <w:sz w:val="21"/>
                      <w:szCs w:val="21"/>
                      <w:highlight w:val="none"/>
                    </w:rPr>
                    <w:t>阀门；产品调配缓存罐区四周设置排污沟及围</w:t>
                  </w:r>
                </w:p>
                <w:p w14:paraId="3707062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9"/>
                      <w:sz w:val="21"/>
                      <w:szCs w:val="21"/>
                      <w:highlight w:val="none"/>
                    </w:rPr>
                    <w:t>堰，围堰和排污沟采用粘土铺底，再在上</w:t>
                  </w:r>
                  <w:r>
                    <w:rPr>
                      <w:rFonts w:hint="default" w:ascii="Times New Roman" w:hAnsi="Times New Roman" w:eastAsia="宋体" w:cs="Times New Roman"/>
                      <w:b w:val="0"/>
                      <w:color w:val="auto"/>
                      <w:spacing w:val="4"/>
                      <w:sz w:val="21"/>
                      <w:szCs w:val="21"/>
                      <w:highlight w:val="none"/>
                    </w:rPr>
                    <w:t>层铺10-15</w:t>
                  </w:r>
                  <w:r>
                    <w:rPr>
                      <w:rFonts w:hint="default" w:ascii="Times New Roman" w:hAnsi="Times New Roman" w:eastAsia="宋体" w:cs="Times New Roman"/>
                      <w:b w:val="0"/>
                      <w:color w:val="auto"/>
                      <w:sz w:val="21"/>
                      <w:szCs w:val="21"/>
                      <w:highlight w:val="none"/>
                    </w:rPr>
                    <w:t>cm</w:t>
                  </w:r>
                  <w:r>
                    <w:rPr>
                      <w:rFonts w:hint="default" w:ascii="Times New Roman" w:hAnsi="Times New Roman" w:eastAsia="宋体" w:cs="Times New Roman"/>
                      <w:b w:val="0"/>
                      <w:color w:val="auto"/>
                      <w:spacing w:val="4"/>
                      <w:sz w:val="21"/>
                      <w:szCs w:val="21"/>
                      <w:highlight w:val="none"/>
                    </w:rPr>
                    <w:t>的水泥进行硬化，用2</w:t>
                  </w:r>
                  <w:r>
                    <w:rPr>
                      <w:rFonts w:hint="default" w:ascii="Times New Roman" w:hAnsi="Times New Roman" w:eastAsia="宋体" w:cs="Times New Roman"/>
                      <w:b w:val="0"/>
                      <w:color w:val="auto"/>
                      <w:sz w:val="21"/>
                      <w:szCs w:val="21"/>
                      <w:highlight w:val="none"/>
                    </w:rPr>
                    <w:t>mm</w:t>
                  </w:r>
                  <w:r>
                    <w:rPr>
                      <w:rFonts w:hint="default" w:ascii="Times New Roman" w:hAnsi="Times New Roman" w:eastAsia="宋体" w:cs="Times New Roman"/>
                      <w:b w:val="0"/>
                      <w:color w:val="auto"/>
                      <w:spacing w:val="4"/>
                      <w:sz w:val="21"/>
                      <w:szCs w:val="21"/>
                      <w:highlight w:val="none"/>
                    </w:rPr>
                    <w:t>厚的高</w:t>
                  </w:r>
                  <w:r>
                    <w:rPr>
                      <w:rFonts w:hint="default" w:ascii="Times New Roman" w:hAnsi="Times New Roman" w:eastAsia="宋体" w:cs="Times New Roman"/>
                      <w:b w:val="0"/>
                      <w:color w:val="auto"/>
                      <w:spacing w:val="8"/>
                      <w:sz w:val="21"/>
                      <w:szCs w:val="21"/>
                      <w:highlight w:val="none"/>
                    </w:rPr>
                    <w:t>密度聚乙烯材料作防渗处理。</w:t>
                  </w:r>
                </w:p>
              </w:tc>
              <w:tc>
                <w:tcPr>
                  <w:tcW w:w="712" w:type="pct"/>
                  <w:vMerge w:val="restart"/>
                  <w:shd w:val="clear" w:color="auto" w:fill="FFFFFF"/>
                  <w:vAlign w:val="center"/>
                </w:tcPr>
                <w:p w14:paraId="633B537D">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4"/>
                      <w:sz w:val="21"/>
                      <w:szCs w:val="21"/>
                      <w:highlight w:val="none"/>
                    </w:rPr>
                    <w:t>防渗层渗</w:t>
                  </w:r>
                  <w:r>
                    <w:rPr>
                      <w:rFonts w:hint="default" w:ascii="Times New Roman" w:hAnsi="Times New Roman" w:eastAsia="宋体" w:cs="Times New Roman"/>
                      <w:b w:val="0"/>
                      <w:color w:val="auto"/>
                      <w:spacing w:val="7"/>
                      <w:sz w:val="21"/>
                      <w:szCs w:val="21"/>
                      <w:highlight w:val="none"/>
                    </w:rPr>
                    <w:t>透系数</w:t>
                  </w:r>
                  <w:r>
                    <w:rPr>
                      <w:rFonts w:hint="default" w:ascii="Times New Roman" w:hAnsi="Times New Roman" w:eastAsia="宋体" w:cs="Times New Roman"/>
                      <w:b w:val="0"/>
                      <w:color w:val="auto"/>
                      <w:spacing w:val="3"/>
                      <w:position w:val="-1"/>
                      <w:sz w:val="21"/>
                      <w:szCs w:val="21"/>
                      <w:highlight w:val="none"/>
                    </w:rPr>
                    <w:t>≤</w:t>
                  </w:r>
                  <w:r>
                    <w:rPr>
                      <w:rFonts w:hint="default" w:ascii="Times New Roman" w:hAnsi="Times New Roman" w:eastAsia="宋体" w:cs="Times New Roman"/>
                      <w:b w:val="0"/>
                      <w:color w:val="auto"/>
                      <w:spacing w:val="1"/>
                      <w:sz w:val="21"/>
                      <w:szCs w:val="21"/>
                      <w:highlight w:val="none"/>
                    </w:rPr>
                    <w:t>10</w:t>
                  </w:r>
                  <w:r>
                    <w:rPr>
                      <w:rFonts w:hint="eastAsia" w:ascii="Times New Roman" w:hAnsi="Times New Roman" w:eastAsia="宋体" w:cs="Times New Roman"/>
                      <w:b w:val="0"/>
                      <w:color w:val="auto"/>
                      <w:spacing w:val="1"/>
                      <w:sz w:val="21"/>
                      <w:szCs w:val="21"/>
                      <w:highlight w:val="none"/>
                      <w:vertAlign w:val="superscript"/>
                      <w:lang w:val="en-US" w:eastAsia="zh-CN"/>
                    </w:rPr>
                    <w:t>-10</w:t>
                  </w:r>
                  <w:r>
                    <w:rPr>
                      <w:rFonts w:hint="default" w:ascii="Times New Roman" w:hAnsi="Times New Roman" w:eastAsia="宋体" w:cs="Times New Roman"/>
                      <w:b w:val="0"/>
                      <w:color w:val="auto"/>
                      <w:position w:val="-1"/>
                      <w:sz w:val="21"/>
                      <w:szCs w:val="21"/>
                      <w:highlight w:val="none"/>
                    </w:rPr>
                    <w:t>cm</w:t>
                  </w:r>
                  <w:r>
                    <w:rPr>
                      <w:rFonts w:hint="default" w:ascii="Times New Roman" w:hAnsi="Times New Roman" w:eastAsia="宋体" w:cs="Times New Roman"/>
                      <w:b w:val="0"/>
                      <w:color w:val="auto"/>
                      <w:spacing w:val="3"/>
                      <w:position w:val="-1"/>
                      <w:sz w:val="21"/>
                      <w:szCs w:val="21"/>
                      <w:highlight w:val="none"/>
                    </w:rPr>
                    <w:t>/s</w:t>
                  </w:r>
                </w:p>
              </w:tc>
            </w:tr>
            <w:tr w14:paraId="0D63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315" w:type="pct"/>
                  <w:vMerge w:val="continue"/>
                  <w:shd w:val="clear" w:color="auto" w:fill="FFFFFF"/>
                  <w:vAlign w:val="center"/>
                </w:tcPr>
                <w:p w14:paraId="374566A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325" w:type="pct"/>
                  <w:vMerge w:val="continue"/>
                  <w:shd w:val="clear" w:color="auto" w:fill="FFFFFF"/>
                  <w:vAlign w:val="center"/>
                </w:tcPr>
                <w:p w14:paraId="7769A5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831" w:type="pct"/>
                  <w:shd w:val="clear" w:color="auto" w:fill="FFFFFF"/>
                  <w:vAlign w:val="center"/>
                </w:tcPr>
                <w:p w14:paraId="72682042">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7"/>
                      <w:sz w:val="21"/>
                      <w:szCs w:val="21"/>
                      <w:highlight w:val="none"/>
                    </w:rPr>
                    <w:t>产品储罐</w:t>
                  </w:r>
                </w:p>
              </w:tc>
              <w:tc>
                <w:tcPr>
                  <w:tcW w:w="2815" w:type="pct"/>
                  <w:vMerge w:val="continue"/>
                  <w:shd w:val="clear" w:color="auto" w:fill="FFFFFF"/>
                  <w:vAlign w:val="center"/>
                </w:tcPr>
                <w:p w14:paraId="506BF2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712" w:type="pct"/>
                  <w:vMerge w:val="continue"/>
                  <w:shd w:val="clear" w:color="auto" w:fill="FFFFFF"/>
                  <w:vAlign w:val="center"/>
                </w:tcPr>
                <w:p w14:paraId="3BEE6791">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775C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315" w:type="pct"/>
                  <w:vMerge w:val="continue"/>
                  <w:shd w:val="clear" w:color="auto" w:fill="FFFFFF"/>
                  <w:vAlign w:val="center"/>
                </w:tcPr>
                <w:p w14:paraId="7D6CDD5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325" w:type="pct"/>
                  <w:vMerge w:val="continue"/>
                  <w:shd w:val="clear" w:color="auto" w:fill="FFFFFF"/>
                  <w:vAlign w:val="center"/>
                </w:tcPr>
                <w:p w14:paraId="0F88B27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831" w:type="pct"/>
                  <w:shd w:val="clear" w:color="auto" w:fill="FFFFFF"/>
                  <w:vAlign w:val="center"/>
                </w:tcPr>
                <w:p w14:paraId="5E9C4BFC">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7"/>
                      <w:sz w:val="21"/>
                      <w:szCs w:val="21"/>
                      <w:highlight w:val="none"/>
                    </w:rPr>
                    <w:t>产品库房</w:t>
                  </w:r>
                </w:p>
              </w:tc>
              <w:tc>
                <w:tcPr>
                  <w:tcW w:w="2815" w:type="pct"/>
                  <w:vMerge w:val="continue"/>
                  <w:shd w:val="clear" w:color="auto" w:fill="FFFFFF"/>
                  <w:vAlign w:val="center"/>
                </w:tcPr>
                <w:p w14:paraId="7D59D6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712" w:type="pct"/>
                  <w:vMerge w:val="continue"/>
                  <w:shd w:val="clear" w:color="auto" w:fill="FFFFFF"/>
                  <w:vAlign w:val="center"/>
                </w:tcPr>
                <w:p w14:paraId="6504E80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2346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315" w:type="pct"/>
                  <w:vMerge w:val="continue"/>
                  <w:shd w:val="clear" w:color="auto" w:fill="FFFFFF"/>
                  <w:vAlign w:val="center"/>
                </w:tcPr>
                <w:p w14:paraId="5BB803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325" w:type="pct"/>
                  <w:vMerge w:val="continue"/>
                  <w:shd w:val="clear" w:color="auto" w:fill="FFFFFF"/>
                  <w:vAlign w:val="center"/>
                </w:tcPr>
                <w:p w14:paraId="4D618F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831" w:type="pct"/>
                  <w:shd w:val="clear" w:color="auto" w:fill="FFFFFF"/>
                  <w:vAlign w:val="center"/>
                </w:tcPr>
                <w:p w14:paraId="67F93FB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6"/>
                      <w:sz w:val="21"/>
                      <w:szCs w:val="21"/>
                      <w:highlight w:val="none"/>
                    </w:rPr>
                    <w:t>装卸区</w:t>
                  </w:r>
                </w:p>
              </w:tc>
              <w:tc>
                <w:tcPr>
                  <w:tcW w:w="2815" w:type="pct"/>
                  <w:vMerge w:val="continue"/>
                  <w:shd w:val="clear" w:color="auto" w:fill="FFFFFF"/>
                  <w:vAlign w:val="center"/>
                </w:tcPr>
                <w:p w14:paraId="0ECAE07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712" w:type="pct"/>
                  <w:vMerge w:val="continue"/>
                  <w:shd w:val="clear" w:color="auto" w:fill="FFFFFF"/>
                  <w:vAlign w:val="center"/>
                </w:tcPr>
                <w:p w14:paraId="7EC0E7B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4393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315" w:type="pct"/>
                  <w:vMerge w:val="restart"/>
                  <w:shd w:val="clear" w:color="auto" w:fill="FFFFFF"/>
                  <w:vAlign w:val="center"/>
                </w:tcPr>
                <w:p w14:paraId="70438C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03</w:t>
                  </w:r>
                </w:p>
              </w:tc>
              <w:tc>
                <w:tcPr>
                  <w:tcW w:w="325" w:type="pct"/>
                  <w:vMerge w:val="restart"/>
                  <w:shd w:val="clear" w:color="auto" w:fill="FFFFFF"/>
                  <w:vAlign w:val="center"/>
                </w:tcPr>
                <w:p w14:paraId="6683B19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8"/>
                      <w:sz w:val="21"/>
                      <w:szCs w:val="21"/>
                      <w:highlight w:val="none"/>
                    </w:rPr>
                    <w:t>环保设施</w:t>
                  </w:r>
                </w:p>
              </w:tc>
              <w:tc>
                <w:tcPr>
                  <w:tcW w:w="831" w:type="pct"/>
                  <w:shd w:val="clear" w:color="auto" w:fill="FFFFFF"/>
                  <w:vAlign w:val="center"/>
                </w:tcPr>
                <w:p w14:paraId="03ACA16C">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8"/>
                      <w:sz w:val="21"/>
                      <w:szCs w:val="21"/>
                      <w:highlight w:val="none"/>
                    </w:rPr>
                    <w:t>废水处理站</w:t>
                  </w:r>
                </w:p>
              </w:tc>
              <w:tc>
                <w:tcPr>
                  <w:tcW w:w="2815" w:type="pct"/>
                  <w:vMerge w:val="restart"/>
                  <w:shd w:val="clear" w:color="auto" w:fill="FFFFFF"/>
                  <w:vAlign w:val="center"/>
                </w:tcPr>
                <w:p w14:paraId="762138AE">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6"/>
                      <w:sz w:val="21"/>
                      <w:szCs w:val="21"/>
                      <w:highlight w:val="none"/>
                    </w:rPr>
                    <w:t>废水处理站混凝土砼基铺底，在上层铺10</w:t>
                  </w:r>
                  <w:r>
                    <w:rPr>
                      <w:rFonts w:hint="eastAsia" w:ascii="Times New Roman" w:hAnsi="Times New Roman" w:eastAsia="宋体" w:cs="Times New Roman"/>
                      <w:b w:val="0"/>
                      <w:color w:val="auto"/>
                      <w:spacing w:val="6"/>
                      <w:sz w:val="21"/>
                      <w:szCs w:val="21"/>
                      <w:highlight w:val="none"/>
                      <w:lang w:val="en-US" w:eastAsia="zh-CN"/>
                    </w:rPr>
                    <w:t>-</w:t>
                  </w:r>
                  <w:r>
                    <w:rPr>
                      <w:rFonts w:hint="default" w:ascii="Times New Roman" w:hAnsi="Times New Roman" w:eastAsia="宋体" w:cs="Times New Roman"/>
                      <w:b w:val="0"/>
                      <w:color w:val="auto"/>
                      <w:spacing w:val="6"/>
                      <w:sz w:val="21"/>
                      <w:szCs w:val="21"/>
                      <w:highlight w:val="none"/>
                    </w:rPr>
                    <w:t>15</w:t>
                  </w:r>
                  <w:r>
                    <w:rPr>
                      <w:rFonts w:hint="default" w:ascii="Times New Roman" w:hAnsi="Times New Roman" w:eastAsia="宋体" w:cs="Times New Roman"/>
                      <w:b w:val="0"/>
                      <w:color w:val="auto"/>
                      <w:sz w:val="21"/>
                      <w:szCs w:val="21"/>
                      <w:highlight w:val="none"/>
                    </w:rPr>
                    <w:t>cm</w:t>
                  </w:r>
                  <w:r>
                    <w:rPr>
                      <w:rFonts w:hint="default" w:ascii="Times New Roman" w:hAnsi="Times New Roman" w:eastAsia="宋体" w:cs="Times New Roman"/>
                      <w:b w:val="0"/>
                      <w:color w:val="auto"/>
                      <w:spacing w:val="8"/>
                      <w:sz w:val="21"/>
                      <w:szCs w:val="21"/>
                      <w:highlight w:val="none"/>
                    </w:rPr>
                    <w:t>的水泥进行硬化，再钢筋混</w:t>
                  </w:r>
                  <w:r>
                    <w:rPr>
                      <w:rFonts w:hint="eastAsia" w:ascii="Times New Roman" w:hAnsi="Times New Roman" w:cs="Times New Roman"/>
                      <w:b w:val="0"/>
                      <w:color w:val="auto"/>
                      <w:spacing w:val="8"/>
                      <w:sz w:val="21"/>
                      <w:szCs w:val="21"/>
                      <w:highlight w:val="none"/>
                      <w:lang w:eastAsia="zh-CN"/>
                    </w:rPr>
                    <w:t>凝</w:t>
                  </w:r>
                  <w:r>
                    <w:rPr>
                      <w:rFonts w:hint="default" w:ascii="Times New Roman" w:hAnsi="Times New Roman" w:eastAsia="宋体" w:cs="Times New Roman"/>
                      <w:b w:val="0"/>
                      <w:color w:val="auto"/>
                      <w:spacing w:val="8"/>
                      <w:sz w:val="21"/>
                      <w:szCs w:val="21"/>
                      <w:highlight w:val="none"/>
                    </w:rPr>
                    <w:t>土</w:t>
                  </w:r>
                  <w:r>
                    <w:rPr>
                      <w:rFonts w:hint="eastAsia" w:ascii="Times New Roman" w:hAnsi="Times New Roman" w:cs="Times New Roman"/>
                      <w:b w:val="0"/>
                      <w:color w:val="auto"/>
                      <w:spacing w:val="8"/>
                      <w:sz w:val="21"/>
                      <w:szCs w:val="21"/>
                      <w:highlight w:val="none"/>
                      <w:lang w:eastAsia="zh-CN"/>
                    </w:rPr>
                    <w:t>浇筑</w:t>
                  </w:r>
                  <w:r>
                    <w:rPr>
                      <w:rFonts w:hint="default" w:ascii="Times New Roman" w:hAnsi="Times New Roman" w:eastAsia="宋体" w:cs="Times New Roman"/>
                      <w:b w:val="0"/>
                      <w:color w:val="auto"/>
                      <w:spacing w:val="8"/>
                      <w:sz w:val="21"/>
                      <w:szCs w:val="21"/>
                      <w:highlight w:val="none"/>
                    </w:rPr>
                    <w:t>而成。事故应急池由钢筋抗渗</w:t>
                  </w:r>
                  <w:r>
                    <w:rPr>
                      <w:rFonts w:hint="eastAsia" w:ascii="Times New Roman" w:hAnsi="Times New Roman" w:cs="Times New Roman"/>
                      <w:b w:val="0"/>
                      <w:color w:val="auto"/>
                      <w:spacing w:val="8"/>
                      <w:sz w:val="21"/>
                      <w:szCs w:val="21"/>
                      <w:highlight w:val="none"/>
                      <w:lang w:eastAsia="zh-CN"/>
                    </w:rPr>
                    <w:t>混凝土浇筑</w:t>
                  </w:r>
                  <w:r>
                    <w:rPr>
                      <w:rFonts w:hint="default" w:ascii="Times New Roman" w:hAnsi="Times New Roman" w:eastAsia="宋体" w:cs="Times New Roman"/>
                      <w:b w:val="0"/>
                      <w:color w:val="auto"/>
                      <w:spacing w:val="8"/>
                      <w:sz w:val="21"/>
                      <w:szCs w:val="21"/>
                      <w:highlight w:val="none"/>
                    </w:rPr>
                    <w:t>而成。</w:t>
                  </w:r>
                </w:p>
              </w:tc>
              <w:tc>
                <w:tcPr>
                  <w:tcW w:w="712" w:type="pct"/>
                  <w:vMerge w:val="restart"/>
                  <w:shd w:val="clear" w:color="auto" w:fill="FFFFFF"/>
                  <w:vAlign w:val="center"/>
                </w:tcPr>
                <w:p w14:paraId="263A18FB">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4"/>
                      <w:sz w:val="21"/>
                      <w:szCs w:val="21"/>
                      <w:highlight w:val="none"/>
                    </w:rPr>
                    <w:t>防渗层渗</w:t>
                  </w:r>
                  <w:r>
                    <w:rPr>
                      <w:rFonts w:hint="default" w:ascii="Times New Roman" w:hAnsi="Times New Roman" w:eastAsia="宋体" w:cs="Times New Roman"/>
                      <w:b w:val="0"/>
                      <w:color w:val="auto"/>
                      <w:spacing w:val="7"/>
                      <w:sz w:val="21"/>
                      <w:szCs w:val="21"/>
                      <w:highlight w:val="none"/>
                    </w:rPr>
                    <w:t>透系数</w:t>
                  </w:r>
                  <w:r>
                    <w:rPr>
                      <w:rFonts w:hint="default" w:ascii="Times New Roman" w:hAnsi="Times New Roman" w:eastAsia="宋体" w:cs="Times New Roman"/>
                      <w:b w:val="0"/>
                      <w:color w:val="auto"/>
                      <w:spacing w:val="1"/>
                      <w:sz w:val="21"/>
                      <w:szCs w:val="21"/>
                      <w:highlight w:val="none"/>
                    </w:rPr>
                    <w:t>≤10</w:t>
                  </w:r>
                  <w:r>
                    <w:rPr>
                      <w:rFonts w:hint="eastAsia" w:ascii="Times New Roman" w:hAnsi="Times New Roman" w:eastAsia="宋体" w:cs="Times New Roman"/>
                      <w:b w:val="0"/>
                      <w:color w:val="auto"/>
                      <w:spacing w:val="1"/>
                      <w:sz w:val="21"/>
                      <w:szCs w:val="21"/>
                      <w:highlight w:val="none"/>
                      <w:vertAlign w:val="superscript"/>
                      <w:lang w:val="en-US" w:eastAsia="zh-CN"/>
                    </w:rPr>
                    <w:t>-10</w:t>
                  </w:r>
                  <w:r>
                    <w:rPr>
                      <w:rFonts w:hint="default" w:ascii="Times New Roman" w:hAnsi="Times New Roman" w:eastAsia="宋体" w:cs="Times New Roman"/>
                      <w:b w:val="0"/>
                      <w:color w:val="auto"/>
                      <w:sz w:val="21"/>
                      <w:szCs w:val="21"/>
                      <w:highlight w:val="none"/>
                    </w:rPr>
                    <w:t>cm</w:t>
                  </w:r>
                  <w:r>
                    <w:rPr>
                      <w:rFonts w:hint="default" w:ascii="Times New Roman" w:hAnsi="Times New Roman" w:eastAsia="宋体" w:cs="Times New Roman"/>
                      <w:b w:val="0"/>
                      <w:color w:val="auto"/>
                      <w:spacing w:val="1"/>
                      <w:sz w:val="21"/>
                      <w:szCs w:val="21"/>
                      <w:highlight w:val="none"/>
                    </w:rPr>
                    <w:t>/s</w:t>
                  </w:r>
                </w:p>
              </w:tc>
            </w:tr>
            <w:tr w14:paraId="6B70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15" w:type="pct"/>
                  <w:vMerge w:val="continue"/>
                  <w:shd w:val="clear" w:color="auto" w:fill="FFFFFF"/>
                  <w:vAlign w:val="center"/>
                </w:tcPr>
                <w:p w14:paraId="4E3F21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325" w:type="pct"/>
                  <w:vMerge w:val="continue"/>
                  <w:shd w:val="clear" w:color="auto" w:fill="FFFFFF"/>
                  <w:vAlign w:val="center"/>
                </w:tcPr>
                <w:p w14:paraId="56A869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831" w:type="pct"/>
                  <w:shd w:val="clear" w:color="auto" w:fill="FFFFFF"/>
                  <w:vAlign w:val="center"/>
                </w:tcPr>
                <w:p w14:paraId="4FC1AB5A">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8"/>
                      <w:sz w:val="21"/>
                      <w:szCs w:val="21"/>
                      <w:highlight w:val="none"/>
                    </w:rPr>
                    <w:t>事故应急池</w:t>
                  </w:r>
                </w:p>
              </w:tc>
              <w:tc>
                <w:tcPr>
                  <w:tcW w:w="2815" w:type="pct"/>
                  <w:vMerge w:val="continue"/>
                  <w:shd w:val="clear" w:color="auto" w:fill="FFFFFF"/>
                  <w:vAlign w:val="center"/>
                </w:tcPr>
                <w:p w14:paraId="4A54AB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712" w:type="pct"/>
                  <w:vMerge w:val="continue"/>
                  <w:shd w:val="clear" w:color="auto" w:fill="FFFFFF"/>
                  <w:vAlign w:val="center"/>
                </w:tcPr>
                <w:p w14:paraId="7CE248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0D3A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15" w:type="pct"/>
                  <w:vMerge w:val="continue"/>
                  <w:shd w:val="clear" w:color="auto" w:fill="FFFFFF"/>
                  <w:vAlign w:val="center"/>
                </w:tcPr>
                <w:p w14:paraId="51A79E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325" w:type="pct"/>
                  <w:vMerge w:val="continue"/>
                  <w:shd w:val="clear" w:color="auto" w:fill="FFFFFF"/>
                  <w:vAlign w:val="center"/>
                </w:tcPr>
                <w:p w14:paraId="1ED8C6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831" w:type="pct"/>
                  <w:shd w:val="clear" w:color="auto" w:fill="FFFFFF"/>
                  <w:vAlign w:val="center"/>
                </w:tcPr>
                <w:p w14:paraId="61315AC4">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6"/>
                      <w:sz w:val="21"/>
                      <w:szCs w:val="21"/>
                      <w:highlight w:val="none"/>
                    </w:rPr>
                    <w:t>消防水池</w:t>
                  </w:r>
                </w:p>
              </w:tc>
              <w:tc>
                <w:tcPr>
                  <w:tcW w:w="2815" w:type="pct"/>
                  <w:shd w:val="clear" w:color="auto" w:fill="FFFFFF"/>
                  <w:vAlign w:val="center"/>
                </w:tcPr>
                <w:p w14:paraId="0904DC4E">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为两个1500m</w:t>
                  </w:r>
                  <w:r>
                    <w:rPr>
                      <w:rFonts w:hint="eastAsia" w:ascii="Times New Roman" w:hAnsi="Times New Roman" w:eastAsia="宋体" w:cs="Times New Roman"/>
                      <w:b w:val="0"/>
                      <w:color w:val="auto"/>
                      <w:spacing w:val="-1"/>
                      <w:sz w:val="21"/>
                      <w:szCs w:val="21"/>
                      <w:highlight w:val="none"/>
                      <w:vertAlign w:val="superscript"/>
                      <w:lang w:val="en-US" w:eastAsia="zh-CN"/>
                    </w:rPr>
                    <w:t>3</w:t>
                  </w:r>
                  <w:r>
                    <w:rPr>
                      <w:rFonts w:hint="default" w:ascii="Times New Roman" w:hAnsi="Times New Roman" w:eastAsia="宋体" w:cs="Times New Roman"/>
                      <w:b w:val="0"/>
                      <w:color w:val="auto"/>
                      <w:spacing w:val="-1"/>
                      <w:sz w:val="21"/>
                      <w:szCs w:val="21"/>
                      <w:highlight w:val="none"/>
                    </w:rPr>
                    <w:t>消防水罐（碳钢制</w:t>
                  </w:r>
                  <w:r>
                    <w:rPr>
                      <w:rFonts w:hint="eastAsia" w:ascii="Times New Roman" w:hAnsi="Times New Roman" w:cs="Times New Roman"/>
                      <w:b w:val="0"/>
                      <w:color w:val="auto"/>
                      <w:spacing w:val="-1"/>
                      <w:sz w:val="21"/>
                      <w:szCs w:val="21"/>
                      <w:highlight w:val="none"/>
                      <w:lang w:val="en-US" w:eastAsia="zh-CN"/>
                    </w:rPr>
                    <w:t>作</w:t>
                  </w:r>
                  <w:r>
                    <w:rPr>
                      <w:rFonts w:hint="default" w:ascii="Times New Roman" w:hAnsi="Times New Roman" w:eastAsia="宋体" w:cs="Times New Roman"/>
                      <w:b w:val="0"/>
                      <w:color w:val="auto"/>
                      <w:spacing w:val="-1"/>
                      <w:sz w:val="21"/>
                      <w:szCs w:val="21"/>
                      <w:highlight w:val="none"/>
                    </w:rPr>
                    <w:t>）。</w:t>
                  </w:r>
                </w:p>
              </w:tc>
              <w:tc>
                <w:tcPr>
                  <w:tcW w:w="712" w:type="pct"/>
                  <w:vMerge w:val="continue"/>
                  <w:shd w:val="clear" w:color="auto" w:fill="FFFFFF"/>
                  <w:vAlign w:val="center"/>
                </w:tcPr>
                <w:p w14:paraId="78D1232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589B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315" w:type="pct"/>
                  <w:vMerge w:val="continue"/>
                  <w:shd w:val="clear" w:color="auto" w:fill="FFFFFF"/>
                  <w:vAlign w:val="center"/>
                </w:tcPr>
                <w:p w14:paraId="28AA94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325" w:type="pct"/>
                  <w:vMerge w:val="continue"/>
                  <w:shd w:val="clear" w:color="auto" w:fill="FFFFFF"/>
                  <w:vAlign w:val="center"/>
                </w:tcPr>
                <w:p w14:paraId="6E47670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831" w:type="pct"/>
                  <w:shd w:val="clear" w:color="auto" w:fill="FFFFFF"/>
                  <w:vAlign w:val="center"/>
                </w:tcPr>
                <w:p w14:paraId="4497AB9F">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6"/>
                      <w:sz w:val="21"/>
                      <w:szCs w:val="21"/>
                      <w:highlight w:val="none"/>
                    </w:rPr>
                    <w:t>污水管线</w:t>
                  </w:r>
                </w:p>
              </w:tc>
              <w:tc>
                <w:tcPr>
                  <w:tcW w:w="2815" w:type="pct"/>
                  <w:shd w:val="clear" w:color="auto" w:fill="FFFFFF"/>
                  <w:vAlign w:val="center"/>
                </w:tcPr>
                <w:p w14:paraId="3730B728">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pacing w:val="1"/>
                      <w:sz w:val="21"/>
                      <w:szCs w:val="21"/>
                      <w:highlight w:val="none"/>
                    </w:rPr>
                    <w:t>采用碳钢无缝管线连接，排水管渠的内壁应光滑，</w:t>
                  </w:r>
                  <w:r>
                    <w:rPr>
                      <w:rFonts w:hint="default" w:ascii="Times New Roman" w:hAnsi="Times New Roman" w:eastAsia="宋体" w:cs="Times New Roman"/>
                      <w:b w:val="0"/>
                      <w:color w:val="auto"/>
                      <w:spacing w:val="9"/>
                      <w:sz w:val="21"/>
                      <w:szCs w:val="21"/>
                      <w:highlight w:val="none"/>
                    </w:rPr>
                    <w:t>排水管道必须具有足够的强度</w:t>
                  </w:r>
                  <w:r>
                    <w:rPr>
                      <w:rFonts w:hint="eastAsia" w:ascii="Times New Roman" w:hAnsi="Times New Roman" w:eastAsia="宋体" w:cs="Times New Roman"/>
                      <w:b w:val="0"/>
                      <w:color w:val="auto"/>
                      <w:spacing w:val="9"/>
                      <w:sz w:val="21"/>
                      <w:szCs w:val="21"/>
                      <w:highlight w:val="none"/>
                      <w:lang w:eastAsia="zh-CN"/>
                    </w:rPr>
                    <w:t>。</w:t>
                  </w:r>
                </w:p>
              </w:tc>
              <w:tc>
                <w:tcPr>
                  <w:tcW w:w="712" w:type="pct"/>
                  <w:vMerge w:val="continue"/>
                  <w:shd w:val="clear" w:color="auto" w:fill="FFFFFF"/>
                  <w:vAlign w:val="center"/>
                </w:tcPr>
                <w:p w14:paraId="4A78F6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1AA3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trPr>
              <w:tc>
                <w:tcPr>
                  <w:tcW w:w="315" w:type="pct"/>
                  <w:vMerge w:val="continue"/>
                  <w:shd w:val="clear" w:color="auto" w:fill="FFFFFF"/>
                  <w:vAlign w:val="center"/>
                </w:tcPr>
                <w:p w14:paraId="51A52D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325" w:type="pct"/>
                  <w:vMerge w:val="continue"/>
                  <w:shd w:val="clear" w:color="auto" w:fill="FFFFFF"/>
                  <w:vAlign w:val="center"/>
                </w:tcPr>
                <w:p w14:paraId="5812E2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831" w:type="pct"/>
                  <w:shd w:val="clear" w:color="auto" w:fill="FFFFFF"/>
                  <w:vAlign w:val="center"/>
                </w:tcPr>
                <w:p w14:paraId="09AF258D">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pacing w:val="8"/>
                      <w:sz w:val="21"/>
                      <w:szCs w:val="21"/>
                      <w:highlight w:val="none"/>
                    </w:rPr>
                    <w:t>机修间和</w:t>
                  </w:r>
                  <w:r>
                    <w:rPr>
                      <w:rFonts w:hint="eastAsia" w:ascii="Times New Roman" w:hAnsi="Times New Roman" w:cs="Times New Roman"/>
                      <w:b w:val="0"/>
                      <w:color w:val="auto"/>
                      <w:spacing w:val="8"/>
                      <w:sz w:val="21"/>
                      <w:szCs w:val="21"/>
                      <w:highlight w:val="none"/>
                      <w:lang w:eastAsia="zh-CN"/>
                    </w:rPr>
                    <w:t>危废贮存库</w:t>
                  </w:r>
                </w:p>
              </w:tc>
              <w:tc>
                <w:tcPr>
                  <w:tcW w:w="2815" w:type="pct"/>
                  <w:shd w:val="clear" w:color="auto" w:fill="FFFFFF"/>
                  <w:vAlign w:val="center"/>
                </w:tcPr>
                <w:p w14:paraId="69C3A601">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暂无。</w:t>
                  </w:r>
                </w:p>
              </w:tc>
              <w:tc>
                <w:tcPr>
                  <w:tcW w:w="712" w:type="pct"/>
                  <w:vMerge w:val="continue"/>
                  <w:shd w:val="clear" w:color="auto" w:fill="FFFFFF"/>
                  <w:vAlign w:val="center"/>
                </w:tcPr>
                <w:p w14:paraId="21E168E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0330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5000" w:type="pct"/>
                  <w:gridSpan w:val="5"/>
                  <w:shd w:val="clear" w:color="auto" w:fill="FFFFFF"/>
                  <w:vAlign w:val="center"/>
                </w:tcPr>
                <w:p w14:paraId="5493EAEA">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bCs/>
                      <w:color w:val="auto"/>
                      <w:spacing w:val="1"/>
                      <w:sz w:val="21"/>
                      <w:szCs w:val="21"/>
                      <w:highlight w:val="none"/>
                    </w:rPr>
                    <w:t>二、一般防渗区</w:t>
                  </w:r>
                </w:p>
              </w:tc>
            </w:tr>
            <w:tr w14:paraId="69B9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315" w:type="pct"/>
                  <w:shd w:val="clear" w:color="auto" w:fill="FFFFFF"/>
                  <w:vAlign w:val="center"/>
                </w:tcPr>
                <w:p w14:paraId="17626FB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01</w:t>
                  </w:r>
                </w:p>
              </w:tc>
              <w:tc>
                <w:tcPr>
                  <w:tcW w:w="1156" w:type="pct"/>
                  <w:gridSpan w:val="2"/>
                  <w:shd w:val="clear" w:color="auto" w:fill="FFFFFF"/>
                  <w:vAlign w:val="center"/>
                </w:tcPr>
                <w:p w14:paraId="3AD515D0">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7"/>
                      <w:sz w:val="21"/>
                      <w:szCs w:val="21"/>
                      <w:highlight w:val="none"/>
                    </w:rPr>
                    <w:t>循环水池</w:t>
                  </w:r>
                </w:p>
              </w:tc>
              <w:tc>
                <w:tcPr>
                  <w:tcW w:w="2815" w:type="pct"/>
                  <w:vMerge w:val="restart"/>
                  <w:shd w:val="clear" w:color="auto" w:fill="FFFFFF"/>
                  <w:vAlign w:val="center"/>
                </w:tcPr>
                <w:p w14:paraId="3E2BF3B5">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9"/>
                      <w:sz w:val="21"/>
                      <w:szCs w:val="21"/>
                      <w:highlight w:val="none"/>
                    </w:rPr>
                    <w:t>抗渗混凝土</w:t>
                  </w:r>
                  <w:r>
                    <w:rPr>
                      <w:rFonts w:hint="eastAsia" w:ascii="Times New Roman" w:hAnsi="Times New Roman" w:cs="Times New Roman"/>
                      <w:b w:val="0"/>
                      <w:color w:val="auto"/>
                      <w:spacing w:val="9"/>
                      <w:sz w:val="21"/>
                      <w:szCs w:val="21"/>
                      <w:highlight w:val="none"/>
                      <w:lang w:eastAsia="zh-CN"/>
                    </w:rPr>
                    <w:t>浇筑</w:t>
                  </w:r>
                  <w:r>
                    <w:rPr>
                      <w:rFonts w:hint="default" w:ascii="Times New Roman" w:hAnsi="Times New Roman" w:eastAsia="宋体" w:cs="Times New Roman"/>
                      <w:b w:val="0"/>
                      <w:color w:val="auto"/>
                      <w:spacing w:val="9"/>
                      <w:sz w:val="21"/>
                      <w:szCs w:val="21"/>
                      <w:highlight w:val="none"/>
                    </w:rPr>
                    <w:t>硬化；防渗层采用抗渗混凝土，</w:t>
                  </w:r>
                  <w:r>
                    <w:rPr>
                      <w:rFonts w:hint="default" w:ascii="Times New Roman" w:hAnsi="Times New Roman" w:eastAsia="宋体" w:cs="Times New Roman"/>
                      <w:b w:val="0"/>
                      <w:color w:val="auto"/>
                      <w:spacing w:val="6"/>
                      <w:sz w:val="21"/>
                      <w:szCs w:val="21"/>
                      <w:highlight w:val="none"/>
                    </w:rPr>
                    <w:t>防渗性能应相当于渗透系数1.0×10</w:t>
                  </w:r>
                  <w:r>
                    <w:rPr>
                      <w:rFonts w:hint="eastAsia" w:ascii="Times New Roman" w:hAnsi="Times New Roman" w:eastAsia="宋体" w:cs="Times New Roman"/>
                      <w:b w:val="0"/>
                      <w:color w:val="auto"/>
                      <w:spacing w:val="6"/>
                      <w:sz w:val="21"/>
                      <w:szCs w:val="21"/>
                      <w:highlight w:val="none"/>
                      <w:vertAlign w:val="superscript"/>
                      <w:lang w:val="en-US" w:eastAsia="zh-CN"/>
                    </w:rPr>
                    <w:t>-7</w:t>
                  </w:r>
                  <w:r>
                    <w:rPr>
                      <w:rFonts w:hint="default" w:ascii="Times New Roman" w:hAnsi="Times New Roman" w:eastAsia="宋体" w:cs="Times New Roman"/>
                      <w:b w:val="0"/>
                      <w:color w:val="auto"/>
                      <w:sz w:val="21"/>
                      <w:szCs w:val="21"/>
                      <w:highlight w:val="none"/>
                    </w:rPr>
                    <w:t>cm</w:t>
                  </w:r>
                  <w:r>
                    <w:rPr>
                      <w:rFonts w:hint="default" w:ascii="Times New Roman" w:hAnsi="Times New Roman" w:eastAsia="宋体" w:cs="Times New Roman"/>
                      <w:b w:val="0"/>
                      <w:color w:val="auto"/>
                      <w:spacing w:val="6"/>
                      <w:sz w:val="21"/>
                      <w:szCs w:val="21"/>
                      <w:highlight w:val="none"/>
                    </w:rPr>
                    <w:t>/s和厚度</w:t>
                  </w:r>
                  <w:r>
                    <w:rPr>
                      <w:rFonts w:hint="default" w:ascii="Times New Roman" w:hAnsi="Times New Roman" w:eastAsia="宋体" w:cs="Times New Roman"/>
                      <w:b w:val="0"/>
                      <w:color w:val="auto"/>
                      <w:spacing w:val="5"/>
                      <w:sz w:val="21"/>
                      <w:szCs w:val="21"/>
                      <w:highlight w:val="none"/>
                    </w:rPr>
                    <w:t>1.5m的粘土层的防渗性能，食堂铺设防渗瓷砖。</w:t>
                  </w:r>
                </w:p>
              </w:tc>
              <w:tc>
                <w:tcPr>
                  <w:tcW w:w="712" w:type="pct"/>
                  <w:vMerge w:val="restart"/>
                  <w:shd w:val="clear" w:color="auto" w:fill="FFFFFF"/>
                  <w:vAlign w:val="center"/>
                </w:tcPr>
                <w:p w14:paraId="65741D7E">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4"/>
                      <w:sz w:val="21"/>
                      <w:szCs w:val="21"/>
                      <w:highlight w:val="none"/>
                    </w:rPr>
                    <w:t>防渗层渗</w:t>
                  </w:r>
                  <w:r>
                    <w:rPr>
                      <w:rFonts w:hint="default" w:ascii="Times New Roman" w:hAnsi="Times New Roman" w:eastAsia="宋体" w:cs="Times New Roman"/>
                      <w:b w:val="0"/>
                      <w:color w:val="auto"/>
                      <w:spacing w:val="7"/>
                      <w:sz w:val="21"/>
                      <w:szCs w:val="21"/>
                      <w:highlight w:val="none"/>
                    </w:rPr>
                    <w:t>透系数</w:t>
                  </w:r>
                  <w:r>
                    <w:rPr>
                      <w:rFonts w:hint="default" w:ascii="Times New Roman" w:hAnsi="Times New Roman" w:eastAsia="宋体" w:cs="Times New Roman"/>
                      <w:b w:val="0"/>
                      <w:color w:val="auto"/>
                      <w:spacing w:val="4"/>
                      <w:sz w:val="21"/>
                      <w:szCs w:val="21"/>
                      <w:highlight w:val="none"/>
                    </w:rPr>
                    <w:t>≤</w:t>
                  </w:r>
                  <w:r>
                    <w:rPr>
                      <w:rFonts w:hint="default" w:ascii="Times New Roman" w:hAnsi="Times New Roman" w:eastAsia="宋体" w:cs="Times New Roman"/>
                      <w:b w:val="0"/>
                      <w:color w:val="auto"/>
                      <w:spacing w:val="6"/>
                      <w:sz w:val="21"/>
                      <w:szCs w:val="21"/>
                      <w:highlight w:val="none"/>
                    </w:rPr>
                    <w:t>10</w:t>
                  </w:r>
                  <w:r>
                    <w:rPr>
                      <w:rFonts w:hint="eastAsia" w:ascii="Times New Roman" w:hAnsi="Times New Roman" w:eastAsia="宋体" w:cs="Times New Roman"/>
                      <w:b w:val="0"/>
                      <w:color w:val="auto"/>
                      <w:spacing w:val="6"/>
                      <w:sz w:val="21"/>
                      <w:szCs w:val="21"/>
                      <w:highlight w:val="none"/>
                      <w:vertAlign w:val="superscript"/>
                      <w:lang w:val="en-US" w:eastAsia="zh-CN"/>
                    </w:rPr>
                    <w:t>-7</w:t>
                  </w:r>
                  <w:r>
                    <w:rPr>
                      <w:rFonts w:hint="default" w:ascii="Times New Roman" w:hAnsi="Times New Roman" w:eastAsia="宋体" w:cs="Times New Roman"/>
                      <w:b w:val="0"/>
                      <w:color w:val="auto"/>
                      <w:sz w:val="21"/>
                      <w:szCs w:val="21"/>
                      <w:highlight w:val="none"/>
                    </w:rPr>
                    <w:t>cm</w:t>
                  </w:r>
                  <w:r>
                    <w:rPr>
                      <w:rFonts w:hint="default" w:ascii="Times New Roman" w:hAnsi="Times New Roman" w:eastAsia="宋体" w:cs="Times New Roman"/>
                      <w:b w:val="0"/>
                      <w:color w:val="auto"/>
                      <w:spacing w:val="4"/>
                      <w:sz w:val="21"/>
                      <w:szCs w:val="21"/>
                      <w:highlight w:val="none"/>
                    </w:rPr>
                    <w:t>/s</w:t>
                  </w:r>
                </w:p>
              </w:tc>
            </w:tr>
            <w:tr w14:paraId="3A39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5" w:type="pct"/>
                  <w:shd w:val="clear" w:color="auto" w:fill="FFFFFF"/>
                  <w:vAlign w:val="center"/>
                </w:tcPr>
                <w:p w14:paraId="6A891C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02</w:t>
                  </w:r>
                </w:p>
              </w:tc>
              <w:tc>
                <w:tcPr>
                  <w:tcW w:w="1156" w:type="pct"/>
                  <w:gridSpan w:val="2"/>
                  <w:shd w:val="clear" w:color="auto" w:fill="FFFFFF"/>
                  <w:vAlign w:val="center"/>
                </w:tcPr>
                <w:p w14:paraId="7011B7C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5"/>
                      <w:sz w:val="21"/>
                      <w:szCs w:val="21"/>
                      <w:highlight w:val="none"/>
                    </w:rPr>
                    <w:t>隔油-预处理池</w:t>
                  </w:r>
                </w:p>
              </w:tc>
              <w:tc>
                <w:tcPr>
                  <w:tcW w:w="2815" w:type="pct"/>
                  <w:vMerge w:val="continue"/>
                  <w:shd w:val="clear" w:color="auto" w:fill="FFFFFF"/>
                  <w:vAlign w:val="center"/>
                </w:tcPr>
                <w:p w14:paraId="762967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712" w:type="pct"/>
                  <w:vMerge w:val="continue"/>
                  <w:shd w:val="clear" w:color="auto" w:fill="FFFFFF"/>
                  <w:vAlign w:val="center"/>
                </w:tcPr>
                <w:p w14:paraId="73807EA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0E04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15" w:type="pct"/>
                  <w:shd w:val="clear" w:color="auto" w:fill="FFFFFF"/>
                  <w:vAlign w:val="center"/>
                </w:tcPr>
                <w:p w14:paraId="558F077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03</w:t>
                  </w:r>
                </w:p>
              </w:tc>
              <w:tc>
                <w:tcPr>
                  <w:tcW w:w="1156" w:type="pct"/>
                  <w:gridSpan w:val="2"/>
                  <w:shd w:val="clear" w:color="auto" w:fill="FFFFFF"/>
                  <w:vAlign w:val="center"/>
                </w:tcPr>
                <w:p w14:paraId="319651B0">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4"/>
                      <w:sz w:val="21"/>
                      <w:szCs w:val="21"/>
                      <w:highlight w:val="none"/>
                    </w:rPr>
                    <w:t>食堂</w:t>
                  </w:r>
                </w:p>
              </w:tc>
              <w:tc>
                <w:tcPr>
                  <w:tcW w:w="2815" w:type="pct"/>
                  <w:vMerge w:val="continue"/>
                  <w:shd w:val="clear" w:color="auto" w:fill="FFFFFF"/>
                  <w:vAlign w:val="center"/>
                </w:tcPr>
                <w:p w14:paraId="2014F08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712" w:type="pct"/>
                  <w:vMerge w:val="continue"/>
                  <w:shd w:val="clear" w:color="auto" w:fill="FFFFFF"/>
                  <w:vAlign w:val="center"/>
                </w:tcPr>
                <w:p w14:paraId="79AFDA8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7F7C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5000" w:type="pct"/>
                  <w:gridSpan w:val="5"/>
                  <w:shd w:val="clear" w:color="auto" w:fill="FFFFFF"/>
                  <w:vAlign w:val="center"/>
                </w:tcPr>
                <w:p w14:paraId="172F8FD3">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bCs/>
                      <w:color w:val="auto"/>
                      <w:spacing w:val="1"/>
                      <w:sz w:val="21"/>
                      <w:szCs w:val="21"/>
                      <w:highlight w:val="none"/>
                    </w:rPr>
                    <w:t>三、简单防渗区</w:t>
                  </w:r>
                </w:p>
              </w:tc>
            </w:tr>
            <w:tr w14:paraId="208A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5" w:type="pct"/>
                  <w:shd w:val="clear" w:color="auto" w:fill="FFFFFF"/>
                  <w:vAlign w:val="center"/>
                </w:tcPr>
                <w:p w14:paraId="24B520A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01</w:t>
                  </w:r>
                </w:p>
              </w:tc>
              <w:tc>
                <w:tcPr>
                  <w:tcW w:w="1156" w:type="pct"/>
                  <w:gridSpan w:val="2"/>
                  <w:shd w:val="clear" w:color="auto" w:fill="FFFFFF"/>
                  <w:vAlign w:val="center"/>
                </w:tcPr>
                <w:p w14:paraId="7CD92FBC">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4"/>
                      <w:sz w:val="21"/>
                      <w:szCs w:val="21"/>
                      <w:highlight w:val="none"/>
                    </w:rPr>
                    <w:t>空压站</w:t>
                  </w:r>
                </w:p>
              </w:tc>
              <w:tc>
                <w:tcPr>
                  <w:tcW w:w="2815" w:type="pct"/>
                  <w:vMerge w:val="restart"/>
                  <w:shd w:val="clear" w:color="auto" w:fill="FFFFFF"/>
                  <w:vAlign w:val="center"/>
                </w:tcPr>
                <w:p w14:paraId="13545B4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p w14:paraId="2B4E5CD9">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5"/>
                      <w:sz w:val="21"/>
                      <w:szCs w:val="21"/>
                      <w:highlight w:val="none"/>
                    </w:rPr>
                    <w:t>地面采取粘土铺底，再在上层铺10-15</w:t>
                  </w:r>
                  <w:r>
                    <w:rPr>
                      <w:rFonts w:hint="default" w:ascii="Times New Roman" w:hAnsi="Times New Roman" w:eastAsia="宋体" w:cs="Times New Roman"/>
                      <w:b w:val="0"/>
                      <w:color w:val="auto"/>
                      <w:sz w:val="21"/>
                      <w:szCs w:val="21"/>
                      <w:highlight w:val="none"/>
                    </w:rPr>
                    <w:t>cm</w:t>
                  </w:r>
                  <w:r>
                    <w:rPr>
                      <w:rFonts w:hint="default" w:ascii="Times New Roman" w:hAnsi="Times New Roman" w:eastAsia="宋体" w:cs="Times New Roman"/>
                      <w:b w:val="0"/>
                      <w:color w:val="auto"/>
                      <w:spacing w:val="5"/>
                      <w:sz w:val="21"/>
                      <w:szCs w:val="21"/>
                      <w:highlight w:val="none"/>
                    </w:rPr>
                    <w:t>的水泥</w:t>
                  </w:r>
                  <w:r>
                    <w:rPr>
                      <w:rFonts w:hint="default" w:ascii="Times New Roman" w:hAnsi="Times New Roman" w:eastAsia="宋体" w:cs="Times New Roman"/>
                      <w:b w:val="0"/>
                      <w:color w:val="auto"/>
                      <w:spacing w:val="6"/>
                      <w:sz w:val="21"/>
                      <w:szCs w:val="21"/>
                      <w:highlight w:val="none"/>
                    </w:rPr>
                    <w:t>进行硬化。</w:t>
                  </w:r>
                </w:p>
              </w:tc>
              <w:tc>
                <w:tcPr>
                  <w:tcW w:w="712" w:type="pct"/>
                  <w:vMerge w:val="restart"/>
                  <w:shd w:val="clear" w:color="auto" w:fill="FFFFFF"/>
                  <w:vAlign w:val="center"/>
                </w:tcPr>
                <w:p w14:paraId="201C42E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2"/>
                      <w:sz w:val="21"/>
                      <w:szCs w:val="21"/>
                      <w:highlight w:val="none"/>
                    </w:rPr>
                    <w:t>/</w:t>
                  </w:r>
                </w:p>
              </w:tc>
            </w:tr>
            <w:tr w14:paraId="1169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5" w:type="pct"/>
                  <w:shd w:val="clear" w:color="auto" w:fill="FFFFFF"/>
                  <w:vAlign w:val="center"/>
                </w:tcPr>
                <w:p w14:paraId="3CC7D33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02</w:t>
                  </w:r>
                </w:p>
              </w:tc>
              <w:tc>
                <w:tcPr>
                  <w:tcW w:w="1156" w:type="pct"/>
                  <w:gridSpan w:val="2"/>
                  <w:shd w:val="clear" w:color="auto" w:fill="FFFFFF"/>
                  <w:vAlign w:val="center"/>
                </w:tcPr>
                <w:p w14:paraId="592B6640">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6"/>
                      <w:sz w:val="21"/>
                      <w:szCs w:val="21"/>
                      <w:highlight w:val="none"/>
                    </w:rPr>
                    <w:t>制氮站</w:t>
                  </w:r>
                </w:p>
              </w:tc>
              <w:tc>
                <w:tcPr>
                  <w:tcW w:w="2815" w:type="pct"/>
                  <w:vMerge w:val="continue"/>
                  <w:shd w:val="clear" w:color="auto" w:fill="FFFFFF"/>
                  <w:vAlign w:val="center"/>
                </w:tcPr>
                <w:p w14:paraId="498B79F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712" w:type="pct"/>
                  <w:vMerge w:val="continue"/>
                  <w:shd w:val="clear" w:color="auto" w:fill="FFFFFF"/>
                  <w:vAlign w:val="center"/>
                </w:tcPr>
                <w:p w14:paraId="5744D69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411F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315" w:type="pct"/>
                  <w:shd w:val="clear" w:color="auto" w:fill="FFFFFF"/>
                  <w:vAlign w:val="center"/>
                </w:tcPr>
                <w:p w14:paraId="2FB6EB4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03</w:t>
                  </w:r>
                </w:p>
              </w:tc>
              <w:tc>
                <w:tcPr>
                  <w:tcW w:w="1156" w:type="pct"/>
                  <w:gridSpan w:val="2"/>
                  <w:shd w:val="clear" w:color="auto" w:fill="FFFFFF"/>
                  <w:vAlign w:val="center"/>
                </w:tcPr>
                <w:p w14:paraId="1AD4D0A2">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6"/>
                      <w:sz w:val="21"/>
                      <w:szCs w:val="21"/>
                      <w:highlight w:val="none"/>
                    </w:rPr>
                    <w:t>制冷站</w:t>
                  </w:r>
                </w:p>
              </w:tc>
              <w:tc>
                <w:tcPr>
                  <w:tcW w:w="2815" w:type="pct"/>
                  <w:vMerge w:val="continue"/>
                  <w:shd w:val="clear" w:color="auto" w:fill="FFFFFF"/>
                  <w:vAlign w:val="center"/>
                </w:tcPr>
                <w:p w14:paraId="40D0FD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712" w:type="pct"/>
                  <w:vMerge w:val="continue"/>
                  <w:shd w:val="clear" w:color="auto" w:fill="FFFFFF"/>
                  <w:vAlign w:val="center"/>
                </w:tcPr>
                <w:p w14:paraId="6BB668D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r w14:paraId="554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315" w:type="pct"/>
                  <w:shd w:val="clear" w:color="auto" w:fill="FFFFFF"/>
                  <w:vAlign w:val="center"/>
                </w:tcPr>
                <w:p w14:paraId="04DC76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1"/>
                      <w:sz w:val="21"/>
                      <w:szCs w:val="21"/>
                      <w:highlight w:val="none"/>
                    </w:rPr>
                    <w:t>04</w:t>
                  </w:r>
                </w:p>
              </w:tc>
              <w:tc>
                <w:tcPr>
                  <w:tcW w:w="1156" w:type="pct"/>
                  <w:gridSpan w:val="2"/>
                  <w:shd w:val="clear" w:color="auto" w:fill="FFFFFF"/>
                  <w:vAlign w:val="center"/>
                </w:tcPr>
                <w:p w14:paraId="5557B660">
                  <w:pPr>
                    <w:pStyle w:val="1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pacing w:val="7"/>
                      <w:sz w:val="21"/>
                      <w:szCs w:val="21"/>
                      <w:highlight w:val="none"/>
                    </w:rPr>
                    <w:t>办公生活区</w:t>
                  </w:r>
                </w:p>
              </w:tc>
              <w:tc>
                <w:tcPr>
                  <w:tcW w:w="2815" w:type="pct"/>
                  <w:vMerge w:val="continue"/>
                  <w:shd w:val="clear" w:color="auto" w:fill="FFFFFF"/>
                  <w:vAlign w:val="center"/>
                </w:tcPr>
                <w:p w14:paraId="14ED742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c>
                <w:tcPr>
                  <w:tcW w:w="712" w:type="pct"/>
                  <w:vMerge w:val="continue"/>
                  <w:shd w:val="clear" w:color="auto" w:fill="FFFFFF"/>
                  <w:vAlign w:val="center"/>
                </w:tcPr>
                <w:p w14:paraId="2E4502B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color w:val="auto"/>
                      <w:sz w:val="21"/>
                      <w:szCs w:val="21"/>
                      <w:highlight w:val="none"/>
                    </w:rPr>
                  </w:pPr>
                </w:p>
              </w:tc>
            </w:tr>
          </w:tbl>
          <w:p w14:paraId="145C3459">
            <w:pPr>
              <w:numPr>
                <w:ilvl w:val="0"/>
                <w:numId w:val="0"/>
              </w:numPr>
              <w:spacing w:line="360" w:lineRule="auto"/>
              <w:rPr>
                <w:rFonts w:hint="default"/>
                <w:color w:val="auto"/>
                <w:highlight w:val="none"/>
                <w:lang w:val="en-US" w:eastAsia="zh-CN"/>
              </w:rPr>
            </w:pPr>
            <w:r>
              <w:rPr>
                <w:rFonts w:hint="eastAsia" w:ascii="Times New Roman" w:hAnsi="Times New Roman" w:eastAsia="宋体" w:cs="Times New Roman"/>
                <w:b/>
                <w:bCs/>
                <w:color w:val="auto"/>
                <w:sz w:val="24"/>
                <w:highlight w:val="none"/>
                <w:lang w:val="en-US" w:eastAsia="zh-CN"/>
              </w:rPr>
              <w:t>五、排污许可办理、执行及例行监测</w:t>
            </w:r>
          </w:p>
          <w:p w14:paraId="6A20A89F">
            <w:pPr>
              <w:spacing w:line="360" w:lineRule="auto"/>
              <w:ind w:firstLine="480" w:firstLineChars="200"/>
              <w:rPr>
                <w:rFonts w:hint="default"/>
                <w:color w:val="auto"/>
                <w:sz w:val="24"/>
                <w:szCs w:val="32"/>
                <w:highlight w:val="none"/>
                <w:lang w:val="en-US" w:eastAsia="zh-CN"/>
              </w:rPr>
            </w:pPr>
            <w:r>
              <w:rPr>
                <w:rFonts w:hint="eastAsia"/>
                <w:color w:val="auto"/>
                <w:sz w:val="24"/>
                <w:szCs w:val="32"/>
                <w:highlight w:val="none"/>
                <w:lang w:val="en-US" w:eastAsia="zh-CN"/>
              </w:rPr>
              <w:t>企业于2021年6月3日首次申领排污许可证，至今变更7次，最新变更日期为2024年10月8日，根据查询全国排污许可证管理信息平台，企业按《排污许可管理办法》（2024年第15号）要求填报季报、年报，并按排污许可填报自行监测要求对厂区排放废气、废水、噪声进行例行监测。</w:t>
            </w:r>
          </w:p>
          <w:p w14:paraId="24E0B6F6">
            <w:pPr>
              <w:numPr>
                <w:ilvl w:val="0"/>
                <w:numId w:val="0"/>
              </w:numPr>
              <w:spacing w:line="360" w:lineRule="auto"/>
              <w:rPr>
                <w:b/>
                <w:bCs/>
                <w:color w:val="auto"/>
                <w:sz w:val="24"/>
                <w:highlight w:val="none"/>
              </w:rPr>
            </w:pPr>
            <w:r>
              <w:rPr>
                <w:rFonts w:hint="eastAsia"/>
                <w:b/>
                <w:bCs/>
                <w:color w:val="auto"/>
                <w:sz w:val="24"/>
                <w:highlight w:val="none"/>
                <w:lang w:val="en-US" w:eastAsia="zh-CN"/>
              </w:rPr>
              <w:t>六、</w:t>
            </w:r>
            <w:r>
              <w:rPr>
                <w:rFonts w:hint="eastAsia"/>
                <w:b/>
                <w:bCs/>
                <w:color w:val="auto"/>
                <w:sz w:val="24"/>
                <w:highlight w:val="none"/>
              </w:rPr>
              <w:t>现有工程</w:t>
            </w:r>
            <w:r>
              <w:rPr>
                <w:b/>
                <w:bCs/>
                <w:color w:val="auto"/>
                <w:sz w:val="24"/>
                <w:highlight w:val="none"/>
              </w:rPr>
              <w:t>总量排放情况</w:t>
            </w:r>
          </w:p>
          <w:p w14:paraId="35E25D3B">
            <w:pPr>
              <w:spacing w:line="360" w:lineRule="auto"/>
              <w:ind w:firstLine="480" w:firstLineChars="200"/>
              <w:rPr>
                <w:color w:val="auto"/>
                <w:sz w:val="24"/>
                <w:highlight w:val="none"/>
              </w:rPr>
            </w:pPr>
            <w:r>
              <w:rPr>
                <w:rFonts w:hint="eastAsia"/>
                <w:color w:val="auto"/>
                <w:sz w:val="24"/>
                <w:highlight w:val="none"/>
              </w:rPr>
              <w:t>根据</w:t>
            </w:r>
            <w:r>
              <w:rPr>
                <w:rFonts w:hint="eastAsia"/>
                <w:color w:val="auto"/>
                <w:sz w:val="24"/>
                <w:highlight w:val="none"/>
                <w:lang w:val="en-US" w:eastAsia="zh-CN"/>
              </w:rPr>
              <w:t>现有工程</w:t>
            </w:r>
            <w:r>
              <w:rPr>
                <w:rFonts w:hint="eastAsia"/>
                <w:color w:val="auto"/>
                <w:sz w:val="24"/>
                <w:highlight w:val="none"/>
              </w:rPr>
              <w:t>验收</w:t>
            </w:r>
            <w:r>
              <w:rPr>
                <w:rFonts w:hint="eastAsia"/>
                <w:color w:val="auto"/>
                <w:sz w:val="24"/>
                <w:highlight w:val="none"/>
                <w:lang w:val="en-US" w:eastAsia="zh-CN"/>
              </w:rPr>
              <w:t>及排污许可</w:t>
            </w:r>
            <w:r>
              <w:rPr>
                <w:rFonts w:hint="eastAsia"/>
                <w:color w:val="auto"/>
                <w:sz w:val="24"/>
                <w:highlight w:val="none"/>
              </w:rPr>
              <w:t>资料，各项目主要污染物排放总量核算如下：</w:t>
            </w:r>
          </w:p>
          <w:p w14:paraId="3AF81E9C">
            <w:pPr>
              <w:pStyle w:val="42"/>
              <w:rPr>
                <w:color w:val="auto"/>
                <w:highlight w:val="none"/>
              </w:rPr>
            </w:pPr>
            <w:r>
              <w:rPr>
                <w:color w:val="auto"/>
                <w:highlight w:val="none"/>
              </w:rPr>
              <w:t>现有工程</w:t>
            </w:r>
            <w:r>
              <w:rPr>
                <w:rFonts w:hint="eastAsia"/>
                <w:color w:val="auto"/>
                <w:highlight w:val="none"/>
              </w:rPr>
              <w:t>已取得的主要污染物排放总量指标</w:t>
            </w:r>
          </w:p>
          <w:tbl>
            <w:tblPr>
              <w:tblStyle w:val="28"/>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024"/>
              <w:gridCol w:w="2108"/>
              <w:gridCol w:w="2817"/>
            </w:tblGrid>
            <w:tr w14:paraId="6A52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74" w:type="pct"/>
                  <w:tcBorders>
                    <w:tl2br w:val="nil"/>
                    <w:tr2bl w:val="nil"/>
                  </w:tcBorders>
                  <w:vAlign w:val="center"/>
                </w:tcPr>
                <w:p w14:paraId="29BEA4F8">
                  <w:pPr>
                    <w:pStyle w:val="91"/>
                    <w:jc w:val="center"/>
                    <w:rPr>
                      <w:rFonts w:ascii="Times New Roman" w:cs="Times New Roman"/>
                      <w:b/>
                      <w:bCs w:val="0"/>
                      <w:color w:val="auto"/>
                      <w:sz w:val="21"/>
                      <w:szCs w:val="21"/>
                      <w:highlight w:val="none"/>
                    </w:rPr>
                  </w:pPr>
                  <w:r>
                    <w:rPr>
                      <w:rFonts w:hint="eastAsia" w:ascii="Times New Roman" w:cs="Times New Roman"/>
                      <w:b/>
                      <w:bCs w:val="0"/>
                      <w:color w:val="auto"/>
                      <w:sz w:val="21"/>
                      <w:szCs w:val="21"/>
                      <w:highlight w:val="none"/>
                    </w:rPr>
                    <w:t>污染因素</w:t>
                  </w:r>
                </w:p>
              </w:tc>
              <w:tc>
                <w:tcPr>
                  <w:tcW w:w="1201" w:type="pct"/>
                  <w:tcBorders>
                    <w:tl2br w:val="nil"/>
                    <w:tr2bl w:val="nil"/>
                  </w:tcBorders>
                  <w:vAlign w:val="center"/>
                </w:tcPr>
                <w:p w14:paraId="4D81FE97">
                  <w:pPr>
                    <w:pStyle w:val="91"/>
                    <w:jc w:val="center"/>
                    <w:rPr>
                      <w:rFonts w:ascii="Times New Roman" w:cs="Times New Roman"/>
                      <w:b/>
                      <w:bCs w:val="0"/>
                      <w:color w:val="auto"/>
                      <w:sz w:val="21"/>
                      <w:szCs w:val="21"/>
                      <w:highlight w:val="none"/>
                    </w:rPr>
                  </w:pPr>
                  <w:r>
                    <w:rPr>
                      <w:rFonts w:hint="eastAsia" w:ascii="Times New Roman" w:cs="Times New Roman"/>
                      <w:b/>
                      <w:bCs w:val="0"/>
                      <w:color w:val="auto"/>
                      <w:sz w:val="21"/>
                      <w:szCs w:val="21"/>
                      <w:highlight w:val="none"/>
                    </w:rPr>
                    <w:t>污染物</w:t>
                  </w:r>
                </w:p>
              </w:tc>
              <w:tc>
                <w:tcPr>
                  <w:tcW w:w="1251" w:type="pct"/>
                  <w:tcBorders>
                    <w:tl2br w:val="nil"/>
                    <w:tr2bl w:val="nil"/>
                  </w:tcBorders>
                  <w:vAlign w:val="center"/>
                </w:tcPr>
                <w:p w14:paraId="7C94C489">
                  <w:pPr>
                    <w:pStyle w:val="91"/>
                    <w:jc w:val="center"/>
                    <w:rPr>
                      <w:rFonts w:ascii="Times New Roman" w:cs="Times New Roman"/>
                      <w:b/>
                      <w:bCs w:val="0"/>
                      <w:color w:val="auto"/>
                      <w:sz w:val="21"/>
                      <w:szCs w:val="21"/>
                      <w:highlight w:val="none"/>
                    </w:rPr>
                  </w:pPr>
                  <w:r>
                    <w:rPr>
                      <w:rFonts w:hint="eastAsia" w:ascii="Times New Roman" w:cs="Times New Roman"/>
                      <w:b/>
                      <w:bCs w:val="0"/>
                      <w:color w:val="auto"/>
                      <w:sz w:val="21"/>
                      <w:szCs w:val="21"/>
                      <w:highlight w:val="none"/>
                    </w:rPr>
                    <w:t>总量指标（t/a）</w:t>
                  </w:r>
                </w:p>
              </w:tc>
              <w:tc>
                <w:tcPr>
                  <w:tcW w:w="1672" w:type="pct"/>
                  <w:tcBorders>
                    <w:tl2br w:val="nil"/>
                    <w:tr2bl w:val="nil"/>
                  </w:tcBorders>
                  <w:vAlign w:val="center"/>
                </w:tcPr>
                <w:p w14:paraId="21313620">
                  <w:pPr>
                    <w:pStyle w:val="91"/>
                    <w:jc w:val="center"/>
                    <w:rPr>
                      <w:rFonts w:ascii="Times New Roman" w:cs="Times New Roman"/>
                      <w:b/>
                      <w:bCs w:val="0"/>
                      <w:color w:val="auto"/>
                      <w:sz w:val="21"/>
                      <w:szCs w:val="21"/>
                      <w:highlight w:val="none"/>
                    </w:rPr>
                  </w:pPr>
                  <w:r>
                    <w:rPr>
                      <w:rFonts w:hint="eastAsia" w:ascii="Times New Roman" w:cs="Times New Roman"/>
                      <w:b/>
                      <w:bCs w:val="0"/>
                      <w:color w:val="auto"/>
                      <w:sz w:val="21"/>
                      <w:szCs w:val="21"/>
                      <w:highlight w:val="none"/>
                    </w:rPr>
                    <w:t>排放去向</w:t>
                  </w:r>
                </w:p>
              </w:tc>
            </w:tr>
            <w:tr w14:paraId="11F4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4" w:type="pct"/>
                  <w:vMerge w:val="restart"/>
                  <w:tcBorders>
                    <w:tl2br w:val="nil"/>
                    <w:tr2bl w:val="nil"/>
                  </w:tcBorders>
                  <w:vAlign w:val="center"/>
                </w:tcPr>
                <w:p w14:paraId="6144A142">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废水</w:t>
                  </w:r>
                </w:p>
              </w:tc>
              <w:tc>
                <w:tcPr>
                  <w:tcW w:w="1201" w:type="pct"/>
                  <w:tcBorders>
                    <w:tl2br w:val="nil"/>
                    <w:tr2bl w:val="nil"/>
                  </w:tcBorders>
                  <w:vAlign w:val="center"/>
                </w:tcPr>
                <w:p w14:paraId="5D56D5A9">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COD</w:t>
                  </w:r>
                </w:p>
              </w:tc>
              <w:tc>
                <w:tcPr>
                  <w:tcW w:w="1251" w:type="pct"/>
                  <w:tcBorders>
                    <w:tl2br w:val="nil"/>
                    <w:tr2bl w:val="nil"/>
                  </w:tcBorders>
                  <w:vAlign w:val="center"/>
                </w:tcPr>
                <w:p w14:paraId="2D4E03D3">
                  <w:pPr>
                    <w:widowControl/>
                    <w:jc w:val="center"/>
                    <w:textAlignment w:val="center"/>
                    <w:rPr>
                      <w:rFonts w:hint="default" w:eastAsia="宋体"/>
                      <w:color w:val="auto"/>
                      <w:highlight w:val="none"/>
                      <w:lang w:val="en-US" w:eastAsia="zh-CN"/>
                    </w:rPr>
                  </w:pPr>
                  <w:r>
                    <w:rPr>
                      <w:rFonts w:hint="eastAsia"/>
                      <w:color w:val="auto"/>
                      <w:kern w:val="0"/>
                      <w:szCs w:val="21"/>
                      <w:highlight w:val="none"/>
                      <w:lang w:val="en-US" w:eastAsia="zh-CN" w:bidi="ar"/>
                    </w:rPr>
                    <w:t>4.635</w:t>
                  </w:r>
                </w:p>
              </w:tc>
              <w:tc>
                <w:tcPr>
                  <w:tcW w:w="1672" w:type="pct"/>
                  <w:vMerge w:val="restart"/>
                  <w:tcBorders>
                    <w:tl2br w:val="nil"/>
                    <w:tr2bl w:val="nil"/>
                  </w:tcBorders>
                  <w:vAlign w:val="center"/>
                </w:tcPr>
                <w:p w14:paraId="2DA93646">
                  <w:pPr>
                    <w:pStyle w:val="91"/>
                    <w:jc w:val="center"/>
                    <w:rPr>
                      <w:rFonts w:hint="eastAsia" w:ascii="Times New Roman" w:eastAsia="宋体" w:cs="Times New Roman"/>
                      <w:bCs/>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大英经济开发区污水处理厂</w:t>
                  </w:r>
                </w:p>
              </w:tc>
            </w:tr>
            <w:tr w14:paraId="59BA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74" w:type="pct"/>
                  <w:vMerge w:val="continue"/>
                  <w:tcBorders>
                    <w:tl2br w:val="nil"/>
                    <w:tr2bl w:val="nil"/>
                  </w:tcBorders>
                  <w:vAlign w:val="center"/>
                </w:tcPr>
                <w:p w14:paraId="516A29FD">
                  <w:pPr>
                    <w:pStyle w:val="91"/>
                    <w:jc w:val="center"/>
                    <w:rPr>
                      <w:rFonts w:ascii="Times New Roman" w:cs="Times New Roman"/>
                      <w:bCs/>
                      <w:color w:val="auto"/>
                      <w:sz w:val="21"/>
                      <w:szCs w:val="21"/>
                      <w:highlight w:val="none"/>
                    </w:rPr>
                  </w:pPr>
                </w:p>
              </w:tc>
              <w:tc>
                <w:tcPr>
                  <w:tcW w:w="1201" w:type="pct"/>
                  <w:tcBorders>
                    <w:tl2br w:val="nil"/>
                    <w:tr2bl w:val="nil"/>
                  </w:tcBorders>
                  <w:vAlign w:val="center"/>
                </w:tcPr>
                <w:p w14:paraId="0D612BF3">
                  <w:pPr>
                    <w:pStyle w:val="91"/>
                    <w:jc w:val="center"/>
                    <w:rPr>
                      <w:rFonts w:ascii="Times New Roman" w:cs="Times New Roman"/>
                      <w:bCs/>
                      <w:color w:val="auto"/>
                      <w:sz w:val="21"/>
                      <w:szCs w:val="21"/>
                      <w:highlight w:val="none"/>
                    </w:rPr>
                  </w:pPr>
                  <w:r>
                    <w:rPr>
                      <w:rFonts w:hint="eastAsia" w:ascii="Times New Roman" w:cs="Times New Roman"/>
                      <w:bCs/>
                      <w:color w:val="auto"/>
                      <w:sz w:val="21"/>
                      <w:szCs w:val="21"/>
                      <w:highlight w:val="none"/>
                    </w:rPr>
                    <w:t>氨氮</w:t>
                  </w:r>
                </w:p>
              </w:tc>
              <w:tc>
                <w:tcPr>
                  <w:tcW w:w="1251" w:type="pct"/>
                  <w:tcBorders>
                    <w:tl2br w:val="nil"/>
                    <w:tr2bl w:val="nil"/>
                  </w:tcBorders>
                  <w:vAlign w:val="center"/>
                </w:tcPr>
                <w:p w14:paraId="18FFA972">
                  <w:pPr>
                    <w:widowControl/>
                    <w:jc w:val="center"/>
                    <w:textAlignment w:val="center"/>
                    <w:rPr>
                      <w:rFonts w:hint="default" w:eastAsia="宋体"/>
                      <w:color w:val="auto"/>
                      <w:highlight w:val="none"/>
                      <w:lang w:val="en-US" w:eastAsia="zh-CN"/>
                    </w:rPr>
                  </w:pPr>
                  <w:r>
                    <w:rPr>
                      <w:rFonts w:hint="eastAsia"/>
                      <w:color w:val="auto"/>
                      <w:kern w:val="0"/>
                      <w:szCs w:val="21"/>
                      <w:highlight w:val="none"/>
                      <w:lang w:val="en-US" w:eastAsia="zh-CN" w:bidi="ar"/>
                    </w:rPr>
                    <w:t>0.417</w:t>
                  </w:r>
                </w:p>
              </w:tc>
              <w:tc>
                <w:tcPr>
                  <w:tcW w:w="1672" w:type="pct"/>
                  <w:vMerge w:val="continue"/>
                  <w:tcBorders>
                    <w:tl2br w:val="nil"/>
                    <w:tr2bl w:val="nil"/>
                  </w:tcBorders>
                  <w:vAlign w:val="center"/>
                </w:tcPr>
                <w:p w14:paraId="21FCD169">
                  <w:pPr>
                    <w:pStyle w:val="91"/>
                    <w:jc w:val="center"/>
                    <w:rPr>
                      <w:rFonts w:ascii="Times New Roman" w:cs="Times New Roman"/>
                      <w:bCs/>
                      <w:color w:val="auto"/>
                      <w:sz w:val="21"/>
                      <w:szCs w:val="21"/>
                      <w:highlight w:val="none"/>
                    </w:rPr>
                  </w:pPr>
                </w:p>
              </w:tc>
            </w:tr>
            <w:tr w14:paraId="1D3C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874" w:type="pct"/>
                  <w:vMerge w:val="restart"/>
                  <w:tcBorders>
                    <w:tl2br w:val="nil"/>
                    <w:tr2bl w:val="nil"/>
                  </w:tcBorders>
                  <w:vAlign w:val="center"/>
                </w:tcPr>
                <w:p w14:paraId="78D1A593">
                  <w:pPr>
                    <w:pStyle w:val="91"/>
                    <w:jc w:val="center"/>
                    <w:rPr>
                      <w:rFonts w:hint="eastAsia" w:ascii="Times New Roman" w:eastAsia="宋体"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废气</w:t>
                  </w:r>
                </w:p>
              </w:tc>
              <w:tc>
                <w:tcPr>
                  <w:tcW w:w="1201" w:type="pct"/>
                  <w:tcBorders>
                    <w:tl2br w:val="nil"/>
                    <w:tr2bl w:val="nil"/>
                  </w:tcBorders>
                  <w:vAlign w:val="center"/>
                </w:tcPr>
                <w:p w14:paraId="26547605">
                  <w:pPr>
                    <w:widowControl/>
                    <w:jc w:val="center"/>
                    <w:textAlignment w:val="center"/>
                    <w:rPr>
                      <w:bCs/>
                      <w:color w:val="auto"/>
                      <w:szCs w:val="21"/>
                      <w:highlight w:val="none"/>
                    </w:rPr>
                  </w:pPr>
                  <w:r>
                    <w:rPr>
                      <w:color w:val="auto"/>
                      <w:kern w:val="0"/>
                      <w:szCs w:val="21"/>
                      <w:highlight w:val="none"/>
                      <w:lang w:bidi="ar"/>
                    </w:rPr>
                    <w:t>SO</w:t>
                  </w:r>
                  <w:r>
                    <w:rPr>
                      <w:rStyle w:val="118"/>
                      <w:color w:val="auto"/>
                      <w:highlight w:val="none"/>
                      <w:lang w:bidi="ar"/>
                    </w:rPr>
                    <w:t>2</w:t>
                  </w:r>
                </w:p>
              </w:tc>
              <w:tc>
                <w:tcPr>
                  <w:tcW w:w="1251" w:type="pct"/>
                  <w:tcBorders>
                    <w:tl2br w:val="nil"/>
                    <w:tr2bl w:val="nil"/>
                  </w:tcBorders>
                  <w:vAlign w:val="center"/>
                </w:tcPr>
                <w:p w14:paraId="7A5205A7">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highlight w:val="none"/>
                      <w:u w:val="none"/>
                      <w:lang w:val="en-US" w:eastAsia="zh-CN" w:bidi="ar"/>
                    </w:rPr>
                    <w:t>0.03</w:t>
                  </w:r>
                </w:p>
              </w:tc>
              <w:tc>
                <w:tcPr>
                  <w:tcW w:w="1672" w:type="pct"/>
                  <w:vMerge w:val="restart"/>
                  <w:tcBorders>
                    <w:tl2br w:val="nil"/>
                    <w:tr2bl w:val="nil"/>
                  </w:tcBorders>
                  <w:vAlign w:val="center"/>
                </w:tcPr>
                <w:p w14:paraId="0A7579A5">
                  <w:pPr>
                    <w:pStyle w:val="91"/>
                    <w:jc w:val="center"/>
                    <w:rPr>
                      <w:rFonts w:hint="default" w:ascii="Times New Roman" w:cs="Times New Roman"/>
                      <w:bCs/>
                      <w:color w:val="auto"/>
                      <w:sz w:val="21"/>
                      <w:szCs w:val="21"/>
                      <w:highlight w:val="none"/>
                      <w:lang w:val="en-US"/>
                    </w:rPr>
                  </w:pPr>
                  <w:r>
                    <w:rPr>
                      <w:rFonts w:hint="eastAsia" w:ascii="Times New Roman" w:cs="Times New Roman"/>
                      <w:bCs/>
                      <w:color w:val="auto"/>
                      <w:sz w:val="21"/>
                      <w:szCs w:val="21"/>
                      <w:highlight w:val="none"/>
                      <w:lang w:val="en-US" w:eastAsia="zh-CN"/>
                    </w:rPr>
                    <w:t>大气环境</w:t>
                  </w:r>
                </w:p>
              </w:tc>
            </w:tr>
            <w:tr w14:paraId="4003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4" w:type="pct"/>
                  <w:vMerge w:val="continue"/>
                  <w:tcBorders>
                    <w:tl2br w:val="nil"/>
                    <w:tr2bl w:val="nil"/>
                  </w:tcBorders>
                  <w:vAlign w:val="center"/>
                </w:tcPr>
                <w:p w14:paraId="7E0535EC">
                  <w:pPr>
                    <w:pStyle w:val="91"/>
                    <w:jc w:val="center"/>
                    <w:rPr>
                      <w:rFonts w:ascii="Times New Roman" w:cs="Times New Roman"/>
                      <w:bCs/>
                      <w:color w:val="auto"/>
                      <w:sz w:val="21"/>
                      <w:szCs w:val="21"/>
                      <w:highlight w:val="none"/>
                    </w:rPr>
                  </w:pPr>
                </w:p>
              </w:tc>
              <w:tc>
                <w:tcPr>
                  <w:tcW w:w="1201" w:type="pct"/>
                  <w:tcBorders>
                    <w:tl2br w:val="nil"/>
                    <w:tr2bl w:val="nil"/>
                  </w:tcBorders>
                  <w:vAlign w:val="center"/>
                </w:tcPr>
                <w:p w14:paraId="2CA6C70F">
                  <w:pPr>
                    <w:widowControl/>
                    <w:jc w:val="center"/>
                    <w:textAlignment w:val="center"/>
                    <w:rPr>
                      <w:bCs/>
                      <w:color w:val="auto"/>
                      <w:szCs w:val="21"/>
                      <w:highlight w:val="none"/>
                    </w:rPr>
                  </w:pPr>
                  <w:r>
                    <w:rPr>
                      <w:color w:val="auto"/>
                      <w:kern w:val="0"/>
                      <w:szCs w:val="21"/>
                      <w:highlight w:val="none"/>
                      <w:lang w:bidi="ar"/>
                    </w:rPr>
                    <w:t>NO</w:t>
                  </w:r>
                  <w:r>
                    <w:rPr>
                      <w:rStyle w:val="118"/>
                      <w:color w:val="auto"/>
                      <w:highlight w:val="none"/>
                      <w:lang w:bidi="ar"/>
                    </w:rPr>
                    <w:t>x</w:t>
                  </w:r>
                </w:p>
              </w:tc>
              <w:tc>
                <w:tcPr>
                  <w:tcW w:w="1251" w:type="pct"/>
                  <w:tcBorders>
                    <w:tl2br w:val="nil"/>
                    <w:tr2bl w:val="nil"/>
                  </w:tcBorders>
                  <w:vAlign w:val="center"/>
                </w:tcPr>
                <w:p w14:paraId="35E6713C">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highlight w:val="none"/>
                      <w:u w:val="none"/>
                      <w:lang w:val="en-US" w:eastAsia="zh-CN" w:bidi="ar"/>
                    </w:rPr>
                    <w:t>0.32</w:t>
                  </w:r>
                </w:p>
              </w:tc>
              <w:tc>
                <w:tcPr>
                  <w:tcW w:w="1672" w:type="pct"/>
                  <w:vMerge w:val="continue"/>
                  <w:tcBorders>
                    <w:tl2br w:val="nil"/>
                    <w:tr2bl w:val="nil"/>
                  </w:tcBorders>
                  <w:vAlign w:val="center"/>
                </w:tcPr>
                <w:p w14:paraId="3A30EA92">
                  <w:pPr>
                    <w:pStyle w:val="91"/>
                    <w:jc w:val="center"/>
                    <w:rPr>
                      <w:rFonts w:ascii="Times New Roman" w:cs="Times New Roman"/>
                      <w:bCs/>
                      <w:color w:val="auto"/>
                      <w:sz w:val="21"/>
                      <w:szCs w:val="21"/>
                      <w:highlight w:val="none"/>
                    </w:rPr>
                  </w:pPr>
                </w:p>
              </w:tc>
            </w:tr>
            <w:tr w14:paraId="6790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874" w:type="pct"/>
                  <w:vMerge w:val="continue"/>
                  <w:tcBorders>
                    <w:tl2br w:val="nil"/>
                    <w:tr2bl w:val="nil"/>
                  </w:tcBorders>
                  <w:vAlign w:val="center"/>
                </w:tcPr>
                <w:p w14:paraId="7CEB7B75">
                  <w:pPr>
                    <w:pStyle w:val="91"/>
                    <w:jc w:val="center"/>
                    <w:rPr>
                      <w:rFonts w:ascii="Times New Roman" w:cs="Times New Roman"/>
                      <w:bCs/>
                      <w:color w:val="auto"/>
                      <w:sz w:val="21"/>
                      <w:szCs w:val="21"/>
                      <w:highlight w:val="none"/>
                    </w:rPr>
                  </w:pPr>
                </w:p>
              </w:tc>
              <w:tc>
                <w:tcPr>
                  <w:tcW w:w="1201" w:type="pct"/>
                  <w:tcBorders>
                    <w:tl2br w:val="nil"/>
                    <w:tr2bl w:val="nil"/>
                  </w:tcBorders>
                  <w:vAlign w:val="center"/>
                </w:tcPr>
                <w:p w14:paraId="1CFFBDA9">
                  <w:pPr>
                    <w:widowControl/>
                    <w:jc w:val="center"/>
                    <w:textAlignment w:val="center"/>
                    <w:rPr>
                      <w:rFonts w:ascii="宋体" w:hAnsi="Courier New"/>
                      <w:color w:val="auto"/>
                      <w:szCs w:val="21"/>
                      <w:highlight w:val="none"/>
                    </w:rPr>
                  </w:pPr>
                  <w:r>
                    <w:rPr>
                      <w:color w:val="auto"/>
                      <w:kern w:val="0"/>
                      <w:szCs w:val="21"/>
                      <w:highlight w:val="none"/>
                      <w:lang w:bidi="ar"/>
                    </w:rPr>
                    <w:t>VOCs</w:t>
                  </w:r>
                </w:p>
              </w:tc>
              <w:tc>
                <w:tcPr>
                  <w:tcW w:w="1251" w:type="pct"/>
                  <w:tcBorders>
                    <w:tl2br w:val="nil"/>
                    <w:tr2bl w:val="nil"/>
                  </w:tcBorders>
                  <w:vAlign w:val="center"/>
                </w:tcPr>
                <w:p w14:paraId="24DD2BD6">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highlight w:val="none"/>
                      <w:u w:val="none"/>
                      <w:lang w:val="en-US" w:eastAsia="zh-CN" w:bidi="ar"/>
                    </w:rPr>
                    <w:t>6.8</w:t>
                  </w:r>
                </w:p>
              </w:tc>
              <w:tc>
                <w:tcPr>
                  <w:tcW w:w="1672" w:type="pct"/>
                  <w:vMerge w:val="continue"/>
                  <w:tcBorders>
                    <w:tl2br w:val="nil"/>
                    <w:tr2bl w:val="nil"/>
                  </w:tcBorders>
                  <w:vAlign w:val="center"/>
                </w:tcPr>
                <w:p w14:paraId="54818AA4">
                  <w:pPr>
                    <w:pStyle w:val="91"/>
                    <w:jc w:val="center"/>
                    <w:rPr>
                      <w:rFonts w:ascii="Times New Roman" w:cs="Times New Roman"/>
                      <w:bCs/>
                      <w:color w:val="auto"/>
                      <w:sz w:val="21"/>
                      <w:szCs w:val="21"/>
                      <w:highlight w:val="none"/>
                    </w:rPr>
                  </w:pPr>
                </w:p>
              </w:tc>
            </w:tr>
          </w:tbl>
          <w:p w14:paraId="2E46B1E6">
            <w:pPr>
              <w:spacing w:line="360" w:lineRule="auto"/>
              <w:ind w:left="482" w:hanging="482"/>
              <w:rPr>
                <w:b/>
                <w:color w:val="auto"/>
                <w:sz w:val="24"/>
                <w:highlight w:val="none"/>
              </w:rPr>
            </w:pPr>
            <w:r>
              <w:rPr>
                <w:rFonts w:hint="eastAsia" w:ascii="宋体"/>
                <w:b/>
                <w:color w:val="auto"/>
                <w:sz w:val="24"/>
                <w:szCs w:val="20"/>
                <w:highlight w:val="none"/>
              </w:rPr>
              <w:t>（六）</w:t>
            </w:r>
            <w:r>
              <w:rPr>
                <w:rFonts w:hint="eastAsia" w:ascii="宋体"/>
                <w:b/>
                <w:color w:val="auto"/>
                <w:sz w:val="24"/>
                <w:szCs w:val="20"/>
                <w:highlight w:val="none"/>
                <w:lang w:val="en-US" w:eastAsia="zh-CN"/>
              </w:rPr>
              <w:t>现有工程</w:t>
            </w:r>
            <w:r>
              <w:rPr>
                <w:b/>
                <w:color w:val="auto"/>
                <w:sz w:val="24"/>
                <w:highlight w:val="none"/>
              </w:rPr>
              <w:t>存在的主要环境问题</w:t>
            </w:r>
          </w:p>
          <w:p w14:paraId="58C5A763">
            <w:pPr>
              <w:adjustRightInd w:val="0"/>
              <w:snapToGrid w:val="0"/>
              <w:spacing w:line="360" w:lineRule="auto"/>
              <w:ind w:firstLine="480" w:firstLineChars="200"/>
              <w:rPr>
                <w:rFonts w:hint="eastAsia"/>
                <w:b w:val="0"/>
                <w:bCs w:val="0"/>
                <w:color w:val="auto"/>
                <w:sz w:val="24"/>
                <w:szCs w:val="22"/>
                <w:highlight w:val="none"/>
              </w:rPr>
            </w:pPr>
            <w:r>
              <w:rPr>
                <w:color w:val="auto"/>
                <w:sz w:val="24"/>
                <w:szCs w:val="22"/>
                <w:highlight w:val="none"/>
              </w:rPr>
              <w:t>根据现</w:t>
            </w:r>
            <w:r>
              <w:rPr>
                <w:b w:val="0"/>
                <w:bCs w:val="0"/>
                <w:color w:val="auto"/>
                <w:sz w:val="24"/>
                <w:szCs w:val="22"/>
                <w:highlight w:val="none"/>
              </w:rPr>
              <w:t>场踏勘，目前</w:t>
            </w:r>
            <w:r>
              <w:rPr>
                <w:rFonts w:hint="eastAsia"/>
                <w:b w:val="0"/>
                <w:bCs w:val="0"/>
                <w:color w:val="auto"/>
                <w:sz w:val="24"/>
                <w:szCs w:val="22"/>
                <w:highlight w:val="none"/>
              </w:rPr>
              <w:t>现有工程已通过竣工环保验收并正式投入运行</w:t>
            </w:r>
            <w:r>
              <w:rPr>
                <w:rFonts w:hint="eastAsia"/>
                <w:b w:val="0"/>
                <w:bCs w:val="0"/>
                <w:color w:val="auto"/>
                <w:sz w:val="24"/>
                <w:highlight w:val="none"/>
                <w:lang w:val="en-US" w:eastAsia="zh-CN"/>
              </w:rPr>
              <w:t>，</w:t>
            </w:r>
            <w:r>
              <w:rPr>
                <w:rFonts w:hint="eastAsia"/>
                <w:b w:val="0"/>
                <w:bCs w:val="0"/>
                <w:color w:val="auto"/>
                <w:sz w:val="24"/>
                <w:szCs w:val="22"/>
                <w:highlight w:val="none"/>
              </w:rPr>
              <w:t>现场无遗留环境问题</w:t>
            </w:r>
            <w:r>
              <w:rPr>
                <w:rFonts w:hint="eastAsia"/>
                <w:b w:val="0"/>
                <w:bCs w:val="0"/>
                <w:color w:val="auto"/>
                <w:sz w:val="24"/>
                <w:szCs w:val="22"/>
                <w:highlight w:val="none"/>
                <w:lang w:eastAsia="zh-CN"/>
              </w:rPr>
              <w:t>，</w:t>
            </w:r>
            <w:r>
              <w:rPr>
                <w:rFonts w:hint="eastAsia"/>
                <w:b w:val="0"/>
                <w:bCs w:val="0"/>
                <w:color w:val="auto"/>
                <w:sz w:val="24"/>
                <w:szCs w:val="22"/>
                <w:highlight w:val="none"/>
                <w:lang w:val="en-US" w:eastAsia="zh-CN"/>
              </w:rPr>
              <w:t>投运至今未收到环保投诉</w:t>
            </w:r>
            <w:r>
              <w:rPr>
                <w:rFonts w:hint="eastAsia"/>
                <w:b w:val="0"/>
                <w:bCs w:val="0"/>
                <w:color w:val="auto"/>
                <w:sz w:val="24"/>
                <w:szCs w:val="22"/>
                <w:highlight w:val="none"/>
              </w:rPr>
              <w:t>。</w:t>
            </w:r>
          </w:p>
          <w:p w14:paraId="1F5F77F0">
            <w:pPr>
              <w:adjustRightInd w:val="0"/>
              <w:snapToGrid w:val="0"/>
              <w:spacing w:line="360" w:lineRule="auto"/>
              <w:ind w:firstLine="480" w:firstLineChars="200"/>
              <w:rPr>
                <w:rFonts w:hint="eastAsia"/>
                <w:b w:val="0"/>
                <w:bCs w:val="0"/>
                <w:color w:val="auto"/>
                <w:sz w:val="24"/>
                <w:szCs w:val="22"/>
                <w:highlight w:val="none"/>
              </w:rPr>
            </w:pPr>
          </w:p>
          <w:p w14:paraId="4B1C599A">
            <w:pPr>
              <w:adjustRightInd w:val="0"/>
              <w:snapToGrid w:val="0"/>
              <w:spacing w:line="360" w:lineRule="auto"/>
              <w:rPr>
                <w:rFonts w:hint="eastAsia"/>
                <w:b w:val="0"/>
                <w:bCs w:val="0"/>
                <w:color w:val="auto"/>
                <w:sz w:val="24"/>
                <w:szCs w:val="22"/>
                <w:highlight w:val="none"/>
              </w:rPr>
            </w:pPr>
          </w:p>
          <w:p w14:paraId="601AC576">
            <w:pPr>
              <w:adjustRightInd w:val="0"/>
              <w:snapToGrid w:val="0"/>
              <w:spacing w:line="360" w:lineRule="auto"/>
              <w:ind w:firstLine="480" w:firstLineChars="200"/>
              <w:rPr>
                <w:rFonts w:hint="eastAsia"/>
                <w:b w:val="0"/>
                <w:bCs w:val="0"/>
                <w:color w:val="auto"/>
                <w:sz w:val="24"/>
                <w:szCs w:val="22"/>
                <w:highlight w:val="none"/>
              </w:rPr>
            </w:pPr>
          </w:p>
          <w:p w14:paraId="2054AE49">
            <w:pPr>
              <w:adjustRightInd w:val="0"/>
              <w:snapToGrid w:val="0"/>
              <w:spacing w:line="360" w:lineRule="auto"/>
              <w:ind w:firstLine="480" w:firstLineChars="200"/>
              <w:rPr>
                <w:rFonts w:hint="eastAsia"/>
                <w:b w:val="0"/>
                <w:bCs w:val="0"/>
                <w:color w:val="auto"/>
                <w:sz w:val="24"/>
                <w:szCs w:val="22"/>
                <w:highlight w:val="none"/>
              </w:rPr>
            </w:pPr>
          </w:p>
          <w:p w14:paraId="070AEC60">
            <w:pPr>
              <w:adjustRightInd w:val="0"/>
              <w:snapToGrid w:val="0"/>
              <w:spacing w:line="360" w:lineRule="auto"/>
              <w:ind w:firstLine="480" w:firstLineChars="200"/>
              <w:rPr>
                <w:rFonts w:hint="eastAsia"/>
                <w:b w:val="0"/>
                <w:bCs w:val="0"/>
                <w:color w:val="auto"/>
                <w:sz w:val="24"/>
                <w:szCs w:val="22"/>
                <w:highlight w:val="none"/>
              </w:rPr>
            </w:pPr>
          </w:p>
          <w:p w14:paraId="758074D1">
            <w:pPr>
              <w:adjustRightInd w:val="0"/>
              <w:snapToGrid w:val="0"/>
              <w:spacing w:line="360" w:lineRule="auto"/>
              <w:ind w:firstLine="480" w:firstLineChars="200"/>
              <w:rPr>
                <w:rFonts w:hint="eastAsia"/>
                <w:b w:val="0"/>
                <w:bCs w:val="0"/>
                <w:color w:val="auto"/>
                <w:sz w:val="24"/>
                <w:szCs w:val="22"/>
                <w:highlight w:val="none"/>
              </w:rPr>
            </w:pPr>
          </w:p>
          <w:p w14:paraId="6746744B">
            <w:pPr>
              <w:adjustRightInd w:val="0"/>
              <w:snapToGrid w:val="0"/>
              <w:spacing w:line="360" w:lineRule="auto"/>
              <w:ind w:firstLine="480" w:firstLineChars="200"/>
              <w:rPr>
                <w:rFonts w:hint="eastAsia"/>
                <w:b w:val="0"/>
                <w:bCs w:val="0"/>
                <w:color w:val="auto"/>
                <w:sz w:val="24"/>
                <w:szCs w:val="22"/>
                <w:highlight w:val="none"/>
              </w:rPr>
            </w:pPr>
          </w:p>
          <w:p w14:paraId="2E62C3C6">
            <w:pPr>
              <w:adjustRightInd w:val="0"/>
              <w:snapToGrid w:val="0"/>
              <w:spacing w:line="360" w:lineRule="auto"/>
              <w:ind w:firstLine="480" w:firstLineChars="200"/>
              <w:rPr>
                <w:rFonts w:hint="eastAsia"/>
                <w:b w:val="0"/>
                <w:bCs w:val="0"/>
                <w:color w:val="auto"/>
                <w:sz w:val="24"/>
                <w:szCs w:val="22"/>
                <w:highlight w:val="none"/>
              </w:rPr>
            </w:pPr>
          </w:p>
          <w:p w14:paraId="7446EA43">
            <w:pPr>
              <w:adjustRightInd w:val="0"/>
              <w:snapToGrid w:val="0"/>
              <w:spacing w:line="360" w:lineRule="auto"/>
              <w:ind w:firstLine="480" w:firstLineChars="200"/>
              <w:rPr>
                <w:rFonts w:hint="eastAsia"/>
                <w:b w:val="0"/>
                <w:bCs w:val="0"/>
                <w:color w:val="auto"/>
                <w:sz w:val="24"/>
                <w:szCs w:val="22"/>
                <w:highlight w:val="none"/>
              </w:rPr>
            </w:pPr>
          </w:p>
          <w:p w14:paraId="75460FB7">
            <w:pPr>
              <w:adjustRightInd w:val="0"/>
              <w:snapToGrid w:val="0"/>
              <w:spacing w:line="360" w:lineRule="auto"/>
              <w:ind w:firstLine="480" w:firstLineChars="200"/>
              <w:rPr>
                <w:rFonts w:hint="eastAsia"/>
                <w:b w:val="0"/>
                <w:bCs w:val="0"/>
                <w:color w:val="auto"/>
                <w:sz w:val="24"/>
                <w:szCs w:val="22"/>
                <w:highlight w:val="none"/>
              </w:rPr>
            </w:pPr>
          </w:p>
        </w:tc>
      </w:tr>
    </w:tbl>
    <w:p w14:paraId="35721D56">
      <w:pPr>
        <w:jc w:val="center"/>
        <w:rPr>
          <w:snapToGrid w:val="0"/>
          <w:color w:val="auto"/>
          <w:sz w:val="36"/>
          <w:szCs w:val="36"/>
          <w:highlight w:val="none"/>
        </w:rPr>
      </w:pPr>
    </w:p>
    <w:p w14:paraId="55317C9E">
      <w:pPr>
        <w:jc w:val="center"/>
        <w:rPr>
          <w:snapToGrid w:val="0"/>
          <w:color w:val="auto"/>
          <w:sz w:val="36"/>
          <w:szCs w:val="36"/>
          <w:highlight w:val="none"/>
        </w:rPr>
        <w:sectPr>
          <w:pgSz w:w="11906" w:h="16838"/>
          <w:pgMar w:top="1701" w:right="1531" w:bottom="1701" w:left="1531" w:header="851" w:footer="851" w:gutter="0"/>
          <w:pgNumType w:fmt="decimal"/>
          <w:cols w:space="720" w:num="1"/>
          <w:docGrid w:linePitch="312" w:charSpace="0"/>
        </w:sectPr>
      </w:pPr>
    </w:p>
    <w:p w14:paraId="2D5ABBA7">
      <w:pPr>
        <w:widowControl/>
        <w:adjustRightInd w:val="0"/>
        <w:snapToGrid w:val="0"/>
        <w:spacing w:line="14" w:lineRule="auto"/>
        <w:jc w:val="center"/>
        <w:rPr>
          <w:snapToGrid w:val="0"/>
          <w:color w:val="auto"/>
          <w:kern w:val="0"/>
          <w:sz w:val="30"/>
          <w:szCs w:val="30"/>
          <w:highlight w:val="none"/>
        </w:rPr>
      </w:pPr>
    </w:p>
    <w:p w14:paraId="0762D0BC">
      <w:pPr>
        <w:widowControl/>
        <w:spacing w:before="100" w:beforeAutospacing="1" w:after="100" w:afterAutospacing="1"/>
        <w:jc w:val="center"/>
        <w:outlineLvl w:val="0"/>
        <w:rPr>
          <w:b/>
          <w:snapToGrid w:val="0"/>
          <w:color w:val="auto"/>
          <w:kern w:val="0"/>
          <w:sz w:val="30"/>
          <w:szCs w:val="30"/>
          <w:highlight w:val="none"/>
        </w:rPr>
      </w:pPr>
      <w:bookmarkStart w:id="14" w:name="_Toc70265310"/>
      <w:r>
        <w:rPr>
          <w:b/>
          <w:snapToGrid w:val="0"/>
          <w:color w:val="auto"/>
          <w:kern w:val="0"/>
          <w:sz w:val="30"/>
          <w:szCs w:val="30"/>
          <w:highlight w:val="none"/>
        </w:rPr>
        <w:t>三、区域环境质量现状、环境保护目标及评价标准</w:t>
      </w:r>
      <w:bookmarkEnd w:id="14"/>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26242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248" w:type="pct"/>
            <w:vAlign w:val="center"/>
          </w:tcPr>
          <w:p w14:paraId="3E057077">
            <w:pPr>
              <w:adjustRightInd w:val="0"/>
              <w:snapToGrid w:val="0"/>
              <w:jc w:val="center"/>
              <w:rPr>
                <w:color w:val="auto"/>
                <w:kern w:val="0"/>
                <w:sz w:val="24"/>
                <w:szCs w:val="24"/>
                <w:highlight w:val="none"/>
              </w:rPr>
            </w:pPr>
            <w:r>
              <w:rPr>
                <w:color w:val="auto"/>
                <w:kern w:val="0"/>
                <w:sz w:val="24"/>
                <w:szCs w:val="24"/>
                <w:highlight w:val="none"/>
              </w:rPr>
              <w:t>区域</w:t>
            </w:r>
          </w:p>
          <w:p w14:paraId="77258AFD">
            <w:pPr>
              <w:adjustRightInd w:val="0"/>
              <w:snapToGrid w:val="0"/>
              <w:jc w:val="center"/>
              <w:rPr>
                <w:color w:val="auto"/>
                <w:kern w:val="0"/>
                <w:sz w:val="24"/>
                <w:szCs w:val="24"/>
                <w:highlight w:val="none"/>
              </w:rPr>
            </w:pPr>
            <w:r>
              <w:rPr>
                <w:color w:val="auto"/>
                <w:kern w:val="0"/>
                <w:sz w:val="24"/>
                <w:szCs w:val="24"/>
                <w:highlight w:val="none"/>
              </w:rPr>
              <w:t>环境</w:t>
            </w:r>
          </w:p>
          <w:p w14:paraId="43887824">
            <w:pPr>
              <w:adjustRightInd w:val="0"/>
              <w:snapToGrid w:val="0"/>
              <w:jc w:val="center"/>
              <w:rPr>
                <w:color w:val="auto"/>
                <w:kern w:val="0"/>
                <w:sz w:val="24"/>
                <w:szCs w:val="24"/>
                <w:highlight w:val="none"/>
              </w:rPr>
            </w:pPr>
            <w:r>
              <w:rPr>
                <w:color w:val="auto"/>
                <w:kern w:val="0"/>
                <w:sz w:val="24"/>
                <w:szCs w:val="24"/>
                <w:highlight w:val="none"/>
              </w:rPr>
              <w:t>质量</w:t>
            </w:r>
          </w:p>
          <w:p w14:paraId="5B6D90AE">
            <w:pPr>
              <w:adjustRightInd w:val="0"/>
              <w:snapToGrid w:val="0"/>
              <w:jc w:val="center"/>
              <w:rPr>
                <w:color w:val="auto"/>
                <w:kern w:val="0"/>
                <w:sz w:val="24"/>
                <w:szCs w:val="24"/>
                <w:highlight w:val="none"/>
              </w:rPr>
            </w:pPr>
            <w:r>
              <w:rPr>
                <w:color w:val="auto"/>
                <w:kern w:val="0"/>
                <w:sz w:val="24"/>
                <w:szCs w:val="24"/>
                <w:highlight w:val="none"/>
              </w:rPr>
              <w:t>现状</w:t>
            </w:r>
          </w:p>
        </w:tc>
        <w:tc>
          <w:tcPr>
            <w:tcW w:w="4751" w:type="pct"/>
            <w:vAlign w:val="center"/>
          </w:tcPr>
          <w:p w14:paraId="4DB606D4">
            <w:pPr>
              <w:spacing w:line="360" w:lineRule="auto"/>
              <w:outlineLvl w:val="1"/>
              <w:rPr>
                <w:b/>
                <w:bCs/>
                <w:color w:val="auto"/>
                <w:sz w:val="28"/>
                <w:szCs w:val="28"/>
                <w:highlight w:val="none"/>
              </w:rPr>
            </w:pPr>
            <w:bookmarkStart w:id="15" w:name="_Toc259091848"/>
            <w:bookmarkStart w:id="16" w:name="_Toc258896312"/>
            <w:bookmarkStart w:id="17" w:name="_Toc296342492"/>
            <w:r>
              <w:rPr>
                <w:b/>
                <w:bCs/>
                <w:color w:val="auto"/>
                <w:sz w:val="28"/>
                <w:szCs w:val="28"/>
                <w:highlight w:val="none"/>
              </w:rPr>
              <w:t>一、</w:t>
            </w:r>
            <w:r>
              <w:rPr>
                <w:b/>
                <w:snapToGrid w:val="0"/>
                <w:color w:val="auto"/>
                <w:sz w:val="30"/>
                <w:szCs w:val="30"/>
                <w:highlight w:val="none"/>
              </w:rPr>
              <w:t>区域环境质量现状</w:t>
            </w:r>
          </w:p>
          <w:bookmarkEnd w:id="15"/>
          <w:bookmarkEnd w:id="16"/>
          <w:bookmarkEnd w:id="17"/>
          <w:p w14:paraId="47EEEACC">
            <w:pPr>
              <w:spacing w:line="360" w:lineRule="auto"/>
              <w:ind w:firstLine="482" w:firstLineChars="200"/>
              <w:rPr>
                <w:b/>
                <w:bCs/>
                <w:color w:val="auto"/>
                <w:sz w:val="24"/>
                <w:szCs w:val="20"/>
                <w:highlight w:val="none"/>
                <w:lang w:bidi="ar"/>
              </w:rPr>
            </w:pPr>
            <w:r>
              <w:rPr>
                <w:b/>
                <w:bCs/>
                <w:color w:val="auto"/>
                <w:sz w:val="24"/>
                <w:szCs w:val="20"/>
                <w:highlight w:val="none"/>
                <w:lang w:bidi="ar"/>
              </w:rPr>
              <w:t>1、环境空气质量现状</w:t>
            </w:r>
          </w:p>
          <w:p w14:paraId="2363335F">
            <w:pPr>
              <w:spacing w:line="360" w:lineRule="auto"/>
              <w:ind w:firstLine="480"/>
              <w:rPr>
                <w:bCs/>
                <w:color w:val="auto"/>
                <w:sz w:val="24"/>
                <w:highlight w:val="none"/>
              </w:rPr>
            </w:pPr>
            <w:r>
              <w:rPr>
                <w:rFonts w:hint="eastAsia"/>
                <w:b/>
                <w:color w:val="auto"/>
                <w:sz w:val="24"/>
                <w:highlight w:val="none"/>
              </w:rPr>
              <w:t>（1）</w:t>
            </w:r>
            <w:r>
              <w:rPr>
                <w:rFonts w:hint="eastAsia"/>
                <w:b/>
                <w:color w:val="auto"/>
                <w:sz w:val="24"/>
                <w:highlight w:val="none"/>
                <w:lang w:val="en-US" w:eastAsia="zh-CN"/>
              </w:rPr>
              <w:t>基本污染物</w:t>
            </w:r>
            <w:r>
              <w:rPr>
                <w:b/>
                <w:color w:val="auto"/>
                <w:sz w:val="24"/>
                <w:highlight w:val="none"/>
              </w:rPr>
              <w:t>环境质量</w:t>
            </w:r>
          </w:p>
          <w:p w14:paraId="215CDE84">
            <w:pPr>
              <w:spacing w:line="360" w:lineRule="auto"/>
              <w:ind w:firstLine="480" w:firstLineChars="200"/>
              <w:rPr>
                <w:rFonts w:cs="Times New Roman"/>
                <w:color w:val="auto"/>
                <w:sz w:val="24"/>
                <w:szCs w:val="24"/>
                <w:highlight w:val="none"/>
              </w:rPr>
            </w:pPr>
            <w:r>
              <w:rPr>
                <w:rFonts w:cs="Times New Roman"/>
                <w:color w:val="auto"/>
                <w:sz w:val="24"/>
                <w:szCs w:val="24"/>
                <w:highlight w:val="none"/>
              </w:rPr>
              <w:t>根据</w:t>
            </w:r>
            <w:r>
              <w:rPr>
                <w:rFonts w:hint="eastAsia" w:cs="Times New Roman"/>
                <w:color w:val="auto"/>
                <w:sz w:val="24"/>
                <w:szCs w:val="24"/>
                <w:highlight w:val="none"/>
              </w:rPr>
              <w:t>《遂宁市污染防治攻坚战领导小组办公室关于2023年12月全市地表水和环境空气质量排名情况的通报》（遂污防攻坚办〔2024〕4号），大英县2023年度1-12月环境空气质量优良天数率为91.5%，主要污染物PM</w:t>
            </w:r>
            <w:r>
              <w:rPr>
                <w:rFonts w:hint="eastAsia" w:cs="Times New Roman"/>
                <w:color w:val="auto"/>
                <w:sz w:val="24"/>
                <w:szCs w:val="24"/>
                <w:highlight w:val="none"/>
                <w:vertAlign w:val="subscript"/>
              </w:rPr>
              <w:t>2.5</w:t>
            </w:r>
            <w:r>
              <w:rPr>
                <w:rFonts w:hint="eastAsia" w:cs="Times New Roman"/>
                <w:color w:val="auto"/>
                <w:sz w:val="24"/>
                <w:szCs w:val="24"/>
                <w:highlight w:val="none"/>
              </w:rPr>
              <w:t>、PM</w:t>
            </w:r>
            <w:r>
              <w:rPr>
                <w:rFonts w:hint="eastAsia" w:cs="Times New Roman"/>
                <w:color w:val="auto"/>
                <w:sz w:val="24"/>
                <w:szCs w:val="24"/>
                <w:highlight w:val="none"/>
                <w:vertAlign w:val="subscript"/>
              </w:rPr>
              <w:t>10</w:t>
            </w:r>
            <w:r>
              <w:rPr>
                <w:rFonts w:hint="eastAsia" w:cs="Times New Roman"/>
                <w:color w:val="auto"/>
                <w:sz w:val="24"/>
                <w:szCs w:val="24"/>
                <w:highlight w:val="none"/>
              </w:rPr>
              <w:t>、SO</w:t>
            </w:r>
            <w:r>
              <w:rPr>
                <w:rFonts w:hint="eastAsia" w:cs="Times New Roman"/>
                <w:color w:val="auto"/>
                <w:sz w:val="24"/>
                <w:szCs w:val="24"/>
                <w:highlight w:val="none"/>
                <w:vertAlign w:val="subscript"/>
              </w:rPr>
              <w:t>2</w:t>
            </w:r>
            <w:r>
              <w:rPr>
                <w:rFonts w:hint="eastAsia" w:cs="Times New Roman"/>
                <w:color w:val="auto"/>
                <w:sz w:val="24"/>
                <w:szCs w:val="24"/>
                <w:highlight w:val="none"/>
              </w:rPr>
              <w:t>、NO</w:t>
            </w:r>
            <w:r>
              <w:rPr>
                <w:rFonts w:hint="eastAsia" w:cs="Times New Roman"/>
                <w:color w:val="auto"/>
                <w:sz w:val="24"/>
                <w:szCs w:val="24"/>
                <w:highlight w:val="none"/>
                <w:vertAlign w:val="subscript"/>
              </w:rPr>
              <w:t>2</w:t>
            </w:r>
            <w:r>
              <w:rPr>
                <w:rFonts w:hint="eastAsia" w:cs="Times New Roman"/>
                <w:color w:val="auto"/>
                <w:sz w:val="24"/>
                <w:szCs w:val="24"/>
                <w:highlight w:val="none"/>
              </w:rPr>
              <w:t>、O</w:t>
            </w:r>
            <w:r>
              <w:rPr>
                <w:rFonts w:hint="eastAsia" w:cs="Times New Roman"/>
                <w:color w:val="auto"/>
                <w:sz w:val="24"/>
                <w:szCs w:val="24"/>
                <w:highlight w:val="none"/>
                <w:vertAlign w:val="subscript"/>
              </w:rPr>
              <w:t>3</w:t>
            </w:r>
            <w:r>
              <w:rPr>
                <w:rFonts w:hint="eastAsia" w:cs="Times New Roman"/>
                <w:color w:val="auto"/>
                <w:sz w:val="24"/>
                <w:szCs w:val="24"/>
                <w:highlight w:val="none"/>
              </w:rPr>
              <w:t>和CO的年均值分别为25.8微克/立方米、39.8微克/立方米、5.6微克/立方米、13.4微克/立方米、141.2毫克/立方米和1.0微克/立方米。同比PM</w:t>
            </w:r>
            <w:r>
              <w:rPr>
                <w:rFonts w:hint="eastAsia" w:cs="Times New Roman"/>
                <w:color w:val="auto"/>
                <w:sz w:val="24"/>
                <w:szCs w:val="24"/>
                <w:highlight w:val="none"/>
                <w:vertAlign w:val="subscript"/>
              </w:rPr>
              <w:t>2.5</w:t>
            </w:r>
            <w:r>
              <w:rPr>
                <w:rFonts w:hint="eastAsia" w:cs="Times New Roman"/>
                <w:color w:val="auto"/>
                <w:sz w:val="24"/>
                <w:szCs w:val="24"/>
                <w:highlight w:val="none"/>
              </w:rPr>
              <w:t>、PM</w:t>
            </w:r>
            <w:r>
              <w:rPr>
                <w:rFonts w:hint="eastAsia" w:cs="Times New Roman"/>
                <w:color w:val="auto"/>
                <w:sz w:val="24"/>
                <w:szCs w:val="24"/>
                <w:highlight w:val="none"/>
                <w:vertAlign w:val="subscript"/>
              </w:rPr>
              <w:t>10</w:t>
            </w:r>
            <w:r>
              <w:rPr>
                <w:rFonts w:hint="eastAsia" w:cs="Times New Roman"/>
                <w:color w:val="auto"/>
                <w:sz w:val="24"/>
                <w:szCs w:val="24"/>
                <w:highlight w:val="none"/>
              </w:rPr>
              <w:t>和SO</w:t>
            </w:r>
            <w:r>
              <w:rPr>
                <w:rFonts w:hint="eastAsia" w:cs="Times New Roman"/>
                <w:color w:val="auto"/>
                <w:sz w:val="24"/>
                <w:szCs w:val="24"/>
                <w:highlight w:val="none"/>
                <w:vertAlign w:val="subscript"/>
              </w:rPr>
              <w:t>2</w:t>
            </w:r>
            <w:r>
              <w:rPr>
                <w:rFonts w:hint="eastAsia" w:cs="Times New Roman"/>
                <w:color w:val="auto"/>
                <w:sz w:val="24"/>
                <w:szCs w:val="24"/>
                <w:highlight w:val="none"/>
              </w:rPr>
              <w:t>浓度分别下降了3.0%、0.5%和9.7%，NO</w:t>
            </w:r>
            <w:r>
              <w:rPr>
                <w:rFonts w:hint="eastAsia" w:cs="Times New Roman"/>
                <w:color w:val="auto"/>
                <w:sz w:val="24"/>
                <w:szCs w:val="24"/>
                <w:highlight w:val="none"/>
                <w:vertAlign w:val="subscript"/>
              </w:rPr>
              <w:t>2</w:t>
            </w:r>
            <w:r>
              <w:rPr>
                <w:rFonts w:hint="eastAsia" w:cs="Times New Roman"/>
                <w:color w:val="auto"/>
                <w:sz w:val="24"/>
                <w:szCs w:val="24"/>
                <w:highlight w:val="none"/>
              </w:rPr>
              <w:t>、O</w:t>
            </w:r>
            <w:r>
              <w:rPr>
                <w:rFonts w:hint="eastAsia" w:cs="Times New Roman"/>
                <w:color w:val="auto"/>
                <w:sz w:val="24"/>
                <w:szCs w:val="24"/>
                <w:highlight w:val="none"/>
                <w:vertAlign w:val="subscript"/>
              </w:rPr>
              <w:t>3</w:t>
            </w:r>
            <w:r>
              <w:rPr>
                <w:rFonts w:hint="eastAsia" w:cs="Times New Roman"/>
                <w:color w:val="auto"/>
                <w:sz w:val="24"/>
                <w:szCs w:val="24"/>
                <w:highlight w:val="none"/>
              </w:rPr>
              <w:t>和CO浓度分别上升了20.7%、2.3%和0.0%。</w:t>
            </w:r>
          </w:p>
          <w:p w14:paraId="24560307">
            <w:pPr>
              <w:spacing w:line="360" w:lineRule="auto"/>
              <w:ind w:firstLine="480" w:firstLineChars="200"/>
              <w:rPr>
                <w:rFonts w:ascii="Times New Roman" w:hAnsi="Times New Roman" w:eastAsia="宋体" w:cs="Times New Roman"/>
                <w:color w:val="auto"/>
                <w:sz w:val="24"/>
                <w:highlight w:val="none"/>
                <w:u w:val="none"/>
              </w:rPr>
            </w:pPr>
            <w:r>
              <w:rPr>
                <w:rFonts w:hint="eastAsia" w:cs="Times New Roman"/>
                <w:color w:val="auto"/>
                <w:sz w:val="24"/>
                <w:szCs w:val="24"/>
                <w:highlight w:val="none"/>
              </w:rPr>
              <w:t>大英县环境空气各评价因子的浓度、标准及达标判定结果见下表。</w:t>
            </w:r>
          </w:p>
          <w:p w14:paraId="4ACAE4CA">
            <w:pPr>
              <w:pStyle w:val="132"/>
              <w:bidi w:val="0"/>
              <w:rPr>
                <w:rFonts w:ascii="Times New Roman" w:hAnsi="Times New Roman" w:eastAsia="宋体" w:cs="Times New Roman"/>
                <w:b/>
                <w:color w:val="auto"/>
                <w:szCs w:val="21"/>
                <w:highlight w:val="none"/>
                <w:u w:val="none"/>
              </w:rPr>
            </w:pPr>
            <w:r>
              <w:rPr>
                <w:rFonts w:hint="eastAsia" w:ascii="Times New Roman" w:hAnsi="Times New Roman" w:eastAsia="宋体" w:cs="Times New Roman"/>
                <w:b/>
                <w:color w:val="auto"/>
                <w:szCs w:val="21"/>
                <w:highlight w:val="none"/>
                <w:u w:val="none"/>
                <w:lang w:val="en-US" w:eastAsia="zh-CN"/>
              </w:rPr>
              <w:t>大英县环境空气质量评价表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259"/>
              <w:gridCol w:w="1364"/>
              <w:gridCol w:w="1364"/>
              <w:gridCol w:w="1364"/>
              <w:gridCol w:w="1155"/>
            </w:tblGrid>
            <w:tr w14:paraId="22FB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070FC21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348" w:type="pct"/>
                  <w:vAlign w:val="center"/>
                </w:tcPr>
                <w:p w14:paraId="0295AD9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年评价指标</w:t>
                  </w:r>
                </w:p>
              </w:tc>
              <w:tc>
                <w:tcPr>
                  <w:tcW w:w="814" w:type="pct"/>
                  <w:vAlign w:val="center"/>
                </w:tcPr>
                <w:p w14:paraId="4332684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现状浓度（</w:t>
                  </w:r>
                  <w:r>
                    <w:rPr>
                      <w:rFonts w:hint="default" w:ascii="Times New Roman" w:hAnsi="Times New Roman" w:cs="Times New Roman"/>
                      <w:color w:val="auto"/>
                      <w:sz w:val="21"/>
                      <w:szCs w:val="21"/>
                      <w:highlight w:val="none"/>
                      <w:lang w:eastAsia="zh-CN"/>
                    </w:rPr>
                    <w:t>μg/m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cs="Times New Roman"/>
                      <w:color w:val="auto"/>
                      <w:sz w:val="21"/>
                      <w:szCs w:val="21"/>
                      <w:highlight w:val="none"/>
                    </w:rPr>
                    <w:t>）</w:t>
                  </w:r>
                </w:p>
              </w:tc>
              <w:tc>
                <w:tcPr>
                  <w:tcW w:w="814" w:type="pct"/>
                  <w:vAlign w:val="center"/>
                </w:tcPr>
                <w:p w14:paraId="7FD667F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r>
                    <w:rPr>
                      <w:rFonts w:hint="default" w:ascii="Times New Roman" w:hAnsi="Times New Roman" w:cs="Times New Roman"/>
                      <w:color w:val="auto"/>
                      <w:sz w:val="21"/>
                      <w:szCs w:val="21"/>
                      <w:highlight w:val="none"/>
                      <w:lang w:eastAsia="zh-CN"/>
                    </w:rPr>
                    <w:t>μg/m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cs="Times New Roman"/>
                      <w:color w:val="auto"/>
                      <w:sz w:val="21"/>
                      <w:szCs w:val="21"/>
                      <w:highlight w:val="none"/>
                    </w:rPr>
                    <w:t>）</w:t>
                  </w:r>
                </w:p>
              </w:tc>
              <w:tc>
                <w:tcPr>
                  <w:tcW w:w="814" w:type="pct"/>
                  <w:vAlign w:val="center"/>
                </w:tcPr>
                <w:p w14:paraId="5F607F1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占标率（%）</w:t>
                  </w:r>
                </w:p>
              </w:tc>
              <w:tc>
                <w:tcPr>
                  <w:tcW w:w="689" w:type="pct"/>
                  <w:vAlign w:val="center"/>
                </w:tcPr>
                <w:p w14:paraId="13F7C2D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6EDC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 w:type="pct"/>
                  <w:vAlign w:val="center"/>
                </w:tcPr>
                <w:p w14:paraId="1DAA689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348" w:type="pct"/>
                  <w:vAlign w:val="center"/>
                </w:tcPr>
                <w:p w14:paraId="2D7BE53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814" w:type="pct"/>
                  <w:vAlign w:val="center"/>
                </w:tcPr>
                <w:p w14:paraId="05153FD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w:t>
                  </w:r>
                </w:p>
              </w:tc>
              <w:tc>
                <w:tcPr>
                  <w:tcW w:w="814" w:type="pct"/>
                  <w:vAlign w:val="center"/>
                </w:tcPr>
                <w:p w14:paraId="1B3E817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814" w:type="pct"/>
                  <w:vAlign w:val="center"/>
                </w:tcPr>
                <w:p w14:paraId="47FA20E0">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w:t>
                  </w:r>
                </w:p>
              </w:tc>
              <w:tc>
                <w:tcPr>
                  <w:tcW w:w="689" w:type="pct"/>
                  <w:vAlign w:val="center"/>
                </w:tcPr>
                <w:p w14:paraId="61CC1F5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58F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14573AA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348" w:type="pct"/>
                  <w:vAlign w:val="center"/>
                </w:tcPr>
                <w:p w14:paraId="7171B25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814" w:type="pct"/>
                  <w:vAlign w:val="center"/>
                </w:tcPr>
                <w:p w14:paraId="31D4A59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13.4</w:t>
                  </w:r>
                </w:p>
              </w:tc>
              <w:tc>
                <w:tcPr>
                  <w:tcW w:w="814" w:type="pct"/>
                  <w:vAlign w:val="center"/>
                </w:tcPr>
                <w:p w14:paraId="45E1DCB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814" w:type="pct"/>
                  <w:vAlign w:val="center"/>
                </w:tcPr>
                <w:p w14:paraId="04DC1A5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33.5</w:t>
                  </w:r>
                </w:p>
              </w:tc>
              <w:tc>
                <w:tcPr>
                  <w:tcW w:w="689" w:type="pct"/>
                  <w:vAlign w:val="center"/>
                </w:tcPr>
                <w:p w14:paraId="0AEA48C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B0D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6A66817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348" w:type="pct"/>
                  <w:vAlign w:val="center"/>
                </w:tcPr>
                <w:p w14:paraId="79817FB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814" w:type="pct"/>
                  <w:vAlign w:val="center"/>
                </w:tcPr>
                <w:p w14:paraId="780D158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39.8</w:t>
                  </w:r>
                </w:p>
              </w:tc>
              <w:tc>
                <w:tcPr>
                  <w:tcW w:w="814" w:type="pct"/>
                  <w:vAlign w:val="center"/>
                </w:tcPr>
                <w:p w14:paraId="2900912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814" w:type="pct"/>
                  <w:vAlign w:val="center"/>
                </w:tcPr>
                <w:p w14:paraId="15CC367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56.9</w:t>
                  </w:r>
                </w:p>
              </w:tc>
              <w:tc>
                <w:tcPr>
                  <w:tcW w:w="689" w:type="pct"/>
                  <w:vAlign w:val="center"/>
                </w:tcPr>
                <w:p w14:paraId="5651614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419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1E2FA41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1348" w:type="pct"/>
                  <w:vAlign w:val="center"/>
                </w:tcPr>
                <w:p w14:paraId="24B6DED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814" w:type="pct"/>
                  <w:vAlign w:val="center"/>
                </w:tcPr>
                <w:p w14:paraId="168FF22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25.8</w:t>
                  </w:r>
                </w:p>
              </w:tc>
              <w:tc>
                <w:tcPr>
                  <w:tcW w:w="814" w:type="pct"/>
                  <w:vAlign w:val="center"/>
                </w:tcPr>
                <w:p w14:paraId="2B4A0C1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814" w:type="pct"/>
                  <w:vAlign w:val="center"/>
                </w:tcPr>
                <w:p w14:paraId="52BF08E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73.7</w:t>
                  </w:r>
                </w:p>
              </w:tc>
              <w:tc>
                <w:tcPr>
                  <w:tcW w:w="689" w:type="pct"/>
                  <w:vAlign w:val="center"/>
                </w:tcPr>
                <w:p w14:paraId="05C650E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4AE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025C0A5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348" w:type="pct"/>
                  <w:vAlign w:val="center"/>
                </w:tcPr>
                <w:p w14:paraId="2005D6E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日均值第95百分位数</w:t>
                  </w:r>
                </w:p>
              </w:tc>
              <w:tc>
                <w:tcPr>
                  <w:tcW w:w="814" w:type="pct"/>
                  <w:vAlign w:val="center"/>
                </w:tcPr>
                <w:p w14:paraId="1B11CB8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c>
                <w:tcPr>
                  <w:tcW w:w="814" w:type="pct"/>
                  <w:vAlign w:val="center"/>
                </w:tcPr>
                <w:p w14:paraId="14B9338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4000</w:t>
                  </w:r>
                </w:p>
              </w:tc>
              <w:tc>
                <w:tcPr>
                  <w:tcW w:w="814" w:type="pct"/>
                  <w:vAlign w:val="center"/>
                </w:tcPr>
                <w:p w14:paraId="1FFAEB8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689" w:type="pct"/>
                  <w:vAlign w:val="center"/>
                </w:tcPr>
                <w:p w14:paraId="782A954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6BEE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0501DE8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1348" w:type="pct"/>
                  <w:vAlign w:val="center"/>
                </w:tcPr>
                <w:p w14:paraId="33C3C97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日最大8小时平均第90百分位数</w:t>
                  </w:r>
                </w:p>
              </w:tc>
              <w:tc>
                <w:tcPr>
                  <w:tcW w:w="814" w:type="pct"/>
                  <w:vAlign w:val="center"/>
                </w:tcPr>
                <w:p w14:paraId="79140EC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141.2</w:t>
                  </w:r>
                </w:p>
              </w:tc>
              <w:tc>
                <w:tcPr>
                  <w:tcW w:w="814" w:type="pct"/>
                  <w:vAlign w:val="center"/>
                </w:tcPr>
                <w:p w14:paraId="1187C58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814" w:type="pct"/>
                  <w:vAlign w:val="center"/>
                </w:tcPr>
                <w:p w14:paraId="20B0BE3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88.3</w:t>
                  </w:r>
                </w:p>
              </w:tc>
              <w:tc>
                <w:tcPr>
                  <w:tcW w:w="689" w:type="pct"/>
                  <w:vAlign w:val="center"/>
                </w:tcPr>
                <w:p w14:paraId="377DB0A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770E6C22">
            <w:pPr>
              <w:spacing w:line="360" w:lineRule="auto"/>
              <w:ind w:firstLine="480" w:firstLineChars="200"/>
              <w:rPr>
                <w:rFonts w:cs="Times New Roman"/>
                <w:color w:val="auto"/>
                <w:sz w:val="24"/>
                <w:szCs w:val="24"/>
                <w:highlight w:val="none"/>
              </w:rPr>
            </w:pPr>
            <w:r>
              <w:rPr>
                <w:rFonts w:ascii="Times New Roman" w:hAnsi="Times New Roman" w:eastAsia="宋体" w:cs="Times New Roman"/>
                <w:color w:val="auto"/>
                <w:sz w:val="24"/>
                <w:highlight w:val="none"/>
                <w:u w:val="none"/>
              </w:rPr>
              <w:t>因此，</w:t>
            </w:r>
            <w:r>
              <w:rPr>
                <w:rFonts w:hint="eastAsia" w:cs="Times New Roman"/>
                <w:color w:val="auto"/>
                <w:sz w:val="24"/>
                <w:highlight w:val="none"/>
                <w:u w:val="none"/>
                <w:lang w:val="en-US" w:eastAsia="zh-CN"/>
              </w:rPr>
              <w:t>根据</w:t>
            </w:r>
            <w:r>
              <w:rPr>
                <w:rFonts w:hint="eastAsia" w:cs="Times New Roman"/>
                <w:color w:val="auto"/>
                <w:sz w:val="24"/>
                <w:szCs w:val="24"/>
                <w:highlight w:val="none"/>
              </w:rPr>
              <w:t>《环境影响评价技术导则大气环境》（HJ2.2-2018）中达标判断要求，</w:t>
            </w:r>
            <w:r>
              <w:rPr>
                <w:rFonts w:hint="eastAsia" w:cs="Times New Roman"/>
                <w:color w:val="auto"/>
                <w:sz w:val="24"/>
                <w:szCs w:val="24"/>
                <w:highlight w:val="none"/>
                <w:lang w:val="en-US" w:eastAsia="zh-CN"/>
              </w:rPr>
              <w:t>2023年项目所在</w:t>
            </w:r>
            <w:r>
              <w:rPr>
                <w:rFonts w:hint="eastAsia" w:cs="Times New Roman"/>
                <w:color w:val="auto"/>
                <w:sz w:val="24"/>
                <w:szCs w:val="24"/>
                <w:highlight w:val="none"/>
              </w:rPr>
              <w:t>区域为环境空气质量</w:t>
            </w:r>
            <w:r>
              <w:rPr>
                <w:rFonts w:hint="eastAsia" w:cs="Times New Roman"/>
                <w:b/>
                <w:bCs/>
                <w:color w:val="auto"/>
                <w:sz w:val="24"/>
                <w:szCs w:val="24"/>
                <w:highlight w:val="none"/>
              </w:rPr>
              <w:t>达标区</w:t>
            </w:r>
            <w:r>
              <w:rPr>
                <w:rFonts w:hint="eastAsia" w:cs="Times New Roman"/>
                <w:color w:val="auto"/>
                <w:sz w:val="24"/>
                <w:szCs w:val="24"/>
                <w:highlight w:val="none"/>
              </w:rPr>
              <w:t>。</w:t>
            </w:r>
          </w:p>
          <w:p w14:paraId="2F2E369C">
            <w:pPr>
              <w:spacing w:line="360" w:lineRule="auto"/>
              <w:ind w:firstLine="482" w:firstLineChars="200"/>
              <w:outlineLvl w:val="3"/>
              <w:rPr>
                <w:b/>
                <w:color w:val="auto"/>
                <w:sz w:val="24"/>
                <w:highlight w:val="none"/>
              </w:rPr>
            </w:pPr>
            <w:r>
              <w:rPr>
                <w:b/>
                <w:color w:val="auto"/>
                <w:sz w:val="24"/>
                <w:highlight w:val="none"/>
              </w:rPr>
              <w:t>（2）</w:t>
            </w:r>
            <w:r>
              <w:rPr>
                <w:rFonts w:hint="eastAsia"/>
                <w:b/>
                <w:color w:val="auto"/>
                <w:sz w:val="24"/>
                <w:highlight w:val="none"/>
                <w:lang w:val="en-US" w:eastAsia="zh-CN"/>
              </w:rPr>
              <w:t>其他污染物</w:t>
            </w:r>
            <w:r>
              <w:rPr>
                <w:b/>
                <w:color w:val="auto"/>
                <w:sz w:val="24"/>
                <w:highlight w:val="none"/>
              </w:rPr>
              <w:t>环境质量</w:t>
            </w:r>
          </w:p>
          <w:p w14:paraId="6A9FB5C6">
            <w:pPr>
              <w:spacing w:line="360" w:lineRule="auto"/>
              <w:ind w:firstLine="480" w:firstLineChars="200"/>
              <w:jc w:val="left"/>
              <w:rPr>
                <w:color w:val="auto"/>
                <w:sz w:val="24"/>
                <w:highlight w:val="none"/>
              </w:rPr>
            </w:pPr>
            <w:r>
              <w:rPr>
                <w:color w:val="auto"/>
                <w:sz w:val="24"/>
                <w:highlight w:val="none"/>
              </w:rPr>
              <w:t>本项目</w:t>
            </w:r>
            <w:r>
              <w:rPr>
                <w:rFonts w:hint="eastAsia"/>
                <w:color w:val="auto"/>
                <w:sz w:val="24"/>
                <w:highlight w:val="none"/>
                <w:lang w:val="en-US" w:eastAsia="zh-CN"/>
              </w:rPr>
              <w:t>产生废气为VOCs（以非甲烷总烃计），</w:t>
            </w:r>
            <w:r>
              <w:rPr>
                <w:color w:val="auto"/>
                <w:sz w:val="24"/>
                <w:highlight w:val="none"/>
              </w:rPr>
              <w:t>引用</w:t>
            </w:r>
            <w:r>
              <w:rPr>
                <w:rFonts w:hint="eastAsia"/>
                <w:color w:val="auto"/>
                <w:sz w:val="24"/>
                <w:highlight w:val="none"/>
              </w:rPr>
              <w:t>四川</w:t>
            </w:r>
            <w:r>
              <w:rPr>
                <w:rFonts w:hint="eastAsia"/>
                <w:color w:val="auto"/>
                <w:sz w:val="24"/>
                <w:highlight w:val="none"/>
                <w:lang w:val="en-US" w:eastAsia="zh-CN"/>
              </w:rPr>
              <w:t>铁环检测技术有限公司</w:t>
            </w:r>
            <w:r>
              <w:rPr>
                <w:rFonts w:hint="eastAsia"/>
                <w:color w:val="auto"/>
                <w:sz w:val="24"/>
                <w:highlight w:val="none"/>
              </w:rPr>
              <w:t>于202</w:t>
            </w:r>
            <w:r>
              <w:rPr>
                <w:rFonts w:hint="eastAsia"/>
                <w:color w:val="auto"/>
                <w:sz w:val="24"/>
                <w:highlight w:val="none"/>
                <w:lang w:val="en-US" w:eastAsia="zh-CN"/>
              </w:rPr>
              <w:t>4</w:t>
            </w:r>
            <w:r>
              <w:rPr>
                <w:rFonts w:hint="eastAsia"/>
                <w:color w:val="auto"/>
                <w:sz w:val="24"/>
                <w:highlight w:val="none"/>
              </w:rPr>
              <w:t>年</w:t>
            </w:r>
            <w:r>
              <w:rPr>
                <w:rFonts w:hint="eastAsia"/>
                <w:color w:val="auto"/>
                <w:sz w:val="24"/>
                <w:highlight w:val="none"/>
                <w:lang w:val="en-US" w:eastAsia="zh-CN"/>
              </w:rPr>
              <w:t>5</w:t>
            </w:r>
            <w:r>
              <w:rPr>
                <w:rFonts w:hint="eastAsia"/>
                <w:color w:val="auto"/>
                <w:sz w:val="24"/>
                <w:highlight w:val="none"/>
              </w:rPr>
              <w:t>月</w:t>
            </w:r>
            <w:r>
              <w:rPr>
                <w:rFonts w:hint="eastAsia"/>
                <w:color w:val="auto"/>
                <w:sz w:val="24"/>
                <w:highlight w:val="none"/>
                <w:lang w:val="en-US" w:eastAsia="zh-CN"/>
              </w:rPr>
              <w:t>17</w:t>
            </w:r>
            <w:r>
              <w:rPr>
                <w:rFonts w:hint="eastAsia"/>
                <w:color w:val="auto"/>
                <w:sz w:val="24"/>
                <w:highlight w:val="none"/>
              </w:rPr>
              <w:t>-2</w:t>
            </w:r>
            <w:r>
              <w:rPr>
                <w:rFonts w:hint="eastAsia"/>
                <w:color w:val="auto"/>
                <w:sz w:val="24"/>
                <w:highlight w:val="none"/>
                <w:lang w:val="en-US" w:eastAsia="zh-CN"/>
              </w:rPr>
              <w:t>3</w:t>
            </w:r>
            <w:r>
              <w:rPr>
                <w:rFonts w:hint="eastAsia"/>
                <w:color w:val="auto"/>
                <w:sz w:val="24"/>
                <w:highlight w:val="none"/>
              </w:rPr>
              <w:t>日对“</w:t>
            </w:r>
            <w:r>
              <w:rPr>
                <w:rFonts w:hint="eastAsia"/>
                <w:color w:val="auto"/>
                <w:sz w:val="24"/>
                <w:highlight w:val="none"/>
                <w:lang w:val="en-US" w:eastAsia="zh-CN"/>
              </w:rPr>
              <w:t>遂宁升宏新材料科技有限公司遂宁升宏年产2万吨耐高温尼龙建设项目</w:t>
            </w:r>
            <w:r>
              <w:rPr>
                <w:rFonts w:hint="eastAsia"/>
                <w:color w:val="auto"/>
                <w:sz w:val="24"/>
                <w:highlight w:val="none"/>
              </w:rPr>
              <w:t>”</w:t>
            </w:r>
            <w:r>
              <w:rPr>
                <w:color w:val="auto"/>
                <w:sz w:val="24"/>
                <w:highlight w:val="none"/>
              </w:rPr>
              <w:t>的大气现状监测资料（</w:t>
            </w:r>
            <w:r>
              <w:rPr>
                <w:rFonts w:hint="eastAsia"/>
                <w:color w:val="auto"/>
                <w:sz w:val="24"/>
                <w:highlight w:val="none"/>
                <w:lang w:val="en-US" w:eastAsia="zh-CN"/>
              </w:rPr>
              <w:t>铁环检</w:t>
            </w:r>
            <w:r>
              <w:rPr>
                <w:rFonts w:hint="eastAsia"/>
                <w:color w:val="auto"/>
                <w:sz w:val="24"/>
                <w:highlight w:val="none"/>
              </w:rPr>
              <w:t>字（202</w:t>
            </w:r>
            <w:r>
              <w:rPr>
                <w:rFonts w:hint="eastAsia"/>
                <w:color w:val="auto"/>
                <w:sz w:val="24"/>
                <w:highlight w:val="none"/>
                <w:lang w:val="en-US" w:eastAsia="zh-CN"/>
              </w:rPr>
              <w:t>4</w:t>
            </w:r>
            <w:r>
              <w:rPr>
                <w:rFonts w:hint="eastAsia"/>
                <w:color w:val="auto"/>
                <w:sz w:val="24"/>
                <w:highlight w:val="none"/>
              </w:rPr>
              <w:t>）第0</w:t>
            </w:r>
            <w:r>
              <w:rPr>
                <w:rFonts w:hint="eastAsia"/>
                <w:color w:val="auto"/>
                <w:sz w:val="24"/>
                <w:highlight w:val="none"/>
                <w:lang w:val="en-US" w:eastAsia="zh-CN"/>
              </w:rPr>
              <w:t>5075-1</w:t>
            </w:r>
            <w:r>
              <w:rPr>
                <w:rFonts w:hint="eastAsia"/>
                <w:color w:val="auto"/>
                <w:sz w:val="24"/>
                <w:highlight w:val="none"/>
              </w:rPr>
              <w:t>号</w:t>
            </w:r>
            <w:r>
              <w:rPr>
                <w:color w:val="auto"/>
                <w:sz w:val="24"/>
                <w:highlight w:val="none"/>
              </w:rPr>
              <w:t>）。监测点位距离本项目距离约</w:t>
            </w:r>
            <w:r>
              <w:rPr>
                <w:rFonts w:hint="eastAsia"/>
                <w:color w:val="auto"/>
                <w:sz w:val="24"/>
                <w:highlight w:val="none"/>
                <w:lang w:val="en-US" w:eastAsia="zh-CN"/>
              </w:rPr>
              <w:t>2.54k</w:t>
            </w:r>
            <w:r>
              <w:rPr>
                <w:color w:val="auto"/>
                <w:sz w:val="24"/>
                <w:highlight w:val="none"/>
              </w:rPr>
              <w:t>m，</w:t>
            </w:r>
            <w:r>
              <w:rPr>
                <w:rFonts w:hint="eastAsia"/>
                <w:color w:val="auto"/>
                <w:sz w:val="24"/>
                <w:highlight w:val="none"/>
              </w:rPr>
              <w:t>满足《建设项目环境影响报告表编制技术指南（污染影响类）（试行）》中要求的“引用建设项目周边5km范围内近3年的现有监测数据”，因此本次引用可行</w:t>
            </w:r>
            <w:r>
              <w:rPr>
                <w:color w:val="auto"/>
                <w:sz w:val="24"/>
                <w:highlight w:val="none"/>
              </w:rPr>
              <w:t>。</w:t>
            </w:r>
          </w:p>
          <w:p w14:paraId="3DD1FCB4">
            <w:pPr>
              <w:spacing w:line="360" w:lineRule="auto"/>
              <w:ind w:firstLine="480" w:firstLineChars="200"/>
              <w:jc w:val="left"/>
              <w:rPr>
                <w:color w:val="auto"/>
                <w:sz w:val="24"/>
                <w:highlight w:val="none"/>
              </w:rPr>
            </w:pPr>
            <w:r>
              <w:rPr>
                <w:color w:val="auto"/>
                <w:sz w:val="24"/>
                <w:highlight w:val="none"/>
              </w:rPr>
              <w:t>1）大气环境现状监测</w:t>
            </w:r>
          </w:p>
          <w:p w14:paraId="2C97869C">
            <w:pPr>
              <w:spacing w:line="360" w:lineRule="auto"/>
              <w:ind w:firstLine="480" w:firstLineChars="200"/>
              <w:jc w:val="left"/>
              <w:rPr>
                <w:rFonts w:hint="eastAsia" w:eastAsia="宋体"/>
                <w:color w:val="auto"/>
                <w:sz w:val="24"/>
                <w:highlight w:val="none"/>
                <w:lang w:eastAsia="zh-CN"/>
              </w:rPr>
            </w:pPr>
            <w:r>
              <w:rPr>
                <w:color w:val="auto"/>
                <w:sz w:val="24"/>
                <w:highlight w:val="none"/>
              </w:rPr>
              <w:t>监测项目：</w:t>
            </w:r>
            <w:r>
              <w:rPr>
                <w:rFonts w:hint="eastAsia" w:eastAsia="宋体"/>
                <w:color w:val="auto"/>
                <w:sz w:val="24"/>
                <w:highlight w:val="none"/>
                <w:lang w:val="en-US" w:eastAsia="zh-CN"/>
              </w:rPr>
              <w:t>非甲烷总烃</w:t>
            </w:r>
          </w:p>
          <w:p w14:paraId="202FF6F0">
            <w:pPr>
              <w:pStyle w:val="132"/>
              <w:bidi w:val="0"/>
              <w:rPr>
                <w:color w:val="auto"/>
                <w:highlight w:val="none"/>
              </w:rPr>
            </w:pPr>
            <w:r>
              <w:rPr>
                <w:color w:val="auto"/>
                <w:highlight w:val="none"/>
              </w:rPr>
              <w:t>大气监测布点设置一览表</w:t>
            </w:r>
          </w:p>
          <w:tbl>
            <w:tblPr>
              <w:tblStyle w:val="27"/>
              <w:tblW w:w="499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720"/>
              <w:gridCol w:w="2580"/>
              <w:gridCol w:w="1187"/>
              <w:gridCol w:w="2756"/>
              <w:gridCol w:w="1123"/>
            </w:tblGrid>
            <w:tr w14:paraId="546848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107" w:hRule="atLeast"/>
                <w:jc w:val="center"/>
              </w:trPr>
              <w:tc>
                <w:tcPr>
                  <w:tcW w:w="430" w:type="pct"/>
                  <w:tcBorders>
                    <w:tl2br w:val="nil"/>
                    <w:tr2bl w:val="nil"/>
                  </w:tcBorders>
                  <w:vAlign w:val="center"/>
                </w:tcPr>
                <w:p w14:paraId="7F405B9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highlight w:val="none"/>
                    </w:rPr>
                  </w:pPr>
                  <w:r>
                    <w:rPr>
                      <w:b/>
                      <w:bCs/>
                      <w:color w:val="auto"/>
                      <w:highlight w:val="none"/>
                    </w:rPr>
                    <w:t>编号</w:t>
                  </w:r>
                </w:p>
              </w:tc>
              <w:tc>
                <w:tcPr>
                  <w:tcW w:w="1541" w:type="pct"/>
                  <w:tcBorders>
                    <w:tl2br w:val="nil"/>
                    <w:tr2bl w:val="nil"/>
                  </w:tcBorders>
                  <w:vAlign w:val="center"/>
                </w:tcPr>
                <w:p w14:paraId="1468EF3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b/>
                      <w:bCs/>
                      <w:color w:val="auto"/>
                      <w:highlight w:val="none"/>
                      <w:lang w:eastAsia="zh-CN"/>
                    </w:rPr>
                  </w:pPr>
                  <w:r>
                    <w:rPr>
                      <w:rFonts w:hint="eastAsia"/>
                      <w:b/>
                      <w:bCs/>
                      <w:color w:val="auto"/>
                      <w:highlight w:val="none"/>
                      <w:lang w:val="en-US" w:eastAsia="zh-CN"/>
                    </w:rPr>
                    <w:t>名称</w:t>
                  </w:r>
                </w:p>
              </w:tc>
              <w:tc>
                <w:tcPr>
                  <w:tcW w:w="709" w:type="pct"/>
                  <w:tcBorders>
                    <w:tl2br w:val="nil"/>
                    <w:tr2bl w:val="nil"/>
                  </w:tcBorders>
                  <w:vAlign w:val="center"/>
                </w:tcPr>
                <w:p w14:paraId="7EB35B1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highlight w:val="none"/>
                    </w:rPr>
                  </w:pPr>
                  <w:r>
                    <w:rPr>
                      <w:b/>
                      <w:bCs/>
                      <w:color w:val="auto"/>
                      <w:highlight w:val="none"/>
                    </w:rPr>
                    <w:t>方位</w:t>
                  </w:r>
                </w:p>
              </w:tc>
              <w:tc>
                <w:tcPr>
                  <w:tcW w:w="1646" w:type="pct"/>
                  <w:tcBorders>
                    <w:tl2br w:val="nil"/>
                    <w:tr2bl w:val="nil"/>
                  </w:tcBorders>
                  <w:vAlign w:val="center"/>
                </w:tcPr>
                <w:p w14:paraId="0DD3C67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highlight w:val="none"/>
                    </w:rPr>
                  </w:pPr>
                  <w:r>
                    <w:rPr>
                      <w:b/>
                      <w:bCs/>
                      <w:color w:val="auto"/>
                      <w:highlight w:val="none"/>
                    </w:rPr>
                    <w:t>与本项目的</w:t>
                  </w:r>
                  <w:r>
                    <w:rPr>
                      <w:rFonts w:hint="eastAsia"/>
                      <w:b/>
                      <w:bCs/>
                      <w:color w:val="auto"/>
                      <w:highlight w:val="none"/>
                      <w:lang w:val="en-US" w:eastAsia="zh-CN"/>
                    </w:rPr>
                    <w:t>位置关系</w:t>
                  </w:r>
                  <w:r>
                    <w:rPr>
                      <w:b/>
                      <w:bCs/>
                      <w:color w:val="auto"/>
                      <w:highlight w:val="none"/>
                    </w:rPr>
                    <w:t>距离</w:t>
                  </w:r>
                </w:p>
              </w:tc>
              <w:tc>
                <w:tcPr>
                  <w:tcW w:w="671" w:type="pct"/>
                  <w:tcBorders>
                    <w:tl2br w:val="nil"/>
                    <w:tr2bl w:val="nil"/>
                  </w:tcBorders>
                  <w:vAlign w:val="center"/>
                </w:tcPr>
                <w:p w14:paraId="0C2CA7E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highlight w:val="none"/>
                    </w:rPr>
                  </w:pPr>
                  <w:r>
                    <w:rPr>
                      <w:b/>
                      <w:bCs/>
                      <w:color w:val="auto"/>
                      <w:highlight w:val="none"/>
                    </w:rPr>
                    <w:t>监测因子</w:t>
                  </w:r>
                </w:p>
              </w:tc>
            </w:tr>
            <w:tr w14:paraId="11FC33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6" w:hRule="atLeast"/>
                <w:jc w:val="center"/>
              </w:trPr>
              <w:tc>
                <w:tcPr>
                  <w:tcW w:w="430" w:type="pct"/>
                  <w:tcBorders>
                    <w:tl2br w:val="nil"/>
                    <w:tr2bl w:val="nil"/>
                  </w:tcBorders>
                  <w:vAlign w:val="center"/>
                </w:tcPr>
                <w:p w14:paraId="10BB420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highlight w:val="none"/>
                    </w:rPr>
                  </w:pPr>
                  <w:r>
                    <w:rPr>
                      <w:color w:val="auto"/>
                      <w:highlight w:val="none"/>
                    </w:rPr>
                    <w:t>1#</w:t>
                  </w:r>
                </w:p>
              </w:tc>
              <w:tc>
                <w:tcPr>
                  <w:tcW w:w="1541" w:type="pct"/>
                  <w:tcBorders>
                    <w:tl2br w:val="nil"/>
                    <w:tr2bl w:val="nil"/>
                  </w:tcBorders>
                  <w:vAlign w:val="center"/>
                </w:tcPr>
                <w:p w14:paraId="68A7880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highlight w:val="none"/>
                    </w:rPr>
                  </w:pPr>
                  <w:r>
                    <w:rPr>
                      <w:rFonts w:hint="eastAsia"/>
                      <w:color w:val="auto"/>
                      <w:highlight w:val="none"/>
                      <w:lang w:val="en-US" w:eastAsia="zh-CN"/>
                    </w:rPr>
                    <w:t>项目所在地下风向散居居民北侧外6m处1.5m高</w:t>
                  </w:r>
                </w:p>
              </w:tc>
              <w:tc>
                <w:tcPr>
                  <w:tcW w:w="709" w:type="pct"/>
                  <w:tcBorders>
                    <w:tl2br w:val="nil"/>
                    <w:tr2bl w:val="nil"/>
                  </w:tcBorders>
                  <w:vAlign w:val="center"/>
                </w:tcPr>
                <w:p w14:paraId="0DECEFB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color w:val="auto"/>
                      <w:highlight w:val="none"/>
                      <w:lang w:val="en-US" w:eastAsia="zh-CN"/>
                    </w:rPr>
                  </w:pPr>
                  <w:r>
                    <w:rPr>
                      <w:rFonts w:hint="eastAsia"/>
                      <w:color w:val="auto"/>
                      <w:highlight w:val="none"/>
                    </w:rPr>
                    <w:t>南</w:t>
                  </w:r>
                </w:p>
              </w:tc>
              <w:tc>
                <w:tcPr>
                  <w:tcW w:w="1646" w:type="pct"/>
                  <w:tcBorders>
                    <w:tl2br w:val="nil"/>
                    <w:tr2bl w:val="nil"/>
                  </w:tcBorders>
                  <w:vAlign w:val="center"/>
                </w:tcPr>
                <w:p w14:paraId="1CD4719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highlight w:val="none"/>
                    </w:rPr>
                  </w:pPr>
                  <w:r>
                    <w:rPr>
                      <w:rFonts w:hint="eastAsia"/>
                      <w:color w:val="auto"/>
                      <w:highlight w:val="none"/>
                      <w:lang w:val="en-US" w:eastAsia="zh-CN"/>
                    </w:rPr>
                    <w:t>厂界南侧2.54k</w:t>
                  </w:r>
                  <w:r>
                    <w:rPr>
                      <w:rFonts w:hint="eastAsia"/>
                      <w:color w:val="auto"/>
                      <w:highlight w:val="none"/>
                    </w:rPr>
                    <w:t>m</w:t>
                  </w:r>
                </w:p>
              </w:tc>
              <w:tc>
                <w:tcPr>
                  <w:tcW w:w="671" w:type="pct"/>
                  <w:tcBorders>
                    <w:tl2br w:val="nil"/>
                    <w:tr2bl w:val="nil"/>
                  </w:tcBorders>
                  <w:vAlign w:val="center"/>
                </w:tcPr>
                <w:p w14:paraId="403019E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color w:val="auto"/>
                      <w:highlight w:val="none"/>
                      <w:lang w:val="en-US" w:eastAsia="zh-CN"/>
                    </w:rPr>
                  </w:pPr>
                  <w:r>
                    <w:rPr>
                      <w:rFonts w:hint="eastAsia"/>
                      <w:color w:val="auto"/>
                      <w:highlight w:val="none"/>
                      <w:lang w:val="en-US" w:eastAsia="zh-CN"/>
                    </w:rPr>
                    <w:t>非甲烷总烃</w:t>
                  </w:r>
                </w:p>
              </w:tc>
            </w:tr>
          </w:tbl>
          <w:p w14:paraId="20480C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color w:val="auto"/>
                <w:sz w:val="24"/>
                <w:highlight w:val="none"/>
              </w:rPr>
              <w:t>采样时间及频率：</w:t>
            </w:r>
            <w:r>
              <w:rPr>
                <w:rFonts w:hint="eastAsia"/>
                <w:color w:val="auto"/>
                <w:sz w:val="24"/>
                <w:highlight w:val="none"/>
              </w:rPr>
              <w:t>7</w:t>
            </w:r>
            <w:r>
              <w:rPr>
                <w:color w:val="auto"/>
                <w:sz w:val="24"/>
                <w:highlight w:val="none"/>
              </w:rPr>
              <w:t>天</w:t>
            </w:r>
            <w:r>
              <w:rPr>
                <w:rFonts w:hint="eastAsia"/>
                <w:color w:val="auto"/>
                <w:sz w:val="24"/>
                <w:highlight w:val="none"/>
              </w:rPr>
              <w:t>，</w:t>
            </w:r>
            <w:r>
              <w:rPr>
                <w:color w:val="auto"/>
                <w:sz w:val="24"/>
                <w:highlight w:val="none"/>
              </w:rPr>
              <w:t>每天监测8小时均值。</w:t>
            </w:r>
          </w:p>
          <w:p w14:paraId="2C66B6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color w:val="auto"/>
                <w:sz w:val="24"/>
                <w:highlight w:val="none"/>
              </w:rPr>
              <w:t>采样及监测方法：按照国家的要求和规定进行监测。监测结果及评价情况见表3-</w:t>
            </w:r>
            <w:r>
              <w:rPr>
                <w:rFonts w:hint="eastAsia"/>
                <w:color w:val="auto"/>
                <w:sz w:val="24"/>
                <w:highlight w:val="none"/>
              </w:rPr>
              <w:t>4</w:t>
            </w:r>
            <w:r>
              <w:rPr>
                <w:color w:val="auto"/>
                <w:sz w:val="24"/>
                <w:highlight w:val="none"/>
              </w:rPr>
              <w:t>。</w:t>
            </w:r>
          </w:p>
          <w:p w14:paraId="506782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color w:val="auto"/>
                <w:sz w:val="24"/>
                <w:highlight w:val="none"/>
              </w:rPr>
              <w:t>2）大气环境现状评价</w:t>
            </w:r>
          </w:p>
          <w:p w14:paraId="4A9DFA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color w:val="auto"/>
                <w:sz w:val="24"/>
                <w:highlight w:val="none"/>
              </w:rPr>
              <w:t>采用单因子指数法对大气环境现状进行评价，计算式如下：</w:t>
            </w:r>
          </w:p>
          <w:p w14:paraId="6EB34D5E">
            <w:pPr>
              <w:jc w:val="center"/>
              <w:rPr>
                <w:color w:val="auto"/>
                <w:highlight w:val="none"/>
              </w:rPr>
            </w:pPr>
            <w:r>
              <w:rPr>
                <w:color w:val="auto"/>
                <w:highlight w:val="none"/>
              </w:rPr>
              <w:drawing>
                <wp:inline distT="0" distB="0" distL="114300" distR="114300">
                  <wp:extent cx="657225" cy="609600"/>
                  <wp:effectExtent l="0" t="0" r="9525" b="0"/>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pic:cNvPicPr>
                            <a:picLocks noChangeAspect="1"/>
                          </pic:cNvPicPr>
                        </pic:nvPicPr>
                        <pic:blipFill>
                          <a:blip r:embed="rId37"/>
                          <a:stretch>
                            <a:fillRect/>
                          </a:stretch>
                        </pic:blipFill>
                        <pic:spPr>
                          <a:xfrm>
                            <a:off x="0" y="0"/>
                            <a:ext cx="657225" cy="609600"/>
                          </a:xfrm>
                          <a:prstGeom prst="rect">
                            <a:avLst/>
                          </a:prstGeom>
                          <a:noFill/>
                          <a:ln>
                            <a:noFill/>
                          </a:ln>
                        </pic:spPr>
                      </pic:pic>
                    </a:graphicData>
                  </a:graphic>
                </wp:inline>
              </w:drawing>
            </w:r>
          </w:p>
          <w:p w14:paraId="76091973">
            <w:pPr>
              <w:spacing w:line="360" w:lineRule="auto"/>
              <w:ind w:firstLine="480" w:firstLineChars="200"/>
              <w:outlineLvl w:val="3"/>
              <w:rPr>
                <w:color w:val="auto"/>
                <w:kern w:val="0"/>
                <w:sz w:val="24"/>
                <w:highlight w:val="none"/>
                <w:lang w:bidi="ar"/>
              </w:rPr>
            </w:pPr>
            <w:r>
              <w:rPr>
                <w:color w:val="auto"/>
                <w:kern w:val="0"/>
                <w:sz w:val="24"/>
                <w:highlight w:val="none"/>
                <w:lang w:bidi="ar"/>
              </w:rPr>
              <w:t>式中：</w:t>
            </w:r>
            <w:r>
              <w:rPr>
                <w:i/>
                <w:iCs/>
                <w:color w:val="auto"/>
                <w:kern w:val="0"/>
                <w:sz w:val="24"/>
                <w:highlight w:val="none"/>
                <w:lang w:bidi="ar"/>
              </w:rPr>
              <w:t>P</w:t>
            </w:r>
            <w:r>
              <w:rPr>
                <w:i/>
                <w:iCs/>
                <w:color w:val="auto"/>
                <w:kern w:val="0"/>
                <w:sz w:val="24"/>
                <w:highlight w:val="none"/>
                <w:vertAlign w:val="subscript"/>
                <w:lang w:bidi="ar"/>
              </w:rPr>
              <w:t>i</w:t>
            </w:r>
            <w:r>
              <w:rPr>
                <w:color w:val="auto"/>
                <w:kern w:val="0"/>
                <w:sz w:val="24"/>
                <w:highlight w:val="none"/>
                <w:lang w:bidi="ar"/>
              </w:rPr>
              <w:t>——</w:t>
            </w:r>
            <w:r>
              <w:rPr>
                <w:i/>
                <w:iCs/>
                <w:color w:val="auto"/>
                <w:kern w:val="0"/>
                <w:sz w:val="24"/>
                <w:highlight w:val="none"/>
                <w:lang w:bidi="ar"/>
              </w:rPr>
              <w:t>i</w:t>
            </w:r>
            <w:r>
              <w:rPr>
                <w:color w:val="auto"/>
                <w:kern w:val="0"/>
                <w:sz w:val="24"/>
                <w:highlight w:val="none"/>
                <w:lang w:bidi="ar"/>
              </w:rPr>
              <w:t>种污染物的单项评价指数；</w:t>
            </w:r>
          </w:p>
          <w:p w14:paraId="45659749">
            <w:pPr>
              <w:spacing w:line="360" w:lineRule="auto"/>
              <w:ind w:firstLine="480" w:firstLineChars="200"/>
              <w:outlineLvl w:val="3"/>
              <w:rPr>
                <w:color w:val="auto"/>
                <w:kern w:val="0"/>
                <w:sz w:val="24"/>
                <w:highlight w:val="none"/>
                <w:lang w:bidi="ar"/>
              </w:rPr>
            </w:pPr>
            <w:r>
              <w:rPr>
                <w:i/>
                <w:iCs/>
                <w:color w:val="auto"/>
                <w:kern w:val="0"/>
                <w:sz w:val="24"/>
                <w:highlight w:val="none"/>
                <w:lang w:bidi="ar"/>
              </w:rPr>
              <w:t>C</w:t>
            </w:r>
            <w:r>
              <w:rPr>
                <w:i/>
                <w:iCs/>
                <w:color w:val="auto"/>
                <w:kern w:val="0"/>
                <w:sz w:val="24"/>
                <w:highlight w:val="none"/>
                <w:vertAlign w:val="subscript"/>
                <w:lang w:bidi="ar"/>
              </w:rPr>
              <w:t>i</w:t>
            </w:r>
            <w:r>
              <w:rPr>
                <w:color w:val="auto"/>
                <w:kern w:val="0"/>
                <w:sz w:val="24"/>
                <w:highlight w:val="none"/>
                <w:lang w:bidi="ar"/>
              </w:rPr>
              <w:t>——</w:t>
            </w:r>
            <w:r>
              <w:rPr>
                <w:i/>
                <w:iCs/>
                <w:color w:val="auto"/>
                <w:kern w:val="0"/>
                <w:sz w:val="24"/>
                <w:highlight w:val="none"/>
                <w:lang w:bidi="ar"/>
              </w:rPr>
              <w:t>i</w:t>
            </w:r>
            <w:r>
              <w:rPr>
                <w:color w:val="auto"/>
                <w:kern w:val="0"/>
                <w:sz w:val="24"/>
                <w:highlight w:val="none"/>
                <w:lang w:bidi="ar"/>
              </w:rPr>
              <w:t>种污染物的实测平均浓度，mg/m</w:t>
            </w:r>
            <w:r>
              <w:rPr>
                <w:color w:val="auto"/>
                <w:kern w:val="0"/>
                <w:sz w:val="24"/>
                <w:highlight w:val="none"/>
                <w:vertAlign w:val="superscript"/>
                <w:lang w:bidi="ar"/>
              </w:rPr>
              <w:t>3</w:t>
            </w:r>
            <w:r>
              <w:rPr>
                <w:color w:val="auto"/>
                <w:kern w:val="0"/>
                <w:sz w:val="24"/>
                <w:highlight w:val="none"/>
                <w:lang w:bidi="ar"/>
              </w:rPr>
              <w:t>；</w:t>
            </w:r>
          </w:p>
          <w:p w14:paraId="57A6AA2F">
            <w:pPr>
              <w:spacing w:line="360" w:lineRule="auto"/>
              <w:ind w:firstLine="480" w:firstLineChars="200"/>
              <w:outlineLvl w:val="3"/>
              <w:rPr>
                <w:color w:val="auto"/>
                <w:kern w:val="0"/>
                <w:sz w:val="24"/>
                <w:highlight w:val="none"/>
                <w:lang w:bidi="ar"/>
              </w:rPr>
            </w:pPr>
            <w:r>
              <w:rPr>
                <w:i/>
                <w:iCs/>
                <w:color w:val="auto"/>
                <w:kern w:val="0"/>
                <w:sz w:val="24"/>
                <w:highlight w:val="none"/>
                <w:lang w:bidi="ar"/>
              </w:rPr>
              <w:t>S</w:t>
            </w:r>
            <w:r>
              <w:rPr>
                <w:i/>
                <w:iCs/>
                <w:color w:val="auto"/>
                <w:kern w:val="0"/>
                <w:sz w:val="24"/>
                <w:highlight w:val="none"/>
                <w:vertAlign w:val="subscript"/>
                <w:lang w:bidi="ar"/>
              </w:rPr>
              <w:t>i</w:t>
            </w:r>
            <w:r>
              <w:rPr>
                <w:color w:val="auto"/>
                <w:kern w:val="0"/>
                <w:sz w:val="24"/>
                <w:highlight w:val="none"/>
                <w:lang w:bidi="ar"/>
              </w:rPr>
              <w:t>——</w:t>
            </w:r>
            <w:r>
              <w:rPr>
                <w:i/>
                <w:iCs/>
                <w:color w:val="auto"/>
                <w:kern w:val="0"/>
                <w:sz w:val="24"/>
                <w:highlight w:val="none"/>
                <w:lang w:bidi="ar"/>
              </w:rPr>
              <w:t>i</w:t>
            </w:r>
            <w:r>
              <w:rPr>
                <w:color w:val="auto"/>
                <w:kern w:val="0"/>
                <w:sz w:val="24"/>
                <w:highlight w:val="none"/>
                <w:lang w:bidi="ar"/>
              </w:rPr>
              <w:t>种污染物的评价标准，mg/m</w:t>
            </w:r>
            <w:r>
              <w:rPr>
                <w:color w:val="auto"/>
                <w:kern w:val="0"/>
                <w:sz w:val="24"/>
                <w:highlight w:val="none"/>
                <w:vertAlign w:val="superscript"/>
                <w:lang w:bidi="ar"/>
              </w:rPr>
              <w:t>3</w:t>
            </w:r>
            <w:r>
              <w:rPr>
                <w:color w:val="auto"/>
                <w:kern w:val="0"/>
                <w:sz w:val="24"/>
                <w:highlight w:val="none"/>
                <w:lang w:bidi="ar"/>
              </w:rPr>
              <w:t>。</w:t>
            </w:r>
          </w:p>
          <w:p w14:paraId="64CD6B03">
            <w:pPr>
              <w:spacing w:line="360" w:lineRule="auto"/>
              <w:ind w:firstLine="480" w:firstLineChars="200"/>
              <w:outlineLvl w:val="3"/>
              <w:rPr>
                <w:color w:val="auto"/>
                <w:kern w:val="0"/>
                <w:sz w:val="24"/>
                <w:highlight w:val="none"/>
                <w:lang w:bidi="ar"/>
              </w:rPr>
            </w:pPr>
            <w:r>
              <w:rPr>
                <w:color w:val="auto"/>
                <w:kern w:val="0"/>
                <w:sz w:val="24"/>
                <w:highlight w:val="none"/>
                <w:lang w:bidi="ar"/>
              </w:rPr>
              <w:t>本次大气环境现状评价结果见下表。</w:t>
            </w:r>
          </w:p>
          <w:p w14:paraId="7D7CE604">
            <w:pPr>
              <w:pStyle w:val="132"/>
              <w:bidi w:val="0"/>
              <w:rPr>
                <w:color w:val="auto"/>
                <w:highlight w:val="none"/>
              </w:rPr>
            </w:pPr>
            <w:r>
              <w:rPr>
                <w:color w:val="auto"/>
                <w:highlight w:val="none"/>
              </w:rPr>
              <w:t>评价区空气监测结果及评价情况统计表</w:t>
            </w:r>
          </w:p>
          <w:tbl>
            <w:tblPr>
              <w:tblStyle w:val="27"/>
              <w:tblW w:w="493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autofit"/>
              <w:tblCellMar>
                <w:top w:w="0" w:type="dxa"/>
                <w:left w:w="0" w:type="dxa"/>
                <w:bottom w:w="0" w:type="dxa"/>
                <w:right w:w="0" w:type="dxa"/>
              </w:tblCellMar>
            </w:tblPr>
            <w:tblGrid>
              <w:gridCol w:w="982"/>
              <w:gridCol w:w="1666"/>
              <w:gridCol w:w="1103"/>
              <w:gridCol w:w="1384"/>
              <w:gridCol w:w="3117"/>
            </w:tblGrid>
            <w:tr w14:paraId="6D0956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211" w:hRule="atLeast"/>
                <w:jc w:val="center"/>
              </w:trPr>
              <w:tc>
                <w:tcPr>
                  <w:tcW w:w="595" w:type="pct"/>
                  <w:vMerge w:val="restart"/>
                  <w:tcBorders>
                    <w:tl2br w:val="nil"/>
                    <w:tr2bl w:val="nil"/>
                  </w:tcBorders>
                  <w:vAlign w:val="center"/>
                </w:tcPr>
                <w:p w14:paraId="309C3682">
                  <w:pPr>
                    <w:jc w:val="center"/>
                    <w:rPr>
                      <w:b/>
                      <w:bCs/>
                      <w:color w:val="auto"/>
                      <w:sz w:val="21"/>
                      <w:szCs w:val="21"/>
                      <w:highlight w:val="none"/>
                    </w:rPr>
                  </w:pPr>
                  <w:r>
                    <w:rPr>
                      <w:b/>
                      <w:bCs/>
                      <w:color w:val="auto"/>
                      <w:sz w:val="21"/>
                      <w:szCs w:val="21"/>
                      <w:highlight w:val="none"/>
                    </w:rPr>
                    <w:t>项目</w:t>
                  </w:r>
                </w:p>
              </w:tc>
              <w:tc>
                <w:tcPr>
                  <w:tcW w:w="1677" w:type="pct"/>
                  <w:gridSpan w:val="2"/>
                  <w:tcBorders>
                    <w:tl2br w:val="nil"/>
                    <w:tr2bl w:val="nil"/>
                  </w:tcBorders>
                  <w:vAlign w:val="center"/>
                </w:tcPr>
                <w:p w14:paraId="7F76FE0F">
                  <w:pPr>
                    <w:jc w:val="center"/>
                    <w:rPr>
                      <w:b/>
                      <w:bCs/>
                      <w:color w:val="auto"/>
                      <w:sz w:val="21"/>
                      <w:szCs w:val="21"/>
                      <w:highlight w:val="none"/>
                    </w:rPr>
                  </w:pPr>
                  <w:r>
                    <w:rPr>
                      <w:b/>
                      <w:bCs/>
                      <w:color w:val="auto"/>
                      <w:sz w:val="21"/>
                      <w:szCs w:val="21"/>
                      <w:highlight w:val="none"/>
                    </w:rPr>
                    <w:t>1#监测点位</w:t>
                  </w:r>
                </w:p>
              </w:tc>
              <w:tc>
                <w:tcPr>
                  <w:tcW w:w="838" w:type="pct"/>
                  <w:vMerge w:val="restart"/>
                  <w:tcBorders>
                    <w:tl2br w:val="nil"/>
                    <w:tr2bl w:val="nil"/>
                  </w:tcBorders>
                  <w:vAlign w:val="center"/>
                </w:tcPr>
                <w:p w14:paraId="3D4820D4">
                  <w:pPr>
                    <w:jc w:val="center"/>
                    <w:rPr>
                      <w:b/>
                      <w:bCs/>
                      <w:color w:val="auto"/>
                      <w:sz w:val="21"/>
                      <w:szCs w:val="21"/>
                      <w:highlight w:val="none"/>
                    </w:rPr>
                  </w:pPr>
                  <w:r>
                    <w:rPr>
                      <w:b/>
                      <w:bCs/>
                      <w:color w:val="auto"/>
                      <w:sz w:val="21"/>
                      <w:szCs w:val="21"/>
                      <w:highlight w:val="none"/>
                    </w:rPr>
                    <w:t>标准值</w:t>
                  </w:r>
                </w:p>
              </w:tc>
              <w:tc>
                <w:tcPr>
                  <w:tcW w:w="1888" w:type="pct"/>
                  <w:vMerge w:val="restart"/>
                  <w:tcBorders>
                    <w:tl2br w:val="nil"/>
                    <w:tr2bl w:val="nil"/>
                  </w:tcBorders>
                  <w:vAlign w:val="center"/>
                </w:tcPr>
                <w:p w14:paraId="09C3B869">
                  <w:pPr>
                    <w:jc w:val="center"/>
                    <w:rPr>
                      <w:b/>
                      <w:bCs/>
                      <w:color w:val="auto"/>
                      <w:sz w:val="21"/>
                      <w:szCs w:val="21"/>
                      <w:highlight w:val="none"/>
                    </w:rPr>
                  </w:pPr>
                  <w:r>
                    <w:rPr>
                      <w:b/>
                      <w:bCs/>
                      <w:color w:val="auto"/>
                      <w:sz w:val="21"/>
                      <w:szCs w:val="21"/>
                      <w:highlight w:val="none"/>
                    </w:rPr>
                    <w:t>备注</w:t>
                  </w:r>
                </w:p>
              </w:tc>
            </w:tr>
            <w:tr w14:paraId="413F3F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171" w:hRule="atLeast"/>
                <w:jc w:val="center"/>
              </w:trPr>
              <w:tc>
                <w:tcPr>
                  <w:tcW w:w="595" w:type="pct"/>
                  <w:vMerge w:val="continue"/>
                  <w:tcBorders>
                    <w:tl2br w:val="nil"/>
                    <w:tr2bl w:val="nil"/>
                  </w:tcBorders>
                  <w:shd w:val="clear" w:color="auto" w:fill="CCFFFF"/>
                  <w:vAlign w:val="center"/>
                </w:tcPr>
                <w:p w14:paraId="7E77BD9C">
                  <w:pPr>
                    <w:jc w:val="center"/>
                    <w:rPr>
                      <w:color w:val="auto"/>
                      <w:sz w:val="21"/>
                      <w:szCs w:val="21"/>
                      <w:highlight w:val="none"/>
                    </w:rPr>
                  </w:pPr>
                </w:p>
              </w:tc>
              <w:tc>
                <w:tcPr>
                  <w:tcW w:w="1009" w:type="pct"/>
                  <w:tcBorders>
                    <w:tl2br w:val="nil"/>
                    <w:tr2bl w:val="nil"/>
                  </w:tcBorders>
                  <w:shd w:val="clear" w:color="auto" w:fill="auto"/>
                  <w:vAlign w:val="center"/>
                </w:tcPr>
                <w:p w14:paraId="789F2199">
                  <w:pPr>
                    <w:jc w:val="center"/>
                    <w:rPr>
                      <w:b/>
                      <w:bCs/>
                      <w:color w:val="auto"/>
                      <w:sz w:val="21"/>
                      <w:szCs w:val="21"/>
                      <w:highlight w:val="none"/>
                    </w:rPr>
                  </w:pPr>
                  <w:r>
                    <w:rPr>
                      <w:b/>
                      <w:bCs/>
                      <w:color w:val="auto"/>
                      <w:sz w:val="21"/>
                      <w:szCs w:val="21"/>
                      <w:highlight w:val="none"/>
                    </w:rPr>
                    <w:t>浓度范围</w:t>
                  </w:r>
                </w:p>
              </w:tc>
              <w:tc>
                <w:tcPr>
                  <w:tcW w:w="667" w:type="pct"/>
                  <w:tcBorders>
                    <w:tl2br w:val="nil"/>
                    <w:tr2bl w:val="nil"/>
                  </w:tcBorders>
                  <w:shd w:val="clear" w:color="auto" w:fill="auto"/>
                  <w:vAlign w:val="center"/>
                </w:tcPr>
                <w:p w14:paraId="717BE9E9">
                  <w:pPr>
                    <w:jc w:val="center"/>
                    <w:rPr>
                      <w:b/>
                      <w:bCs/>
                      <w:i/>
                      <w:color w:val="auto"/>
                      <w:sz w:val="21"/>
                      <w:szCs w:val="21"/>
                      <w:highlight w:val="none"/>
                    </w:rPr>
                  </w:pPr>
                  <w:r>
                    <w:rPr>
                      <w:b/>
                      <w:bCs/>
                      <w:i/>
                      <w:iCs/>
                      <w:color w:val="auto"/>
                      <w:sz w:val="21"/>
                      <w:szCs w:val="21"/>
                      <w:highlight w:val="none"/>
                    </w:rPr>
                    <w:t>P</w:t>
                  </w:r>
                  <w:r>
                    <w:rPr>
                      <w:b/>
                      <w:bCs/>
                      <w:i/>
                      <w:iCs/>
                      <w:color w:val="auto"/>
                      <w:sz w:val="21"/>
                      <w:szCs w:val="21"/>
                      <w:highlight w:val="none"/>
                      <w:vertAlign w:val="subscript"/>
                    </w:rPr>
                    <w:t>max</w:t>
                  </w:r>
                </w:p>
              </w:tc>
              <w:tc>
                <w:tcPr>
                  <w:tcW w:w="838" w:type="pct"/>
                  <w:vMerge w:val="continue"/>
                  <w:tcBorders>
                    <w:tl2br w:val="nil"/>
                    <w:tr2bl w:val="nil"/>
                  </w:tcBorders>
                  <w:shd w:val="clear" w:color="auto" w:fill="CCFFFF"/>
                  <w:vAlign w:val="center"/>
                </w:tcPr>
                <w:p w14:paraId="44ADEE1B">
                  <w:pPr>
                    <w:jc w:val="center"/>
                    <w:rPr>
                      <w:color w:val="auto"/>
                      <w:sz w:val="21"/>
                      <w:szCs w:val="21"/>
                      <w:highlight w:val="none"/>
                    </w:rPr>
                  </w:pPr>
                </w:p>
              </w:tc>
              <w:tc>
                <w:tcPr>
                  <w:tcW w:w="1888" w:type="pct"/>
                  <w:vMerge w:val="continue"/>
                  <w:tcBorders>
                    <w:tl2br w:val="nil"/>
                    <w:tr2bl w:val="nil"/>
                  </w:tcBorders>
                  <w:shd w:val="clear" w:color="auto" w:fill="CCFFFF"/>
                  <w:vAlign w:val="center"/>
                </w:tcPr>
                <w:p w14:paraId="0A17047B">
                  <w:pPr>
                    <w:jc w:val="center"/>
                    <w:rPr>
                      <w:color w:val="auto"/>
                      <w:sz w:val="21"/>
                      <w:szCs w:val="21"/>
                      <w:highlight w:val="none"/>
                    </w:rPr>
                  </w:pPr>
                </w:p>
              </w:tc>
            </w:tr>
            <w:tr w14:paraId="73BA99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490" w:hRule="atLeast"/>
                <w:jc w:val="center"/>
              </w:trPr>
              <w:tc>
                <w:tcPr>
                  <w:tcW w:w="595" w:type="pct"/>
                  <w:tcBorders>
                    <w:tl2br w:val="nil"/>
                    <w:tr2bl w:val="nil"/>
                  </w:tcBorders>
                  <w:vAlign w:val="center"/>
                </w:tcPr>
                <w:p w14:paraId="1CA19C5D">
                  <w:pPr>
                    <w:jc w:val="center"/>
                    <w:rPr>
                      <w:color w:val="auto"/>
                      <w:sz w:val="21"/>
                      <w:szCs w:val="21"/>
                      <w:highlight w:val="none"/>
                    </w:rPr>
                  </w:pPr>
                  <w:r>
                    <w:rPr>
                      <w:rFonts w:hint="eastAsia"/>
                      <w:color w:val="auto"/>
                      <w:highlight w:val="none"/>
                      <w:lang w:val="en-US" w:eastAsia="zh-CN"/>
                    </w:rPr>
                    <w:t>非甲烷总烃</w:t>
                  </w:r>
                </w:p>
              </w:tc>
              <w:tc>
                <w:tcPr>
                  <w:tcW w:w="1009" w:type="pct"/>
                  <w:tcBorders>
                    <w:tl2br w:val="nil"/>
                    <w:tr2bl w:val="nil"/>
                  </w:tcBorders>
                  <w:vAlign w:val="center"/>
                </w:tcPr>
                <w:p w14:paraId="2D86089F">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0.55~0.75</w:t>
                  </w:r>
                </w:p>
              </w:tc>
              <w:tc>
                <w:tcPr>
                  <w:tcW w:w="667" w:type="pct"/>
                  <w:tcBorders>
                    <w:tl2br w:val="nil"/>
                    <w:tr2bl w:val="nil"/>
                  </w:tcBorders>
                  <w:vAlign w:val="center"/>
                </w:tcPr>
                <w:p w14:paraId="6173CBFC">
                  <w:pPr>
                    <w:jc w:val="center"/>
                    <w:rPr>
                      <w:rFonts w:hint="default" w:eastAsia="宋体"/>
                      <w:color w:val="auto"/>
                      <w:sz w:val="21"/>
                      <w:szCs w:val="21"/>
                      <w:highlight w:val="none"/>
                      <w:lang w:val="en-US" w:eastAsia="zh-CN"/>
                    </w:rPr>
                  </w:pPr>
                  <w:r>
                    <w:rPr>
                      <w:color w:val="auto"/>
                      <w:sz w:val="21"/>
                      <w:szCs w:val="21"/>
                      <w:highlight w:val="none"/>
                    </w:rPr>
                    <w:t>0.</w:t>
                  </w:r>
                  <w:r>
                    <w:rPr>
                      <w:rFonts w:hint="eastAsia"/>
                      <w:color w:val="auto"/>
                      <w:sz w:val="21"/>
                      <w:szCs w:val="21"/>
                      <w:highlight w:val="none"/>
                      <w:lang w:val="en-US" w:eastAsia="zh-CN"/>
                    </w:rPr>
                    <w:t>375</w:t>
                  </w:r>
                </w:p>
              </w:tc>
              <w:tc>
                <w:tcPr>
                  <w:tcW w:w="838" w:type="pct"/>
                  <w:tcBorders>
                    <w:tl2br w:val="nil"/>
                    <w:tr2bl w:val="nil"/>
                  </w:tcBorders>
                  <w:vAlign w:val="center"/>
                </w:tcPr>
                <w:p w14:paraId="149D51C9">
                  <w:pPr>
                    <w:jc w:val="center"/>
                    <w:rPr>
                      <w:color w:val="auto"/>
                      <w:sz w:val="21"/>
                      <w:szCs w:val="21"/>
                      <w:highlight w:val="none"/>
                    </w:rPr>
                  </w:pPr>
                  <w:r>
                    <w:rPr>
                      <w:rFonts w:hint="eastAsia"/>
                      <w:color w:val="auto"/>
                      <w:sz w:val="21"/>
                      <w:szCs w:val="21"/>
                      <w:highlight w:val="none"/>
                      <w:lang w:val="en-US" w:eastAsia="zh-CN"/>
                    </w:rPr>
                    <w:t>2.0</w:t>
                  </w:r>
                  <w:r>
                    <w:rPr>
                      <w:color w:val="auto"/>
                      <w:sz w:val="21"/>
                      <w:szCs w:val="21"/>
                      <w:highlight w:val="none"/>
                    </w:rPr>
                    <w:t>mg/m</w:t>
                  </w:r>
                  <w:r>
                    <w:rPr>
                      <w:color w:val="auto"/>
                      <w:sz w:val="21"/>
                      <w:szCs w:val="21"/>
                      <w:highlight w:val="none"/>
                      <w:vertAlign w:val="superscript"/>
                    </w:rPr>
                    <w:t>3</w:t>
                  </w:r>
                </w:p>
              </w:tc>
              <w:tc>
                <w:tcPr>
                  <w:tcW w:w="1888" w:type="pct"/>
                  <w:tcBorders>
                    <w:tl2br w:val="nil"/>
                    <w:tr2bl w:val="nil"/>
                  </w:tcBorders>
                  <w:vAlign w:val="center"/>
                </w:tcPr>
                <w:p w14:paraId="5F15EC5D">
                  <w:pPr>
                    <w:tabs>
                      <w:tab w:val="left" w:pos="470"/>
                    </w:tabs>
                    <w:jc w:val="center"/>
                    <w:rPr>
                      <w:color w:val="auto"/>
                      <w:sz w:val="21"/>
                      <w:szCs w:val="21"/>
                      <w:highlight w:val="none"/>
                    </w:rPr>
                  </w:pPr>
                  <w:r>
                    <w:rPr>
                      <w:rFonts w:hint="eastAsia" w:ascii="Arial" w:hAnsi="Arial" w:eastAsia="Arial" w:cs="Arial"/>
                      <w:i w:val="0"/>
                      <w:iCs w:val="0"/>
                      <w:caps w:val="0"/>
                      <w:color w:val="auto"/>
                      <w:spacing w:val="0"/>
                      <w:sz w:val="24"/>
                      <w:szCs w:val="24"/>
                      <w:highlight w:val="none"/>
                      <w:shd w:val="clear" w:fill="FFFFFF"/>
                    </w:rPr>
                    <w:t>《大气污染物综合排放标准详解》</w:t>
                  </w:r>
                </w:p>
              </w:tc>
            </w:tr>
          </w:tbl>
          <w:p w14:paraId="03274067">
            <w:pPr>
              <w:spacing w:line="360" w:lineRule="auto"/>
              <w:ind w:firstLine="480" w:firstLineChars="200"/>
              <w:outlineLvl w:val="3"/>
              <w:rPr>
                <w:color w:val="auto"/>
                <w:sz w:val="24"/>
                <w:highlight w:val="none"/>
              </w:rPr>
            </w:pPr>
            <w:r>
              <w:rPr>
                <w:color w:val="auto"/>
                <w:kern w:val="0"/>
                <w:sz w:val="24"/>
                <w:highlight w:val="none"/>
                <w:lang w:bidi="ar"/>
              </w:rPr>
              <w:t>由上表中可见，监测期间，项目所在区域环境空气中</w:t>
            </w:r>
            <w:r>
              <w:rPr>
                <w:rFonts w:hint="eastAsia"/>
                <w:color w:val="auto"/>
                <w:kern w:val="0"/>
                <w:sz w:val="24"/>
                <w:highlight w:val="none"/>
                <w:lang w:val="en-US" w:eastAsia="zh-CN" w:bidi="ar"/>
              </w:rPr>
              <w:t>非甲烷总烃</w:t>
            </w:r>
            <w:r>
              <w:rPr>
                <w:color w:val="auto"/>
                <w:kern w:val="0"/>
                <w:sz w:val="24"/>
                <w:highlight w:val="none"/>
                <w:lang w:bidi="ar"/>
              </w:rPr>
              <w:t>能满足</w:t>
            </w:r>
            <w:r>
              <w:rPr>
                <w:rFonts w:hint="eastAsia" w:ascii="Arial" w:hAnsi="Arial" w:eastAsia="Arial" w:cs="Arial"/>
                <w:i w:val="0"/>
                <w:iCs w:val="0"/>
                <w:caps w:val="0"/>
                <w:color w:val="auto"/>
                <w:spacing w:val="0"/>
                <w:sz w:val="24"/>
                <w:szCs w:val="24"/>
                <w:highlight w:val="none"/>
                <w:shd w:val="clear" w:fill="FFFFFF"/>
              </w:rPr>
              <w:t>《大气污染物综合排放标准详解》</w:t>
            </w:r>
            <w:r>
              <w:rPr>
                <w:color w:val="auto"/>
                <w:kern w:val="0"/>
                <w:sz w:val="24"/>
                <w:highlight w:val="none"/>
                <w:lang w:bidi="ar"/>
              </w:rPr>
              <w:t>相关要求。</w:t>
            </w:r>
          </w:p>
          <w:p w14:paraId="0B1595B0">
            <w:pPr>
              <w:spacing w:line="360" w:lineRule="auto"/>
              <w:rPr>
                <w:b/>
                <w:color w:val="auto"/>
                <w:kern w:val="0"/>
                <w:sz w:val="24"/>
                <w:highlight w:val="none"/>
              </w:rPr>
            </w:pPr>
            <w:bookmarkStart w:id="18" w:name="_Toc330388487"/>
            <w:r>
              <w:rPr>
                <w:b/>
                <w:color w:val="auto"/>
                <w:kern w:val="0"/>
                <w:sz w:val="24"/>
                <w:highlight w:val="none"/>
                <w:lang w:bidi="ar"/>
              </w:rPr>
              <w:t>2、地表水环境质量</w:t>
            </w:r>
            <w:bookmarkEnd w:id="18"/>
          </w:p>
          <w:p w14:paraId="392B864C">
            <w:pPr>
              <w:keepNext w:val="0"/>
              <w:keepLines w:val="0"/>
              <w:widowControl w:val="0"/>
              <w:suppressLineNumbers w:val="0"/>
              <w:autoSpaceDE w:val="0"/>
              <w:autoSpaceDN w:val="0"/>
              <w:spacing w:before="0" w:beforeAutospacing="0" w:after="0" w:afterAutospacing="0" w:line="360" w:lineRule="auto"/>
              <w:ind w:left="0" w:right="0" w:firstLine="480" w:firstLineChars="200"/>
              <w:rPr>
                <w:rFonts w:ascii="Times New Roman" w:hAnsi="Times New Roman" w:cs="Times New Roman"/>
                <w:color w:val="auto"/>
                <w:kern w:val="0"/>
                <w:sz w:val="24"/>
                <w:highlight w:val="none"/>
                <w:u w:val="none"/>
              </w:rPr>
            </w:pPr>
            <w:bookmarkStart w:id="19" w:name="_Hlk79487528"/>
            <w:bookmarkStart w:id="20" w:name="_Toc330388488"/>
            <w:r>
              <w:rPr>
                <w:rFonts w:ascii="Times New Roman" w:hAnsi="Times New Roman" w:cs="Times New Roman"/>
                <w:color w:val="auto"/>
                <w:sz w:val="24"/>
                <w:highlight w:val="none"/>
                <w:u w:val="none"/>
              </w:rPr>
              <w:t>本项目</w:t>
            </w:r>
            <w:r>
              <w:rPr>
                <w:rFonts w:ascii="Times New Roman" w:hAnsi="Times New Roman" w:cs="Times New Roman"/>
                <w:color w:val="auto"/>
                <w:sz w:val="24"/>
                <w:highlight w:val="none"/>
                <w:u w:val="none"/>
                <w:lang w:val="en-US" w:eastAsia="zh-CN"/>
              </w:rPr>
              <w:t>所在区域地表水体为郪江，</w:t>
            </w:r>
            <w:r>
              <w:rPr>
                <w:rFonts w:ascii="Times New Roman" w:hAnsi="Times New Roman" w:cs="Times New Roman"/>
                <w:color w:val="auto"/>
                <w:sz w:val="24"/>
                <w:highlight w:val="none"/>
                <w:u w:val="none"/>
              </w:rPr>
              <w:t>选取较近的</w:t>
            </w:r>
            <w:r>
              <w:rPr>
                <w:rFonts w:ascii="Times New Roman" w:hAnsi="Times New Roman" w:cs="Times New Roman"/>
                <w:color w:val="auto"/>
                <w:sz w:val="24"/>
                <w:highlight w:val="none"/>
                <w:u w:val="none"/>
                <w:lang w:val="en-US" w:eastAsia="zh-CN"/>
              </w:rPr>
              <w:t>郪江口控制断面</w:t>
            </w:r>
            <w:r>
              <w:rPr>
                <w:rFonts w:ascii="Times New Roman" w:hAnsi="Times New Roman" w:cs="Times New Roman"/>
                <w:color w:val="auto"/>
                <w:sz w:val="24"/>
                <w:highlight w:val="none"/>
                <w:u w:val="none"/>
              </w:rPr>
              <w:t>监测断面作为参照，根据</w:t>
            </w:r>
            <w:r>
              <w:rPr>
                <w:rFonts w:ascii="Times New Roman" w:hAnsi="Times New Roman" w:cs="Times New Roman"/>
                <w:color w:val="auto"/>
                <w:sz w:val="24"/>
                <w:highlight w:val="none"/>
                <w:u w:val="none"/>
                <w:lang w:val="en-US" w:eastAsia="zh-CN"/>
              </w:rPr>
              <w:t>遂宁市生态环境局发布的《202</w:t>
            </w:r>
            <w:r>
              <w:rPr>
                <w:rFonts w:hint="eastAsia" w:cs="Times New Roman"/>
                <w:color w:val="auto"/>
                <w:sz w:val="24"/>
                <w:highlight w:val="none"/>
                <w:u w:val="none"/>
                <w:lang w:val="en-US" w:eastAsia="zh-CN"/>
              </w:rPr>
              <w:t>3</w:t>
            </w:r>
            <w:r>
              <w:rPr>
                <w:rFonts w:ascii="Times New Roman" w:hAnsi="Times New Roman" w:cs="Times New Roman"/>
                <w:color w:val="auto"/>
                <w:sz w:val="24"/>
                <w:highlight w:val="none"/>
                <w:u w:val="none"/>
                <w:lang w:val="en-US" w:eastAsia="zh-CN"/>
              </w:rPr>
              <w:t>年遂宁市环境质量公告》</w:t>
            </w:r>
            <w:r>
              <w:rPr>
                <w:rFonts w:ascii="Times New Roman" w:hAnsi="Times New Roman" w:cs="Times New Roman"/>
                <w:color w:val="auto"/>
                <w:sz w:val="24"/>
                <w:highlight w:val="none"/>
                <w:u w:val="none"/>
                <w:lang w:eastAsia="zh-CN"/>
              </w:rPr>
              <w:t>（</w:t>
            </w:r>
            <w:r>
              <w:rPr>
                <w:rFonts w:ascii="Times New Roman" w:hAnsi="Times New Roman" w:cs="Times New Roman"/>
                <w:color w:val="auto"/>
                <w:sz w:val="24"/>
                <w:highlight w:val="none"/>
                <w:u w:val="none"/>
                <w:lang w:val="en-US" w:eastAsia="zh-CN"/>
              </w:rPr>
              <w:t>网址：</w:t>
            </w:r>
            <w:r>
              <w:rPr>
                <w:rFonts w:ascii="Times New Roman" w:hAnsi="Times New Roman" w:eastAsia="宋体" w:cs="Times New Roman"/>
                <w:color w:val="auto"/>
                <w:sz w:val="24"/>
                <w:szCs w:val="24"/>
                <w:highlight w:val="none"/>
                <w:u w:val="none"/>
              </w:rPr>
              <w:t>https://www.suining.gov.cn/phone/show/5b25e70895b814af678b0a09f2c09177.html</w:t>
            </w:r>
            <w:r>
              <w:rPr>
                <w:rFonts w:ascii="Times New Roman" w:hAnsi="Times New Roman" w:cs="Times New Roman"/>
                <w:color w:val="auto"/>
                <w:sz w:val="24"/>
                <w:highlight w:val="none"/>
                <w:u w:val="none"/>
                <w:lang w:eastAsia="zh-CN"/>
              </w:rPr>
              <w:t>）</w:t>
            </w:r>
            <w:r>
              <w:rPr>
                <w:rFonts w:ascii="Times New Roman" w:hAnsi="Times New Roman" w:cs="Times New Roman"/>
                <w:color w:val="auto"/>
                <w:sz w:val="24"/>
                <w:highlight w:val="none"/>
                <w:u w:val="none"/>
                <w:lang w:val="en-US" w:eastAsia="zh-CN"/>
              </w:rPr>
              <w:t>中</w:t>
            </w:r>
            <w:r>
              <w:rPr>
                <w:rFonts w:ascii="Times New Roman" w:hAnsi="Times New Roman" w:cs="Times New Roman"/>
                <w:color w:val="auto"/>
                <w:sz w:val="24"/>
                <w:highlight w:val="none"/>
                <w:u w:val="none"/>
              </w:rPr>
              <w:t>，</w:t>
            </w:r>
            <w:r>
              <w:rPr>
                <w:rFonts w:hint="eastAsia" w:cs="Times New Roman"/>
                <w:color w:val="auto"/>
                <w:sz w:val="24"/>
                <w:highlight w:val="none"/>
                <w:u w:val="none"/>
                <w:lang w:val="en-US" w:eastAsia="zh-CN"/>
              </w:rPr>
              <w:t>2023年</w:t>
            </w:r>
            <w:r>
              <w:rPr>
                <w:rFonts w:ascii="Times New Roman" w:hAnsi="Times New Roman" w:cs="Times New Roman"/>
                <w:color w:val="auto"/>
                <w:sz w:val="24"/>
                <w:highlight w:val="none"/>
                <w:u w:val="none"/>
                <w:lang w:val="en-US" w:eastAsia="zh-CN"/>
              </w:rPr>
              <w:t>遂宁市河流水质评价结果表，郪江口</w:t>
            </w:r>
            <w:r>
              <w:rPr>
                <w:rFonts w:ascii="Times New Roman" w:hAnsi="Times New Roman" w:cs="Times New Roman"/>
                <w:color w:val="auto"/>
                <w:sz w:val="24"/>
                <w:highlight w:val="none"/>
                <w:u w:val="none"/>
              </w:rPr>
              <w:t>控制断面水质</w:t>
            </w:r>
            <w:r>
              <w:rPr>
                <w:rFonts w:ascii="Times New Roman" w:hAnsi="Times New Roman" w:cs="Times New Roman"/>
                <w:color w:val="auto"/>
                <w:sz w:val="24"/>
                <w:highlight w:val="none"/>
                <w:u w:val="none"/>
                <w:lang w:val="en-US" w:eastAsia="zh-CN"/>
              </w:rPr>
              <w:t>调查</w:t>
            </w:r>
            <w:bookmarkEnd w:id="19"/>
            <w:r>
              <w:rPr>
                <w:rFonts w:ascii="Times New Roman" w:hAnsi="Times New Roman" w:cs="Times New Roman"/>
                <w:color w:val="auto"/>
                <w:kern w:val="0"/>
                <w:sz w:val="24"/>
                <w:highlight w:val="none"/>
                <w:u w:val="none"/>
              </w:rPr>
              <w:t>统计如下：</w:t>
            </w:r>
          </w:p>
          <w:p w14:paraId="0548FD45">
            <w:pPr>
              <w:pStyle w:val="132"/>
              <w:bidi w:val="0"/>
              <w:rPr>
                <w:rFonts w:ascii="Times New Roman" w:hAnsi="Times New Roman" w:cs="Times New Roman"/>
                <w:color w:val="auto"/>
                <w:sz w:val="21"/>
                <w:szCs w:val="21"/>
                <w:highlight w:val="none"/>
                <w:u w:val="none"/>
                <w:lang w:val="en-US"/>
              </w:rPr>
            </w:pPr>
            <w:r>
              <w:rPr>
                <w:rFonts w:hint="eastAsia" w:cs="Times New Roman"/>
                <w:b/>
                <w:color w:val="auto"/>
                <w:sz w:val="21"/>
                <w:szCs w:val="21"/>
                <w:highlight w:val="none"/>
                <w:u w:val="none"/>
                <w:lang w:val="en-US" w:eastAsia="zh-CN"/>
              </w:rPr>
              <w:t>2023年</w:t>
            </w:r>
            <w:r>
              <w:rPr>
                <w:rFonts w:ascii="Times New Roman" w:hAnsi="Times New Roman" w:cs="Times New Roman"/>
                <w:b/>
                <w:color w:val="auto"/>
                <w:sz w:val="21"/>
                <w:szCs w:val="21"/>
                <w:highlight w:val="none"/>
                <w:u w:val="none"/>
                <w:lang w:val="en-US" w:eastAsia="zh-CN"/>
              </w:rPr>
              <w:t>遂宁市河流水质评价结果表</w:t>
            </w:r>
          </w:p>
          <w:tbl>
            <w:tblPr>
              <w:tblStyle w:val="27"/>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890"/>
              <w:gridCol w:w="1085"/>
              <w:gridCol w:w="1392"/>
              <w:gridCol w:w="1305"/>
              <w:gridCol w:w="1105"/>
              <w:gridCol w:w="1347"/>
            </w:tblGrid>
            <w:tr w14:paraId="7E80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256" w:type="dxa"/>
                  <w:noWrap/>
                  <w:vAlign w:val="center"/>
                </w:tcPr>
                <w:p w14:paraId="2B9A405C">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b/>
                      <w:bCs/>
                      <w:color w:val="auto"/>
                      <w:highlight w:val="none"/>
                      <w:u w:val="none"/>
                      <w:lang w:val="en-US" w:eastAsia="zh-CN"/>
                    </w:rPr>
                  </w:pPr>
                  <w:r>
                    <w:rPr>
                      <w:rFonts w:ascii="Times New Roman" w:hAnsi="Times New Roman" w:cs="Times New Roman"/>
                      <w:b/>
                      <w:bCs/>
                      <w:color w:val="auto"/>
                      <w:highlight w:val="none"/>
                      <w:u w:val="none"/>
                      <w:lang w:val="en-US" w:eastAsia="zh-CN"/>
                    </w:rPr>
                    <w:t>断面名称</w:t>
                  </w:r>
                </w:p>
              </w:tc>
              <w:tc>
                <w:tcPr>
                  <w:tcW w:w="891" w:type="dxa"/>
                  <w:noWrap/>
                  <w:vAlign w:val="center"/>
                </w:tcPr>
                <w:p w14:paraId="63F10602">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b/>
                      <w:bCs/>
                      <w:color w:val="auto"/>
                      <w:highlight w:val="none"/>
                      <w:u w:val="none"/>
                      <w:lang w:val="en-US" w:eastAsia="zh-CN"/>
                    </w:rPr>
                  </w:pPr>
                  <w:r>
                    <w:rPr>
                      <w:rFonts w:ascii="Times New Roman" w:hAnsi="Times New Roman" w:cs="Times New Roman"/>
                      <w:b/>
                      <w:bCs/>
                      <w:color w:val="auto"/>
                      <w:highlight w:val="none"/>
                      <w:u w:val="none"/>
                      <w:lang w:val="en-US" w:eastAsia="zh-CN"/>
                    </w:rPr>
                    <w:t>所在地</w:t>
                  </w:r>
                </w:p>
              </w:tc>
              <w:tc>
                <w:tcPr>
                  <w:tcW w:w="1086" w:type="dxa"/>
                  <w:noWrap/>
                  <w:vAlign w:val="center"/>
                </w:tcPr>
                <w:p w14:paraId="1CF277D3">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b/>
                      <w:bCs/>
                      <w:color w:val="auto"/>
                      <w:highlight w:val="none"/>
                      <w:u w:val="none"/>
                      <w:lang w:val="en-US" w:eastAsia="zh-CN"/>
                    </w:rPr>
                  </w:pPr>
                  <w:r>
                    <w:rPr>
                      <w:rFonts w:ascii="Times New Roman" w:hAnsi="Times New Roman" w:cs="Times New Roman"/>
                      <w:b/>
                      <w:bCs/>
                      <w:color w:val="auto"/>
                      <w:highlight w:val="none"/>
                      <w:u w:val="none"/>
                      <w:lang w:val="en-US" w:eastAsia="zh-CN"/>
                    </w:rPr>
                    <w:t>规定类别</w:t>
                  </w:r>
                </w:p>
              </w:tc>
              <w:tc>
                <w:tcPr>
                  <w:tcW w:w="1393" w:type="dxa"/>
                  <w:noWrap/>
                  <w:vAlign w:val="center"/>
                </w:tcPr>
                <w:p w14:paraId="720A701E">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b/>
                      <w:bCs/>
                      <w:color w:val="auto"/>
                      <w:highlight w:val="none"/>
                      <w:u w:val="none"/>
                    </w:rPr>
                  </w:pPr>
                  <w:r>
                    <w:rPr>
                      <w:rFonts w:ascii="Times New Roman" w:hAnsi="Times New Roman" w:cs="Times New Roman"/>
                      <w:b/>
                      <w:bCs/>
                      <w:color w:val="auto"/>
                      <w:highlight w:val="none"/>
                      <w:u w:val="none"/>
                      <w:lang w:val="en-US" w:eastAsia="zh-CN"/>
                    </w:rPr>
                    <w:t>202</w:t>
                  </w:r>
                  <w:r>
                    <w:rPr>
                      <w:rFonts w:hint="eastAsia" w:cs="Times New Roman"/>
                      <w:b/>
                      <w:bCs/>
                      <w:color w:val="auto"/>
                      <w:highlight w:val="none"/>
                      <w:u w:val="none"/>
                      <w:lang w:val="en-US" w:eastAsia="zh-CN"/>
                    </w:rPr>
                    <w:t>2</w:t>
                  </w:r>
                  <w:r>
                    <w:rPr>
                      <w:rFonts w:ascii="Times New Roman" w:hAnsi="Times New Roman" w:cs="Times New Roman"/>
                      <w:b/>
                      <w:bCs/>
                      <w:color w:val="auto"/>
                      <w:highlight w:val="none"/>
                      <w:u w:val="none"/>
                      <w:lang w:val="en-US" w:eastAsia="zh-CN"/>
                    </w:rPr>
                    <w:t>年度类别</w:t>
                  </w:r>
                </w:p>
              </w:tc>
              <w:tc>
                <w:tcPr>
                  <w:tcW w:w="1306" w:type="dxa"/>
                  <w:noWrap/>
                  <w:vAlign w:val="center"/>
                </w:tcPr>
                <w:p w14:paraId="4F7C3349">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b/>
                      <w:bCs/>
                      <w:color w:val="auto"/>
                      <w:highlight w:val="none"/>
                      <w:u w:val="none"/>
                      <w:lang w:val="en-US" w:eastAsia="zh-CN"/>
                    </w:rPr>
                  </w:pPr>
                  <w:r>
                    <w:rPr>
                      <w:rFonts w:hint="eastAsia" w:cs="Times New Roman"/>
                      <w:b/>
                      <w:bCs/>
                      <w:color w:val="auto"/>
                      <w:highlight w:val="none"/>
                      <w:u w:val="none"/>
                      <w:lang w:val="en-US" w:eastAsia="zh-CN"/>
                    </w:rPr>
                    <w:t>2023年</w:t>
                  </w:r>
                  <w:r>
                    <w:rPr>
                      <w:rFonts w:ascii="Times New Roman" w:hAnsi="Times New Roman" w:cs="Times New Roman"/>
                      <w:b/>
                      <w:bCs/>
                      <w:color w:val="auto"/>
                      <w:highlight w:val="none"/>
                      <w:u w:val="none"/>
                      <w:lang w:val="en-US" w:eastAsia="zh-CN"/>
                    </w:rPr>
                    <w:t>度类别</w:t>
                  </w:r>
                </w:p>
              </w:tc>
              <w:tc>
                <w:tcPr>
                  <w:tcW w:w="1106" w:type="dxa"/>
                  <w:noWrap/>
                  <w:vAlign w:val="center"/>
                </w:tcPr>
                <w:p w14:paraId="75FAA715">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b/>
                      <w:bCs/>
                      <w:color w:val="auto"/>
                      <w:highlight w:val="none"/>
                      <w:u w:val="none"/>
                    </w:rPr>
                  </w:pPr>
                  <w:r>
                    <w:rPr>
                      <w:rFonts w:ascii="Times New Roman" w:hAnsi="Times New Roman" w:cs="Times New Roman"/>
                      <w:b/>
                      <w:bCs/>
                      <w:color w:val="auto"/>
                      <w:highlight w:val="none"/>
                      <w:u w:val="none"/>
                    </w:rPr>
                    <w:t>是否达标</w:t>
                  </w:r>
                </w:p>
              </w:tc>
              <w:tc>
                <w:tcPr>
                  <w:tcW w:w="1347" w:type="dxa"/>
                  <w:noWrap/>
                  <w:vAlign w:val="center"/>
                </w:tcPr>
                <w:p w14:paraId="24E1C699">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b/>
                      <w:bCs/>
                      <w:color w:val="auto"/>
                      <w:highlight w:val="none"/>
                      <w:u w:val="none"/>
                      <w:lang w:val="en-US" w:eastAsia="zh-CN"/>
                    </w:rPr>
                  </w:pPr>
                  <w:r>
                    <w:rPr>
                      <w:rFonts w:ascii="Times New Roman" w:hAnsi="Times New Roman" w:cs="Times New Roman"/>
                      <w:b/>
                      <w:bCs/>
                      <w:color w:val="auto"/>
                      <w:highlight w:val="none"/>
                      <w:u w:val="none"/>
                      <w:lang w:val="en-US" w:eastAsia="zh-CN"/>
                    </w:rPr>
                    <w:t>主要污染指标/超标倍数</w:t>
                  </w:r>
                </w:p>
              </w:tc>
            </w:tr>
            <w:tr w14:paraId="725C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56" w:type="dxa"/>
                  <w:noWrap/>
                  <w:vAlign w:val="center"/>
                </w:tcPr>
                <w:p w14:paraId="065BF3D5">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highlight w:val="none"/>
                      <w:u w:val="none"/>
                      <w:lang w:val="en-US" w:eastAsia="zh-CN"/>
                    </w:rPr>
                  </w:pPr>
                  <w:r>
                    <w:rPr>
                      <w:rFonts w:ascii="Times New Roman" w:hAnsi="Times New Roman" w:cs="Times New Roman"/>
                      <w:color w:val="auto"/>
                      <w:highlight w:val="none"/>
                      <w:u w:val="none"/>
                      <w:lang w:val="en-US" w:eastAsia="zh-CN"/>
                    </w:rPr>
                    <w:t>郪江口</w:t>
                  </w:r>
                </w:p>
              </w:tc>
              <w:tc>
                <w:tcPr>
                  <w:tcW w:w="891" w:type="dxa"/>
                  <w:noWrap/>
                  <w:vAlign w:val="center"/>
                </w:tcPr>
                <w:p w14:paraId="529C655F">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highlight w:val="none"/>
                      <w:u w:val="none"/>
                      <w:lang w:val="en-US" w:eastAsia="zh-CN"/>
                    </w:rPr>
                  </w:pPr>
                  <w:r>
                    <w:rPr>
                      <w:rFonts w:ascii="Times New Roman" w:hAnsi="Times New Roman" w:cs="Times New Roman"/>
                      <w:color w:val="auto"/>
                      <w:highlight w:val="none"/>
                      <w:u w:val="none"/>
                      <w:lang w:val="en-US" w:eastAsia="zh-CN"/>
                    </w:rPr>
                    <w:t>大英县</w:t>
                  </w:r>
                </w:p>
              </w:tc>
              <w:tc>
                <w:tcPr>
                  <w:tcW w:w="1086" w:type="dxa"/>
                  <w:noWrap/>
                  <w:vAlign w:val="center"/>
                </w:tcPr>
                <w:p w14:paraId="2AC83A20">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highlight w:val="none"/>
                      <w:u w:val="none"/>
                    </w:rPr>
                  </w:pPr>
                  <w:r>
                    <w:rPr>
                      <w:rFonts w:ascii="Times New Roman" w:hAnsi="Times New Roman" w:cs="Times New Roman"/>
                      <w:color w:val="auto"/>
                      <w:highlight w:val="none"/>
                      <w:u w:val="none"/>
                    </w:rPr>
                    <w:t>Ⅲ</w:t>
                  </w:r>
                </w:p>
              </w:tc>
              <w:tc>
                <w:tcPr>
                  <w:tcW w:w="1393" w:type="dxa"/>
                  <w:noWrap/>
                  <w:vAlign w:val="center"/>
                </w:tcPr>
                <w:p w14:paraId="678CF355">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highlight w:val="none"/>
                      <w:u w:val="none"/>
                    </w:rPr>
                  </w:pPr>
                  <w:r>
                    <w:rPr>
                      <w:rFonts w:ascii="Times New Roman" w:hAnsi="Times New Roman" w:cs="Times New Roman"/>
                      <w:color w:val="auto"/>
                      <w:highlight w:val="none"/>
                      <w:u w:val="none"/>
                    </w:rPr>
                    <w:t>Ⅲ</w:t>
                  </w:r>
                </w:p>
              </w:tc>
              <w:tc>
                <w:tcPr>
                  <w:tcW w:w="1306" w:type="dxa"/>
                  <w:noWrap/>
                  <w:vAlign w:val="center"/>
                </w:tcPr>
                <w:p w14:paraId="20E31940">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highlight w:val="none"/>
                      <w:u w:val="none"/>
                    </w:rPr>
                  </w:pPr>
                  <w:r>
                    <w:rPr>
                      <w:rFonts w:ascii="Times New Roman" w:hAnsi="Times New Roman" w:cs="Times New Roman"/>
                      <w:color w:val="auto"/>
                      <w:highlight w:val="none"/>
                      <w:u w:val="none"/>
                    </w:rPr>
                    <w:t>Ⅲ</w:t>
                  </w:r>
                </w:p>
              </w:tc>
              <w:tc>
                <w:tcPr>
                  <w:tcW w:w="1106" w:type="dxa"/>
                  <w:noWrap/>
                  <w:vAlign w:val="center"/>
                </w:tcPr>
                <w:p w14:paraId="6F332473">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highlight w:val="none"/>
                      <w:u w:val="none"/>
                    </w:rPr>
                  </w:pPr>
                  <w:r>
                    <w:rPr>
                      <w:rFonts w:ascii="Times New Roman" w:hAnsi="Times New Roman" w:cs="Times New Roman"/>
                      <w:color w:val="auto"/>
                      <w:highlight w:val="none"/>
                      <w:u w:val="none"/>
                    </w:rPr>
                    <w:t>达标</w:t>
                  </w:r>
                </w:p>
              </w:tc>
              <w:tc>
                <w:tcPr>
                  <w:tcW w:w="1347" w:type="dxa"/>
                  <w:noWrap/>
                  <w:vAlign w:val="center"/>
                </w:tcPr>
                <w:p w14:paraId="34169D18">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highlight w:val="none"/>
                      <w:u w:val="none"/>
                      <w:lang w:val="en-US" w:eastAsia="zh-CN"/>
                    </w:rPr>
                  </w:pPr>
                  <w:r>
                    <w:rPr>
                      <w:rFonts w:ascii="Times New Roman" w:hAnsi="Times New Roman" w:cs="Times New Roman"/>
                      <w:color w:val="auto"/>
                      <w:highlight w:val="none"/>
                      <w:u w:val="none"/>
                      <w:lang w:val="en-US" w:eastAsia="zh-CN"/>
                    </w:rPr>
                    <w:t>/</w:t>
                  </w:r>
                </w:p>
              </w:tc>
            </w:tr>
            <w:tr w14:paraId="6837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385" w:type="dxa"/>
                  <w:gridSpan w:val="7"/>
                  <w:noWrap/>
                  <w:vAlign w:val="center"/>
                </w:tcPr>
                <w:p w14:paraId="66065270">
                  <w:pPr>
                    <w:keepNext w:val="0"/>
                    <w:keepLines w:val="0"/>
                    <w:pageBreakBefore w:val="0"/>
                    <w:widowControl w:val="0"/>
                    <w:kinsoku/>
                    <w:wordWrap/>
                    <w:overflowPunct/>
                    <w:topLinePunct w:val="0"/>
                    <w:autoSpaceDE/>
                    <w:autoSpaceDN/>
                    <w:bidi w:val="0"/>
                    <w:adjustRightInd w:val="0"/>
                    <w:snapToGrid w:val="0"/>
                    <w:spacing w:line="240" w:lineRule="auto"/>
                    <w:ind w:left="0" w:firstLine="0"/>
                    <w:jc w:val="left"/>
                    <w:textAlignment w:val="auto"/>
                    <w:rPr>
                      <w:rFonts w:ascii="Times New Roman" w:hAnsi="Times New Roman" w:cs="Times New Roman"/>
                      <w:color w:val="auto"/>
                      <w:highlight w:val="none"/>
                      <w:u w:val="none"/>
                      <w:lang w:val="en-US" w:eastAsia="zh-CN"/>
                    </w:rPr>
                  </w:pPr>
                  <w:r>
                    <w:rPr>
                      <w:rFonts w:ascii="Times New Roman" w:hAnsi="Times New Roman" w:eastAsia="宋体" w:cs="Times New Roman"/>
                      <w:color w:val="auto"/>
                      <w:sz w:val="21"/>
                      <w:szCs w:val="21"/>
                      <w:highlight w:val="none"/>
                      <w:u w:val="none"/>
                      <w:lang w:val="en-US" w:eastAsia="zh-CN"/>
                    </w:rPr>
                    <w:t>注：</w:t>
                  </w:r>
                  <w:r>
                    <w:rPr>
                      <w:rFonts w:ascii="Times New Roman" w:hAnsi="Times New Roman" w:eastAsia="宋体" w:cs="Times New Roman"/>
                      <w:color w:val="auto"/>
                      <w:sz w:val="21"/>
                      <w:szCs w:val="21"/>
                      <w:highlight w:val="none"/>
                      <w:u w:val="none"/>
                      <w:lang w:val="en-US" w:eastAsia="zh-CN"/>
                    </w:rPr>
                    <w:fldChar w:fldCharType="begin"/>
                  </w:r>
                  <w:r>
                    <w:rPr>
                      <w:rFonts w:ascii="Times New Roman" w:hAnsi="Times New Roman" w:eastAsia="宋体" w:cs="Times New Roman"/>
                      <w:color w:val="auto"/>
                      <w:sz w:val="21"/>
                      <w:szCs w:val="21"/>
                      <w:highlight w:val="none"/>
                      <w:u w:val="none"/>
                      <w:lang w:val="en-US" w:eastAsia="zh-CN"/>
                    </w:rPr>
                    <w:instrText xml:space="preserve"> = 1 \* GB3 \* MERGEFORMAT </w:instrText>
                  </w:r>
                  <w:r>
                    <w:rPr>
                      <w:rFonts w:ascii="Times New Roman" w:hAnsi="Times New Roman" w:eastAsia="宋体" w:cs="Times New Roman"/>
                      <w:color w:val="auto"/>
                      <w:sz w:val="21"/>
                      <w:szCs w:val="21"/>
                      <w:highlight w:val="none"/>
                      <w:u w:val="none"/>
                      <w:lang w:val="en-US" w:eastAsia="zh-CN"/>
                    </w:rPr>
                    <w:fldChar w:fldCharType="separate"/>
                  </w:r>
                  <w:r>
                    <w:rPr>
                      <w:rFonts w:ascii="Times New Roman" w:hAnsi="Times New Roman" w:eastAsia="宋体" w:cs="Times New Roman"/>
                      <w:color w:val="auto"/>
                      <w:sz w:val="21"/>
                      <w:szCs w:val="21"/>
                      <w:highlight w:val="none"/>
                      <w:u w:val="none"/>
                    </w:rPr>
                    <w:t>①</w:t>
                  </w:r>
                  <w:r>
                    <w:rPr>
                      <w:rFonts w:ascii="Times New Roman" w:hAnsi="Times New Roman" w:eastAsia="宋体" w:cs="Times New Roman"/>
                      <w:color w:val="auto"/>
                      <w:sz w:val="21"/>
                      <w:szCs w:val="21"/>
                      <w:highlight w:val="none"/>
                      <w:u w:val="none"/>
                      <w:lang w:val="en-US" w:eastAsia="zh-CN"/>
                    </w:rPr>
                    <w:fldChar w:fldCharType="end"/>
                  </w:r>
                  <w:r>
                    <w:rPr>
                      <w:rFonts w:ascii="Times New Roman" w:hAnsi="Times New Roman" w:eastAsia="宋体" w:cs="Times New Roman"/>
                      <w:color w:val="auto"/>
                      <w:sz w:val="21"/>
                      <w:szCs w:val="21"/>
                      <w:highlight w:val="none"/>
                      <w:u w:val="none"/>
                      <w:lang w:val="en-US" w:eastAsia="zh-CN"/>
                    </w:rPr>
                    <w:t>郪江水域功能类别执行《地表水环境质量标准》（GB3838-2002）中的</w:t>
                  </w:r>
                  <w:r>
                    <w:rPr>
                      <w:rFonts w:ascii="Times New Roman" w:hAnsi="Times New Roman" w:eastAsia="宋体" w:cs="Times New Roman"/>
                      <w:color w:val="auto"/>
                      <w:sz w:val="21"/>
                      <w:szCs w:val="21"/>
                      <w:highlight w:val="none"/>
                      <w:u w:val="none"/>
                    </w:rPr>
                    <w:t>Ⅲ类水质标准</w:t>
                  </w:r>
                  <w:r>
                    <w:rPr>
                      <w:rFonts w:hint="eastAsia" w:cs="Times New Roman"/>
                      <w:color w:val="auto"/>
                      <w:sz w:val="21"/>
                      <w:szCs w:val="21"/>
                      <w:highlight w:val="none"/>
                      <w:u w:val="none"/>
                      <w:lang w:eastAsia="zh-CN"/>
                    </w:rPr>
                    <w:t>；</w:t>
                  </w:r>
                  <w:r>
                    <w:rPr>
                      <w:rFonts w:ascii="Times New Roman" w:hAnsi="Times New Roman" w:eastAsia="宋体" w:cs="Times New Roman"/>
                      <w:color w:val="auto"/>
                      <w:sz w:val="21"/>
                      <w:szCs w:val="21"/>
                      <w:highlight w:val="none"/>
                      <w:u w:val="none"/>
                      <w:lang w:val="en-US" w:eastAsia="zh-CN"/>
                    </w:rPr>
                    <w:fldChar w:fldCharType="begin"/>
                  </w:r>
                  <w:r>
                    <w:rPr>
                      <w:rFonts w:ascii="Times New Roman" w:hAnsi="Times New Roman" w:eastAsia="宋体" w:cs="Times New Roman"/>
                      <w:color w:val="auto"/>
                      <w:sz w:val="21"/>
                      <w:szCs w:val="21"/>
                      <w:highlight w:val="none"/>
                      <w:u w:val="none"/>
                      <w:lang w:val="en-US" w:eastAsia="zh-CN"/>
                    </w:rPr>
                    <w:instrText xml:space="preserve"> = 2 \* GB3 \* MERGEFORMAT </w:instrText>
                  </w:r>
                  <w:r>
                    <w:rPr>
                      <w:rFonts w:ascii="Times New Roman" w:hAnsi="Times New Roman" w:eastAsia="宋体" w:cs="Times New Roman"/>
                      <w:color w:val="auto"/>
                      <w:sz w:val="21"/>
                      <w:szCs w:val="21"/>
                      <w:highlight w:val="none"/>
                      <w:u w:val="none"/>
                      <w:lang w:val="en-US" w:eastAsia="zh-CN"/>
                    </w:rPr>
                    <w:fldChar w:fldCharType="separate"/>
                  </w:r>
                  <w:r>
                    <w:rPr>
                      <w:rFonts w:ascii="Times New Roman" w:hAnsi="Times New Roman" w:eastAsia="宋体" w:cs="Times New Roman"/>
                      <w:color w:val="auto"/>
                      <w:sz w:val="21"/>
                      <w:szCs w:val="21"/>
                      <w:highlight w:val="none"/>
                      <w:u w:val="none"/>
                    </w:rPr>
                    <w:t>②</w:t>
                  </w:r>
                  <w:r>
                    <w:rPr>
                      <w:rFonts w:ascii="Times New Roman" w:hAnsi="Times New Roman" w:eastAsia="宋体" w:cs="Times New Roman"/>
                      <w:color w:val="auto"/>
                      <w:sz w:val="21"/>
                      <w:szCs w:val="21"/>
                      <w:highlight w:val="none"/>
                      <w:u w:val="none"/>
                      <w:lang w:val="en-US" w:eastAsia="zh-CN"/>
                    </w:rPr>
                    <w:fldChar w:fldCharType="end"/>
                  </w:r>
                  <w:r>
                    <w:rPr>
                      <w:rFonts w:ascii="Times New Roman" w:hAnsi="Times New Roman" w:eastAsia="宋体" w:cs="Times New Roman"/>
                      <w:b w:val="0"/>
                      <w:bCs w:val="0"/>
                      <w:color w:val="auto"/>
                      <w:spacing w:val="-6"/>
                      <w:sz w:val="21"/>
                      <w:szCs w:val="21"/>
                      <w:highlight w:val="none"/>
                      <w:u w:val="none"/>
                      <w:vertAlign w:val="baseline"/>
                    </w:rPr>
                    <w:t>超过Ⅲ类水质标准的指标为断面污染指标</w:t>
                  </w:r>
                  <w:r>
                    <w:rPr>
                      <w:rFonts w:ascii="Times New Roman" w:hAnsi="Times New Roman" w:eastAsia="宋体" w:cs="Times New Roman"/>
                      <w:b w:val="0"/>
                      <w:bCs w:val="0"/>
                      <w:color w:val="auto"/>
                      <w:spacing w:val="-6"/>
                      <w:sz w:val="21"/>
                      <w:szCs w:val="21"/>
                      <w:highlight w:val="none"/>
                      <w:u w:val="none"/>
                      <w:vertAlign w:val="baseline"/>
                      <w:lang w:eastAsia="zh-CN"/>
                    </w:rPr>
                    <w:t>，</w:t>
                  </w:r>
                  <w:r>
                    <w:rPr>
                      <w:rFonts w:ascii="Times New Roman" w:hAnsi="Times New Roman" w:eastAsia="宋体" w:cs="Times New Roman"/>
                      <w:b w:val="0"/>
                      <w:bCs w:val="0"/>
                      <w:color w:val="auto"/>
                      <w:spacing w:val="-6"/>
                      <w:sz w:val="21"/>
                      <w:szCs w:val="21"/>
                      <w:highlight w:val="none"/>
                      <w:u w:val="none"/>
                      <w:vertAlign w:val="baseline"/>
                    </w:rPr>
                    <w:t>取超标倍数最大的前三项为主要污染指标。</w:t>
                  </w:r>
                </w:p>
              </w:tc>
            </w:tr>
          </w:tbl>
          <w:p w14:paraId="5303D01B">
            <w:pPr>
              <w:spacing w:line="360" w:lineRule="auto"/>
              <w:ind w:firstLine="480" w:firstLineChars="200"/>
              <w:rPr>
                <w:rFonts w:hint="eastAsia"/>
                <w:bCs/>
                <w:color w:val="auto"/>
                <w:sz w:val="24"/>
                <w:szCs w:val="22"/>
                <w:highlight w:val="none"/>
                <w:lang w:eastAsia="zh-CN"/>
              </w:rPr>
            </w:pPr>
            <w:r>
              <w:rPr>
                <w:rFonts w:hint="eastAsia"/>
                <w:bCs/>
                <w:color w:val="auto"/>
                <w:sz w:val="24"/>
                <w:szCs w:val="22"/>
                <w:highlight w:val="none"/>
              </w:rPr>
              <w:t>监测结果表明：</w:t>
            </w:r>
            <w:r>
              <w:rPr>
                <w:rFonts w:hint="eastAsia"/>
                <w:bCs/>
                <w:color w:val="auto"/>
                <w:sz w:val="24"/>
                <w:szCs w:val="22"/>
                <w:highlight w:val="none"/>
                <w:lang w:val="en-US" w:eastAsia="zh-CN"/>
              </w:rPr>
              <w:t>郪江口</w:t>
            </w:r>
            <w:r>
              <w:rPr>
                <w:rFonts w:hint="eastAsia"/>
                <w:bCs/>
                <w:color w:val="auto"/>
                <w:sz w:val="24"/>
                <w:szCs w:val="22"/>
                <w:highlight w:val="none"/>
                <w:lang w:eastAsia="zh-CN"/>
              </w:rPr>
              <w:t>控制断面</w:t>
            </w:r>
            <w:r>
              <w:rPr>
                <w:rFonts w:hint="eastAsia"/>
                <w:bCs/>
                <w:color w:val="auto"/>
                <w:sz w:val="24"/>
                <w:szCs w:val="22"/>
                <w:highlight w:val="none"/>
              </w:rPr>
              <w:t>监测断面满足《地表水环境质量标准》（GB3838-2002）Ⅲ类水质标准</w:t>
            </w:r>
            <w:r>
              <w:rPr>
                <w:rFonts w:hint="eastAsia"/>
                <w:bCs/>
                <w:color w:val="auto"/>
                <w:sz w:val="24"/>
                <w:szCs w:val="22"/>
                <w:highlight w:val="none"/>
                <w:lang w:eastAsia="zh-CN"/>
              </w:rPr>
              <w:t>，</w:t>
            </w:r>
            <w:r>
              <w:rPr>
                <w:rFonts w:hint="eastAsia"/>
                <w:bCs/>
                <w:color w:val="auto"/>
                <w:sz w:val="24"/>
                <w:szCs w:val="22"/>
                <w:highlight w:val="none"/>
                <w:lang w:val="en-US" w:eastAsia="zh-CN"/>
              </w:rPr>
              <w:t>故项目所在区域地表水环境质量较好</w:t>
            </w:r>
            <w:r>
              <w:rPr>
                <w:rFonts w:hint="eastAsia"/>
                <w:bCs/>
                <w:color w:val="auto"/>
                <w:sz w:val="24"/>
                <w:szCs w:val="22"/>
                <w:highlight w:val="none"/>
                <w:lang w:eastAsia="zh-CN"/>
              </w:rPr>
              <w:t>。</w:t>
            </w:r>
          </w:p>
          <w:p w14:paraId="4ABBB2F4">
            <w:pPr>
              <w:spacing w:line="360" w:lineRule="auto"/>
              <w:ind w:firstLine="482" w:firstLineChars="200"/>
              <w:rPr>
                <w:b/>
                <w:color w:val="auto"/>
                <w:kern w:val="0"/>
                <w:sz w:val="24"/>
                <w:highlight w:val="none"/>
              </w:rPr>
            </w:pPr>
            <w:r>
              <w:rPr>
                <w:b/>
                <w:color w:val="auto"/>
                <w:kern w:val="0"/>
                <w:sz w:val="24"/>
                <w:highlight w:val="none"/>
                <w:lang w:bidi="ar"/>
              </w:rPr>
              <w:t>3、声环境质量现状</w:t>
            </w:r>
            <w:bookmarkEnd w:id="20"/>
          </w:p>
          <w:p w14:paraId="240DA1F0">
            <w:pPr>
              <w:spacing w:line="360" w:lineRule="auto"/>
              <w:ind w:firstLine="480" w:firstLineChars="200"/>
              <w:rPr>
                <w:bCs/>
                <w:color w:val="auto"/>
                <w:sz w:val="24"/>
                <w:szCs w:val="22"/>
                <w:highlight w:val="none"/>
              </w:rPr>
            </w:pPr>
            <w:r>
              <w:rPr>
                <w:rFonts w:hint="eastAsia"/>
                <w:bCs/>
                <w:color w:val="auto"/>
                <w:sz w:val="24"/>
                <w:szCs w:val="22"/>
                <w:highlight w:val="none"/>
              </w:rPr>
              <w:t>本项目周边50m范围内无声环境保护目标，根据《建设项目环境影响报告表编制技术指南（污染影响类）（试行）》，可不开展声环境质量现状监测和达标分析。</w:t>
            </w:r>
          </w:p>
          <w:p w14:paraId="31D7C510">
            <w:pPr>
              <w:spacing w:line="360" w:lineRule="auto"/>
              <w:ind w:firstLine="482" w:firstLineChars="200"/>
              <w:rPr>
                <w:b/>
                <w:color w:val="auto"/>
                <w:kern w:val="0"/>
                <w:sz w:val="24"/>
                <w:highlight w:val="none"/>
              </w:rPr>
            </w:pPr>
            <w:r>
              <w:rPr>
                <w:b/>
                <w:bCs/>
                <w:color w:val="auto"/>
                <w:kern w:val="0"/>
                <w:sz w:val="24"/>
                <w:highlight w:val="none"/>
                <w:lang w:bidi="ar"/>
              </w:rPr>
              <w:t>4、</w:t>
            </w:r>
            <w:r>
              <w:rPr>
                <w:b/>
                <w:color w:val="auto"/>
                <w:kern w:val="0"/>
                <w:sz w:val="24"/>
                <w:highlight w:val="none"/>
                <w:lang w:bidi="ar"/>
              </w:rPr>
              <w:t>生态环境</w:t>
            </w:r>
          </w:p>
          <w:p w14:paraId="52D338D3">
            <w:pPr>
              <w:adjustRightInd w:val="0"/>
              <w:snapToGrid w:val="0"/>
              <w:spacing w:line="360" w:lineRule="auto"/>
              <w:ind w:firstLine="480" w:firstLineChars="200"/>
              <w:jc w:val="left"/>
              <w:rPr>
                <w:color w:val="auto"/>
                <w:sz w:val="24"/>
                <w:szCs w:val="20"/>
                <w:highlight w:val="none"/>
                <w:lang w:bidi="ar"/>
              </w:rPr>
            </w:pPr>
            <w:r>
              <w:rPr>
                <w:rFonts w:hint="eastAsia"/>
                <w:color w:val="auto"/>
                <w:sz w:val="24"/>
                <w:szCs w:val="20"/>
                <w:highlight w:val="none"/>
                <w:lang w:bidi="ar"/>
              </w:rPr>
              <w:t>根据《建设项目环境影响报告表编制技术指南》（污染影响类）（试行），“产业园区外建设项目新增用地且用地范围内含有生态环境保护目标时，应进行生态现状调查”。</w:t>
            </w:r>
          </w:p>
          <w:p w14:paraId="77C356D8">
            <w:pPr>
              <w:adjustRightInd w:val="0"/>
              <w:snapToGrid w:val="0"/>
              <w:spacing w:line="360" w:lineRule="auto"/>
              <w:ind w:firstLine="480" w:firstLineChars="200"/>
              <w:jc w:val="left"/>
              <w:rPr>
                <w:color w:val="auto"/>
                <w:sz w:val="24"/>
                <w:szCs w:val="20"/>
                <w:highlight w:val="none"/>
                <w:lang w:bidi="ar"/>
              </w:rPr>
            </w:pPr>
            <w:r>
              <w:rPr>
                <w:rFonts w:ascii="Times New Roman" w:hAnsi="Times New Roman" w:cs="Times New Roman"/>
                <w:color w:val="auto"/>
                <w:sz w:val="24"/>
                <w:szCs w:val="22"/>
                <w:highlight w:val="none"/>
              </w:rPr>
              <w:t>项目所在区域主要以工业企业为主，</w:t>
            </w:r>
            <w:r>
              <w:rPr>
                <w:rFonts w:hint="eastAsia"/>
                <w:color w:val="auto"/>
                <w:sz w:val="24"/>
                <w:szCs w:val="20"/>
                <w:highlight w:val="none"/>
                <w:lang w:bidi="ar"/>
              </w:rPr>
              <w:t>本项目在现有厂区内进行建设，不新增用地且用地范围内</w:t>
            </w:r>
            <w:r>
              <w:rPr>
                <w:rFonts w:ascii="Times New Roman" w:hAnsi="Times New Roman" w:cs="Times New Roman"/>
                <w:color w:val="auto"/>
                <w:sz w:val="24"/>
                <w:szCs w:val="22"/>
                <w:highlight w:val="none"/>
              </w:rPr>
              <w:t>无重点保护的古树名木</w:t>
            </w:r>
            <w:r>
              <w:rPr>
                <w:rFonts w:hint="eastAsia" w:cs="Times New Roman"/>
                <w:color w:val="auto"/>
                <w:sz w:val="24"/>
                <w:szCs w:val="22"/>
                <w:highlight w:val="none"/>
                <w:lang w:val="en-US" w:eastAsia="zh-CN"/>
              </w:rPr>
              <w:t>等</w:t>
            </w:r>
            <w:r>
              <w:rPr>
                <w:rFonts w:hint="eastAsia"/>
                <w:color w:val="auto"/>
                <w:sz w:val="24"/>
                <w:szCs w:val="20"/>
                <w:highlight w:val="none"/>
                <w:lang w:bidi="ar"/>
              </w:rPr>
              <w:t>生态环境保护目标</w:t>
            </w:r>
            <w:r>
              <w:rPr>
                <w:rFonts w:hint="eastAsia"/>
                <w:color w:val="auto"/>
                <w:sz w:val="24"/>
                <w:szCs w:val="20"/>
                <w:highlight w:val="none"/>
                <w:lang w:eastAsia="zh-CN" w:bidi="ar"/>
              </w:rPr>
              <w:t>，</w:t>
            </w:r>
            <w:r>
              <w:rPr>
                <w:rFonts w:hint="eastAsia"/>
                <w:color w:val="auto"/>
                <w:sz w:val="24"/>
                <w:szCs w:val="20"/>
                <w:highlight w:val="none"/>
                <w:lang w:bidi="ar"/>
              </w:rPr>
              <w:t>因此可不进行生态现状调查。</w:t>
            </w:r>
          </w:p>
        </w:tc>
      </w:tr>
      <w:tr w14:paraId="7D012F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248" w:type="pct"/>
            <w:vAlign w:val="center"/>
          </w:tcPr>
          <w:p w14:paraId="617255D7">
            <w:pPr>
              <w:adjustRightInd w:val="0"/>
              <w:snapToGrid w:val="0"/>
              <w:jc w:val="center"/>
              <w:rPr>
                <w:color w:val="auto"/>
                <w:kern w:val="0"/>
                <w:sz w:val="24"/>
                <w:szCs w:val="24"/>
                <w:highlight w:val="none"/>
              </w:rPr>
            </w:pPr>
            <w:r>
              <w:rPr>
                <w:color w:val="auto"/>
                <w:kern w:val="0"/>
                <w:sz w:val="24"/>
                <w:szCs w:val="24"/>
                <w:highlight w:val="none"/>
              </w:rPr>
              <w:t>环境</w:t>
            </w:r>
          </w:p>
          <w:p w14:paraId="2BF0495B">
            <w:pPr>
              <w:adjustRightInd w:val="0"/>
              <w:snapToGrid w:val="0"/>
              <w:jc w:val="center"/>
              <w:rPr>
                <w:color w:val="auto"/>
                <w:kern w:val="0"/>
                <w:sz w:val="24"/>
                <w:szCs w:val="24"/>
                <w:highlight w:val="none"/>
              </w:rPr>
            </w:pPr>
            <w:r>
              <w:rPr>
                <w:color w:val="auto"/>
                <w:kern w:val="0"/>
                <w:sz w:val="24"/>
                <w:szCs w:val="24"/>
                <w:highlight w:val="none"/>
              </w:rPr>
              <w:t>保护</w:t>
            </w:r>
          </w:p>
          <w:p w14:paraId="7E84C9DC">
            <w:pPr>
              <w:adjustRightInd w:val="0"/>
              <w:snapToGrid w:val="0"/>
              <w:jc w:val="center"/>
              <w:rPr>
                <w:color w:val="auto"/>
                <w:kern w:val="0"/>
                <w:sz w:val="24"/>
                <w:szCs w:val="24"/>
                <w:highlight w:val="none"/>
              </w:rPr>
            </w:pPr>
            <w:r>
              <w:rPr>
                <w:color w:val="auto"/>
                <w:kern w:val="0"/>
                <w:sz w:val="24"/>
                <w:szCs w:val="24"/>
                <w:highlight w:val="none"/>
              </w:rPr>
              <w:t>目标</w:t>
            </w:r>
          </w:p>
        </w:tc>
        <w:tc>
          <w:tcPr>
            <w:tcW w:w="4751" w:type="pct"/>
            <w:vAlign w:val="center"/>
          </w:tcPr>
          <w:p w14:paraId="01DFF684">
            <w:pPr>
              <w:spacing w:line="360" w:lineRule="auto"/>
              <w:rPr>
                <w:b/>
                <w:color w:val="auto"/>
                <w:spacing w:val="-14"/>
                <w:sz w:val="28"/>
                <w:highlight w:val="none"/>
              </w:rPr>
            </w:pPr>
            <w:r>
              <w:rPr>
                <w:b/>
                <w:color w:val="auto"/>
                <w:spacing w:val="-14"/>
                <w:sz w:val="28"/>
                <w:highlight w:val="none"/>
              </w:rPr>
              <w:t>二、主要环境保护目标</w:t>
            </w:r>
          </w:p>
          <w:p w14:paraId="2C8B877B">
            <w:pPr>
              <w:spacing w:line="360" w:lineRule="auto"/>
              <w:ind w:firstLine="480" w:firstLineChars="200"/>
              <w:rPr>
                <w:bCs/>
                <w:color w:val="auto"/>
                <w:sz w:val="24"/>
                <w:szCs w:val="22"/>
                <w:highlight w:val="none"/>
              </w:rPr>
            </w:pPr>
            <w:r>
              <w:rPr>
                <w:color w:val="auto"/>
                <w:sz w:val="24"/>
                <w:highlight w:val="none"/>
              </w:rPr>
              <w:t>大气环境：</w:t>
            </w:r>
            <w:r>
              <w:rPr>
                <w:rFonts w:hint="eastAsia"/>
                <w:bCs/>
                <w:color w:val="auto"/>
                <w:sz w:val="24"/>
                <w:szCs w:val="22"/>
                <w:highlight w:val="none"/>
                <w:lang w:val="en-US" w:eastAsia="zh-CN"/>
              </w:rPr>
              <w:t>项目厂区位于</w:t>
            </w:r>
            <w:r>
              <w:rPr>
                <w:rFonts w:ascii="Times New Roman" w:hAnsi="Times New Roman" w:eastAsia="宋体" w:cs="Times New Roman"/>
                <w:b w:val="0"/>
                <w:color w:val="auto"/>
                <w:sz w:val="24"/>
                <w:szCs w:val="24"/>
                <w:highlight w:val="none"/>
              </w:rPr>
              <w:t>大英县工业集中发展区，周边主要为工业企业及待建工业用地等，无自然保护区、风景名胜区、居住区和农村地区人群较集中区域。</w:t>
            </w:r>
            <w:r>
              <w:rPr>
                <w:color w:val="auto"/>
                <w:sz w:val="24"/>
                <w:highlight w:val="none"/>
              </w:rPr>
              <w:t>项目厂界外500米范围内</w:t>
            </w:r>
            <w:r>
              <w:rPr>
                <w:rFonts w:hint="eastAsia"/>
                <w:color w:val="auto"/>
                <w:sz w:val="24"/>
                <w:highlight w:val="none"/>
                <w:lang w:val="en-US" w:eastAsia="zh-CN"/>
              </w:rPr>
              <w:t>无</w:t>
            </w:r>
            <w:r>
              <w:rPr>
                <w:color w:val="auto"/>
                <w:sz w:val="24"/>
                <w:highlight w:val="none"/>
              </w:rPr>
              <w:t>保护目标</w:t>
            </w:r>
            <w:r>
              <w:rPr>
                <w:rFonts w:hint="eastAsia"/>
                <w:color w:val="auto"/>
                <w:sz w:val="24"/>
                <w:highlight w:val="none"/>
                <w:lang w:eastAsia="zh-CN"/>
              </w:rPr>
              <w:t>，</w:t>
            </w:r>
            <w:r>
              <w:rPr>
                <w:bCs/>
                <w:color w:val="auto"/>
                <w:sz w:val="24"/>
                <w:szCs w:val="22"/>
                <w:highlight w:val="none"/>
              </w:rPr>
              <w:t>环境空气质量达到《环境空气质量标准》（GB3095－2012）中的二级标准限值。</w:t>
            </w:r>
          </w:p>
          <w:p w14:paraId="6187B993">
            <w:pPr>
              <w:spacing w:line="360" w:lineRule="auto"/>
              <w:ind w:firstLine="480" w:firstLineChars="200"/>
              <w:rPr>
                <w:color w:val="auto"/>
                <w:sz w:val="24"/>
                <w:highlight w:val="none"/>
              </w:rPr>
            </w:pPr>
            <w:r>
              <w:rPr>
                <w:color w:val="auto"/>
                <w:sz w:val="24"/>
                <w:highlight w:val="none"/>
              </w:rPr>
              <w:t>声环境：项目厂界外50m无声环境保护目标</w:t>
            </w:r>
            <w:r>
              <w:rPr>
                <w:rFonts w:hint="eastAsia"/>
                <w:color w:val="auto"/>
                <w:sz w:val="24"/>
                <w:highlight w:val="none"/>
                <w:lang w:eastAsia="zh-CN"/>
              </w:rPr>
              <w:t>，</w:t>
            </w:r>
            <w:r>
              <w:rPr>
                <w:color w:val="auto"/>
                <w:sz w:val="24"/>
                <w:highlight w:val="none"/>
              </w:rPr>
              <w:t>声环境执行国家《声环境质量标准》（GB3096-2008）中</w:t>
            </w:r>
            <w:r>
              <w:rPr>
                <w:rFonts w:hint="eastAsia"/>
                <w:color w:val="auto"/>
                <w:sz w:val="24"/>
                <w:highlight w:val="none"/>
              </w:rPr>
              <w:t>3</w:t>
            </w:r>
            <w:r>
              <w:rPr>
                <w:color w:val="auto"/>
                <w:sz w:val="24"/>
                <w:highlight w:val="none"/>
              </w:rPr>
              <w:t>类标准。</w:t>
            </w:r>
          </w:p>
          <w:p w14:paraId="26CB0926">
            <w:pPr>
              <w:adjustRightInd w:val="0"/>
              <w:snapToGrid w:val="0"/>
              <w:spacing w:line="360" w:lineRule="auto"/>
              <w:ind w:firstLine="480" w:firstLineChars="200"/>
              <w:rPr>
                <w:bCs/>
                <w:color w:val="auto"/>
                <w:sz w:val="24"/>
                <w:highlight w:val="none"/>
              </w:rPr>
            </w:pPr>
            <w:r>
              <w:rPr>
                <w:bCs/>
                <w:color w:val="auto"/>
                <w:sz w:val="24"/>
                <w:highlight w:val="none"/>
              </w:rPr>
              <w:t>地下水环境：项目厂界外500米范围内无地下水集中式饮用水水源和热水、矿泉水、温泉等特殊地下水资源，地下水环境执行《地下水质量标准》（GB/T14848-2017）中的</w:t>
            </w:r>
            <w:r>
              <w:rPr>
                <w:rFonts w:hint="eastAsia" w:ascii="宋体" w:hAnsi="宋体" w:cs="宋体"/>
                <w:bCs/>
                <w:color w:val="auto"/>
                <w:sz w:val="24"/>
                <w:highlight w:val="none"/>
              </w:rPr>
              <w:t>Ⅲ</w:t>
            </w:r>
            <w:r>
              <w:rPr>
                <w:bCs/>
                <w:color w:val="auto"/>
                <w:sz w:val="24"/>
                <w:highlight w:val="none"/>
              </w:rPr>
              <w:t>类标准。</w:t>
            </w:r>
          </w:p>
          <w:p w14:paraId="5772E526">
            <w:pPr>
              <w:adjustRightInd w:val="0"/>
              <w:snapToGrid w:val="0"/>
              <w:spacing w:line="360" w:lineRule="auto"/>
              <w:ind w:firstLine="480" w:firstLineChars="200"/>
              <w:rPr>
                <w:bCs/>
                <w:color w:val="auto"/>
                <w:sz w:val="24"/>
                <w:highlight w:val="none"/>
              </w:rPr>
            </w:pPr>
          </w:p>
          <w:p w14:paraId="761DFC49">
            <w:pPr>
              <w:pStyle w:val="132"/>
              <w:bidi w:val="0"/>
              <w:rPr>
                <w:b/>
                <w:color w:val="auto"/>
                <w:szCs w:val="21"/>
                <w:highlight w:val="none"/>
              </w:rPr>
            </w:pPr>
            <w:r>
              <w:rPr>
                <w:b/>
                <w:color w:val="auto"/>
                <w:szCs w:val="21"/>
                <w:highlight w:val="none"/>
              </w:rPr>
              <w:t>主要环境保护目标一览表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
              <w:gridCol w:w="1263"/>
              <w:gridCol w:w="1349"/>
              <w:gridCol w:w="1350"/>
              <w:gridCol w:w="1673"/>
              <w:gridCol w:w="2731"/>
              <w:gridCol w:w="7"/>
            </w:tblGrid>
            <w:tr w14:paraId="79D7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70" w:type="dxa"/>
                  <w:gridSpan w:val="2"/>
                  <w:tcMar>
                    <w:left w:w="28" w:type="dxa"/>
                    <w:right w:w="28" w:type="dxa"/>
                  </w:tcMar>
                  <w:vAlign w:val="center"/>
                </w:tcPr>
                <w:p w14:paraId="03AA9410">
                  <w:pPr>
                    <w:pStyle w:val="147"/>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环境类别</w:t>
                  </w:r>
                </w:p>
              </w:tc>
              <w:tc>
                <w:tcPr>
                  <w:tcW w:w="1350" w:type="dxa"/>
                  <w:tcMar>
                    <w:left w:w="28" w:type="dxa"/>
                    <w:right w:w="28" w:type="dxa"/>
                  </w:tcMar>
                  <w:vAlign w:val="center"/>
                </w:tcPr>
                <w:p w14:paraId="7F25171B">
                  <w:pPr>
                    <w:pStyle w:val="147"/>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环境保护目标</w:t>
                  </w:r>
                </w:p>
              </w:tc>
              <w:tc>
                <w:tcPr>
                  <w:tcW w:w="1351" w:type="dxa"/>
                  <w:tcMar>
                    <w:left w:w="28" w:type="dxa"/>
                    <w:right w:w="28" w:type="dxa"/>
                  </w:tcMar>
                  <w:vAlign w:val="center"/>
                </w:tcPr>
                <w:p w14:paraId="47B88F00">
                  <w:pPr>
                    <w:pStyle w:val="147"/>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方位距离</w:t>
                  </w:r>
                </w:p>
              </w:tc>
              <w:tc>
                <w:tcPr>
                  <w:tcW w:w="1675" w:type="dxa"/>
                  <w:tcMar>
                    <w:left w:w="28" w:type="dxa"/>
                    <w:right w:w="28" w:type="dxa"/>
                  </w:tcMar>
                  <w:vAlign w:val="center"/>
                </w:tcPr>
                <w:p w14:paraId="415A65F0">
                  <w:pPr>
                    <w:pStyle w:val="147"/>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性质</w:t>
                  </w:r>
                </w:p>
              </w:tc>
              <w:tc>
                <w:tcPr>
                  <w:tcW w:w="2739" w:type="dxa"/>
                  <w:gridSpan w:val="2"/>
                  <w:tcMar>
                    <w:left w:w="28" w:type="dxa"/>
                    <w:right w:w="28" w:type="dxa"/>
                  </w:tcMar>
                  <w:vAlign w:val="center"/>
                </w:tcPr>
                <w:p w14:paraId="214DD796">
                  <w:pPr>
                    <w:pStyle w:val="147"/>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保护级别</w:t>
                  </w:r>
                </w:p>
              </w:tc>
            </w:tr>
            <w:tr w14:paraId="66AE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1270" w:type="dxa"/>
                  <w:gridSpan w:val="2"/>
                  <w:tcMar>
                    <w:left w:w="28" w:type="dxa"/>
                    <w:right w:w="28" w:type="dxa"/>
                  </w:tcMar>
                  <w:vAlign w:val="center"/>
                </w:tcPr>
                <w:p w14:paraId="0653D9C0">
                  <w:pPr>
                    <w:pStyle w:val="147"/>
                    <w:rPr>
                      <w:rFonts w:ascii="Times New Roman" w:hAnsi="Times New Roman" w:cs="Times New Roman"/>
                      <w:color w:val="auto"/>
                      <w:szCs w:val="21"/>
                      <w:highlight w:val="none"/>
                    </w:rPr>
                  </w:pPr>
                  <w:r>
                    <w:rPr>
                      <w:rFonts w:ascii="Times New Roman" w:hAnsi="Times New Roman" w:cs="Times New Roman"/>
                      <w:color w:val="auto"/>
                      <w:szCs w:val="21"/>
                      <w:highlight w:val="none"/>
                    </w:rPr>
                    <w:t>大气环境</w:t>
                  </w:r>
                </w:p>
              </w:tc>
              <w:tc>
                <w:tcPr>
                  <w:tcW w:w="4376" w:type="dxa"/>
                  <w:gridSpan w:val="3"/>
                  <w:tcMar>
                    <w:left w:w="28" w:type="dxa"/>
                    <w:right w:w="28" w:type="dxa"/>
                  </w:tcMar>
                  <w:vAlign w:val="center"/>
                </w:tcPr>
                <w:p w14:paraId="699045F1">
                  <w:pPr>
                    <w:jc w:val="center"/>
                    <w:rPr>
                      <w:rFonts w:hint="default" w:ascii="Times New Roman" w:hAnsi="Times New Roman" w:eastAsia="宋体" w:cs="Times New Roman"/>
                      <w:color w:val="auto"/>
                      <w:szCs w:val="21"/>
                      <w:highlight w:val="none"/>
                      <w:lang w:val="en-US" w:eastAsia="zh-CN"/>
                    </w:rPr>
                  </w:pPr>
                  <w:r>
                    <w:rPr>
                      <w:rFonts w:ascii="Times New Roman" w:hAnsi="Times New Roman" w:cs="Times New Roman"/>
                      <w:color w:val="auto"/>
                      <w:szCs w:val="21"/>
                      <w:highlight w:val="none"/>
                    </w:rPr>
                    <w:t>项目所在区域周边50</w:t>
                  </w:r>
                  <w:r>
                    <w:rPr>
                      <w:rFonts w:hint="eastAsia" w:cs="Times New Roman"/>
                      <w:color w:val="auto"/>
                      <w:szCs w:val="21"/>
                      <w:highlight w:val="none"/>
                      <w:lang w:val="en-US" w:eastAsia="zh-CN"/>
                    </w:rPr>
                    <w:t>0</w:t>
                  </w:r>
                  <w:r>
                    <w:rPr>
                      <w:rFonts w:ascii="Times New Roman" w:hAnsi="Times New Roman" w:cs="Times New Roman"/>
                      <w:color w:val="auto"/>
                      <w:szCs w:val="21"/>
                      <w:highlight w:val="none"/>
                    </w:rPr>
                    <w:t>m范围无</w:t>
                  </w:r>
                  <w:r>
                    <w:rPr>
                      <w:rFonts w:hint="eastAsia" w:cs="Times New Roman"/>
                      <w:color w:val="auto"/>
                      <w:szCs w:val="21"/>
                      <w:highlight w:val="none"/>
                      <w:lang w:val="en-US" w:eastAsia="zh-CN"/>
                    </w:rPr>
                    <w:t>环境空气</w:t>
                  </w:r>
                  <w:r>
                    <w:rPr>
                      <w:rFonts w:ascii="Times New Roman" w:hAnsi="Times New Roman" w:cs="Times New Roman"/>
                      <w:color w:val="auto"/>
                      <w:szCs w:val="21"/>
                      <w:highlight w:val="none"/>
                    </w:rPr>
                    <w:t>环境</w:t>
                  </w:r>
                  <w:r>
                    <w:rPr>
                      <w:rFonts w:hint="eastAsia" w:cs="Times New Roman"/>
                      <w:color w:val="auto"/>
                      <w:szCs w:val="21"/>
                      <w:highlight w:val="none"/>
                      <w:lang w:val="en-US" w:eastAsia="zh-CN"/>
                    </w:rPr>
                    <w:t>保护目标</w:t>
                  </w:r>
                </w:p>
              </w:tc>
              <w:tc>
                <w:tcPr>
                  <w:tcW w:w="2739" w:type="dxa"/>
                  <w:gridSpan w:val="2"/>
                  <w:tcMar>
                    <w:left w:w="28" w:type="dxa"/>
                    <w:right w:w="28" w:type="dxa"/>
                  </w:tcMar>
                  <w:vAlign w:val="center"/>
                </w:tcPr>
                <w:p w14:paraId="3CD42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《环境空气质量标准》</w:t>
                  </w:r>
                  <w:r>
                    <w:rPr>
                      <w:rFonts w:hint="eastAsia" w:cs="Times New Roman"/>
                      <w:color w:val="auto"/>
                      <w:szCs w:val="21"/>
                      <w:highlight w:val="none"/>
                      <w:lang w:eastAsia="zh-CN"/>
                    </w:rPr>
                    <w:t>（</w:t>
                  </w:r>
                  <w:r>
                    <w:rPr>
                      <w:rFonts w:ascii="Times New Roman" w:hAnsi="Times New Roman" w:cs="Times New Roman"/>
                      <w:color w:val="auto"/>
                      <w:szCs w:val="21"/>
                      <w:highlight w:val="none"/>
                    </w:rPr>
                    <w:t>GB3095-2012</w:t>
                  </w:r>
                  <w:r>
                    <w:rPr>
                      <w:rFonts w:hint="eastAsia" w:cs="Times New Roman"/>
                      <w:color w:val="auto"/>
                      <w:szCs w:val="21"/>
                      <w:highlight w:val="none"/>
                      <w:lang w:eastAsia="zh-CN"/>
                    </w:rPr>
                    <w:t>）</w:t>
                  </w:r>
                  <w:r>
                    <w:rPr>
                      <w:rFonts w:ascii="Times New Roman" w:hAnsi="Times New Roman" w:cs="Times New Roman"/>
                      <w:color w:val="auto"/>
                      <w:szCs w:val="21"/>
                      <w:highlight w:val="none"/>
                    </w:rPr>
                    <w:t>二级标准</w:t>
                  </w:r>
                </w:p>
              </w:tc>
            </w:tr>
            <w:tr w14:paraId="7E71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270" w:type="dxa"/>
                  <w:gridSpan w:val="2"/>
                  <w:tcMar>
                    <w:left w:w="28" w:type="dxa"/>
                    <w:right w:w="28" w:type="dxa"/>
                  </w:tcMar>
                  <w:vAlign w:val="center"/>
                </w:tcPr>
                <w:p w14:paraId="702DAC57">
                  <w:pPr>
                    <w:pStyle w:val="147"/>
                    <w:rPr>
                      <w:rFonts w:ascii="Times New Roman" w:hAnsi="Times New Roman" w:cs="Times New Roman"/>
                      <w:color w:val="auto"/>
                      <w:szCs w:val="21"/>
                      <w:highlight w:val="none"/>
                    </w:rPr>
                  </w:pPr>
                  <w:r>
                    <w:rPr>
                      <w:rFonts w:ascii="Times New Roman" w:hAnsi="Times New Roman" w:cs="Times New Roman"/>
                      <w:color w:val="auto"/>
                      <w:szCs w:val="21"/>
                      <w:highlight w:val="none"/>
                    </w:rPr>
                    <w:t>声环境</w:t>
                  </w:r>
                </w:p>
              </w:tc>
              <w:tc>
                <w:tcPr>
                  <w:tcW w:w="4376" w:type="dxa"/>
                  <w:gridSpan w:val="3"/>
                  <w:tcMar>
                    <w:left w:w="28" w:type="dxa"/>
                    <w:right w:w="28" w:type="dxa"/>
                  </w:tcMar>
                  <w:vAlign w:val="center"/>
                </w:tcPr>
                <w:p w14:paraId="250048AB">
                  <w:pPr>
                    <w:pStyle w:val="147"/>
                    <w:rPr>
                      <w:rFonts w:ascii="Times New Roman" w:hAnsi="Times New Roman" w:cs="Times New Roman"/>
                      <w:color w:val="auto"/>
                      <w:szCs w:val="21"/>
                      <w:highlight w:val="none"/>
                    </w:rPr>
                  </w:pPr>
                  <w:r>
                    <w:rPr>
                      <w:rFonts w:ascii="Times New Roman" w:hAnsi="Times New Roman" w:cs="Times New Roman"/>
                      <w:color w:val="auto"/>
                      <w:szCs w:val="21"/>
                      <w:highlight w:val="none"/>
                    </w:rPr>
                    <w:t>项目所在区域周边50m范围无声环境敏感点</w:t>
                  </w:r>
                </w:p>
              </w:tc>
              <w:tc>
                <w:tcPr>
                  <w:tcW w:w="2739" w:type="dxa"/>
                  <w:gridSpan w:val="2"/>
                  <w:tcMar>
                    <w:left w:w="28" w:type="dxa"/>
                    <w:right w:w="28" w:type="dxa"/>
                  </w:tcMar>
                  <w:vAlign w:val="center"/>
                </w:tcPr>
                <w:p w14:paraId="64AEA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auto"/>
                      <w:spacing w:val="4"/>
                      <w:szCs w:val="21"/>
                      <w:highlight w:val="none"/>
                    </w:rPr>
                  </w:pPr>
                  <w:r>
                    <w:rPr>
                      <w:rFonts w:ascii="Times New Roman" w:hAnsi="Times New Roman" w:cs="Times New Roman"/>
                      <w:color w:val="auto"/>
                      <w:spacing w:val="4"/>
                      <w:szCs w:val="21"/>
                      <w:highlight w:val="none"/>
                    </w:rPr>
                    <w:t>《声环境质量标准》（GB3096-2008）3类标准</w:t>
                  </w:r>
                </w:p>
              </w:tc>
            </w:tr>
            <w:tr w14:paraId="093D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1270" w:type="dxa"/>
                  <w:gridSpan w:val="2"/>
                  <w:tcMar>
                    <w:left w:w="28" w:type="dxa"/>
                    <w:right w:w="28" w:type="dxa"/>
                  </w:tcMar>
                  <w:vAlign w:val="center"/>
                </w:tcPr>
                <w:p w14:paraId="61A1A4BF">
                  <w:pPr>
                    <w:pStyle w:val="147"/>
                    <w:rPr>
                      <w:rFonts w:ascii="Times New Roman" w:hAnsi="Times New Roman" w:cs="Times New Roman"/>
                      <w:color w:val="auto"/>
                      <w:szCs w:val="21"/>
                      <w:highlight w:val="none"/>
                    </w:rPr>
                  </w:pPr>
                  <w:r>
                    <w:rPr>
                      <w:rFonts w:ascii="Times New Roman" w:hAnsi="Times New Roman" w:cs="Times New Roman"/>
                      <w:color w:val="auto"/>
                      <w:szCs w:val="21"/>
                      <w:highlight w:val="none"/>
                    </w:rPr>
                    <w:t>地表水环境</w:t>
                  </w:r>
                </w:p>
              </w:tc>
              <w:tc>
                <w:tcPr>
                  <w:tcW w:w="1350" w:type="dxa"/>
                  <w:tcMar>
                    <w:left w:w="28" w:type="dxa"/>
                    <w:right w:w="28" w:type="dxa"/>
                  </w:tcMar>
                  <w:vAlign w:val="center"/>
                </w:tcPr>
                <w:p w14:paraId="7DA3FFDF">
                  <w:pPr>
                    <w:pStyle w:val="147"/>
                    <w:rPr>
                      <w:rFonts w:ascii="Times New Roman" w:hAnsi="Times New Roman" w:eastAsia="宋体" w:cs="Times New Roman"/>
                      <w:color w:val="auto"/>
                      <w:szCs w:val="21"/>
                      <w:highlight w:val="none"/>
                      <w:lang w:eastAsia="zh-CN"/>
                    </w:rPr>
                  </w:pPr>
                  <w:r>
                    <w:rPr>
                      <w:rFonts w:ascii="Times New Roman" w:hAnsi="Times New Roman" w:cs="Times New Roman"/>
                      <w:color w:val="auto"/>
                      <w:szCs w:val="21"/>
                      <w:highlight w:val="none"/>
                      <w:lang w:eastAsia="zh-CN"/>
                    </w:rPr>
                    <w:t>郪江</w:t>
                  </w:r>
                </w:p>
              </w:tc>
              <w:tc>
                <w:tcPr>
                  <w:tcW w:w="1351" w:type="dxa"/>
                  <w:tcMar>
                    <w:left w:w="28" w:type="dxa"/>
                    <w:right w:w="28" w:type="dxa"/>
                  </w:tcMar>
                  <w:vAlign w:val="center"/>
                </w:tcPr>
                <w:p w14:paraId="6E834727">
                  <w:pPr>
                    <w:pStyle w:val="147"/>
                    <w:rPr>
                      <w:rFonts w:ascii="Times New Roman" w:hAnsi="Times New Roman" w:cs="Times New Roman"/>
                      <w:color w:val="auto"/>
                      <w:szCs w:val="21"/>
                      <w:highlight w:val="none"/>
                    </w:rPr>
                  </w:pPr>
                  <w:r>
                    <w:rPr>
                      <w:rFonts w:ascii="Times New Roman" w:hAnsi="Times New Roman" w:cs="Times New Roman"/>
                      <w:color w:val="auto"/>
                      <w:szCs w:val="21"/>
                      <w:highlight w:val="none"/>
                    </w:rPr>
                    <w:t>西侧50m</w:t>
                  </w:r>
                </w:p>
              </w:tc>
              <w:tc>
                <w:tcPr>
                  <w:tcW w:w="1675" w:type="dxa"/>
                  <w:tcMar>
                    <w:left w:w="28" w:type="dxa"/>
                    <w:right w:w="28" w:type="dxa"/>
                  </w:tcMar>
                  <w:vAlign w:val="center"/>
                </w:tcPr>
                <w:p w14:paraId="466C7B6B">
                  <w:pPr>
                    <w:pStyle w:val="147"/>
                    <w:rPr>
                      <w:rFonts w:ascii="Times New Roman" w:hAnsi="Times New Roman" w:cs="Times New Roman"/>
                      <w:color w:val="auto"/>
                      <w:szCs w:val="21"/>
                      <w:highlight w:val="none"/>
                    </w:rPr>
                  </w:pPr>
                  <w:r>
                    <w:rPr>
                      <w:rFonts w:ascii="Times New Roman" w:hAnsi="Times New Roman" w:cs="Times New Roman"/>
                      <w:color w:val="auto"/>
                      <w:szCs w:val="21"/>
                      <w:highlight w:val="none"/>
                    </w:rPr>
                    <w:t>纳污、绿化、堤防、灌溉</w:t>
                  </w:r>
                </w:p>
              </w:tc>
              <w:tc>
                <w:tcPr>
                  <w:tcW w:w="2739" w:type="dxa"/>
                  <w:gridSpan w:val="2"/>
                  <w:tcMar>
                    <w:left w:w="28" w:type="dxa"/>
                    <w:right w:w="28" w:type="dxa"/>
                  </w:tcMar>
                  <w:vAlign w:val="center"/>
                </w:tcPr>
                <w:p w14:paraId="307FCEF8">
                  <w:pPr>
                    <w:pStyle w:val="147"/>
                    <w:rPr>
                      <w:rFonts w:ascii="Times New Roman" w:hAnsi="Times New Roman" w:cs="Times New Roman"/>
                      <w:color w:val="auto"/>
                      <w:szCs w:val="21"/>
                      <w:highlight w:val="none"/>
                    </w:rPr>
                  </w:pPr>
                  <w:r>
                    <w:rPr>
                      <w:rFonts w:ascii="Times New Roman" w:hAnsi="Times New Roman" w:cs="Times New Roman"/>
                      <w:color w:val="auto"/>
                      <w:szCs w:val="21"/>
                      <w:highlight w:val="none"/>
                    </w:rPr>
                    <w:t>《地表水环境质量标准》（GB3838-2002）Ⅲ类标准</w:t>
                  </w:r>
                </w:p>
              </w:tc>
            </w:tr>
            <w:tr w14:paraId="31BF62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Before w:val="1"/>
                <w:gridAfter w:val="1"/>
                <w:wBefore w:w="6" w:type="dxa"/>
                <w:wAfter w:w="7" w:type="dxa"/>
                <w:trHeight w:val="317" w:hRule="atLeast"/>
                <w:jc w:val="center"/>
              </w:trPr>
              <w:tc>
                <w:tcPr>
                  <w:tcW w:w="1264" w:type="dxa"/>
                  <w:vAlign w:val="center"/>
                </w:tcPr>
                <w:p w14:paraId="6846601F">
                  <w:pPr>
                    <w:pStyle w:val="147"/>
                    <w:rPr>
                      <w:rFonts w:ascii="Times New Roman" w:hAnsi="Times New Roman" w:cs="Times New Roman"/>
                      <w:color w:val="auto"/>
                      <w:szCs w:val="21"/>
                      <w:highlight w:val="none"/>
                    </w:rPr>
                  </w:pPr>
                  <w:r>
                    <w:rPr>
                      <w:rFonts w:ascii="Times New Roman" w:hAnsi="Times New Roman" w:cs="Times New Roman"/>
                      <w:color w:val="auto"/>
                      <w:szCs w:val="21"/>
                      <w:highlight w:val="none"/>
                    </w:rPr>
                    <w:t>地下水</w:t>
                  </w:r>
                </w:p>
              </w:tc>
              <w:tc>
                <w:tcPr>
                  <w:tcW w:w="4376" w:type="dxa"/>
                  <w:gridSpan w:val="3"/>
                  <w:vAlign w:val="center"/>
                </w:tcPr>
                <w:p w14:paraId="632F88D8">
                  <w:pPr>
                    <w:widowControl/>
                    <w:snapToGrid w:val="0"/>
                    <w:jc w:val="center"/>
                    <w:rPr>
                      <w:color w:val="auto"/>
                      <w:kern w:val="0"/>
                      <w:szCs w:val="21"/>
                      <w:highlight w:val="none"/>
                    </w:rPr>
                  </w:pPr>
                  <w:r>
                    <w:rPr>
                      <w:color w:val="auto"/>
                      <w:highlight w:val="none"/>
                    </w:rPr>
                    <w:t>厂界外500米范围内无地下水集中式饮用水水源和热水、矿泉水、温泉等特殊地下水资源</w:t>
                  </w:r>
                </w:p>
              </w:tc>
              <w:tc>
                <w:tcPr>
                  <w:tcW w:w="2732" w:type="dxa"/>
                  <w:vAlign w:val="center"/>
                </w:tcPr>
                <w:p w14:paraId="2A3835C5">
                  <w:pPr>
                    <w:widowControl/>
                    <w:snapToGrid w:val="0"/>
                    <w:jc w:val="center"/>
                    <w:rPr>
                      <w:color w:val="auto"/>
                      <w:szCs w:val="21"/>
                      <w:highlight w:val="none"/>
                    </w:rPr>
                  </w:pPr>
                  <w:r>
                    <w:rPr>
                      <w:rFonts w:hint="eastAsia"/>
                      <w:color w:val="auto"/>
                      <w:szCs w:val="21"/>
                      <w:highlight w:val="none"/>
                      <w:lang w:eastAsia="zh-CN"/>
                    </w:rPr>
                    <w:t>《地下水质量标准》（GB/T14848-2017）</w:t>
                  </w:r>
                  <w:r>
                    <w:rPr>
                      <w:color w:val="auto"/>
                      <w:szCs w:val="21"/>
                      <w:highlight w:val="none"/>
                    </w:rPr>
                    <w:t>中Ⅲ类水质标准</w:t>
                  </w:r>
                </w:p>
              </w:tc>
            </w:tr>
            <w:tr w14:paraId="6591AE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Before w:val="1"/>
                <w:gridAfter w:val="1"/>
                <w:wBefore w:w="6" w:type="dxa"/>
                <w:wAfter w:w="7" w:type="dxa"/>
                <w:trHeight w:val="397" w:hRule="atLeast"/>
                <w:jc w:val="center"/>
              </w:trPr>
              <w:tc>
                <w:tcPr>
                  <w:tcW w:w="1264" w:type="dxa"/>
                  <w:vAlign w:val="center"/>
                </w:tcPr>
                <w:p w14:paraId="56931C48">
                  <w:pPr>
                    <w:pStyle w:val="147"/>
                    <w:rPr>
                      <w:rFonts w:ascii="Times New Roman" w:hAnsi="Times New Roman" w:cs="Times New Roman"/>
                      <w:color w:val="auto"/>
                      <w:szCs w:val="21"/>
                      <w:highlight w:val="none"/>
                    </w:rPr>
                  </w:pPr>
                  <w:bookmarkStart w:id="21" w:name="OLE_LINK5" w:colFirst="1" w:colLast="4"/>
                  <w:bookmarkStart w:id="22" w:name="OLE_LINK2" w:colFirst="1" w:colLast="4"/>
                  <w:bookmarkStart w:id="23" w:name="_Hlk176593742"/>
                  <w:r>
                    <w:rPr>
                      <w:rFonts w:ascii="Times New Roman" w:hAnsi="Times New Roman" w:cs="Times New Roman"/>
                      <w:color w:val="auto"/>
                      <w:szCs w:val="21"/>
                      <w:highlight w:val="none"/>
                    </w:rPr>
                    <w:t>生态环境</w:t>
                  </w:r>
                </w:p>
              </w:tc>
              <w:tc>
                <w:tcPr>
                  <w:tcW w:w="7108" w:type="dxa"/>
                  <w:gridSpan w:val="4"/>
                  <w:vAlign w:val="center"/>
                </w:tcPr>
                <w:p w14:paraId="7E254C0D">
                  <w:pPr>
                    <w:widowControl/>
                    <w:snapToGrid w:val="0"/>
                    <w:jc w:val="center"/>
                    <w:rPr>
                      <w:color w:val="auto"/>
                      <w:kern w:val="0"/>
                      <w:szCs w:val="21"/>
                      <w:highlight w:val="none"/>
                    </w:rPr>
                  </w:pPr>
                  <w:r>
                    <w:rPr>
                      <w:color w:val="auto"/>
                      <w:highlight w:val="none"/>
                    </w:rPr>
                    <w:t>本项目周边以城市生态环境为主，无生态环境保护目标</w:t>
                  </w:r>
                </w:p>
              </w:tc>
            </w:tr>
            <w:bookmarkEnd w:id="21"/>
            <w:bookmarkEnd w:id="22"/>
            <w:bookmarkEnd w:id="23"/>
          </w:tbl>
          <w:p w14:paraId="2271EFD3">
            <w:pPr>
              <w:spacing w:line="360" w:lineRule="auto"/>
              <w:jc w:val="center"/>
              <w:rPr>
                <w:rFonts w:hint="eastAsia" w:eastAsia="宋体"/>
                <w:color w:val="auto"/>
                <w:kern w:val="0"/>
                <w:szCs w:val="21"/>
                <w:highlight w:val="none"/>
                <w:lang w:eastAsia="zh-CN"/>
              </w:rPr>
            </w:pPr>
          </w:p>
        </w:tc>
      </w:tr>
      <w:tr w14:paraId="7C68C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48" w:type="pct"/>
            <w:tcMar>
              <w:left w:w="28" w:type="dxa"/>
              <w:right w:w="28" w:type="dxa"/>
            </w:tcMar>
            <w:vAlign w:val="center"/>
          </w:tcPr>
          <w:p w14:paraId="446840FF">
            <w:pPr>
              <w:adjustRightInd w:val="0"/>
              <w:snapToGrid w:val="0"/>
              <w:jc w:val="center"/>
              <w:rPr>
                <w:color w:val="auto"/>
                <w:kern w:val="0"/>
                <w:sz w:val="24"/>
                <w:szCs w:val="24"/>
                <w:highlight w:val="none"/>
              </w:rPr>
            </w:pPr>
            <w:r>
              <w:rPr>
                <w:color w:val="auto"/>
                <w:kern w:val="0"/>
                <w:sz w:val="24"/>
                <w:szCs w:val="24"/>
                <w:highlight w:val="none"/>
              </w:rPr>
              <w:t>污染</w:t>
            </w:r>
          </w:p>
          <w:p w14:paraId="0D8C96AC">
            <w:pPr>
              <w:adjustRightInd w:val="0"/>
              <w:snapToGrid w:val="0"/>
              <w:jc w:val="center"/>
              <w:rPr>
                <w:color w:val="auto"/>
                <w:kern w:val="0"/>
                <w:sz w:val="24"/>
                <w:szCs w:val="24"/>
                <w:highlight w:val="none"/>
              </w:rPr>
            </w:pPr>
            <w:r>
              <w:rPr>
                <w:color w:val="auto"/>
                <w:kern w:val="0"/>
                <w:sz w:val="24"/>
                <w:szCs w:val="24"/>
                <w:highlight w:val="none"/>
              </w:rPr>
              <w:t>物排</w:t>
            </w:r>
          </w:p>
          <w:p w14:paraId="593C275A">
            <w:pPr>
              <w:adjustRightInd w:val="0"/>
              <w:snapToGrid w:val="0"/>
              <w:jc w:val="center"/>
              <w:rPr>
                <w:color w:val="auto"/>
                <w:kern w:val="0"/>
                <w:sz w:val="24"/>
                <w:szCs w:val="24"/>
                <w:highlight w:val="none"/>
              </w:rPr>
            </w:pPr>
            <w:r>
              <w:rPr>
                <w:color w:val="auto"/>
                <w:kern w:val="0"/>
                <w:sz w:val="24"/>
                <w:szCs w:val="24"/>
                <w:highlight w:val="none"/>
              </w:rPr>
              <w:t>放控</w:t>
            </w:r>
          </w:p>
          <w:p w14:paraId="4FE2AA2A">
            <w:pPr>
              <w:adjustRightInd w:val="0"/>
              <w:snapToGrid w:val="0"/>
              <w:jc w:val="center"/>
              <w:rPr>
                <w:color w:val="auto"/>
                <w:kern w:val="0"/>
                <w:sz w:val="24"/>
                <w:szCs w:val="24"/>
                <w:highlight w:val="none"/>
              </w:rPr>
            </w:pPr>
            <w:r>
              <w:rPr>
                <w:color w:val="auto"/>
                <w:kern w:val="0"/>
                <w:sz w:val="24"/>
                <w:szCs w:val="24"/>
                <w:highlight w:val="none"/>
              </w:rPr>
              <w:t>制标</w:t>
            </w:r>
          </w:p>
          <w:p w14:paraId="5AA89435">
            <w:pPr>
              <w:adjustRightInd w:val="0"/>
              <w:snapToGrid w:val="0"/>
              <w:jc w:val="center"/>
              <w:rPr>
                <w:color w:val="auto"/>
                <w:kern w:val="0"/>
                <w:szCs w:val="21"/>
                <w:highlight w:val="none"/>
              </w:rPr>
            </w:pPr>
            <w:r>
              <w:rPr>
                <w:color w:val="auto"/>
                <w:kern w:val="0"/>
                <w:sz w:val="24"/>
                <w:szCs w:val="24"/>
                <w:highlight w:val="none"/>
              </w:rPr>
              <w:t>准</w:t>
            </w:r>
          </w:p>
        </w:tc>
        <w:tc>
          <w:tcPr>
            <w:tcW w:w="4751" w:type="pct"/>
            <w:vAlign w:val="center"/>
          </w:tcPr>
          <w:p w14:paraId="139A01FE">
            <w:pPr>
              <w:autoSpaceDE w:val="0"/>
              <w:autoSpaceDN w:val="0"/>
              <w:spacing w:line="360" w:lineRule="auto"/>
              <w:rPr>
                <w:b/>
                <w:bCs/>
                <w:color w:val="auto"/>
                <w:sz w:val="24"/>
                <w:highlight w:val="none"/>
              </w:rPr>
            </w:pPr>
            <w:r>
              <w:rPr>
                <w:b/>
                <w:color w:val="auto"/>
                <w:sz w:val="24"/>
                <w:highlight w:val="none"/>
              </w:rPr>
              <w:t>三、</w:t>
            </w:r>
            <w:r>
              <w:rPr>
                <w:b/>
                <w:bCs/>
                <w:color w:val="auto"/>
                <w:sz w:val="24"/>
                <w:highlight w:val="none"/>
              </w:rPr>
              <w:t>污染物排放标准</w:t>
            </w:r>
          </w:p>
          <w:p w14:paraId="2AB8A11B">
            <w:pPr>
              <w:spacing w:before="120" w:beforeLines="50" w:line="360" w:lineRule="auto"/>
              <w:rPr>
                <w:b/>
                <w:color w:val="auto"/>
                <w:kern w:val="0"/>
                <w:sz w:val="24"/>
                <w:szCs w:val="22"/>
                <w:highlight w:val="none"/>
              </w:rPr>
            </w:pPr>
            <w:r>
              <w:rPr>
                <w:b/>
                <w:color w:val="auto"/>
                <w:kern w:val="0"/>
                <w:sz w:val="24"/>
                <w:szCs w:val="22"/>
                <w:highlight w:val="none"/>
              </w:rPr>
              <w:t>1、大气污染物排放标准</w:t>
            </w:r>
          </w:p>
          <w:p w14:paraId="6F0331A3">
            <w:pPr>
              <w:tabs>
                <w:tab w:val="left" w:pos="960"/>
              </w:tabs>
              <w:topLinePunct/>
              <w:adjustRightInd w:val="0"/>
              <w:snapToGrid w:val="0"/>
              <w:spacing w:line="360" w:lineRule="auto"/>
              <w:ind w:firstLine="480" w:firstLineChars="200"/>
              <w:rPr>
                <w:color w:val="auto"/>
                <w:sz w:val="24"/>
                <w:szCs w:val="20"/>
                <w:highlight w:val="none"/>
              </w:rPr>
            </w:pPr>
            <w:r>
              <w:rPr>
                <w:rFonts w:hint="eastAsia"/>
                <w:color w:val="auto"/>
                <w:sz w:val="24"/>
                <w:highlight w:val="none"/>
              </w:rPr>
              <w:t>有组织</w:t>
            </w:r>
            <w:r>
              <w:rPr>
                <w:color w:val="auto"/>
                <w:sz w:val="24"/>
                <w:highlight w:val="none"/>
              </w:rPr>
              <w:t>废气</w:t>
            </w:r>
            <w:r>
              <w:rPr>
                <w:rFonts w:hint="eastAsia"/>
                <w:color w:val="auto"/>
                <w:sz w:val="24"/>
                <w:highlight w:val="none"/>
              </w:rPr>
              <w:t>：</w:t>
            </w:r>
            <w:r>
              <w:rPr>
                <w:rFonts w:hint="eastAsia"/>
                <w:color w:val="auto"/>
                <w:sz w:val="24"/>
                <w:szCs w:val="20"/>
                <w:highlight w:val="none"/>
              </w:rPr>
              <w:t>项目锅炉废气执行</w:t>
            </w:r>
            <w:r>
              <w:rPr>
                <w:rFonts w:ascii="Times New Roman" w:cs="Times New Roman"/>
                <w:color w:val="auto"/>
                <w:spacing w:val="2"/>
                <w:sz w:val="24"/>
                <w:szCs w:val="32"/>
                <w:highlight w:val="none"/>
              </w:rPr>
              <w:t>《锅炉大气污染物排放标准》（</w:t>
            </w:r>
            <w:r>
              <w:rPr>
                <w:rFonts w:hint="eastAsia" w:ascii="Times New Roman" w:cs="Times New Roman"/>
                <w:color w:val="auto"/>
                <w:spacing w:val="2"/>
                <w:sz w:val="24"/>
                <w:szCs w:val="32"/>
                <w:highlight w:val="none"/>
                <w:lang w:val="en-US" w:eastAsia="zh-CN"/>
              </w:rPr>
              <w:t>G</w:t>
            </w:r>
            <w:r>
              <w:rPr>
                <w:rFonts w:ascii="Times New Roman" w:cs="Times New Roman"/>
                <w:color w:val="auto"/>
                <w:spacing w:val="2"/>
                <w:sz w:val="24"/>
                <w:szCs w:val="32"/>
                <w:highlight w:val="none"/>
              </w:rPr>
              <w:t>B</w:t>
            </w:r>
            <w:r>
              <w:rPr>
                <w:rFonts w:hint="eastAsia" w:ascii="Times New Roman" w:cs="Times New Roman"/>
                <w:color w:val="auto"/>
                <w:spacing w:val="2"/>
                <w:sz w:val="24"/>
                <w:szCs w:val="32"/>
                <w:highlight w:val="none"/>
                <w:lang w:val="en-US" w:eastAsia="zh-CN"/>
              </w:rPr>
              <w:t>13271</w:t>
            </w:r>
            <w:r>
              <w:rPr>
                <w:rFonts w:ascii="Times New Roman" w:cs="Times New Roman"/>
                <w:color w:val="auto"/>
                <w:spacing w:val="2"/>
                <w:sz w:val="24"/>
                <w:szCs w:val="32"/>
                <w:highlight w:val="none"/>
              </w:rPr>
              <w:t>-20</w:t>
            </w:r>
            <w:r>
              <w:rPr>
                <w:rFonts w:hint="eastAsia" w:ascii="Times New Roman" w:cs="Times New Roman"/>
                <w:color w:val="auto"/>
                <w:spacing w:val="2"/>
                <w:sz w:val="24"/>
                <w:szCs w:val="32"/>
                <w:highlight w:val="none"/>
                <w:lang w:val="en-US" w:eastAsia="zh-CN"/>
              </w:rPr>
              <w:t>14</w:t>
            </w:r>
            <w:r>
              <w:rPr>
                <w:rFonts w:ascii="Times New Roman" w:cs="Times New Roman"/>
                <w:color w:val="auto"/>
                <w:spacing w:val="2"/>
                <w:sz w:val="24"/>
                <w:szCs w:val="32"/>
                <w:highlight w:val="none"/>
              </w:rPr>
              <w:t>）表</w:t>
            </w:r>
            <w:r>
              <w:rPr>
                <w:rFonts w:hint="eastAsia" w:ascii="Times New Roman" w:cs="Times New Roman"/>
                <w:color w:val="auto"/>
                <w:spacing w:val="2"/>
                <w:sz w:val="24"/>
                <w:szCs w:val="32"/>
                <w:highlight w:val="none"/>
                <w:lang w:val="en-US" w:eastAsia="zh-CN"/>
              </w:rPr>
              <w:t>3</w:t>
            </w:r>
            <w:r>
              <w:rPr>
                <w:rFonts w:ascii="Times New Roman" w:cs="Times New Roman"/>
                <w:color w:val="auto"/>
                <w:spacing w:val="2"/>
                <w:sz w:val="24"/>
                <w:szCs w:val="32"/>
                <w:highlight w:val="none"/>
              </w:rPr>
              <w:t>中</w:t>
            </w:r>
            <w:r>
              <w:rPr>
                <w:rFonts w:hint="eastAsia" w:ascii="Times New Roman" w:cs="Times New Roman"/>
                <w:color w:val="auto"/>
                <w:spacing w:val="2"/>
                <w:sz w:val="24"/>
                <w:szCs w:val="32"/>
                <w:highlight w:val="none"/>
                <w:lang w:val="en-US" w:eastAsia="zh-CN"/>
              </w:rPr>
              <w:t>燃气锅炉</w:t>
            </w:r>
            <w:r>
              <w:rPr>
                <w:rFonts w:ascii="Times New Roman" w:cs="Times New Roman"/>
                <w:color w:val="auto"/>
                <w:spacing w:val="2"/>
                <w:sz w:val="24"/>
                <w:szCs w:val="32"/>
                <w:highlight w:val="none"/>
              </w:rPr>
              <w:t>标准限值</w:t>
            </w:r>
            <w:r>
              <w:rPr>
                <w:rFonts w:hint="eastAsia"/>
                <w:color w:val="auto"/>
                <w:sz w:val="24"/>
                <w:szCs w:val="20"/>
                <w:highlight w:val="none"/>
                <w:lang w:eastAsia="zh-CN"/>
              </w:rPr>
              <w:t>；</w:t>
            </w:r>
            <w:r>
              <w:rPr>
                <w:rFonts w:hint="eastAsia"/>
                <w:color w:val="auto"/>
                <w:sz w:val="24"/>
                <w:szCs w:val="20"/>
                <w:highlight w:val="none"/>
              </w:rPr>
              <w:t>有机废气排放速率及浓度执行</w:t>
            </w:r>
            <w:r>
              <w:rPr>
                <w:color w:val="auto"/>
                <w:sz w:val="24"/>
                <w:highlight w:val="none"/>
              </w:rPr>
              <w:t>《四川省固定污染源大气挥发性有机物排放标准》（</w:t>
            </w:r>
            <w:r>
              <w:rPr>
                <w:rFonts w:hint="eastAsia"/>
                <w:color w:val="auto"/>
                <w:sz w:val="24"/>
                <w:highlight w:val="none"/>
                <w:lang w:eastAsia="zh-CN"/>
              </w:rPr>
              <w:t>DB51/2377-2017</w:t>
            </w:r>
            <w:r>
              <w:rPr>
                <w:color w:val="auto"/>
                <w:sz w:val="24"/>
                <w:highlight w:val="none"/>
              </w:rPr>
              <w:t>）</w:t>
            </w:r>
            <w:r>
              <w:rPr>
                <w:rFonts w:hint="eastAsia"/>
                <w:color w:val="auto"/>
                <w:sz w:val="24"/>
                <w:highlight w:val="none"/>
              </w:rPr>
              <w:t>标准</w:t>
            </w:r>
            <w:r>
              <w:rPr>
                <w:rFonts w:hint="eastAsia"/>
                <w:color w:val="auto"/>
                <w:sz w:val="24"/>
                <w:highlight w:val="none"/>
                <w:lang w:eastAsia="zh-CN"/>
              </w:rPr>
              <w:t>；</w:t>
            </w:r>
            <w:r>
              <w:rPr>
                <w:rFonts w:hint="eastAsia"/>
                <w:color w:val="auto"/>
                <w:sz w:val="24"/>
                <w:highlight w:val="none"/>
                <w:lang w:val="en-US" w:eastAsia="zh-CN"/>
              </w:rPr>
              <w:t>食堂油烟废气参照执行《</w:t>
            </w:r>
            <w:r>
              <w:rPr>
                <w:color w:val="auto"/>
                <w:sz w:val="24"/>
                <w:highlight w:val="none"/>
              </w:rPr>
              <w:fldChar w:fldCharType="begin"/>
            </w:r>
            <w:r>
              <w:rPr>
                <w:color w:val="auto"/>
                <w:sz w:val="24"/>
                <w:highlight w:val="none"/>
              </w:rPr>
              <w:instrText xml:space="preserve"> HYPERLINK "http://www.mee.gov.cn/image20010518/5300.pdf" </w:instrText>
            </w:r>
            <w:r>
              <w:rPr>
                <w:color w:val="auto"/>
                <w:sz w:val="24"/>
                <w:highlight w:val="none"/>
              </w:rPr>
              <w:fldChar w:fldCharType="separate"/>
            </w:r>
            <w:r>
              <w:rPr>
                <w:rFonts w:hint="eastAsia"/>
                <w:color w:val="auto"/>
                <w:sz w:val="24"/>
                <w:highlight w:val="none"/>
              </w:rPr>
              <w:t>饮食业油烟排放标准（试行）</w:t>
            </w:r>
            <w:r>
              <w:rPr>
                <w:rFonts w:hint="eastAsia"/>
                <w:color w:val="auto"/>
                <w:sz w:val="24"/>
                <w:highlight w:val="none"/>
              </w:rPr>
              <w:fldChar w:fldCharType="end"/>
            </w:r>
            <w:r>
              <w:rPr>
                <w:rFonts w:hint="eastAsia"/>
                <w:color w:val="auto"/>
                <w:sz w:val="24"/>
                <w:szCs w:val="20"/>
                <w:highlight w:val="none"/>
                <w:lang w:val="en-US" w:eastAsia="zh-CN"/>
              </w:rPr>
              <w:t>》（GB18483-2001）表2标准限值；工艺废气中的氨以及</w:t>
            </w:r>
            <w:r>
              <w:rPr>
                <w:rFonts w:hint="eastAsia"/>
                <w:color w:val="auto"/>
                <w:sz w:val="24"/>
                <w:szCs w:val="20"/>
                <w:highlight w:val="none"/>
              </w:rPr>
              <w:t>污水站</w:t>
            </w:r>
            <w:r>
              <w:rPr>
                <w:rFonts w:hint="eastAsia"/>
                <w:color w:val="auto"/>
                <w:sz w:val="24"/>
                <w:szCs w:val="20"/>
                <w:highlight w:val="none"/>
                <w:lang w:eastAsia="zh-CN"/>
              </w:rPr>
              <w:t>、</w:t>
            </w:r>
            <w:r>
              <w:rPr>
                <w:rFonts w:hint="eastAsia"/>
                <w:color w:val="auto"/>
                <w:sz w:val="24"/>
                <w:szCs w:val="20"/>
                <w:highlight w:val="none"/>
                <w:lang w:val="en-US" w:eastAsia="zh-CN"/>
              </w:rPr>
              <w:t>危废贮存库的</w:t>
            </w:r>
            <w:r>
              <w:rPr>
                <w:rFonts w:hint="eastAsia"/>
                <w:color w:val="auto"/>
                <w:sz w:val="24"/>
                <w:szCs w:val="20"/>
                <w:highlight w:val="none"/>
              </w:rPr>
              <w:t>恶臭</w:t>
            </w:r>
            <w:r>
              <w:rPr>
                <w:rFonts w:hint="eastAsia"/>
                <w:color w:val="auto"/>
                <w:sz w:val="24"/>
                <w:szCs w:val="20"/>
                <w:highlight w:val="none"/>
                <w:lang w:val="en-US" w:eastAsia="zh-CN"/>
              </w:rPr>
              <w:t>污染物</w:t>
            </w:r>
            <w:r>
              <w:rPr>
                <w:rFonts w:hint="eastAsia"/>
                <w:color w:val="auto"/>
                <w:sz w:val="24"/>
                <w:szCs w:val="20"/>
                <w:highlight w:val="none"/>
              </w:rPr>
              <w:t>排放速率执行《恶臭污染物排放标准》（GB14554-93）</w:t>
            </w:r>
            <w:r>
              <w:rPr>
                <w:rFonts w:hint="eastAsia"/>
                <w:color w:val="auto"/>
                <w:sz w:val="24"/>
                <w:szCs w:val="20"/>
                <w:highlight w:val="none"/>
                <w:lang w:val="en-US" w:eastAsia="zh-CN"/>
              </w:rPr>
              <w:t>表2</w:t>
            </w:r>
            <w:r>
              <w:rPr>
                <w:rFonts w:hint="eastAsia"/>
                <w:color w:val="auto"/>
                <w:sz w:val="24"/>
                <w:szCs w:val="20"/>
                <w:highlight w:val="none"/>
              </w:rPr>
              <w:t>标准</w:t>
            </w:r>
            <w:r>
              <w:rPr>
                <w:rFonts w:hint="eastAsia"/>
                <w:color w:val="auto"/>
                <w:sz w:val="24"/>
                <w:szCs w:val="20"/>
                <w:highlight w:val="none"/>
                <w:lang w:val="en-US" w:eastAsia="zh-CN"/>
              </w:rPr>
              <w:t>限值</w:t>
            </w:r>
            <w:r>
              <w:rPr>
                <w:rFonts w:hint="eastAsia"/>
                <w:color w:val="auto"/>
                <w:sz w:val="24"/>
                <w:highlight w:val="none"/>
              </w:rPr>
              <w:t>。</w:t>
            </w:r>
          </w:p>
          <w:p w14:paraId="3C4D0465">
            <w:pPr>
              <w:tabs>
                <w:tab w:val="left" w:pos="960"/>
              </w:tabs>
              <w:topLinePunct/>
              <w:adjustRightInd w:val="0"/>
              <w:snapToGrid w:val="0"/>
              <w:spacing w:line="360" w:lineRule="auto"/>
              <w:ind w:firstLine="480" w:firstLineChars="200"/>
              <w:rPr>
                <w:rFonts w:hint="eastAsia"/>
                <w:color w:val="auto"/>
                <w:sz w:val="24"/>
                <w:szCs w:val="20"/>
                <w:highlight w:val="none"/>
              </w:rPr>
            </w:pPr>
            <w:r>
              <w:rPr>
                <w:rFonts w:hint="eastAsia"/>
                <w:color w:val="auto"/>
                <w:sz w:val="24"/>
                <w:szCs w:val="20"/>
                <w:highlight w:val="none"/>
              </w:rPr>
              <w:t>无组织废气：颗粒物执行《大气污染物综合排放标准》</w:t>
            </w:r>
            <w:r>
              <w:rPr>
                <w:rFonts w:hint="eastAsia"/>
                <w:color w:val="auto"/>
                <w:sz w:val="24"/>
                <w:szCs w:val="20"/>
                <w:highlight w:val="none"/>
                <w:lang w:eastAsia="zh-CN"/>
              </w:rPr>
              <w:t>（</w:t>
            </w:r>
            <w:r>
              <w:rPr>
                <w:rFonts w:hint="eastAsia"/>
                <w:color w:val="auto"/>
                <w:sz w:val="24"/>
                <w:szCs w:val="20"/>
                <w:highlight w:val="none"/>
              </w:rPr>
              <w:t>GB16297-1996</w:t>
            </w:r>
            <w:r>
              <w:rPr>
                <w:rFonts w:hint="eastAsia"/>
                <w:color w:val="auto"/>
                <w:sz w:val="24"/>
                <w:szCs w:val="20"/>
                <w:highlight w:val="none"/>
                <w:lang w:eastAsia="zh-CN"/>
              </w:rPr>
              <w:t>）</w:t>
            </w:r>
            <w:r>
              <w:rPr>
                <w:rFonts w:hint="eastAsia"/>
                <w:color w:val="auto"/>
                <w:sz w:val="24"/>
                <w:szCs w:val="20"/>
                <w:highlight w:val="none"/>
              </w:rPr>
              <w:t>表2标准，VOCs执行《四川省固定污染源大气挥发性有机物排放标准》（</w:t>
            </w:r>
            <w:r>
              <w:rPr>
                <w:rFonts w:hint="eastAsia"/>
                <w:color w:val="auto"/>
                <w:sz w:val="24"/>
                <w:szCs w:val="20"/>
                <w:highlight w:val="none"/>
                <w:lang w:eastAsia="zh-CN"/>
              </w:rPr>
              <w:t>DB51/2377-2017</w:t>
            </w:r>
            <w:r>
              <w:rPr>
                <w:rFonts w:hint="eastAsia"/>
                <w:color w:val="auto"/>
                <w:sz w:val="24"/>
                <w:szCs w:val="20"/>
                <w:highlight w:val="none"/>
              </w:rPr>
              <w:t>）标准，</w:t>
            </w:r>
            <w:r>
              <w:rPr>
                <w:rFonts w:hint="eastAsia"/>
                <w:color w:val="auto"/>
                <w:sz w:val="24"/>
                <w:szCs w:val="20"/>
                <w:highlight w:val="none"/>
                <w:lang w:val="en-US" w:eastAsia="zh-CN"/>
              </w:rPr>
              <w:t>生产装置区密封点泄漏废气、储罐呼吸废气执行《挥发性有机物无组织排放控制标准》（GB37822-2019）标准限值，</w:t>
            </w:r>
            <w:r>
              <w:rPr>
                <w:rFonts w:hint="eastAsia"/>
                <w:color w:val="auto"/>
                <w:sz w:val="24"/>
                <w:szCs w:val="20"/>
                <w:highlight w:val="none"/>
              </w:rPr>
              <w:t>恶臭污染物执行《恶臭污染物排放标准》（GB14554-93）标准。各类污染物排放浓度限值详见</w:t>
            </w:r>
            <w:r>
              <w:rPr>
                <w:rFonts w:hint="eastAsia"/>
                <w:color w:val="auto"/>
                <w:sz w:val="24"/>
                <w:szCs w:val="20"/>
                <w:highlight w:val="none"/>
                <w:lang w:val="en-US" w:eastAsia="zh-CN"/>
              </w:rPr>
              <w:t>下</w:t>
            </w:r>
            <w:r>
              <w:rPr>
                <w:rFonts w:hint="eastAsia"/>
                <w:color w:val="auto"/>
                <w:sz w:val="24"/>
                <w:szCs w:val="20"/>
                <w:highlight w:val="none"/>
              </w:rPr>
              <w:t>表3-</w:t>
            </w:r>
            <w:r>
              <w:rPr>
                <w:rFonts w:hint="eastAsia"/>
                <w:color w:val="auto"/>
                <w:sz w:val="24"/>
                <w:szCs w:val="20"/>
                <w:highlight w:val="none"/>
                <w:lang w:val="en-US" w:eastAsia="zh-CN"/>
              </w:rPr>
              <w:t>6</w:t>
            </w:r>
            <w:r>
              <w:rPr>
                <w:rFonts w:hint="eastAsia"/>
                <w:color w:val="auto"/>
                <w:sz w:val="24"/>
                <w:szCs w:val="20"/>
                <w:highlight w:val="none"/>
              </w:rPr>
              <w:t>~1</w:t>
            </w:r>
            <w:r>
              <w:rPr>
                <w:rFonts w:hint="eastAsia"/>
                <w:color w:val="auto"/>
                <w:sz w:val="24"/>
                <w:szCs w:val="20"/>
                <w:highlight w:val="none"/>
                <w:lang w:val="en-US" w:eastAsia="zh-CN"/>
              </w:rPr>
              <w:t>1</w:t>
            </w:r>
            <w:r>
              <w:rPr>
                <w:rFonts w:hint="eastAsia"/>
                <w:color w:val="auto"/>
                <w:sz w:val="24"/>
                <w:szCs w:val="20"/>
                <w:highlight w:val="none"/>
              </w:rPr>
              <w:t>；</w:t>
            </w:r>
          </w:p>
          <w:p w14:paraId="7BA025C0">
            <w:pPr>
              <w:pStyle w:val="132"/>
              <w:bidi w:val="0"/>
              <w:rPr>
                <w:b/>
                <w:color w:val="auto"/>
                <w:szCs w:val="21"/>
                <w:highlight w:val="none"/>
              </w:rPr>
            </w:pPr>
            <w:r>
              <w:rPr>
                <w:rFonts w:hint="eastAsia"/>
                <w:b/>
                <w:color w:val="auto"/>
                <w:szCs w:val="21"/>
                <w:highlight w:val="none"/>
              </w:rPr>
              <w:t>锅炉大气污染物排放标准</w:t>
            </w:r>
          </w:p>
          <w:tbl>
            <w:tblPr>
              <w:tblStyle w:val="27"/>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205"/>
              <w:gridCol w:w="2717"/>
              <w:gridCol w:w="2460"/>
            </w:tblGrid>
            <w:tr w14:paraId="4B1929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1911" w:type="pct"/>
                  <w:vMerge w:val="restart"/>
                  <w:tcBorders>
                    <w:top w:val="single" w:color="auto" w:sz="2" w:space="0"/>
                    <w:left w:val="single" w:color="auto" w:sz="2" w:space="0"/>
                    <w:right w:val="single" w:color="auto" w:sz="2" w:space="0"/>
                  </w:tcBorders>
                  <w:vAlign w:val="center"/>
                </w:tcPr>
                <w:p w14:paraId="194E1C7B">
                  <w:pPr>
                    <w:snapToGrid w:val="0"/>
                    <w:jc w:val="center"/>
                    <w:rPr>
                      <w:b/>
                      <w:color w:val="auto"/>
                      <w:szCs w:val="21"/>
                      <w:highlight w:val="none"/>
                    </w:rPr>
                  </w:pPr>
                  <w:r>
                    <w:rPr>
                      <w:rFonts w:hint="eastAsia" w:hAnsi="宋体"/>
                      <w:b/>
                      <w:color w:val="auto"/>
                      <w:szCs w:val="21"/>
                      <w:highlight w:val="none"/>
                    </w:rPr>
                    <w:t>污染物</w:t>
                  </w:r>
                </w:p>
              </w:tc>
              <w:tc>
                <w:tcPr>
                  <w:tcW w:w="1620" w:type="pct"/>
                  <w:tcBorders>
                    <w:top w:val="single" w:color="auto" w:sz="2" w:space="0"/>
                    <w:left w:val="single" w:color="auto" w:sz="2" w:space="0"/>
                    <w:bottom w:val="single" w:color="auto" w:sz="2" w:space="0"/>
                    <w:right w:val="single" w:color="auto" w:sz="2" w:space="0"/>
                  </w:tcBorders>
                  <w:vAlign w:val="center"/>
                </w:tcPr>
                <w:p w14:paraId="27C7D705">
                  <w:pPr>
                    <w:snapToGrid w:val="0"/>
                    <w:jc w:val="center"/>
                    <w:rPr>
                      <w:b/>
                      <w:color w:val="auto"/>
                      <w:szCs w:val="21"/>
                      <w:highlight w:val="none"/>
                    </w:rPr>
                  </w:pPr>
                  <w:r>
                    <w:rPr>
                      <w:rFonts w:hint="eastAsia" w:hAnsi="宋体"/>
                      <w:b/>
                      <w:color w:val="auto"/>
                      <w:szCs w:val="21"/>
                      <w:highlight w:val="none"/>
                    </w:rPr>
                    <w:t>燃气锅炉</w:t>
                  </w:r>
                </w:p>
              </w:tc>
              <w:tc>
                <w:tcPr>
                  <w:tcW w:w="1467" w:type="pct"/>
                  <w:vMerge w:val="restart"/>
                  <w:tcBorders>
                    <w:top w:val="single" w:color="auto" w:sz="2" w:space="0"/>
                    <w:left w:val="single" w:color="auto" w:sz="2" w:space="0"/>
                    <w:right w:val="single" w:color="auto" w:sz="2" w:space="0"/>
                  </w:tcBorders>
                  <w:vAlign w:val="center"/>
                </w:tcPr>
                <w:p w14:paraId="5FC99298">
                  <w:pPr>
                    <w:snapToGrid w:val="0"/>
                    <w:jc w:val="center"/>
                    <w:rPr>
                      <w:rFonts w:hAnsi="宋体"/>
                      <w:b/>
                      <w:color w:val="auto"/>
                      <w:szCs w:val="21"/>
                      <w:highlight w:val="none"/>
                    </w:rPr>
                  </w:pPr>
                  <w:r>
                    <w:rPr>
                      <w:rFonts w:hint="eastAsia" w:hAnsi="宋体"/>
                      <w:b/>
                      <w:color w:val="auto"/>
                      <w:szCs w:val="21"/>
                      <w:highlight w:val="none"/>
                    </w:rPr>
                    <w:t>污染物排放监控位置</w:t>
                  </w:r>
                </w:p>
              </w:tc>
            </w:tr>
            <w:tr w14:paraId="4F11EE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1911" w:type="pct"/>
                  <w:vMerge w:val="continue"/>
                  <w:tcBorders>
                    <w:left w:val="single" w:color="auto" w:sz="2" w:space="0"/>
                    <w:bottom w:val="single" w:color="auto" w:sz="2" w:space="0"/>
                    <w:right w:val="single" w:color="auto" w:sz="2" w:space="0"/>
                  </w:tcBorders>
                  <w:vAlign w:val="center"/>
                </w:tcPr>
                <w:p w14:paraId="08607D90">
                  <w:pPr>
                    <w:snapToGrid w:val="0"/>
                    <w:jc w:val="center"/>
                    <w:rPr>
                      <w:color w:val="auto"/>
                      <w:highlight w:val="none"/>
                    </w:rPr>
                  </w:pPr>
                </w:p>
              </w:tc>
              <w:tc>
                <w:tcPr>
                  <w:tcW w:w="1620" w:type="pct"/>
                  <w:tcBorders>
                    <w:top w:val="single" w:color="auto" w:sz="2" w:space="0"/>
                    <w:left w:val="single" w:color="auto" w:sz="2" w:space="0"/>
                    <w:bottom w:val="single" w:color="auto" w:sz="2" w:space="0"/>
                    <w:right w:val="single" w:color="auto" w:sz="2" w:space="0"/>
                  </w:tcBorders>
                  <w:vAlign w:val="center"/>
                </w:tcPr>
                <w:p w14:paraId="062F9B1C">
                  <w:pPr>
                    <w:snapToGrid w:val="0"/>
                    <w:jc w:val="center"/>
                    <w:rPr>
                      <w:rFonts w:hint="eastAsia" w:hAnsi="宋体"/>
                      <w:b/>
                      <w:color w:val="auto"/>
                      <w:szCs w:val="21"/>
                      <w:highlight w:val="none"/>
                    </w:rPr>
                  </w:pPr>
                  <w:r>
                    <w:rPr>
                      <w:rFonts w:hint="eastAsia" w:hAnsi="宋体"/>
                      <w:b/>
                      <w:color w:val="auto"/>
                      <w:szCs w:val="21"/>
                      <w:highlight w:val="none"/>
                      <w:lang w:val="en-US" w:eastAsia="zh-CN"/>
                    </w:rPr>
                    <w:t>排放浓度</w:t>
                  </w:r>
                  <w:r>
                    <w:rPr>
                      <w:b/>
                      <w:color w:val="auto"/>
                      <w:szCs w:val="21"/>
                      <w:highlight w:val="none"/>
                    </w:rPr>
                    <w:t>mg/m</w:t>
                  </w:r>
                  <w:r>
                    <w:rPr>
                      <w:b/>
                      <w:color w:val="auto"/>
                      <w:szCs w:val="21"/>
                      <w:highlight w:val="none"/>
                      <w:vertAlign w:val="superscript"/>
                    </w:rPr>
                    <w:t>3</w:t>
                  </w:r>
                </w:p>
              </w:tc>
              <w:tc>
                <w:tcPr>
                  <w:tcW w:w="1467" w:type="pct"/>
                  <w:vMerge w:val="continue"/>
                  <w:tcBorders>
                    <w:left w:val="single" w:color="auto" w:sz="2" w:space="0"/>
                    <w:right w:val="single" w:color="auto" w:sz="2" w:space="0"/>
                  </w:tcBorders>
                  <w:vAlign w:val="center"/>
                </w:tcPr>
                <w:p w14:paraId="709F3657">
                  <w:pPr>
                    <w:snapToGrid w:val="0"/>
                    <w:jc w:val="center"/>
                    <w:rPr>
                      <w:rFonts w:hint="eastAsia" w:hAnsi="宋体"/>
                      <w:b/>
                      <w:color w:val="auto"/>
                      <w:szCs w:val="21"/>
                      <w:highlight w:val="none"/>
                    </w:rPr>
                  </w:pPr>
                </w:p>
              </w:tc>
            </w:tr>
            <w:tr w14:paraId="632036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jc w:val="center"/>
              </w:trPr>
              <w:tc>
                <w:tcPr>
                  <w:tcW w:w="1911" w:type="pct"/>
                  <w:tcBorders>
                    <w:top w:val="single" w:color="auto" w:sz="2" w:space="0"/>
                    <w:left w:val="single" w:color="auto" w:sz="2" w:space="0"/>
                    <w:bottom w:val="single" w:color="auto" w:sz="2" w:space="0"/>
                    <w:right w:val="single" w:color="auto" w:sz="2" w:space="0"/>
                  </w:tcBorders>
                  <w:vAlign w:val="center"/>
                </w:tcPr>
                <w:p w14:paraId="787D6B40">
                  <w:pPr>
                    <w:snapToGrid w:val="0"/>
                    <w:jc w:val="center"/>
                    <w:rPr>
                      <w:color w:val="auto"/>
                      <w:szCs w:val="21"/>
                      <w:highlight w:val="none"/>
                    </w:rPr>
                  </w:pPr>
                  <w:r>
                    <w:rPr>
                      <w:rFonts w:hint="eastAsia" w:hAnsi="宋体"/>
                      <w:color w:val="auto"/>
                      <w:szCs w:val="21"/>
                      <w:highlight w:val="none"/>
                    </w:rPr>
                    <w:t>颗粒物</w:t>
                  </w:r>
                </w:p>
              </w:tc>
              <w:tc>
                <w:tcPr>
                  <w:tcW w:w="1620" w:type="pct"/>
                  <w:tcBorders>
                    <w:top w:val="single" w:color="auto" w:sz="2" w:space="0"/>
                    <w:left w:val="single" w:color="auto" w:sz="2" w:space="0"/>
                    <w:bottom w:val="single" w:color="auto" w:sz="2" w:space="0"/>
                    <w:right w:val="single" w:color="auto" w:sz="2" w:space="0"/>
                  </w:tcBorders>
                  <w:vAlign w:val="center"/>
                </w:tcPr>
                <w:p w14:paraId="54E5FA8F">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1467" w:type="pct"/>
                  <w:vMerge w:val="restart"/>
                  <w:tcBorders>
                    <w:top w:val="single" w:color="auto" w:sz="2" w:space="0"/>
                    <w:left w:val="single" w:color="auto" w:sz="2" w:space="0"/>
                    <w:right w:val="single" w:color="auto" w:sz="2" w:space="0"/>
                  </w:tcBorders>
                  <w:vAlign w:val="center"/>
                </w:tcPr>
                <w:p w14:paraId="15494955">
                  <w:pPr>
                    <w:snapToGrid w:val="0"/>
                    <w:jc w:val="center"/>
                    <w:rPr>
                      <w:color w:val="auto"/>
                      <w:szCs w:val="21"/>
                      <w:highlight w:val="none"/>
                    </w:rPr>
                  </w:pPr>
                  <w:r>
                    <w:rPr>
                      <w:rFonts w:hint="eastAsia"/>
                      <w:color w:val="auto"/>
                      <w:szCs w:val="21"/>
                      <w:highlight w:val="none"/>
                    </w:rPr>
                    <w:t>烟囱或烟道</w:t>
                  </w:r>
                </w:p>
              </w:tc>
            </w:tr>
            <w:tr w14:paraId="6B3B41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jc w:val="center"/>
              </w:trPr>
              <w:tc>
                <w:tcPr>
                  <w:tcW w:w="1911" w:type="pct"/>
                  <w:tcBorders>
                    <w:top w:val="single" w:color="auto" w:sz="2" w:space="0"/>
                    <w:left w:val="single" w:color="auto" w:sz="2" w:space="0"/>
                    <w:bottom w:val="single" w:color="auto" w:sz="2" w:space="0"/>
                    <w:right w:val="single" w:color="auto" w:sz="2" w:space="0"/>
                  </w:tcBorders>
                  <w:vAlign w:val="center"/>
                </w:tcPr>
                <w:p w14:paraId="675B0FE1">
                  <w:pPr>
                    <w:adjustRightInd w:val="0"/>
                    <w:snapToGrid w:val="0"/>
                    <w:jc w:val="center"/>
                    <w:rPr>
                      <w:color w:val="auto"/>
                      <w:kern w:val="0"/>
                      <w:szCs w:val="21"/>
                      <w:highlight w:val="none"/>
                    </w:rPr>
                  </w:pPr>
                  <w:r>
                    <w:rPr>
                      <w:rFonts w:hint="eastAsia"/>
                      <w:color w:val="auto"/>
                      <w:kern w:val="0"/>
                      <w:szCs w:val="21"/>
                      <w:highlight w:val="none"/>
                    </w:rPr>
                    <w:t>二氧化硫</w:t>
                  </w:r>
                </w:p>
              </w:tc>
              <w:tc>
                <w:tcPr>
                  <w:tcW w:w="1620" w:type="pct"/>
                  <w:tcBorders>
                    <w:top w:val="single" w:color="auto" w:sz="2" w:space="0"/>
                    <w:left w:val="single" w:color="auto" w:sz="2" w:space="0"/>
                    <w:bottom w:val="single" w:color="auto" w:sz="2" w:space="0"/>
                    <w:right w:val="single" w:color="auto" w:sz="2" w:space="0"/>
                  </w:tcBorders>
                  <w:vAlign w:val="center"/>
                </w:tcPr>
                <w:p w14:paraId="22A28F3E">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50</w:t>
                  </w:r>
                </w:p>
              </w:tc>
              <w:tc>
                <w:tcPr>
                  <w:tcW w:w="1467" w:type="pct"/>
                  <w:vMerge w:val="continue"/>
                  <w:tcBorders>
                    <w:left w:val="single" w:color="auto" w:sz="2" w:space="0"/>
                    <w:right w:val="single" w:color="auto" w:sz="2" w:space="0"/>
                  </w:tcBorders>
                  <w:vAlign w:val="center"/>
                </w:tcPr>
                <w:p w14:paraId="5CF25EF6">
                  <w:pPr>
                    <w:adjustRightInd w:val="0"/>
                    <w:snapToGrid w:val="0"/>
                    <w:jc w:val="center"/>
                    <w:rPr>
                      <w:color w:val="auto"/>
                      <w:kern w:val="0"/>
                      <w:szCs w:val="21"/>
                      <w:highlight w:val="none"/>
                    </w:rPr>
                  </w:pPr>
                </w:p>
              </w:tc>
            </w:tr>
            <w:tr w14:paraId="7503A3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jc w:val="center"/>
              </w:trPr>
              <w:tc>
                <w:tcPr>
                  <w:tcW w:w="1911" w:type="pct"/>
                  <w:tcBorders>
                    <w:top w:val="single" w:color="auto" w:sz="2" w:space="0"/>
                    <w:left w:val="single" w:color="auto" w:sz="2" w:space="0"/>
                    <w:bottom w:val="single" w:color="auto" w:sz="2" w:space="0"/>
                    <w:right w:val="single" w:color="auto" w:sz="2" w:space="0"/>
                  </w:tcBorders>
                  <w:vAlign w:val="center"/>
                </w:tcPr>
                <w:p w14:paraId="016243ED">
                  <w:pPr>
                    <w:snapToGrid w:val="0"/>
                    <w:jc w:val="center"/>
                    <w:rPr>
                      <w:rFonts w:hAnsi="宋体"/>
                      <w:color w:val="auto"/>
                      <w:szCs w:val="21"/>
                      <w:highlight w:val="none"/>
                    </w:rPr>
                  </w:pPr>
                  <w:r>
                    <w:rPr>
                      <w:rFonts w:hint="eastAsia" w:ascii="宋体" w:hAnsi="宋体"/>
                      <w:bCs/>
                      <w:color w:val="auto"/>
                      <w:highlight w:val="none"/>
                    </w:rPr>
                    <w:t>氮氧化物</w:t>
                  </w:r>
                </w:p>
              </w:tc>
              <w:tc>
                <w:tcPr>
                  <w:tcW w:w="1620" w:type="pct"/>
                  <w:tcBorders>
                    <w:top w:val="single" w:color="auto" w:sz="2" w:space="0"/>
                    <w:left w:val="single" w:color="auto" w:sz="2" w:space="0"/>
                    <w:bottom w:val="single" w:color="auto" w:sz="2" w:space="0"/>
                    <w:right w:val="single" w:color="auto" w:sz="2" w:space="0"/>
                  </w:tcBorders>
                  <w:vAlign w:val="center"/>
                </w:tcPr>
                <w:p w14:paraId="3473A8FF">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150</w:t>
                  </w:r>
                </w:p>
              </w:tc>
              <w:tc>
                <w:tcPr>
                  <w:tcW w:w="1467" w:type="pct"/>
                  <w:vMerge w:val="continue"/>
                  <w:tcBorders>
                    <w:left w:val="single" w:color="auto" w:sz="2" w:space="0"/>
                    <w:bottom w:val="single" w:color="auto" w:sz="2" w:space="0"/>
                    <w:right w:val="single" w:color="auto" w:sz="2" w:space="0"/>
                  </w:tcBorders>
                  <w:vAlign w:val="center"/>
                </w:tcPr>
                <w:p w14:paraId="5F7622D7">
                  <w:pPr>
                    <w:snapToGrid w:val="0"/>
                    <w:jc w:val="center"/>
                    <w:rPr>
                      <w:color w:val="auto"/>
                      <w:kern w:val="0"/>
                      <w:szCs w:val="21"/>
                      <w:highlight w:val="none"/>
                    </w:rPr>
                  </w:pPr>
                </w:p>
              </w:tc>
            </w:tr>
            <w:tr w14:paraId="145B37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7" w:hRule="atLeast"/>
                <w:jc w:val="center"/>
              </w:trPr>
              <w:tc>
                <w:tcPr>
                  <w:tcW w:w="1911" w:type="pct"/>
                  <w:tcBorders>
                    <w:top w:val="single" w:color="auto" w:sz="2" w:space="0"/>
                    <w:left w:val="single" w:color="auto" w:sz="2" w:space="0"/>
                    <w:bottom w:val="single" w:color="auto" w:sz="2" w:space="0"/>
                    <w:right w:val="single" w:color="auto" w:sz="2" w:space="0"/>
                  </w:tcBorders>
                  <w:vAlign w:val="center"/>
                </w:tcPr>
                <w:p w14:paraId="4A30210E">
                  <w:pPr>
                    <w:snapToGrid w:val="0"/>
                    <w:jc w:val="center"/>
                    <w:rPr>
                      <w:rFonts w:ascii="宋体" w:hAnsi="宋体"/>
                      <w:bCs/>
                      <w:color w:val="auto"/>
                      <w:highlight w:val="none"/>
                    </w:rPr>
                  </w:pPr>
                  <w:r>
                    <w:rPr>
                      <w:rFonts w:hint="eastAsia" w:ascii="宋体" w:hAnsi="宋体"/>
                      <w:bCs/>
                      <w:color w:val="auto"/>
                      <w:highlight w:val="none"/>
                    </w:rPr>
                    <w:t>烟气黑度（林格曼黑度，级）</w:t>
                  </w:r>
                </w:p>
              </w:tc>
              <w:tc>
                <w:tcPr>
                  <w:tcW w:w="1620" w:type="pct"/>
                  <w:tcBorders>
                    <w:top w:val="single" w:color="auto" w:sz="2" w:space="0"/>
                    <w:left w:val="single" w:color="auto" w:sz="2" w:space="0"/>
                    <w:bottom w:val="single" w:color="auto" w:sz="2" w:space="0"/>
                    <w:right w:val="single" w:color="auto" w:sz="2" w:space="0"/>
                  </w:tcBorders>
                  <w:vAlign w:val="center"/>
                </w:tcPr>
                <w:p w14:paraId="0CB73BDE">
                  <w:pPr>
                    <w:snapToGrid w:val="0"/>
                    <w:jc w:val="center"/>
                    <w:rPr>
                      <w:color w:val="auto"/>
                      <w:kern w:val="0"/>
                      <w:szCs w:val="21"/>
                      <w:highlight w:val="none"/>
                    </w:rPr>
                  </w:pPr>
                  <w:r>
                    <w:rPr>
                      <w:rFonts w:hint="eastAsia"/>
                      <w:color w:val="auto"/>
                      <w:kern w:val="0"/>
                      <w:szCs w:val="21"/>
                      <w:highlight w:val="none"/>
                    </w:rPr>
                    <w:t>≤1</w:t>
                  </w:r>
                </w:p>
              </w:tc>
              <w:tc>
                <w:tcPr>
                  <w:tcW w:w="1467" w:type="pct"/>
                  <w:tcBorders>
                    <w:top w:val="single" w:color="auto" w:sz="2" w:space="0"/>
                    <w:left w:val="single" w:color="auto" w:sz="2" w:space="0"/>
                    <w:bottom w:val="single" w:color="auto" w:sz="2" w:space="0"/>
                    <w:right w:val="single" w:color="auto" w:sz="2" w:space="0"/>
                  </w:tcBorders>
                  <w:vAlign w:val="center"/>
                </w:tcPr>
                <w:p w14:paraId="35E34843">
                  <w:pPr>
                    <w:snapToGrid w:val="0"/>
                    <w:jc w:val="center"/>
                    <w:rPr>
                      <w:color w:val="auto"/>
                      <w:kern w:val="0"/>
                      <w:szCs w:val="21"/>
                      <w:highlight w:val="none"/>
                    </w:rPr>
                  </w:pPr>
                  <w:r>
                    <w:rPr>
                      <w:rFonts w:hint="eastAsia"/>
                      <w:color w:val="auto"/>
                      <w:kern w:val="0"/>
                      <w:szCs w:val="21"/>
                      <w:highlight w:val="none"/>
                    </w:rPr>
                    <w:t>烟囱排放口</w:t>
                  </w:r>
                </w:p>
              </w:tc>
            </w:tr>
          </w:tbl>
          <w:p w14:paraId="2191A931">
            <w:pPr>
              <w:pStyle w:val="132"/>
              <w:bidi w:val="0"/>
              <w:rPr>
                <w:b/>
                <w:color w:val="auto"/>
                <w:szCs w:val="21"/>
                <w:highlight w:val="none"/>
              </w:rPr>
            </w:pPr>
            <w:r>
              <w:rPr>
                <w:b/>
                <w:color w:val="auto"/>
                <w:szCs w:val="21"/>
                <w:highlight w:val="none"/>
              </w:rPr>
              <w:t>四川省固定污染源大气挥发性有机物排放标准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340"/>
              <w:gridCol w:w="1649"/>
              <w:gridCol w:w="2085"/>
              <w:gridCol w:w="1627"/>
            </w:tblGrid>
            <w:tr w14:paraId="2956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0" w:type="dxa"/>
                  <w:vMerge w:val="restart"/>
                  <w:vAlign w:val="center"/>
                </w:tcPr>
                <w:p w14:paraId="7E750EA7">
                  <w:pPr>
                    <w:snapToGrid w:val="0"/>
                    <w:jc w:val="center"/>
                    <w:rPr>
                      <w:b/>
                      <w:color w:val="auto"/>
                      <w:szCs w:val="21"/>
                      <w:highlight w:val="none"/>
                    </w:rPr>
                  </w:pPr>
                  <w:r>
                    <w:rPr>
                      <w:rFonts w:hint="eastAsia"/>
                      <w:b/>
                      <w:color w:val="auto"/>
                      <w:szCs w:val="21"/>
                      <w:highlight w:val="none"/>
                    </w:rPr>
                    <w:t>污染物</w:t>
                  </w:r>
                </w:p>
              </w:tc>
              <w:tc>
                <w:tcPr>
                  <w:tcW w:w="1340" w:type="dxa"/>
                  <w:vMerge w:val="restart"/>
                  <w:vAlign w:val="center"/>
                </w:tcPr>
                <w:p w14:paraId="2784B782">
                  <w:pPr>
                    <w:snapToGrid w:val="0"/>
                    <w:jc w:val="center"/>
                    <w:rPr>
                      <w:b/>
                      <w:color w:val="auto"/>
                      <w:szCs w:val="21"/>
                      <w:highlight w:val="none"/>
                    </w:rPr>
                  </w:pPr>
                  <w:r>
                    <w:rPr>
                      <w:rFonts w:hint="eastAsia"/>
                      <w:b/>
                      <w:color w:val="auto"/>
                      <w:szCs w:val="21"/>
                      <w:highlight w:val="none"/>
                    </w:rPr>
                    <w:t>排气筒</w:t>
                  </w:r>
                </w:p>
              </w:tc>
              <w:tc>
                <w:tcPr>
                  <w:tcW w:w="3734" w:type="dxa"/>
                  <w:gridSpan w:val="2"/>
                  <w:vAlign w:val="center"/>
                </w:tcPr>
                <w:p w14:paraId="2B58459E">
                  <w:pPr>
                    <w:snapToGrid w:val="0"/>
                    <w:jc w:val="center"/>
                    <w:rPr>
                      <w:b/>
                      <w:color w:val="auto"/>
                      <w:szCs w:val="21"/>
                      <w:highlight w:val="none"/>
                    </w:rPr>
                  </w:pPr>
                  <w:r>
                    <w:rPr>
                      <w:rFonts w:hint="eastAsia"/>
                      <w:b/>
                      <w:color w:val="auto"/>
                      <w:szCs w:val="21"/>
                      <w:highlight w:val="none"/>
                    </w:rPr>
                    <w:t>有组织排放</w:t>
                  </w:r>
                </w:p>
              </w:tc>
              <w:tc>
                <w:tcPr>
                  <w:tcW w:w="1627" w:type="dxa"/>
                  <w:vMerge w:val="restart"/>
                  <w:vAlign w:val="center"/>
                </w:tcPr>
                <w:p w14:paraId="5700CC5D">
                  <w:pPr>
                    <w:snapToGrid w:val="0"/>
                    <w:jc w:val="center"/>
                    <w:rPr>
                      <w:b/>
                      <w:color w:val="auto"/>
                      <w:szCs w:val="21"/>
                      <w:highlight w:val="none"/>
                    </w:rPr>
                  </w:pPr>
                  <w:r>
                    <w:rPr>
                      <w:rFonts w:hint="eastAsia"/>
                      <w:b/>
                      <w:color w:val="auto"/>
                      <w:szCs w:val="21"/>
                      <w:highlight w:val="none"/>
                    </w:rPr>
                    <w:t>无组织浓度限值</w:t>
                  </w:r>
                  <w:r>
                    <w:rPr>
                      <w:b/>
                      <w:color w:val="auto"/>
                      <w:szCs w:val="21"/>
                      <w:highlight w:val="none"/>
                    </w:rPr>
                    <w:t>mg/m</w:t>
                  </w:r>
                  <w:r>
                    <w:rPr>
                      <w:b/>
                      <w:color w:val="auto"/>
                      <w:szCs w:val="21"/>
                      <w:highlight w:val="none"/>
                      <w:vertAlign w:val="superscript"/>
                    </w:rPr>
                    <w:t>3</w:t>
                  </w:r>
                </w:p>
              </w:tc>
            </w:tr>
            <w:tr w14:paraId="5CB2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0" w:type="dxa"/>
                  <w:vMerge w:val="continue"/>
                  <w:vAlign w:val="center"/>
                </w:tcPr>
                <w:p w14:paraId="4A3D94E7">
                  <w:pPr>
                    <w:snapToGrid w:val="0"/>
                    <w:jc w:val="center"/>
                    <w:rPr>
                      <w:b/>
                      <w:color w:val="auto"/>
                      <w:szCs w:val="21"/>
                      <w:highlight w:val="none"/>
                    </w:rPr>
                  </w:pPr>
                </w:p>
              </w:tc>
              <w:tc>
                <w:tcPr>
                  <w:tcW w:w="1340" w:type="dxa"/>
                  <w:vMerge w:val="continue"/>
                  <w:vAlign w:val="center"/>
                </w:tcPr>
                <w:p w14:paraId="5A8BBDA7">
                  <w:pPr>
                    <w:snapToGrid w:val="0"/>
                    <w:jc w:val="center"/>
                    <w:rPr>
                      <w:b/>
                      <w:color w:val="auto"/>
                      <w:szCs w:val="21"/>
                      <w:highlight w:val="none"/>
                    </w:rPr>
                  </w:pPr>
                </w:p>
              </w:tc>
              <w:tc>
                <w:tcPr>
                  <w:tcW w:w="1649" w:type="dxa"/>
                  <w:vAlign w:val="center"/>
                </w:tcPr>
                <w:p w14:paraId="380A66D1">
                  <w:pPr>
                    <w:snapToGrid w:val="0"/>
                    <w:jc w:val="center"/>
                    <w:rPr>
                      <w:b/>
                      <w:color w:val="auto"/>
                      <w:szCs w:val="21"/>
                      <w:highlight w:val="none"/>
                    </w:rPr>
                  </w:pPr>
                  <w:r>
                    <w:rPr>
                      <w:rFonts w:hint="eastAsia"/>
                      <w:b/>
                      <w:color w:val="auto"/>
                      <w:szCs w:val="21"/>
                      <w:highlight w:val="none"/>
                    </w:rPr>
                    <w:t>排放速率kg/h</w:t>
                  </w:r>
                </w:p>
              </w:tc>
              <w:tc>
                <w:tcPr>
                  <w:tcW w:w="2085" w:type="dxa"/>
                  <w:vAlign w:val="center"/>
                </w:tcPr>
                <w:p w14:paraId="26B49257">
                  <w:pPr>
                    <w:snapToGrid w:val="0"/>
                    <w:jc w:val="center"/>
                    <w:rPr>
                      <w:b/>
                      <w:color w:val="auto"/>
                      <w:szCs w:val="21"/>
                      <w:highlight w:val="none"/>
                    </w:rPr>
                  </w:pPr>
                  <w:r>
                    <w:rPr>
                      <w:rFonts w:hint="eastAsia"/>
                      <w:b/>
                      <w:color w:val="auto"/>
                      <w:szCs w:val="21"/>
                      <w:highlight w:val="none"/>
                    </w:rPr>
                    <w:t>排放浓度</w:t>
                  </w:r>
                  <w:r>
                    <w:rPr>
                      <w:b/>
                      <w:color w:val="auto"/>
                      <w:szCs w:val="21"/>
                      <w:highlight w:val="none"/>
                    </w:rPr>
                    <w:t>mg/m</w:t>
                  </w:r>
                  <w:r>
                    <w:rPr>
                      <w:b/>
                      <w:color w:val="auto"/>
                      <w:szCs w:val="21"/>
                      <w:highlight w:val="none"/>
                      <w:vertAlign w:val="superscript"/>
                    </w:rPr>
                    <w:t>3</w:t>
                  </w:r>
                </w:p>
              </w:tc>
              <w:tc>
                <w:tcPr>
                  <w:tcW w:w="1627" w:type="dxa"/>
                  <w:vMerge w:val="continue"/>
                  <w:vAlign w:val="center"/>
                </w:tcPr>
                <w:p w14:paraId="33DB939A">
                  <w:pPr>
                    <w:snapToGrid w:val="0"/>
                    <w:jc w:val="center"/>
                    <w:rPr>
                      <w:b/>
                      <w:color w:val="auto"/>
                      <w:szCs w:val="21"/>
                      <w:highlight w:val="none"/>
                    </w:rPr>
                  </w:pPr>
                </w:p>
              </w:tc>
            </w:tr>
            <w:tr w14:paraId="26B3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0" w:type="dxa"/>
                  <w:vAlign w:val="center"/>
                </w:tcPr>
                <w:p w14:paraId="0EF6E968">
                  <w:pPr>
                    <w:snapToGrid w:val="0"/>
                    <w:jc w:val="center"/>
                    <w:rPr>
                      <w:color w:val="auto"/>
                      <w:szCs w:val="21"/>
                      <w:highlight w:val="none"/>
                    </w:rPr>
                  </w:pPr>
                  <w:r>
                    <w:rPr>
                      <w:rFonts w:hint="eastAsia"/>
                      <w:color w:val="auto"/>
                      <w:szCs w:val="21"/>
                      <w:highlight w:val="none"/>
                    </w:rPr>
                    <w:t>VOCs</w:t>
                  </w:r>
                </w:p>
              </w:tc>
              <w:tc>
                <w:tcPr>
                  <w:tcW w:w="1340" w:type="dxa"/>
                  <w:vAlign w:val="center"/>
                </w:tcPr>
                <w:p w14:paraId="70680085">
                  <w:pPr>
                    <w:snapToGrid w:val="0"/>
                    <w:jc w:val="center"/>
                    <w:rPr>
                      <w:color w:val="auto"/>
                      <w:szCs w:val="21"/>
                      <w:highlight w:val="none"/>
                    </w:rPr>
                  </w:pPr>
                  <w:r>
                    <w:rPr>
                      <w:rFonts w:hint="eastAsia"/>
                      <w:color w:val="auto"/>
                      <w:szCs w:val="21"/>
                      <w:highlight w:val="none"/>
                    </w:rPr>
                    <w:t>2</w:t>
                  </w:r>
                  <w:r>
                    <w:rPr>
                      <w:rFonts w:hint="eastAsia"/>
                      <w:color w:val="auto"/>
                      <w:szCs w:val="21"/>
                      <w:highlight w:val="none"/>
                      <w:lang w:val="en-US" w:eastAsia="zh-CN"/>
                    </w:rPr>
                    <w:t>8</w:t>
                  </w:r>
                  <w:r>
                    <w:rPr>
                      <w:rFonts w:hint="eastAsia"/>
                      <w:color w:val="auto"/>
                      <w:szCs w:val="21"/>
                      <w:highlight w:val="none"/>
                    </w:rPr>
                    <w:t>m</w:t>
                  </w:r>
                </w:p>
              </w:tc>
              <w:tc>
                <w:tcPr>
                  <w:tcW w:w="1649" w:type="dxa"/>
                  <w:vAlign w:val="center"/>
                </w:tcPr>
                <w:p w14:paraId="78C860EF">
                  <w:pPr>
                    <w:snapToGrid w:val="0"/>
                    <w:jc w:val="center"/>
                    <w:rPr>
                      <w:rFonts w:hint="default" w:eastAsia="宋体"/>
                      <w:color w:val="auto"/>
                      <w:szCs w:val="21"/>
                      <w:highlight w:val="none"/>
                      <w:lang w:val="en-US" w:eastAsia="zh-CN"/>
                    </w:rPr>
                  </w:pPr>
                  <w:r>
                    <w:rPr>
                      <w:rFonts w:hint="eastAsia"/>
                      <w:color w:val="auto"/>
                      <w:szCs w:val="21"/>
                      <w:highlight w:val="none"/>
                    </w:rPr>
                    <w:t>1</w:t>
                  </w:r>
                  <w:r>
                    <w:rPr>
                      <w:rFonts w:hint="eastAsia"/>
                      <w:color w:val="auto"/>
                      <w:szCs w:val="21"/>
                      <w:highlight w:val="none"/>
                      <w:lang w:val="en-US" w:eastAsia="zh-CN"/>
                    </w:rPr>
                    <w:t>7.36</w:t>
                  </w:r>
                </w:p>
              </w:tc>
              <w:tc>
                <w:tcPr>
                  <w:tcW w:w="2085" w:type="dxa"/>
                  <w:vAlign w:val="center"/>
                </w:tcPr>
                <w:p w14:paraId="1E225CDA">
                  <w:pPr>
                    <w:snapToGrid w:val="0"/>
                    <w:jc w:val="center"/>
                    <w:rPr>
                      <w:color w:val="auto"/>
                      <w:szCs w:val="21"/>
                      <w:highlight w:val="none"/>
                    </w:rPr>
                  </w:pPr>
                  <w:r>
                    <w:rPr>
                      <w:rFonts w:hint="eastAsia"/>
                      <w:color w:val="auto"/>
                      <w:szCs w:val="21"/>
                      <w:highlight w:val="none"/>
                    </w:rPr>
                    <w:t>60</w:t>
                  </w:r>
                </w:p>
              </w:tc>
              <w:tc>
                <w:tcPr>
                  <w:tcW w:w="1627" w:type="dxa"/>
                  <w:vAlign w:val="center"/>
                </w:tcPr>
                <w:p w14:paraId="3CE061BE">
                  <w:pPr>
                    <w:snapToGrid w:val="0"/>
                    <w:jc w:val="center"/>
                    <w:rPr>
                      <w:color w:val="auto"/>
                      <w:szCs w:val="21"/>
                      <w:highlight w:val="none"/>
                    </w:rPr>
                  </w:pPr>
                  <w:r>
                    <w:rPr>
                      <w:rFonts w:hint="eastAsia"/>
                      <w:color w:val="auto"/>
                      <w:szCs w:val="21"/>
                      <w:highlight w:val="none"/>
                    </w:rPr>
                    <w:t>2.0</w:t>
                  </w:r>
                </w:p>
              </w:tc>
            </w:tr>
          </w:tbl>
          <w:p w14:paraId="7C395921">
            <w:pPr>
              <w:pStyle w:val="132"/>
              <w:bidi w:val="0"/>
              <w:rPr>
                <w:b/>
                <w:color w:val="auto"/>
                <w:szCs w:val="21"/>
                <w:highlight w:val="none"/>
              </w:rPr>
            </w:pPr>
            <w:r>
              <w:rPr>
                <w:b/>
                <w:color w:val="auto"/>
                <w:szCs w:val="21"/>
                <w:highlight w:val="none"/>
              </w:rPr>
              <w:t>恶臭污染物排放标准</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584"/>
              <w:gridCol w:w="2670"/>
              <w:gridCol w:w="2452"/>
            </w:tblGrid>
            <w:tr w14:paraId="0D40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97" w:type="pct"/>
                  <w:vAlign w:val="center"/>
                </w:tcPr>
                <w:p w14:paraId="543F367F">
                  <w:pPr>
                    <w:snapToGrid w:val="0"/>
                    <w:jc w:val="center"/>
                    <w:rPr>
                      <w:b/>
                      <w:color w:val="auto"/>
                      <w:szCs w:val="21"/>
                      <w:highlight w:val="none"/>
                    </w:rPr>
                  </w:pPr>
                  <w:r>
                    <w:rPr>
                      <w:rFonts w:hint="eastAsia"/>
                      <w:b/>
                      <w:color w:val="auto"/>
                      <w:szCs w:val="21"/>
                      <w:highlight w:val="none"/>
                    </w:rPr>
                    <w:t>污染物</w:t>
                  </w:r>
                </w:p>
              </w:tc>
              <w:tc>
                <w:tcPr>
                  <w:tcW w:w="945" w:type="pct"/>
                  <w:vMerge w:val="restart"/>
                  <w:vAlign w:val="center"/>
                </w:tcPr>
                <w:p w14:paraId="77A5E4DD">
                  <w:pPr>
                    <w:snapToGrid w:val="0"/>
                    <w:jc w:val="center"/>
                    <w:rPr>
                      <w:b/>
                      <w:color w:val="auto"/>
                      <w:szCs w:val="21"/>
                      <w:highlight w:val="none"/>
                    </w:rPr>
                  </w:pPr>
                  <w:r>
                    <w:rPr>
                      <w:rFonts w:hint="eastAsia"/>
                      <w:b/>
                      <w:color w:val="auto"/>
                      <w:szCs w:val="21"/>
                      <w:highlight w:val="none"/>
                    </w:rPr>
                    <w:t>排气筒</w:t>
                  </w:r>
                </w:p>
              </w:tc>
              <w:tc>
                <w:tcPr>
                  <w:tcW w:w="1593" w:type="pct"/>
                  <w:vAlign w:val="center"/>
                </w:tcPr>
                <w:p w14:paraId="0A63A108">
                  <w:pPr>
                    <w:snapToGrid w:val="0"/>
                    <w:jc w:val="center"/>
                    <w:rPr>
                      <w:b/>
                      <w:color w:val="auto"/>
                      <w:szCs w:val="21"/>
                      <w:highlight w:val="none"/>
                    </w:rPr>
                  </w:pPr>
                  <w:r>
                    <w:rPr>
                      <w:rFonts w:hint="eastAsia"/>
                      <w:b/>
                      <w:color w:val="auto"/>
                      <w:szCs w:val="21"/>
                      <w:highlight w:val="none"/>
                    </w:rPr>
                    <w:t>有组织</w:t>
                  </w:r>
                  <w:r>
                    <w:rPr>
                      <w:rFonts w:hint="eastAsia"/>
                      <w:b/>
                      <w:color w:val="auto"/>
                      <w:szCs w:val="21"/>
                      <w:highlight w:val="none"/>
                      <w:lang w:eastAsia="zh-CN"/>
                    </w:rPr>
                    <w:t>排放</w:t>
                  </w:r>
                  <w:r>
                    <w:rPr>
                      <w:rFonts w:hint="eastAsia"/>
                      <w:b/>
                      <w:color w:val="auto"/>
                      <w:szCs w:val="21"/>
                      <w:highlight w:val="none"/>
                    </w:rPr>
                    <w:t>速率kg/h</w:t>
                  </w:r>
                </w:p>
              </w:tc>
              <w:tc>
                <w:tcPr>
                  <w:tcW w:w="1463" w:type="pct"/>
                  <w:vAlign w:val="center"/>
                </w:tcPr>
                <w:p w14:paraId="48173BF2">
                  <w:pPr>
                    <w:snapToGrid w:val="0"/>
                    <w:jc w:val="center"/>
                    <w:rPr>
                      <w:b/>
                      <w:color w:val="auto"/>
                      <w:szCs w:val="21"/>
                      <w:highlight w:val="none"/>
                    </w:rPr>
                  </w:pPr>
                  <w:r>
                    <w:rPr>
                      <w:rFonts w:hint="eastAsia"/>
                      <w:b/>
                      <w:color w:val="auto"/>
                      <w:szCs w:val="21"/>
                      <w:highlight w:val="none"/>
                    </w:rPr>
                    <w:t>无组织浓度限值</w:t>
                  </w:r>
                  <w:r>
                    <w:rPr>
                      <w:b/>
                      <w:color w:val="auto"/>
                      <w:szCs w:val="21"/>
                      <w:highlight w:val="none"/>
                    </w:rPr>
                    <w:t>mg/m</w:t>
                  </w:r>
                  <w:r>
                    <w:rPr>
                      <w:b/>
                      <w:color w:val="auto"/>
                      <w:szCs w:val="21"/>
                      <w:highlight w:val="none"/>
                      <w:vertAlign w:val="superscript"/>
                    </w:rPr>
                    <w:t>3</w:t>
                  </w:r>
                </w:p>
              </w:tc>
            </w:tr>
            <w:tr w14:paraId="3AEB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tcPr>
                <w:p w14:paraId="52B7B6D1">
                  <w:pPr>
                    <w:snapToGrid w:val="0"/>
                    <w:jc w:val="center"/>
                    <w:rPr>
                      <w:color w:val="auto"/>
                      <w:szCs w:val="21"/>
                      <w:highlight w:val="none"/>
                    </w:rPr>
                  </w:pPr>
                  <w:r>
                    <w:rPr>
                      <w:rFonts w:hint="eastAsia"/>
                      <w:color w:val="auto"/>
                      <w:szCs w:val="21"/>
                      <w:highlight w:val="none"/>
                    </w:rPr>
                    <w:t>硫化氢</w:t>
                  </w:r>
                </w:p>
              </w:tc>
              <w:tc>
                <w:tcPr>
                  <w:tcW w:w="945" w:type="pct"/>
                  <w:vMerge w:val="restart"/>
                  <w:vAlign w:val="center"/>
                </w:tcPr>
                <w:p w14:paraId="77E4FDC4">
                  <w:pPr>
                    <w:snapToGrid w:val="0"/>
                    <w:jc w:val="center"/>
                    <w:rPr>
                      <w:color w:val="auto"/>
                      <w:szCs w:val="21"/>
                      <w:highlight w:val="none"/>
                    </w:rPr>
                  </w:pPr>
                  <w:r>
                    <w:rPr>
                      <w:rFonts w:hint="eastAsia"/>
                      <w:color w:val="auto"/>
                      <w:szCs w:val="21"/>
                      <w:highlight w:val="none"/>
                    </w:rPr>
                    <w:t>15m</w:t>
                  </w:r>
                </w:p>
              </w:tc>
              <w:tc>
                <w:tcPr>
                  <w:tcW w:w="1593" w:type="pct"/>
                  <w:vAlign w:val="center"/>
                </w:tcPr>
                <w:p w14:paraId="78E5ACFD">
                  <w:pPr>
                    <w:snapToGrid w:val="0"/>
                    <w:jc w:val="center"/>
                    <w:rPr>
                      <w:color w:val="auto"/>
                      <w:szCs w:val="21"/>
                      <w:highlight w:val="none"/>
                    </w:rPr>
                  </w:pPr>
                  <w:r>
                    <w:rPr>
                      <w:rFonts w:hint="eastAsia"/>
                      <w:color w:val="auto"/>
                      <w:szCs w:val="21"/>
                      <w:highlight w:val="none"/>
                    </w:rPr>
                    <w:t>0.33</w:t>
                  </w:r>
                </w:p>
              </w:tc>
              <w:tc>
                <w:tcPr>
                  <w:tcW w:w="1463" w:type="pct"/>
                  <w:vAlign w:val="center"/>
                </w:tcPr>
                <w:p w14:paraId="27779EA4">
                  <w:pPr>
                    <w:snapToGrid w:val="0"/>
                    <w:jc w:val="center"/>
                    <w:rPr>
                      <w:color w:val="auto"/>
                      <w:szCs w:val="21"/>
                      <w:highlight w:val="none"/>
                    </w:rPr>
                  </w:pPr>
                  <w:r>
                    <w:rPr>
                      <w:rFonts w:hint="eastAsia"/>
                      <w:color w:val="auto"/>
                      <w:szCs w:val="21"/>
                      <w:highlight w:val="none"/>
                    </w:rPr>
                    <w:t>0.06</w:t>
                  </w:r>
                </w:p>
              </w:tc>
            </w:tr>
            <w:tr w14:paraId="1BF7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tcPr>
                <w:p w14:paraId="37A6F7FA">
                  <w:pPr>
                    <w:snapToGrid w:val="0"/>
                    <w:jc w:val="center"/>
                    <w:rPr>
                      <w:color w:val="auto"/>
                      <w:szCs w:val="21"/>
                      <w:highlight w:val="none"/>
                    </w:rPr>
                  </w:pPr>
                  <w:r>
                    <w:rPr>
                      <w:rFonts w:hint="eastAsia"/>
                      <w:color w:val="auto"/>
                      <w:szCs w:val="21"/>
                      <w:highlight w:val="none"/>
                    </w:rPr>
                    <w:t>氨</w:t>
                  </w:r>
                </w:p>
              </w:tc>
              <w:tc>
                <w:tcPr>
                  <w:tcW w:w="945" w:type="pct"/>
                  <w:vMerge w:val="continue"/>
                  <w:vAlign w:val="center"/>
                </w:tcPr>
                <w:p w14:paraId="13BB9F9B">
                  <w:pPr>
                    <w:snapToGrid w:val="0"/>
                    <w:jc w:val="center"/>
                    <w:rPr>
                      <w:color w:val="auto"/>
                      <w:szCs w:val="21"/>
                      <w:highlight w:val="none"/>
                    </w:rPr>
                  </w:pPr>
                </w:p>
              </w:tc>
              <w:tc>
                <w:tcPr>
                  <w:tcW w:w="1593" w:type="pct"/>
                  <w:vAlign w:val="center"/>
                </w:tcPr>
                <w:p w14:paraId="4F41256C">
                  <w:pPr>
                    <w:snapToGrid w:val="0"/>
                    <w:jc w:val="center"/>
                    <w:rPr>
                      <w:color w:val="auto"/>
                      <w:szCs w:val="21"/>
                      <w:highlight w:val="none"/>
                    </w:rPr>
                  </w:pPr>
                  <w:r>
                    <w:rPr>
                      <w:rFonts w:hint="eastAsia"/>
                      <w:color w:val="auto"/>
                      <w:szCs w:val="21"/>
                      <w:highlight w:val="none"/>
                    </w:rPr>
                    <w:t>4.9</w:t>
                  </w:r>
                </w:p>
              </w:tc>
              <w:tc>
                <w:tcPr>
                  <w:tcW w:w="1463" w:type="pct"/>
                  <w:vAlign w:val="center"/>
                </w:tcPr>
                <w:p w14:paraId="134F4C3C">
                  <w:pPr>
                    <w:snapToGrid w:val="0"/>
                    <w:jc w:val="center"/>
                    <w:rPr>
                      <w:color w:val="auto"/>
                      <w:szCs w:val="21"/>
                      <w:highlight w:val="none"/>
                    </w:rPr>
                  </w:pPr>
                  <w:r>
                    <w:rPr>
                      <w:rFonts w:hint="eastAsia"/>
                      <w:color w:val="auto"/>
                      <w:szCs w:val="21"/>
                      <w:highlight w:val="none"/>
                    </w:rPr>
                    <w:t>1.5</w:t>
                  </w:r>
                </w:p>
              </w:tc>
            </w:tr>
            <w:tr w14:paraId="4470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tcPr>
                <w:p w14:paraId="5A535450">
                  <w:pPr>
                    <w:snapToGrid w:val="0"/>
                    <w:jc w:val="center"/>
                    <w:rPr>
                      <w:rFonts w:hint="eastAsia"/>
                      <w:color w:val="auto"/>
                      <w:szCs w:val="21"/>
                      <w:highlight w:val="none"/>
                    </w:rPr>
                  </w:pPr>
                  <w:r>
                    <w:rPr>
                      <w:rFonts w:hint="eastAsia"/>
                      <w:color w:val="auto"/>
                      <w:szCs w:val="21"/>
                      <w:highlight w:val="none"/>
                    </w:rPr>
                    <w:t>氨</w:t>
                  </w:r>
                </w:p>
              </w:tc>
              <w:tc>
                <w:tcPr>
                  <w:tcW w:w="945" w:type="pct"/>
                  <w:vAlign w:val="center"/>
                </w:tcPr>
                <w:p w14:paraId="5BA37478">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28m</w:t>
                  </w:r>
                </w:p>
              </w:tc>
              <w:tc>
                <w:tcPr>
                  <w:tcW w:w="1593" w:type="pct"/>
                  <w:vAlign w:val="center"/>
                </w:tcPr>
                <w:p w14:paraId="3422A5AC">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17.6</w:t>
                  </w:r>
                </w:p>
              </w:tc>
              <w:tc>
                <w:tcPr>
                  <w:tcW w:w="1463" w:type="pct"/>
                  <w:vAlign w:val="center"/>
                </w:tcPr>
                <w:p w14:paraId="2E6F8D81">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1.5</w:t>
                  </w:r>
                </w:p>
              </w:tc>
            </w:tr>
          </w:tbl>
          <w:p w14:paraId="7C5D6C2B">
            <w:pPr>
              <w:pStyle w:val="132"/>
              <w:bidi w:val="0"/>
              <w:rPr>
                <w:b/>
                <w:color w:val="auto"/>
                <w:szCs w:val="21"/>
                <w:highlight w:val="none"/>
              </w:rPr>
            </w:pPr>
            <w:r>
              <w:rPr>
                <w:rFonts w:hint="eastAsia"/>
                <w:b/>
                <w:color w:val="auto"/>
                <w:szCs w:val="21"/>
                <w:highlight w:val="none"/>
                <w:lang w:val="en-US" w:eastAsia="zh-CN"/>
              </w:rPr>
              <w:t>大气污染物综合排放标准</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3"/>
              <w:gridCol w:w="5493"/>
            </w:tblGrid>
            <w:tr w14:paraId="6488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1" w:type="pct"/>
                  <w:vAlign w:val="center"/>
                </w:tcPr>
                <w:p w14:paraId="219FE0DF">
                  <w:pPr>
                    <w:snapToGrid w:val="0"/>
                    <w:jc w:val="center"/>
                    <w:rPr>
                      <w:rFonts w:hint="eastAsia" w:eastAsia="宋体"/>
                      <w:b/>
                      <w:color w:val="auto"/>
                      <w:szCs w:val="21"/>
                      <w:highlight w:val="none"/>
                      <w:lang w:val="en-US" w:eastAsia="zh-CN"/>
                    </w:rPr>
                  </w:pPr>
                  <w:r>
                    <w:rPr>
                      <w:rFonts w:hint="eastAsia"/>
                      <w:b/>
                      <w:color w:val="auto"/>
                      <w:szCs w:val="21"/>
                      <w:highlight w:val="none"/>
                      <w:lang w:val="en-US" w:eastAsia="zh-CN"/>
                    </w:rPr>
                    <w:t>污染物</w:t>
                  </w:r>
                </w:p>
              </w:tc>
              <w:tc>
                <w:tcPr>
                  <w:tcW w:w="3278" w:type="pct"/>
                  <w:vAlign w:val="center"/>
                </w:tcPr>
                <w:p w14:paraId="491F05F9">
                  <w:pPr>
                    <w:snapToGrid w:val="0"/>
                    <w:jc w:val="center"/>
                    <w:rPr>
                      <w:rFonts w:hint="eastAsia"/>
                      <w:b/>
                      <w:color w:val="auto"/>
                      <w:szCs w:val="21"/>
                      <w:highlight w:val="none"/>
                    </w:rPr>
                  </w:pPr>
                  <w:r>
                    <w:rPr>
                      <w:rFonts w:hint="eastAsia"/>
                      <w:b/>
                      <w:color w:val="auto"/>
                      <w:szCs w:val="21"/>
                      <w:highlight w:val="none"/>
                    </w:rPr>
                    <w:t>无组织浓度限值</w:t>
                  </w:r>
                  <w:r>
                    <w:rPr>
                      <w:rFonts w:hint="eastAsia"/>
                      <w:b/>
                      <w:color w:val="auto"/>
                      <w:szCs w:val="21"/>
                      <w:highlight w:val="none"/>
                      <w:lang w:val="en-US" w:eastAsia="zh-CN"/>
                    </w:rPr>
                    <w:t>mg/m</w:t>
                  </w:r>
                  <w:r>
                    <w:rPr>
                      <w:rFonts w:hint="eastAsia"/>
                      <w:b/>
                      <w:color w:val="auto"/>
                      <w:szCs w:val="21"/>
                      <w:highlight w:val="none"/>
                      <w:vertAlign w:val="superscript"/>
                      <w:lang w:val="en-US" w:eastAsia="zh-CN"/>
                    </w:rPr>
                    <w:t>3</w:t>
                  </w:r>
                </w:p>
              </w:tc>
            </w:tr>
            <w:tr w14:paraId="3E5F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1" w:type="pct"/>
                  <w:vAlign w:val="center"/>
                </w:tcPr>
                <w:p w14:paraId="08A0CEA8">
                  <w:pPr>
                    <w:snapToGrid w:val="0"/>
                    <w:jc w:val="center"/>
                    <w:rPr>
                      <w:color w:val="auto"/>
                      <w:szCs w:val="21"/>
                      <w:highlight w:val="none"/>
                    </w:rPr>
                  </w:pPr>
                  <w:r>
                    <w:rPr>
                      <w:rFonts w:hint="eastAsia"/>
                      <w:color w:val="auto"/>
                      <w:szCs w:val="21"/>
                      <w:highlight w:val="none"/>
                    </w:rPr>
                    <w:t>颗粒物</w:t>
                  </w:r>
                </w:p>
              </w:tc>
              <w:tc>
                <w:tcPr>
                  <w:tcW w:w="3278" w:type="pct"/>
                  <w:vAlign w:val="center"/>
                </w:tcPr>
                <w:p w14:paraId="612D920B">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bl>
          <w:p w14:paraId="53A5FA85">
            <w:pPr>
              <w:pStyle w:val="132"/>
              <w:bidi w:val="0"/>
              <w:rPr>
                <w:b/>
                <w:color w:val="auto"/>
                <w:szCs w:val="21"/>
                <w:highlight w:val="none"/>
              </w:rPr>
            </w:pPr>
            <w:r>
              <w:rPr>
                <w:rFonts w:hint="eastAsia"/>
                <w:b/>
                <w:color w:val="auto"/>
                <w:szCs w:val="21"/>
                <w:highlight w:val="none"/>
              </w:rPr>
              <w:t>挥发性有机物无组织排放控制标准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785"/>
              <w:gridCol w:w="2714"/>
              <w:gridCol w:w="2341"/>
            </w:tblGrid>
            <w:tr w14:paraId="42D1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vAlign w:val="center"/>
                </w:tcPr>
                <w:p w14:paraId="57D9C985">
                  <w:pPr>
                    <w:snapToGrid w:val="0"/>
                    <w:jc w:val="center"/>
                    <w:rPr>
                      <w:b/>
                      <w:color w:val="auto"/>
                      <w:szCs w:val="21"/>
                      <w:highlight w:val="none"/>
                    </w:rPr>
                  </w:pPr>
                  <w:r>
                    <w:rPr>
                      <w:rFonts w:hint="eastAsia"/>
                      <w:b/>
                      <w:color w:val="auto"/>
                      <w:szCs w:val="21"/>
                      <w:highlight w:val="none"/>
                    </w:rPr>
                    <w:t>污染物</w:t>
                  </w:r>
                </w:p>
              </w:tc>
              <w:tc>
                <w:tcPr>
                  <w:tcW w:w="1785" w:type="dxa"/>
                  <w:vAlign w:val="center"/>
                </w:tcPr>
                <w:p w14:paraId="7156E6CC">
                  <w:pPr>
                    <w:snapToGrid w:val="0"/>
                    <w:jc w:val="center"/>
                    <w:rPr>
                      <w:b/>
                      <w:color w:val="auto"/>
                      <w:szCs w:val="21"/>
                      <w:highlight w:val="none"/>
                    </w:rPr>
                  </w:pPr>
                  <w:r>
                    <w:rPr>
                      <w:rFonts w:hint="eastAsia"/>
                      <w:b/>
                      <w:color w:val="auto"/>
                      <w:szCs w:val="21"/>
                      <w:highlight w:val="none"/>
                    </w:rPr>
                    <w:t>排放限值</w:t>
                  </w:r>
                  <w:r>
                    <w:rPr>
                      <w:b/>
                      <w:color w:val="auto"/>
                      <w:szCs w:val="21"/>
                      <w:highlight w:val="none"/>
                    </w:rPr>
                    <w:t>mg/m</w:t>
                  </w:r>
                  <w:r>
                    <w:rPr>
                      <w:b/>
                      <w:color w:val="auto"/>
                      <w:szCs w:val="21"/>
                      <w:highlight w:val="none"/>
                      <w:vertAlign w:val="superscript"/>
                    </w:rPr>
                    <w:t>3</w:t>
                  </w:r>
                </w:p>
              </w:tc>
              <w:tc>
                <w:tcPr>
                  <w:tcW w:w="2714" w:type="dxa"/>
                  <w:vAlign w:val="center"/>
                </w:tcPr>
                <w:p w14:paraId="3374C83E">
                  <w:pPr>
                    <w:snapToGrid w:val="0"/>
                    <w:jc w:val="center"/>
                    <w:rPr>
                      <w:b/>
                      <w:color w:val="auto"/>
                      <w:szCs w:val="21"/>
                      <w:highlight w:val="none"/>
                    </w:rPr>
                  </w:pPr>
                  <w:r>
                    <w:rPr>
                      <w:rFonts w:hint="eastAsia"/>
                      <w:b/>
                      <w:color w:val="auto"/>
                      <w:szCs w:val="21"/>
                      <w:highlight w:val="none"/>
                    </w:rPr>
                    <w:t>限值含义</w:t>
                  </w:r>
                </w:p>
              </w:tc>
              <w:tc>
                <w:tcPr>
                  <w:tcW w:w="2341" w:type="dxa"/>
                  <w:vAlign w:val="center"/>
                </w:tcPr>
                <w:p w14:paraId="029C11B3">
                  <w:pPr>
                    <w:snapToGrid w:val="0"/>
                    <w:jc w:val="center"/>
                    <w:rPr>
                      <w:b/>
                      <w:color w:val="auto"/>
                      <w:szCs w:val="21"/>
                      <w:highlight w:val="none"/>
                    </w:rPr>
                  </w:pPr>
                  <w:r>
                    <w:rPr>
                      <w:rFonts w:hint="eastAsia"/>
                      <w:b/>
                      <w:color w:val="auto"/>
                      <w:szCs w:val="21"/>
                      <w:highlight w:val="none"/>
                    </w:rPr>
                    <w:t>无组织排放监控位置</w:t>
                  </w:r>
                </w:p>
              </w:tc>
            </w:tr>
            <w:tr w14:paraId="28E9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vMerge w:val="restart"/>
                  <w:vAlign w:val="center"/>
                </w:tcPr>
                <w:p w14:paraId="1AF0C84F">
                  <w:pPr>
                    <w:snapToGrid w:val="0"/>
                    <w:jc w:val="center"/>
                    <w:rPr>
                      <w:color w:val="auto"/>
                      <w:szCs w:val="21"/>
                      <w:highlight w:val="none"/>
                    </w:rPr>
                  </w:pPr>
                  <w:r>
                    <w:rPr>
                      <w:rFonts w:hint="eastAsia"/>
                      <w:color w:val="auto"/>
                      <w:szCs w:val="21"/>
                      <w:highlight w:val="none"/>
                    </w:rPr>
                    <w:t>VOCs</w:t>
                  </w:r>
                </w:p>
              </w:tc>
              <w:tc>
                <w:tcPr>
                  <w:tcW w:w="1785" w:type="dxa"/>
                  <w:vAlign w:val="center"/>
                </w:tcPr>
                <w:p w14:paraId="7298784F">
                  <w:pPr>
                    <w:snapToGrid w:val="0"/>
                    <w:jc w:val="center"/>
                    <w:rPr>
                      <w:color w:val="auto"/>
                      <w:szCs w:val="21"/>
                      <w:highlight w:val="none"/>
                    </w:rPr>
                  </w:pPr>
                  <w:r>
                    <w:rPr>
                      <w:rFonts w:hint="eastAsia"/>
                      <w:color w:val="auto"/>
                      <w:szCs w:val="21"/>
                      <w:highlight w:val="none"/>
                    </w:rPr>
                    <w:t>6</w:t>
                  </w:r>
                </w:p>
              </w:tc>
              <w:tc>
                <w:tcPr>
                  <w:tcW w:w="2714" w:type="dxa"/>
                  <w:vAlign w:val="center"/>
                </w:tcPr>
                <w:p w14:paraId="64FA1330">
                  <w:pPr>
                    <w:snapToGrid w:val="0"/>
                    <w:jc w:val="center"/>
                    <w:rPr>
                      <w:color w:val="auto"/>
                      <w:szCs w:val="21"/>
                      <w:highlight w:val="none"/>
                    </w:rPr>
                  </w:pPr>
                  <w:r>
                    <w:rPr>
                      <w:rFonts w:hint="eastAsia"/>
                      <w:color w:val="auto"/>
                      <w:szCs w:val="21"/>
                      <w:highlight w:val="none"/>
                    </w:rPr>
                    <w:t>监控点处1h平均浓度值</w:t>
                  </w:r>
                </w:p>
              </w:tc>
              <w:tc>
                <w:tcPr>
                  <w:tcW w:w="2341" w:type="dxa"/>
                  <w:vMerge w:val="restart"/>
                  <w:vAlign w:val="center"/>
                </w:tcPr>
                <w:p w14:paraId="7165BA09">
                  <w:pPr>
                    <w:snapToGrid w:val="0"/>
                    <w:jc w:val="center"/>
                    <w:rPr>
                      <w:color w:val="auto"/>
                      <w:szCs w:val="21"/>
                      <w:highlight w:val="none"/>
                    </w:rPr>
                  </w:pPr>
                  <w:r>
                    <w:rPr>
                      <w:rFonts w:hint="eastAsia"/>
                      <w:color w:val="auto"/>
                      <w:szCs w:val="21"/>
                      <w:highlight w:val="none"/>
                    </w:rPr>
                    <w:t>在厂房外设置监控点</w:t>
                  </w:r>
                </w:p>
              </w:tc>
            </w:tr>
            <w:tr w14:paraId="13A7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vMerge w:val="continue"/>
                  <w:vAlign w:val="center"/>
                </w:tcPr>
                <w:p w14:paraId="70E956C5">
                  <w:pPr>
                    <w:snapToGrid w:val="0"/>
                    <w:jc w:val="center"/>
                    <w:rPr>
                      <w:color w:val="auto"/>
                      <w:szCs w:val="21"/>
                      <w:highlight w:val="none"/>
                    </w:rPr>
                  </w:pPr>
                </w:p>
              </w:tc>
              <w:tc>
                <w:tcPr>
                  <w:tcW w:w="1785" w:type="dxa"/>
                  <w:vAlign w:val="center"/>
                </w:tcPr>
                <w:p w14:paraId="6C3B8D70">
                  <w:pPr>
                    <w:snapToGrid w:val="0"/>
                    <w:jc w:val="center"/>
                    <w:rPr>
                      <w:color w:val="auto"/>
                      <w:szCs w:val="21"/>
                      <w:highlight w:val="none"/>
                    </w:rPr>
                  </w:pPr>
                  <w:r>
                    <w:rPr>
                      <w:rFonts w:hint="eastAsia"/>
                      <w:color w:val="auto"/>
                      <w:szCs w:val="21"/>
                      <w:highlight w:val="none"/>
                    </w:rPr>
                    <w:t>20</w:t>
                  </w:r>
                </w:p>
              </w:tc>
              <w:tc>
                <w:tcPr>
                  <w:tcW w:w="2714" w:type="dxa"/>
                  <w:vAlign w:val="center"/>
                </w:tcPr>
                <w:p w14:paraId="3A245BAE">
                  <w:pPr>
                    <w:snapToGrid w:val="0"/>
                    <w:jc w:val="center"/>
                    <w:rPr>
                      <w:color w:val="auto"/>
                      <w:szCs w:val="21"/>
                      <w:highlight w:val="none"/>
                    </w:rPr>
                  </w:pPr>
                  <w:r>
                    <w:rPr>
                      <w:rFonts w:hint="eastAsia"/>
                      <w:color w:val="auto"/>
                      <w:szCs w:val="21"/>
                      <w:highlight w:val="none"/>
                    </w:rPr>
                    <w:t>监控点处任意一次浓度值</w:t>
                  </w:r>
                </w:p>
              </w:tc>
              <w:tc>
                <w:tcPr>
                  <w:tcW w:w="2341" w:type="dxa"/>
                  <w:vMerge w:val="continue"/>
                  <w:vAlign w:val="center"/>
                </w:tcPr>
                <w:p w14:paraId="6E8918F0">
                  <w:pPr>
                    <w:snapToGrid w:val="0"/>
                    <w:jc w:val="center"/>
                    <w:rPr>
                      <w:color w:val="auto"/>
                      <w:szCs w:val="21"/>
                      <w:highlight w:val="none"/>
                    </w:rPr>
                  </w:pPr>
                </w:p>
              </w:tc>
            </w:tr>
          </w:tbl>
          <w:p w14:paraId="4D0A6141">
            <w:pPr>
              <w:pStyle w:val="132"/>
              <w:bidi w:val="0"/>
              <w:rPr>
                <w:b/>
                <w:color w:val="auto"/>
                <w:szCs w:val="21"/>
                <w:highlight w:val="none"/>
              </w:rPr>
            </w:pPr>
            <w:r>
              <w:rPr>
                <w:rFonts w:hint="eastAsia"/>
                <w:b/>
                <w:color w:val="auto"/>
                <w:szCs w:val="21"/>
                <w:highlight w:val="none"/>
              </w:rPr>
              <w:t>饮食业油烟排放标准</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942"/>
              <w:gridCol w:w="3398"/>
            </w:tblGrid>
            <w:tr w14:paraId="68F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pct"/>
                </w:tcPr>
                <w:p w14:paraId="3CE7245B">
                  <w:pPr>
                    <w:snapToGrid w:val="0"/>
                    <w:jc w:val="center"/>
                    <w:rPr>
                      <w:b/>
                      <w:color w:val="auto"/>
                      <w:szCs w:val="21"/>
                      <w:highlight w:val="none"/>
                    </w:rPr>
                  </w:pPr>
                  <w:r>
                    <w:rPr>
                      <w:rFonts w:hint="eastAsia"/>
                      <w:b/>
                      <w:color w:val="auto"/>
                      <w:szCs w:val="21"/>
                      <w:highlight w:val="none"/>
                    </w:rPr>
                    <w:t>污染物</w:t>
                  </w:r>
                </w:p>
              </w:tc>
              <w:tc>
                <w:tcPr>
                  <w:tcW w:w="1756" w:type="pct"/>
                </w:tcPr>
                <w:p w14:paraId="59614270">
                  <w:pPr>
                    <w:snapToGrid w:val="0"/>
                    <w:jc w:val="center"/>
                    <w:rPr>
                      <w:b/>
                      <w:color w:val="auto"/>
                      <w:szCs w:val="21"/>
                      <w:highlight w:val="none"/>
                    </w:rPr>
                  </w:pPr>
                  <w:r>
                    <w:rPr>
                      <w:rFonts w:hint="eastAsia"/>
                      <w:b/>
                      <w:color w:val="auto"/>
                      <w:szCs w:val="21"/>
                      <w:highlight w:val="none"/>
                      <w:lang w:val="en-US" w:eastAsia="zh-CN"/>
                    </w:rPr>
                    <w:t>最高允许</w:t>
                  </w:r>
                  <w:r>
                    <w:rPr>
                      <w:rFonts w:hint="eastAsia"/>
                      <w:b/>
                      <w:color w:val="auto"/>
                      <w:szCs w:val="21"/>
                      <w:highlight w:val="none"/>
                    </w:rPr>
                    <w:t>排放浓度</w:t>
                  </w:r>
                  <w:r>
                    <w:rPr>
                      <w:b/>
                      <w:color w:val="auto"/>
                      <w:szCs w:val="21"/>
                      <w:highlight w:val="none"/>
                    </w:rPr>
                    <w:t>mg/m</w:t>
                  </w:r>
                  <w:r>
                    <w:rPr>
                      <w:b/>
                      <w:color w:val="auto"/>
                      <w:szCs w:val="21"/>
                      <w:highlight w:val="none"/>
                      <w:vertAlign w:val="superscript"/>
                    </w:rPr>
                    <w:t>3</w:t>
                  </w:r>
                </w:p>
              </w:tc>
              <w:tc>
                <w:tcPr>
                  <w:tcW w:w="2028" w:type="pct"/>
                </w:tcPr>
                <w:p w14:paraId="690911A5">
                  <w:pPr>
                    <w:snapToGrid w:val="0"/>
                    <w:jc w:val="center"/>
                    <w:rPr>
                      <w:rFonts w:hint="eastAsia"/>
                      <w:b/>
                      <w:color w:val="auto"/>
                      <w:szCs w:val="21"/>
                      <w:highlight w:val="none"/>
                      <w:lang w:val="en-US" w:eastAsia="zh-CN"/>
                    </w:rPr>
                  </w:pPr>
                  <w:r>
                    <w:rPr>
                      <w:rFonts w:hint="eastAsia"/>
                      <w:b/>
                      <w:bCs/>
                      <w:color w:val="auto"/>
                      <w:szCs w:val="21"/>
                      <w:highlight w:val="none"/>
                      <w:lang w:val="en-US" w:eastAsia="zh-CN"/>
                    </w:rPr>
                    <w:t>净化设施最低去除效率（%）</w:t>
                  </w:r>
                </w:p>
              </w:tc>
            </w:tr>
            <w:tr w14:paraId="260C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pct"/>
                </w:tcPr>
                <w:p w14:paraId="05C162A3">
                  <w:pPr>
                    <w:snapToGrid w:val="0"/>
                    <w:jc w:val="center"/>
                    <w:rPr>
                      <w:color w:val="auto"/>
                      <w:szCs w:val="21"/>
                      <w:highlight w:val="none"/>
                    </w:rPr>
                  </w:pPr>
                  <w:r>
                    <w:rPr>
                      <w:rFonts w:hint="eastAsia"/>
                      <w:color w:val="auto"/>
                      <w:szCs w:val="21"/>
                      <w:highlight w:val="none"/>
                      <w:lang w:val="en-US" w:eastAsia="zh-CN"/>
                    </w:rPr>
                    <w:t>食堂</w:t>
                  </w:r>
                  <w:r>
                    <w:rPr>
                      <w:rFonts w:hint="eastAsia"/>
                      <w:color w:val="auto"/>
                      <w:szCs w:val="21"/>
                      <w:highlight w:val="none"/>
                    </w:rPr>
                    <w:t>油烟</w:t>
                  </w:r>
                </w:p>
              </w:tc>
              <w:tc>
                <w:tcPr>
                  <w:tcW w:w="1756" w:type="pct"/>
                </w:tcPr>
                <w:p w14:paraId="0071861E">
                  <w:pPr>
                    <w:snapToGrid w:val="0"/>
                    <w:jc w:val="center"/>
                    <w:rPr>
                      <w:color w:val="auto"/>
                      <w:szCs w:val="21"/>
                      <w:highlight w:val="none"/>
                    </w:rPr>
                  </w:pPr>
                  <w:r>
                    <w:rPr>
                      <w:rFonts w:hint="eastAsia"/>
                      <w:color w:val="auto"/>
                      <w:szCs w:val="21"/>
                      <w:highlight w:val="none"/>
                    </w:rPr>
                    <w:t>2.0</w:t>
                  </w:r>
                </w:p>
              </w:tc>
              <w:tc>
                <w:tcPr>
                  <w:tcW w:w="2028" w:type="pct"/>
                </w:tcPr>
                <w:p w14:paraId="1906E8DA">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75%（中型）</w:t>
                  </w:r>
                </w:p>
              </w:tc>
            </w:tr>
          </w:tbl>
          <w:p w14:paraId="555C818E">
            <w:pPr>
              <w:spacing w:before="120" w:beforeLines="50" w:line="360" w:lineRule="auto"/>
              <w:rPr>
                <w:b/>
                <w:color w:val="auto"/>
                <w:kern w:val="0"/>
                <w:sz w:val="24"/>
                <w:szCs w:val="22"/>
                <w:highlight w:val="none"/>
              </w:rPr>
            </w:pPr>
            <w:r>
              <w:rPr>
                <w:b/>
                <w:color w:val="auto"/>
                <w:kern w:val="0"/>
                <w:sz w:val="24"/>
                <w:szCs w:val="22"/>
                <w:highlight w:val="none"/>
              </w:rPr>
              <w:t>2、水污染物排放标准</w:t>
            </w:r>
          </w:p>
          <w:p w14:paraId="386B5415">
            <w:pPr>
              <w:spacing w:line="360" w:lineRule="auto"/>
              <w:ind w:firstLine="480" w:firstLineChars="200"/>
              <w:rPr>
                <w:rFonts w:hint="eastAsia" w:eastAsia="宋体"/>
                <w:color w:val="auto"/>
                <w:sz w:val="24"/>
                <w:highlight w:val="none"/>
                <w:lang w:eastAsia="zh-CN"/>
              </w:rPr>
            </w:pPr>
            <w:r>
              <w:rPr>
                <w:rFonts w:hint="eastAsia" w:cs="Times New Roman"/>
                <w:color w:val="auto"/>
                <w:sz w:val="24"/>
                <w:highlight w:val="none"/>
                <w:lang w:val="en-US" w:eastAsia="zh-CN"/>
              </w:rPr>
              <w:t>本项目产生的生活污水先经隔油+预处理池处理后与产生的生产废水、初期雨水一并经厂区污水处理站</w:t>
            </w:r>
            <w:r>
              <w:rPr>
                <w:rFonts w:hint="eastAsia"/>
                <w:color w:val="auto"/>
                <w:sz w:val="24"/>
                <w:highlight w:val="none"/>
              </w:rPr>
              <w:t>处理后</w:t>
            </w:r>
            <w:r>
              <w:rPr>
                <w:rFonts w:hint="eastAsia"/>
                <w:color w:val="auto"/>
                <w:sz w:val="24"/>
                <w:highlight w:val="none"/>
                <w:lang w:val="en-US" w:eastAsia="zh-CN"/>
              </w:rPr>
              <w:t>再一并</w:t>
            </w:r>
            <w:r>
              <w:rPr>
                <w:rFonts w:hint="eastAsia"/>
                <w:color w:val="auto"/>
                <w:sz w:val="24"/>
                <w:highlight w:val="none"/>
              </w:rPr>
              <w:t>经</w:t>
            </w:r>
            <w:r>
              <w:rPr>
                <w:rFonts w:hint="eastAsia"/>
                <w:color w:val="auto"/>
                <w:sz w:val="24"/>
                <w:highlight w:val="none"/>
                <w:lang w:val="en-US" w:eastAsia="zh-CN"/>
              </w:rPr>
              <w:t>园区</w:t>
            </w:r>
            <w:r>
              <w:rPr>
                <w:rFonts w:hint="eastAsia"/>
                <w:color w:val="auto"/>
                <w:sz w:val="24"/>
                <w:highlight w:val="none"/>
              </w:rPr>
              <w:t>污水管网进入大英经济开发区污水处理厂，不直接向环境水体排放，排放限值</w:t>
            </w:r>
            <w:r>
              <w:rPr>
                <w:color w:val="auto"/>
                <w:sz w:val="24"/>
                <w:highlight w:val="none"/>
              </w:rPr>
              <w:t>执行</w:t>
            </w:r>
            <w:r>
              <w:rPr>
                <w:rFonts w:hint="eastAsia"/>
                <w:color w:val="auto"/>
                <w:sz w:val="24"/>
                <w:szCs w:val="22"/>
                <w:highlight w:val="none"/>
                <w:lang w:eastAsia="zh-CN"/>
              </w:rPr>
              <w:t>《污水综合排放标准》（GB8978-1996）三级标准</w:t>
            </w:r>
            <w:r>
              <w:rPr>
                <w:color w:val="auto"/>
                <w:sz w:val="24"/>
                <w:highlight w:val="none"/>
              </w:rPr>
              <w:t>限值要求</w:t>
            </w:r>
            <w:r>
              <w:rPr>
                <w:rFonts w:hint="eastAsia"/>
                <w:color w:val="auto"/>
                <w:kern w:val="24"/>
                <w:sz w:val="24"/>
                <w:highlight w:val="none"/>
              </w:rPr>
              <w:t>，</w:t>
            </w:r>
            <w:r>
              <w:rPr>
                <w:color w:val="auto"/>
                <w:sz w:val="24"/>
                <w:highlight w:val="none"/>
              </w:rPr>
              <w:t>污水处理厂</w:t>
            </w:r>
            <w:r>
              <w:rPr>
                <w:rFonts w:hint="eastAsia"/>
                <w:color w:val="auto"/>
                <w:sz w:val="24"/>
                <w:highlight w:val="none"/>
                <w:lang w:val="en-US" w:eastAsia="zh-CN"/>
              </w:rPr>
              <w:t>处理后排水水质参照</w:t>
            </w:r>
            <w:r>
              <w:rPr>
                <w:color w:val="auto"/>
                <w:sz w:val="24"/>
                <w:highlight w:val="none"/>
              </w:rPr>
              <w:t>《地表水环境质量标准》（GB3838-2002）Ⅲ类标准。其最高允许标准排放浓度详见下表。</w:t>
            </w:r>
          </w:p>
          <w:p w14:paraId="613BE0E7">
            <w:pPr>
              <w:pStyle w:val="132"/>
              <w:bidi w:val="0"/>
              <w:rPr>
                <w:b/>
                <w:color w:val="auto"/>
                <w:kern w:val="0"/>
                <w:szCs w:val="21"/>
                <w:highlight w:val="none"/>
                <w:lang w:val="zh-CN"/>
              </w:rPr>
            </w:pPr>
            <w:r>
              <w:rPr>
                <w:rFonts w:hint="eastAsia"/>
                <w:b/>
                <w:color w:val="auto"/>
                <w:kern w:val="0"/>
                <w:szCs w:val="21"/>
                <w:highlight w:val="none"/>
              </w:rPr>
              <w:t>废水</w:t>
            </w:r>
            <w:r>
              <w:rPr>
                <w:b/>
                <w:color w:val="auto"/>
                <w:kern w:val="0"/>
                <w:szCs w:val="21"/>
                <w:highlight w:val="none"/>
                <w:lang w:val="zh-CN"/>
              </w:rPr>
              <w:t>排放标准</w:t>
            </w:r>
          </w:p>
          <w:tbl>
            <w:tblPr>
              <w:tblStyle w:val="27"/>
              <w:tblW w:w="5000"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017"/>
              <w:gridCol w:w="2802"/>
              <w:gridCol w:w="2769"/>
            </w:tblGrid>
            <w:tr w14:paraId="573F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069" w:type="pct"/>
                  <w:tcBorders>
                    <w:bottom w:val="single" w:color="auto" w:sz="4" w:space="0"/>
                    <w:right w:val="single" w:color="auto" w:sz="4" w:space="0"/>
                  </w:tcBorders>
                  <w:vAlign w:val="center"/>
                </w:tcPr>
                <w:p w14:paraId="7E1CC21D">
                  <w:pPr>
                    <w:autoSpaceDE w:val="0"/>
                    <w:autoSpaceDN w:val="0"/>
                    <w:jc w:val="center"/>
                    <w:rPr>
                      <w:b/>
                      <w:caps/>
                      <w:color w:val="auto"/>
                      <w:szCs w:val="21"/>
                      <w:highlight w:val="none"/>
                    </w:rPr>
                  </w:pPr>
                  <w:r>
                    <w:rPr>
                      <w:b/>
                      <w:caps/>
                      <w:color w:val="auto"/>
                      <w:szCs w:val="21"/>
                      <w:highlight w:val="none"/>
                    </w:rPr>
                    <w:t>项目</w:t>
                  </w:r>
                </w:p>
              </w:tc>
              <w:tc>
                <w:tcPr>
                  <w:tcW w:w="607" w:type="pct"/>
                  <w:tcBorders>
                    <w:left w:val="single" w:color="auto" w:sz="4" w:space="0"/>
                    <w:bottom w:val="single" w:color="auto" w:sz="4" w:space="0"/>
                    <w:right w:val="single" w:color="auto" w:sz="4" w:space="0"/>
                  </w:tcBorders>
                  <w:vAlign w:val="center"/>
                </w:tcPr>
                <w:p w14:paraId="2DD1DBE6">
                  <w:pPr>
                    <w:autoSpaceDE w:val="0"/>
                    <w:autoSpaceDN w:val="0"/>
                    <w:jc w:val="center"/>
                    <w:rPr>
                      <w:b/>
                      <w:caps/>
                      <w:color w:val="auto"/>
                      <w:szCs w:val="21"/>
                      <w:highlight w:val="none"/>
                    </w:rPr>
                  </w:pPr>
                  <w:r>
                    <w:rPr>
                      <w:b/>
                      <w:caps/>
                      <w:color w:val="auto"/>
                      <w:szCs w:val="21"/>
                      <w:highlight w:val="none"/>
                    </w:rPr>
                    <w:t>单位</w:t>
                  </w:r>
                </w:p>
              </w:tc>
              <w:tc>
                <w:tcPr>
                  <w:tcW w:w="1672" w:type="pct"/>
                  <w:tcBorders>
                    <w:left w:val="single" w:color="auto" w:sz="4" w:space="0"/>
                    <w:bottom w:val="single" w:color="auto" w:sz="4" w:space="0"/>
                    <w:right w:val="single" w:color="auto" w:sz="4" w:space="0"/>
                  </w:tcBorders>
                  <w:vAlign w:val="center"/>
                </w:tcPr>
                <w:p w14:paraId="2CB1346F">
                  <w:pPr>
                    <w:autoSpaceDE w:val="0"/>
                    <w:autoSpaceDN w:val="0"/>
                    <w:jc w:val="center"/>
                    <w:rPr>
                      <w:b/>
                      <w:caps/>
                      <w:color w:val="auto"/>
                      <w:szCs w:val="21"/>
                      <w:highlight w:val="none"/>
                    </w:rPr>
                  </w:pPr>
                  <w:r>
                    <w:rPr>
                      <w:rFonts w:hint="eastAsia"/>
                      <w:b/>
                      <w:caps/>
                      <w:color w:val="auto"/>
                      <w:szCs w:val="21"/>
                      <w:highlight w:val="none"/>
                      <w:lang w:eastAsia="zh-CN"/>
                    </w:rPr>
                    <w:t>《</w:t>
                  </w:r>
                  <w:r>
                    <w:rPr>
                      <w:rFonts w:hint="eastAsia"/>
                      <w:b/>
                      <w:caps/>
                      <w:color w:val="auto"/>
                      <w:szCs w:val="21"/>
                      <w:highlight w:val="none"/>
                      <w:lang w:val="en-US" w:eastAsia="zh-CN"/>
                    </w:rPr>
                    <w:t>污水综合排放标准</w:t>
                  </w:r>
                  <w:r>
                    <w:rPr>
                      <w:rFonts w:hint="eastAsia"/>
                      <w:b/>
                      <w:caps/>
                      <w:color w:val="auto"/>
                      <w:szCs w:val="21"/>
                      <w:highlight w:val="none"/>
                      <w:lang w:eastAsia="zh-CN"/>
                    </w:rPr>
                    <w:t>》（</w:t>
                  </w:r>
                  <w:r>
                    <w:rPr>
                      <w:rFonts w:hint="eastAsia"/>
                      <w:b/>
                      <w:caps/>
                      <w:color w:val="auto"/>
                      <w:szCs w:val="21"/>
                      <w:highlight w:val="none"/>
                      <w:lang w:val="en-US" w:eastAsia="zh-CN"/>
                    </w:rPr>
                    <w:t>GB8978-1996</w:t>
                  </w:r>
                  <w:r>
                    <w:rPr>
                      <w:rFonts w:hint="eastAsia"/>
                      <w:b/>
                      <w:caps/>
                      <w:color w:val="auto"/>
                      <w:szCs w:val="21"/>
                      <w:highlight w:val="none"/>
                      <w:lang w:eastAsia="zh-CN"/>
                    </w:rPr>
                    <w:t>）</w:t>
                  </w:r>
                  <w:r>
                    <w:rPr>
                      <w:rFonts w:hint="eastAsia"/>
                      <w:b/>
                      <w:caps/>
                      <w:color w:val="auto"/>
                      <w:szCs w:val="21"/>
                      <w:highlight w:val="none"/>
                      <w:lang w:val="en-US" w:eastAsia="zh-CN"/>
                    </w:rPr>
                    <w:t>三级标准</w:t>
                  </w:r>
                </w:p>
              </w:tc>
              <w:tc>
                <w:tcPr>
                  <w:tcW w:w="1651" w:type="pct"/>
                  <w:tcBorders>
                    <w:left w:val="single" w:color="auto" w:sz="4" w:space="0"/>
                    <w:bottom w:val="single" w:color="auto" w:sz="4" w:space="0"/>
                  </w:tcBorders>
                  <w:vAlign w:val="center"/>
                </w:tcPr>
                <w:p w14:paraId="17BD609A">
                  <w:pPr>
                    <w:autoSpaceDE w:val="0"/>
                    <w:autoSpaceDN w:val="0"/>
                    <w:jc w:val="center"/>
                    <w:rPr>
                      <w:b/>
                      <w:caps/>
                      <w:color w:val="auto"/>
                      <w:szCs w:val="21"/>
                      <w:highlight w:val="none"/>
                    </w:rPr>
                  </w:pPr>
                  <w:r>
                    <w:rPr>
                      <w:b/>
                      <w:caps/>
                      <w:color w:val="auto"/>
                      <w:szCs w:val="21"/>
                      <w:highlight w:val="none"/>
                    </w:rPr>
                    <w:t>《地表水环境质量标准》（GB3838-2002）Ⅲ类标准</w:t>
                  </w:r>
                </w:p>
              </w:tc>
            </w:tr>
            <w:tr w14:paraId="2EB3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069" w:type="pct"/>
                  <w:tcBorders>
                    <w:top w:val="single" w:color="auto" w:sz="4" w:space="0"/>
                    <w:bottom w:val="single" w:color="auto" w:sz="4" w:space="0"/>
                    <w:right w:val="single" w:color="auto" w:sz="4" w:space="0"/>
                  </w:tcBorders>
                  <w:vAlign w:val="center"/>
                </w:tcPr>
                <w:p w14:paraId="29989CFA">
                  <w:pPr>
                    <w:autoSpaceDE w:val="0"/>
                    <w:autoSpaceDN w:val="0"/>
                    <w:jc w:val="center"/>
                    <w:rPr>
                      <w:color w:val="auto"/>
                      <w:szCs w:val="21"/>
                      <w:highlight w:val="none"/>
                    </w:rPr>
                  </w:pPr>
                  <w:r>
                    <w:rPr>
                      <w:color w:val="auto"/>
                      <w:szCs w:val="21"/>
                      <w:highlight w:val="none"/>
                    </w:rPr>
                    <w:t>pH</w:t>
                  </w:r>
                </w:p>
              </w:tc>
              <w:tc>
                <w:tcPr>
                  <w:tcW w:w="607" w:type="pct"/>
                  <w:tcBorders>
                    <w:top w:val="single" w:color="auto" w:sz="4" w:space="0"/>
                    <w:left w:val="single" w:color="auto" w:sz="4" w:space="0"/>
                    <w:bottom w:val="single" w:color="auto" w:sz="4" w:space="0"/>
                    <w:right w:val="single" w:color="auto" w:sz="4" w:space="0"/>
                  </w:tcBorders>
                  <w:vAlign w:val="center"/>
                </w:tcPr>
                <w:p w14:paraId="1747165D">
                  <w:pPr>
                    <w:autoSpaceDE w:val="0"/>
                    <w:autoSpaceDN w:val="0"/>
                    <w:jc w:val="center"/>
                    <w:rPr>
                      <w:color w:val="auto"/>
                      <w:szCs w:val="21"/>
                      <w:highlight w:val="none"/>
                    </w:rPr>
                  </w:pPr>
                  <w:r>
                    <w:rPr>
                      <w:color w:val="auto"/>
                      <w:szCs w:val="21"/>
                      <w:highlight w:val="none"/>
                    </w:rPr>
                    <w:t>无量纲</w:t>
                  </w:r>
                </w:p>
              </w:tc>
              <w:tc>
                <w:tcPr>
                  <w:tcW w:w="1672" w:type="pct"/>
                  <w:tcBorders>
                    <w:top w:val="single" w:color="auto" w:sz="4" w:space="0"/>
                    <w:left w:val="single" w:color="auto" w:sz="4" w:space="0"/>
                    <w:bottom w:val="single" w:color="auto" w:sz="4" w:space="0"/>
                    <w:right w:val="single" w:color="auto" w:sz="4" w:space="0"/>
                  </w:tcBorders>
                  <w:vAlign w:val="center"/>
                </w:tcPr>
                <w:p w14:paraId="740A376E">
                  <w:pPr>
                    <w:autoSpaceDE w:val="0"/>
                    <w:autoSpaceDN w:val="0"/>
                    <w:jc w:val="center"/>
                    <w:rPr>
                      <w:rFonts w:hint="default" w:eastAsia="宋体"/>
                      <w:color w:val="auto"/>
                      <w:szCs w:val="21"/>
                      <w:highlight w:val="none"/>
                      <w:lang w:val="en-US" w:eastAsia="zh-CN"/>
                    </w:rPr>
                  </w:pPr>
                  <w:r>
                    <w:rPr>
                      <w:color w:val="auto"/>
                      <w:szCs w:val="21"/>
                      <w:highlight w:val="none"/>
                    </w:rPr>
                    <w:t>6</w:t>
                  </w:r>
                  <w:r>
                    <w:rPr>
                      <w:rFonts w:hint="eastAsia"/>
                      <w:color w:val="auto"/>
                      <w:szCs w:val="21"/>
                      <w:highlight w:val="none"/>
                      <w:lang w:val="en-US" w:eastAsia="zh-CN"/>
                    </w:rPr>
                    <w:t>.5</w:t>
                  </w:r>
                  <w:r>
                    <w:rPr>
                      <w:color w:val="auto"/>
                      <w:szCs w:val="21"/>
                      <w:highlight w:val="none"/>
                    </w:rPr>
                    <w:t>~9</w:t>
                  </w:r>
                  <w:r>
                    <w:rPr>
                      <w:rFonts w:hint="eastAsia"/>
                      <w:color w:val="auto"/>
                      <w:szCs w:val="21"/>
                      <w:highlight w:val="none"/>
                      <w:lang w:val="en-US" w:eastAsia="zh-CN"/>
                    </w:rPr>
                    <w:t>.5</w:t>
                  </w:r>
                </w:p>
              </w:tc>
              <w:tc>
                <w:tcPr>
                  <w:tcW w:w="1651" w:type="pct"/>
                  <w:tcBorders>
                    <w:top w:val="single" w:color="auto" w:sz="4" w:space="0"/>
                    <w:left w:val="single" w:color="auto" w:sz="4" w:space="0"/>
                    <w:bottom w:val="single" w:color="auto" w:sz="4" w:space="0"/>
                  </w:tcBorders>
                  <w:vAlign w:val="center"/>
                </w:tcPr>
                <w:p w14:paraId="37D6CF7F">
                  <w:pPr>
                    <w:autoSpaceDE w:val="0"/>
                    <w:autoSpaceDN w:val="0"/>
                    <w:jc w:val="center"/>
                    <w:rPr>
                      <w:color w:val="auto"/>
                      <w:szCs w:val="21"/>
                      <w:highlight w:val="none"/>
                    </w:rPr>
                  </w:pPr>
                  <w:r>
                    <w:rPr>
                      <w:color w:val="auto"/>
                      <w:szCs w:val="21"/>
                      <w:highlight w:val="none"/>
                    </w:rPr>
                    <w:t>6~9</w:t>
                  </w:r>
                </w:p>
              </w:tc>
            </w:tr>
            <w:tr w14:paraId="3D12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069" w:type="pct"/>
                  <w:tcBorders>
                    <w:top w:val="single" w:color="auto" w:sz="4" w:space="0"/>
                    <w:bottom w:val="single" w:color="auto" w:sz="4" w:space="0"/>
                    <w:right w:val="single" w:color="auto" w:sz="4" w:space="0"/>
                  </w:tcBorders>
                </w:tcPr>
                <w:p w14:paraId="607177FD">
                  <w:pPr>
                    <w:jc w:val="center"/>
                    <w:rPr>
                      <w:color w:val="auto"/>
                      <w:szCs w:val="21"/>
                      <w:highlight w:val="none"/>
                    </w:rPr>
                  </w:pPr>
                  <w:r>
                    <w:rPr>
                      <w:color w:val="auto"/>
                      <w:szCs w:val="21"/>
                      <w:highlight w:val="none"/>
                    </w:rPr>
                    <w:t>SS</w:t>
                  </w:r>
                </w:p>
              </w:tc>
              <w:tc>
                <w:tcPr>
                  <w:tcW w:w="607" w:type="pct"/>
                  <w:tcBorders>
                    <w:top w:val="single" w:color="auto" w:sz="4" w:space="0"/>
                    <w:left w:val="single" w:color="auto" w:sz="4" w:space="0"/>
                    <w:bottom w:val="single" w:color="auto" w:sz="4" w:space="0"/>
                    <w:right w:val="single" w:color="auto" w:sz="4" w:space="0"/>
                  </w:tcBorders>
                  <w:vAlign w:val="center"/>
                </w:tcPr>
                <w:p w14:paraId="404B9AFC">
                  <w:pPr>
                    <w:jc w:val="center"/>
                    <w:rPr>
                      <w:bCs/>
                      <w:color w:val="auto"/>
                      <w:szCs w:val="21"/>
                      <w:highlight w:val="none"/>
                    </w:rPr>
                  </w:pPr>
                  <w:r>
                    <w:rPr>
                      <w:bCs/>
                      <w:color w:val="auto"/>
                      <w:szCs w:val="21"/>
                      <w:highlight w:val="none"/>
                    </w:rPr>
                    <w:t>mg/L</w:t>
                  </w:r>
                </w:p>
              </w:tc>
              <w:tc>
                <w:tcPr>
                  <w:tcW w:w="1672" w:type="pct"/>
                  <w:tcBorders>
                    <w:top w:val="single" w:color="auto" w:sz="4" w:space="0"/>
                    <w:left w:val="single" w:color="auto" w:sz="4" w:space="0"/>
                    <w:bottom w:val="single" w:color="auto" w:sz="4" w:space="0"/>
                    <w:right w:val="single" w:color="auto" w:sz="4" w:space="0"/>
                  </w:tcBorders>
                  <w:vAlign w:val="center"/>
                </w:tcPr>
                <w:p w14:paraId="0DD8C2C2">
                  <w:pPr>
                    <w:jc w:val="center"/>
                    <w:rPr>
                      <w:color w:val="auto"/>
                      <w:szCs w:val="21"/>
                      <w:highlight w:val="none"/>
                    </w:rPr>
                  </w:pPr>
                  <w:r>
                    <w:rPr>
                      <w:color w:val="auto"/>
                      <w:szCs w:val="21"/>
                      <w:highlight w:val="none"/>
                    </w:rPr>
                    <w:t>400</w:t>
                  </w:r>
                </w:p>
              </w:tc>
              <w:tc>
                <w:tcPr>
                  <w:tcW w:w="1651" w:type="pct"/>
                  <w:tcBorders>
                    <w:top w:val="single" w:color="auto" w:sz="4" w:space="0"/>
                    <w:left w:val="single" w:color="auto" w:sz="4" w:space="0"/>
                    <w:bottom w:val="single" w:color="auto" w:sz="4" w:space="0"/>
                  </w:tcBorders>
                  <w:vAlign w:val="center"/>
                </w:tcPr>
                <w:p w14:paraId="05E54A2C">
                  <w:pPr>
                    <w:jc w:val="center"/>
                    <w:rPr>
                      <w:color w:val="auto"/>
                      <w:szCs w:val="21"/>
                      <w:highlight w:val="none"/>
                    </w:rPr>
                  </w:pPr>
                  <w:r>
                    <w:rPr>
                      <w:rFonts w:hint="eastAsia"/>
                      <w:color w:val="auto"/>
                      <w:szCs w:val="21"/>
                      <w:highlight w:val="none"/>
                    </w:rPr>
                    <w:t>20</w:t>
                  </w:r>
                </w:p>
              </w:tc>
            </w:tr>
            <w:tr w14:paraId="34D9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9" w:type="pct"/>
                  <w:tcBorders>
                    <w:top w:val="single" w:color="auto" w:sz="4" w:space="0"/>
                    <w:bottom w:val="single" w:color="auto" w:sz="4" w:space="0"/>
                    <w:right w:val="single" w:color="auto" w:sz="4" w:space="0"/>
                  </w:tcBorders>
                </w:tcPr>
                <w:p w14:paraId="7BC62717">
                  <w:pPr>
                    <w:jc w:val="center"/>
                    <w:rPr>
                      <w:color w:val="auto"/>
                      <w:szCs w:val="21"/>
                      <w:highlight w:val="none"/>
                    </w:rPr>
                  </w:pPr>
                  <w:r>
                    <w:rPr>
                      <w:color w:val="auto"/>
                      <w:szCs w:val="21"/>
                      <w:highlight w:val="none"/>
                    </w:rPr>
                    <w:t>BOD</w:t>
                  </w:r>
                  <w:r>
                    <w:rPr>
                      <w:color w:val="auto"/>
                      <w:szCs w:val="21"/>
                      <w:highlight w:val="none"/>
                      <w:vertAlign w:val="subscript"/>
                    </w:rPr>
                    <w:t>5</w:t>
                  </w:r>
                </w:p>
              </w:tc>
              <w:tc>
                <w:tcPr>
                  <w:tcW w:w="607" w:type="pct"/>
                  <w:tcBorders>
                    <w:top w:val="single" w:color="auto" w:sz="4" w:space="0"/>
                    <w:left w:val="single" w:color="auto" w:sz="4" w:space="0"/>
                    <w:bottom w:val="single" w:color="auto" w:sz="4" w:space="0"/>
                    <w:right w:val="single" w:color="auto" w:sz="4" w:space="0"/>
                  </w:tcBorders>
                  <w:vAlign w:val="center"/>
                </w:tcPr>
                <w:p w14:paraId="1A9FD739">
                  <w:pPr>
                    <w:jc w:val="center"/>
                    <w:rPr>
                      <w:bCs/>
                      <w:color w:val="auto"/>
                      <w:szCs w:val="21"/>
                      <w:highlight w:val="none"/>
                    </w:rPr>
                  </w:pPr>
                  <w:r>
                    <w:rPr>
                      <w:bCs/>
                      <w:color w:val="auto"/>
                      <w:szCs w:val="21"/>
                      <w:highlight w:val="none"/>
                    </w:rPr>
                    <w:t>mg/L</w:t>
                  </w:r>
                </w:p>
              </w:tc>
              <w:tc>
                <w:tcPr>
                  <w:tcW w:w="1672" w:type="pct"/>
                  <w:tcBorders>
                    <w:top w:val="single" w:color="auto" w:sz="4" w:space="0"/>
                    <w:left w:val="single" w:color="auto" w:sz="4" w:space="0"/>
                    <w:bottom w:val="single" w:color="auto" w:sz="4" w:space="0"/>
                    <w:right w:val="single" w:color="auto" w:sz="4" w:space="0"/>
                  </w:tcBorders>
                  <w:vAlign w:val="center"/>
                </w:tcPr>
                <w:p w14:paraId="05C19C02">
                  <w:pPr>
                    <w:jc w:val="center"/>
                    <w:rPr>
                      <w:rFonts w:hint="default" w:eastAsia="宋体"/>
                      <w:color w:val="auto"/>
                      <w:szCs w:val="21"/>
                      <w:highlight w:val="none"/>
                      <w:lang w:val="en-US" w:eastAsia="zh-CN"/>
                    </w:rPr>
                  </w:pPr>
                  <w:r>
                    <w:rPr>
                      <w:rFonts w:hint="eastAsia"/>
                      <w:color w:val="auto"/>
                      <w:szCs w:val="21"/>
                      <w:highlight w:val="none"/>
                      <w:lang w:val="en-US" w:eastAsia="zh-CN"/>
                    </w:rPr>
                    <w:t>300</w:t>
                  </w:r>
                </w:p>
              </w:tc>
              <w:tc>
                <w:tcPr>
                  <w:tcW w:w="1651" w:type="pct"/>
                  <w:tcBorders>
                    <w:top w:val="single" w:color="auto" w:sz="4" w:space="0"/>
                    <w:left w:val="single" w:color="auto" w:sz="4" w:space="0"/>
                    <w:bottom w:val="single" w:color="auto" w:sz="4" w:space="0"/>
                  </w:tcBorders>
                  <w:vAlign w:val="center"/>
                </w:tcPr>
                <w:p w14:paraId="5C66B02D">
                  <w:pPr>
                    <w:jc w:val="center"/>
                    <w:rPr>
                      <w:color w:val="auto"/>
                      <w:szCs w:val="21"/>
                      <w:highlight w:val="none"/>
                    </w:rPr>
                  </w:pPr>
                  <w:r>
                    <w:rPr>
                      <w:rFonts w:hint="eastAsia"/>
                      <w:color w:val="auto"/>
                      <w:szCs w:val="21"/>
                      <w:highlight w:val="none"/>
                    </w:rPr>
                    <w:t>4</w:t>
                  </w:r>
                </w:p>
              </w:tc>
            </w:tr>
            <w:tr w14:paraId="71E8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9" w:type="pct"/>
                  <w:tcBorders>
                    <w:top w:val="single" w:color="auto" w:sz="4" w:space="0"/>
                    <w:bottom w:val="single" w:color="auto" w:sz="4" w:space="0"/>
                    <w:right w:val="single" w:color="auto" w:sz="4" w:space="0"/>
                  </w:tcBorders>
                </w:tcPr>
                <w:p w14:paraId="29A13489">
                  <w:pPr>
                    <w:jc w:val="center"/>
                    <w:rPr>
                      <w:color w:val="auto"/>
                      <w:szCs w:val="21"/>
                      <w:highlight w:val="none"/>
                    </w:rPr>
                  </w:pPr>
                  <w:r>
                    <w:rPr>
                      <w:color w:val="auto"/>
                      <w:szCs w:val="21"/>
                      <w:highlight w:val="none"/>
                    </w:rPr>
                    <w:t>COD</w:t>
                  </w:r>
                  <w:r>
                    <w:rPr>
                      <w:color w:val="auto"/>
                      <w:szCs w:val="21"/>
                      <w:highlight w:val="none"/>
                      <w:vertAlign w:val="subscript"/>
                    </w:rPr>
                    <w:t>Cr</w:t>
                  </w:r>
                </w:p>
              </w:tc>
              <w:tc>
                <w:tcPr>
                  <w:tcW w:w="607" w:type="pct"/>
                  <w:tcBorders>
                    <w:top w:val="single" w:color="auto" w:sz="4" w:space="0"/>
                    <w:left w:val="single" w:color="auto" w:sz="4" w:space="0"/>
                    <w:bottom w:val="single" w:color="auto" w:sz="4" w:space="0"/>
                    <w:right w:val="single" w:color="auto" w:sz="4" w:space="0"/>
                  </w:tcBorders>
                  <w:vAlign w:val="center"/>
                </w:tcPr>
                <w:p w14:paraId="6FD75D54">
                  <w:pPr>
                    <w:jc w:val="center"/>
                    <w:rPr>
                      <w:bCs/>
                      <w:color w:val="auto"/>
                      <w:szCs w:val="21"/>
                      <w:highlight w:val="none"/>
                    </w:rPr>
                  </w:pPr>
                  <w:r>
                    <w:rPr>
                      <w:bCs/>
                      <w:color w:val="auto"/>
                      <w:szCs w:val="21"/>
                      <w:highlight w:val="none"/>
                    </w:rPr>
                    <w:t>mg/L</w:t>
                  </w:r>
                </w:p>
              </w:tc>
              <w:tc>
                <w:tcPr>
                  <w:tcW w:w="1672" w:type="pct"/>
                  <w:tcBorders>
                    <w:top w:val="single" w:color="auto" w:sz="4" w:space="0"/>
                    <w:left w:val="single" w:color="auto" w:sz="4" w:space="0"/>
                    <w:bottom w:val="single" w:color="auto" w:sz="4" w:space="0"/>
                    <w:right w:val="single" w:color="auto" w:sz="4" w:space="0"/>
                  </w:tcBorders>
                  <w:vAlign w:val="center"/>
                </w:tcPr>
                <w:p w14:paraId="1AE5887E">
                  <w:pPr>
                    <w:jc w:val="center"/>
                    <w:rPr>
                      <w:color w:val="auto"/>
                      <w:szCs w:val="21"/>
                      <w:highlight w:val="none"/>
                    </w:rPr>
                  </w:pPr>
                  <w:r>
                    <w:rPr>
                      <w:color w:val="auto"/>
                      <w:szCs w:val="21"/>
                      <w:highlight w:val="none"/>
                    </w:rPr>
                    <w:t>500</w:t>
                  </w:r>
                </w:p>
              </w:tc>
              <w:tc>
                <w:tcPr>
                  <w:tcW w:w="1651" w:type="pct"/>
                  <w:tcBorders>
                    <w:top w:val="single" w:color="auto" w:sz="4" w:space="0"/>
                    <w:left w:val="single" w:color="auto" w:sz="4" w:space="0"/>
                    <w:bottom w:val="single" w:color="auto" w:sz="4" w:space="0"/>
                  </w:tcBorders>
                  <w:vAlign w:val="center"/>
                </w:tcPr>
                <w:p w14:paraId="56D19DF3">
                  <w:pPr>
                    <w:jc w:val="center"/>
                    <w:rPr>
                      <w:color w:val="auto"/>
                      <w:szCs w:val="21"/>
                      <w:highlight w:val="none"/>
                    </w:rPr>
                  </w:pPr>
                  <w:r>
                    <w:rPr>
                      <w:rFonts w:hint="eastAsia"/>
                      <w:color w:val="auto"/>
                      <w:szCs w:val="21"/>
                      <w:highlight w:val="none"/>
                    </w:rPr>
                    <w:t>20</w:t>
                  </w:r>
                </w:p>
              </w:tc>
            </w:tr>
            <w:tr w14:paraId="60D5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69" w:type="pct"/>
                  <w:tcBorders>
                    <w:top w:val="single" w:color="auto" w:sz="4" w:space="0"/>
                    <w:bottom w:val="single" w:color="auto" w:sz="4" w:space="0"/>
                    <w:right w:val="single" w:color="auto" w:sz="4" w:space="0"/>
                  </w:tcBorders>
                </w:tcPr>
                <w:p w14:paraId="7AF2AA57">
                  <w:pPr>
                    <w:jc w:val="center"/>
                    <w:rPr>
                      <w:color w:val="auto"/>
                      <w:szCs w:val="21"/>
                      <w:highlight w:val="none"/>
                    </w:rPr>
                  </w:pPr>
                  <w:r>
                    <w:rPr>
                      <w:bCs/>
                      <w:color w:val="auto"/>
                      <w:szCs w:val="21"/>
                      <w:highlight w:val="none"/>
                    </w:rPr>
                    <w:t>NH</w:t>
                  </w:r>
                  <w:r>
                    <w:rPr>
                      <w:bCs/>
                      <w:color w:val="auto"/>
                      <w:szCs w:val="21"/>
                      <w:highlight w:val="none"/>
                      <w:vertAlign w:val="subscript"/>
                    </w:rPr>
                    <w:t>3</w:t>
                  </w:r>
                  <w:r>
                    <w:rPr>
                      <w:bCs/>
                      <w:color w:val="auto"/>
                      <w:szCs w:val="21"/>
                      <w:highlight w:val="none"/>
                    </w:rPr>
                    <w:t>-N</w:t>
                  </w:r>
                </w:p>
              </w:tc>
              <w:tc>
                <w:tcPr>
                  <w:tcW w:w="607" w:type="pct"/>
                  <w:tcBorders>
                    <w:top w:val="single" w:color="auto" w:sz="4" w:space="0"/>
                    <w:left w:val="single" w:color="auto" w:sz="4" w:space="0"/>
                    <w:bottom w:val="single" w:color="auto" w:sz="4" w:space="0"/>
                    <w:right w:val="single" w:color="auto" w:sz="4" w:space="0"/>
                  </w:tcBorders>
                  <w:vAlign w:val="center"/>
                </w:tcPr>
                <w:p w14:paraId="6C2EF0E3">
                  <w:pPr>
                    <w:jc w:val="center"/>
                    <w:rPr>
                      <w:bCs/>
                      <w:color w:val="auto"/>
                      <w:szCs w:val="21"/>
                      <w:highlight w:val="none"/>
                    </w:rPr>
                  </w:pPr>
                  <w:r>
                    <w:rPr>
                      <w:bCs/>
                      <w:color w:val="auto"/>
                      <w:szCs w:val="21"/>
                      <w:highlight w:val="none"/>
                    </w:rPr>
                    <w:t>mg/L</w:t>
                  </w:r>
                </w:p>
              </w:tc>
              <w:tc>
                <w:tcPr>
                  <w:tcW w:w="1672" w:type="pct"/>
                  <w:tcBorders>
                    <w:top w:val="single" w:color="auto" w:sz="4" w:space="0"/>
                    <w:left w:val="single" w:color="auto" w:sz="4" w:space="0"/>
                    <w:bottom w:val="single" w:color="auto" w:sz="4" w:space="0"/>
                    <w:right w:val="single" w:color="auto" w:sz="4" w:space="0"/>
                  </w:tcBorders>
                  <w:vAlign w:val="center"/>
                </w:tcPr>
                <w:p w14:paraId="4B6F685D">
                  <w:pPr>
                    <w:jc w:val="center"/>
                    <w:rPr>
                      <w:color w:val="auto"/>
                      <w:szCs w:val="21"/>
                      <w:highlight w:val="none"/>
                    </w:rPr>
                  </w:pPr>
                  <w:r>
                    <w:rPr>
                      <w:rFonts w:hint="eastAsia"/>
                      <w:color w:val="auto"/>
                      <w:szCs w:val="21"/>
                      <w:highlight w:val="none"/>
                    </w:rPr>
                    <w:t>45</w:t>
                  </w:r>
                  <w:r>
                    <w:rPr>
                      <w:rFonts w:hint="eastAsia"/>
                      <w:color w:val="auto"/>
                      <w:szCs w:val="21"/>
                      <w:highlight w:val="none"/>
                      <w:vertAlign w:val="superscript"/>
                      <w:lang w:val="en-US" w:eastAsia="zh-CN"/>
                    </w:rPr>
                    <w:t>*</w:t>
                  </w:r>
                </w:p>
              </w:tc>
              <w:tc>
                <w:tcPr>
                  <w:tcW w:w="1651" w:type="pct"/>
                  <w:tcBorders>
                    <w:top w:val="single" w:color="auto" w:sz="4" w:space="0"/>
                    <w:left w:val="single" w:color="auto" w:sz="4" w:space="0"/>
                    <w:bottom w:val="single" w:color="auto" w:sz="4" w:space="0"/>
                  </w:tcBorders>
                  <w:vAlign w:val="center"/>
                </w:tcPr>
                <w:p w14:paraId="66BAA9FB">
                  <w:pPr>
                    <w:jc w:val="center"/>
                    <w:rPr>
                      <w:color w:val="auto"/>
                      <w:szCs w:val="21"/>
                      <w:highlight w:val="none"/>
                    </w:rPr>
                  </w:pPr>
                  <w:r>
                    <w:rPr>
                      <w:rFonts w:hint="eastAsia"/>
                      <w:color w:val="auto"/>
                      <w:szCs w:val="21"/>
                      <w:highlight w:val="none"/>
                    </w:rPr>
                    <w:t>1.0</w:t>
                  </w:r>
                </w:p>
              </w:tc>
            </w:tr>
            <w:tr w14:paraId="7E08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69" w:type="pct"/>
                  <w:tcBorders>
                    <w:top w:val="single" w:color="auto" w:sz="4" w:space="0"/>
                    <w:bottom w:val="single" w:color="auto" w:sz="4" w:space="0"/>
                    <w:right w:val="single" w:color="auto" w:sz="4" w:space="0"/>
                  </w:tcBorders>
                </w:tcPr>
                <w:p w14:paraId="10F586D7">
                  <w:pPr>
                    <w:jc w:val="center"/>
                    <w:rPr>
                      <w:bCs/>
                      <w:color w:val="auto"/>
                      <w:szCs w:val="21"/>
                      <w:highlight w:val="none"/>
                    </w:rPr>
                  </w:pPr>
                  <w:r>
                    <w:rPr>
                      <w:bCs/>
                      <w:color w:val="auto"/>
                      <w:szCs w:val="21"/>
                      <w:highlight w:val="none"/>
                    </w:rPr>
                    <w:t>总磷</w:t>
                  </w:r>
                </w:p>
              </w:tc>
              <w:tc>
                <w:tcPr>
                  <w:tcW w:w="607" w:type="pct"/>
                  <w:tcBorders>
                    <w:top w:val="single" w:color="auto" w:sz="4" w:space="0"/>
                    <w:left w:val="single" w:color="auto" w:sz="4" w:space="0"/>
                    <w:bottom w:val="single" w:color="auto" w:sz="4" w:space="0"/>
                    <w:right w:val="single" w:color="auto" w:sz="4" w:space="0"/>
                  </w:tcBorders>
                  <w:vAlign w:val="center"/>
                </w:tcPr>
                <w:p w14:paraId="4548936A">
                  <w:pPr>
                    <w:jc w:val="center"/>
                    <w:rPr>
                      <w:bCs/>
                      <w:color w:val="auto"/>
                      <w:szCs w:val="21"/>
                      <w:highlight w:val="none"/>
                    </w:rPr>
                  </w:pPr>
                  <w:r>
                    <w:rPr>
                      <w:bCs/>
                      <w:color w:val="auto"/>
                      <w:szCs w:val="21"/>
                      <w:highlight w:val="none"/>
                    </w:rPr>
                    <w:t>mg/L</w:t>
                  </w:r>
                </w:p>
              </w:tc>
              <w:tc>
                <w:tcPr>
                  <w:tcW w:w="1672" w:type="pct"/>
                  <w:tcBorders>
                    <w:top w:val="single" w:color="auto" w:sz="4" w:space="0"/>
                    <w:left w:val="single" w:color="auto" w:sz="4" w:space="0"/>
                    <w:bottom w:val="single" w:color="auto" w:sz="4" w:space="0"/>
                    <w:right w:val="single" w:color="auto" w:sz="4" w:space="0"/>
                  </w:tcBorders>
                  <w:vAlign w:val="center"/>
                </w:tcPr>
                <w:p w14:paraId="5D2AB99F">
                  <w:pPr>
                    <w:jc w:val="center"/>
                    <w:rPr>
                      <w:color w:val="auto"/>
                      <w:szCs w:val="21"/>
                      <w:highlight w:val="none"/>
                    </w:rPr>
                  </w:pPr>
                  <w:r>
                    <w:rPr>
                      <w:rFonts w:hint="eastAsia"/>
                      <w:color w:val="auto"/>
                      <w:szCs w:val="21"/>
                      <w:highlight w:val="none"/>
                    </w:rPr>
                    <w:t>8</w:t>
                  </w:r>
                  <w:r>
                    <w:rPr>
                      <w:rFonts w:hint="eastAsia"/>
                      <w:color w:val="auto"/>
                      <w:szCs w:val="21"/>
                      <w:highlight w:val="none"/>
                      <w:vertAlign w:val="superscript"/>
                      <w:lang w:val="en-US" w:eastAsia="zh-CN"/>
                    </w:rPr>
                    <w:t>*</w:t>
                  </w:r>
                </w:p>
              </w:tc>
              <w:tc>
                <w:tcPr>
                  <w:tcW w:w="1651" w:type="pct"/>
                  <w:tcBorders>
                    <w:top w:val="single" w:color="auto" w:sz="4" w:space="0"/>
                    <w:left w:val="single" w:color="auto" w:sz="4" w:space="0"/>
                    <w:bottom w:val="single" w:color="auto" w:sz="4" w:space="0"/>
                  </w:tcBorders>
                  <w:vAlign w:val="center"/>
                </w:tcPr>
                <w:p w14:paraId="1CD2B5D0">
                  <w:pPr>
                    <w:jc w:val="center"/>
                    <w:rPr>
                      <w:color w:val="auto"/>
                      <w:szCs w:val="21"/>
                      <w:highlight w:val="none"/>
                    </w:rPr>
                  </w:pPr>
                  <w:r>
                    <w:rPr>
                      <w:rFonts w:hint="eastAsia"/>
                      <w:color w:val="auto"/>
                      <w:szCs w:val="21"/>
                      <w:highlight w:val="none"/>
                    </w:rPr>
                    <w:t>0.2</w:t>
                  </w:r>
                </w:p>
              </w:tc>
            </w:tr>
            <w:tr w14:paraId="2EBA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69" w:type="pct"/>
                  <w:tcBorders>
                    <w:top w:val="single" w:color="auto" w:sz="4" w:space="0"/>
                    <w:bottom w:val="single" w:color="auto" w:sz="4" w:space="0"/>
                    <w:right w:val="single" w:color="auto" w:sz="4" w:space="0"/>
                  </w:tcBorders>
                </w:tcPr>
                <w:p w14:paraId="10B20E58">
                  <w:pPr>
                    <w:jc w:val="center"/>
                    <w:rPr>
                      <w:bCs/>
                      <w:color w:val="auto"/>
                      <w:szCs w:val="21"/>
                      <w:highlight w:val="none"/>
                    </w:rPr>
                  </w:pPr>
                  <w:r>
                    <w:rPr>
                      <w:bCs/>
                      <w:color w:val="auto"/>
                      <w:szCs w:val="21"/>
                      <w:highlight w:val="none"/>
                    </w:rPr>
                    <w:t>总氮</w:t>
                  </w:r>
                </w:p>
              </w:tc>
              <w:tc>
                <w:tcPr>
                  <w:tcW w:w="607" w:type="pct"/>
                  <w:tcBorders>
                    <w:top w:val="single" w:color="auto" w:sz="4" w:space="0"/>
                    <w:left w:val="single" w:color="auto" w:sz="4" w:space="0"/>
                    <w:bottom w:val="single" w:color="auto" w:sz="4" w:space="0"/>
                    <w:right w:val="single" w:color="auto" w:sz="4" w:space="0"/>
                  </w:tcBorders>
                  <w:vAlign w:val="center"/>
                </w:tcPr>
                <w:p w14:paraId="7FE4A871">
                  <w:pPr>
                    <w:jc w:val="center"/>
                    <w:rPr>
                      <w:bCs/>
                      <w:color w:val="auto"/>
                      <w:szCs w:val="21"/>
                      <w:highlight w:val="none"/>
                    </w:rPr>
                  </w:pPr>
                  <w:r>
                    <w:rPr>
                      <w:bCs/>
                      <w:color w:val="auto"/>
                      <w:szCs w:val="21"/>
                      <w:highlight w:val="none"/>
                    </w:rPr>
                    <w:t>mg/L</w:t>
                  </w:r>
                </w:p>
              </w:tc>
              <w:tc>
                <w:tcPr>
                  <w:tcW w:w="1672" w:type="pct"/>
                  <w:tcBorders>
                    <w:top w:val="single" w:color="auto" w:sz="4" w:space="0"/>
                    <w:left w:val="single" w:color="auto" w:sz="4" w:space="0"/>
                    <w:bottom w:val="single" w:color="auto" w:sz="4" w:space="0"/>
                    <w:right w:val="single" w:color="auto" w:sz="4" w:space="0"/>
                  </w:tcBorders>
                  <w:vAlign w:val="center"/>
                </w:tcPr>
                <w:p w14:paraId="22ECAE4F">
                  <w:pPr>
                    <w:jc w:val="center"/>
                    <w:rPr>
                      <w:color w:val="auto"/>
                      <w:szCs w:val="21"/>
                      <w:highlight w:val="none"/>
                    </w:rPr>
                  </w:pPr>
                  <w:r>
                    <w:rPr>
                      <w:rFonts w:hint="eastAsia"/>
                      <w:color w:val="auto"/>
                      <w:szCs w:val="21"/>
                      <w:highlight w:val="none"/>
                    </w:rPr>
                    <w:t>70</w:t>
                  </w:r>
                  <w:r>
                    <w:rPr>
                      <w:rFonts w:hint="eastAsia"/>
                      <w:color w:val="auto"/>
                      <w:szCs w:val="21"/>
                      <w:highlight w:val="none"/>
                      <w:vertAlign w:val="superscript"/>
                      <w:lang w:val="en-US" w:eastAsia="zh-CN"/>
                    </w:rPr>
                    <w:t>*</w:t>
                  </w:r>
                </w:p>
              </w:tc>
              <w:tc>
                <w:tcPr>
                  <w:tcW w:w="1651" w:type="pct"/>
                  <w:tcBorders>
                    <w:top w:val="single" w:color="auto" w:sz="4" w:space="0"/>
                    <w:left w:val="single" w:color="auto" w:sz="4" w:space="0"/>
                    <w:bottom w:val="single" w:color="auto" w:sz="4" w:space="0"/>
                  </w:tcBorders>
                  <w:vAlign w:val="center"/>
                </w:tcPr>
                <w:p w14:paraId="1BF820C3">
                  <w:pPr>
                    <w:jc w:val="center"/>
                    <w:rPr>
                      <w:color w:val="auto"/>
                      <w:szCs w:val="21"/>
                      <w:highlight w:val="none"/>
                    </w:rPr>
                  </w:pPr>
                  <w:r>
                    <w:rPr>
                      <w:rFonts w:hint="eastAsia"/>
                      <w:color w:val="auto"/>
                      <w:szCs w:val="21"/>
                      <w:highlight w:val="none"/>
                    </w:rPr>
                    <w:t>1.0</w:t>
                  </w:r>
                </w:p>
              </w:tc>
            </w:tr>
            <w:tr w14:paraId="2D3C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69" w:type="pct"/>
                  <w:tcBorders>
                    <w:top w:val="single" w:color="auto" w:sz="4" w:space="0"/>
                    <w:bottom w:val="single" w:color="auto" w:sz="4" w:space="0"/>
                    <w:right w:val="single" w:color="auto" w:sz="4" w:space="0"/>
                  </w:tcBorders>
                </w:tcPr>
                <w:p w14:paraId="48F3B867">
                  <w:pPr>
                    <w:jc w:val="center"/>
                    <w:rPr>
                      <w:bCs/>
                      <w:color w:val="auto"/>
                      <w:szCs w:val="21"/>
                      <w:highlight w:val="none"/>
                    </w:rPr>
                  </w:pPr>
                  <w:r>
                    <w:rPr>
                      <w:bCs/>
                      <w:color w:val="auto"/>
                      <w:szCs w:val="21"/>
                      <w:highlight w:val="none"/>
                    </w:rPr>
                    <w:t>动植物油</w:t>
                  </w:r>
                </w:p>
              </w:tc>
              <w:tc>
                <w:tcPr>
                  <w:tcW w:w="607" w:type="pct"/>
                  <w:tcBorders>
                    <w:top w:val="single" w:color="auto" w:sz="4" w:space="0"/>
                    <w:left w:val="single" w:color="auto" w:sz="4" w:space="0"/>
                    <w:bottom w:val="single" w:color="auto" w:sz="4" w:space="0"/>
                    <w:right w:val="single" w:color="auto" w:sz="4" w:space="0"/>
                  </w:tcBorders>
                  <w:vAlign w:val="center"/>
                </w:tcPr>
                <w:p w14:paraId="2D53D337">
                  <w:pPr>
                    <w:jc w:val="center"/>
                    <w:rPr>
                      <w:bCs/>
                      <w:color w:val="auto"/>
                      <w:szCs w:val="21"/>
                      <w:highlight w:val="none"/>
                    </w:rPr>
                  </w:pPr>
                  <w:r>
                    <w:rPr>
                      <w:bCs/>
                      <w:color w:val="auto"/>
                      <w:szCs w:val="21"/>
                      <w:highlight w:val="none"/>
                    </w:rPr>
                    <w:t>mg/L</w:t>
                  </w:r>
                </w:p>
              </w:tc>
              <w:tc>
                <w:tcPr>
                  <w:tcW w:w="1672" w:type="pct"/>
                  <w:tcBorders>
                    <w:top w:val="single" w:color="auto" w:sz="4" w:space="0"/>
                    <w:left w:val="single" w:color="auto" w:sz="4" w:space="0"/>
                    <w:bottom w:val="single" w:color="auto" w:sz="4" w:space="0"/>
                    <w:right w:val="single" w:color="auto" w:sz="4" w:space="0"/>
                  </w:tcBorders>
                  <w:vAlign w:val="center"/>
                </w:tcPr>
                <w:p w14:paraId="16D8727D">
                  <w:pPr>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1651" w:type="pct"/>
                  <w:tcBorders>
                    <w:top w:val="single" w:color="auto" w:sz="4" w:space="0"/>
                    <w:left w:val="single" w:color="auto" w:sz="4" w:space="0"/>
                    <w:bottom w:val="single" w:color="auto" w:sz="4" w:space="0"/>
                  </w:tcBorders>
                  <w:vAlign w:val="center"/>
                </w:tcPr>
                <w:p w14:paraId="3FC7AD2A">
                  <w:pPr>
                    <w:jc w:val="center"/>
                    <w:rPr>
                      <w:color w:val="auto"/>
                      <w:szCs w:val="21"/>
                      <w:highlight w:val="none"/>
                    </w:rPr>
                  </w:pPr>
                  <w:r>
                    <w:rPr>
                      <w:rFonts w:hint="eastAsia"/>
                      <w:color w:val="auto"/>
                      <w:szCs w:val="21"/>
                      <w:highlight w:val="none"/>
                    </w:rPr>
                    <w:t>/</w:t>
                  </w:r>
                </w:p>
              </w:tc>
            </w:tr>
            <w:tr w14:paraId="00F6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000" w:type="pct"/>
                  <w:gridSpan w:val="4"/>
                  <w:tcBorders>
                    <w:top w:val="single" w:color="auto" w:sz="4" w:space="0"/>
                  </w:tcBorders>
                </w:tcPr>
                <w:p w14:paraId="11253E1E">
                  <w:pPr>
                    <w:numPr>
                      <w:ilvl w:val="0"/>
                      <w:numId w:val="0"/>
                    </w:numPr>
                    <w:rPr>
                      <w:color w:val="auto"/>
                      <w:szCs w:val="21"/>
                      <w:highlight w:val="none"/>
                    </w:rPr>
                  </w:pPr>
                  <w:r>
                    <w:rPr>
                      <w:rFonts w:hint="eastAsia"/>
                      <w:color w:val="auto"/>
                      <w:szCs w:val="21"/>
                      <w:highlight w:val="none"/>
                      <w:lang w:val="en-US" w:eastAsia="zh-CN"/>
                    </w:rPr>
                    <w:t>注：*</w:t>
                  </w:r>
                  <w:r>
                    <w:rPr>
                      <w:rFonts w:hint="eastAsia"/>
                      <w:color w:val="auto"/>
                      <w:szCs w:val="21"/>
                      <w:highlight w:val="none"/>
                    </w:rPr>
                    <w:t>执行《污水排入城镇下水道水质标准》（GB/T31962-2015）中B等级标准</w:t>
                  </w:r>
                  <w:r>
                    <w:rPr>
                      <w:rFonts w:hint="eastAsia"/>
                      <w:color w:val="auto"/>
                      <w:szCs w:val="21"/>
                      <w:highlight w:val="none"/>
                      <w:lang w:eastAsia="zh-CN"/>
                    </w:rPr>
                    <w:t>。</w:t>
                  </w:r>
                </w:p>
              </w:tc>
            </w:tr>
          </w:tbl>
          <w:p w14:paraId="1717DE2A">
            <w:pPr>
              <w:spacing w:before="120" w:beforeLines="50" w:line="360" w:lineRule="auto"/>
              <w:rPr>
                <w:b/>
                <w:color w:val="auto"/>
                <w:kern w:val="0"/>
                <w:sz w:val="24"/>
                <w:szCs w:val="22"/>
                <w:highlight w:val="none"/>
              </w:rPr>
            </w:pPr>
            <w:r>
              <w:rPr>
                <w:b/>
                <w:color w:val="auto"/>
                <w:kern w:val="0"/>
                <w:sz w:val="24"/>
                <w:szCs w:val="22"/>
                <w:highlight w:val="none"/>
              </w:rPr>
              <w:t>3、噪声排放标准</w:t>
            </w:r>
          </w:p>
          <w:p w14:paraId="6C558D0A">
            <w:pPr>
              <w:widowControl/>
              <w:autoSpaceDE w:val="0"/>
              <w:autoSpaceDN w:val="0"/>
              <w:adjustRightInd w:val="0"/>
              <w:spacing w:line="360" w:lineRule="auto"/>
              <w:ind w:firstLine="480" w:firstLineChars="200"/>
              <w:rPr>
                <w:color w:val="auto"/>
                <w:kern w:val="0"/>
                <w:sz w:val="24"/>
                <w:highlight w:val="none"/>
              </w:rPr>
            </w:pPr>
            <w:r>
              <w:rPr>
                <w:color w:val="auto"/>
                <w:kern w:val="0"/>
                <w:sz w:val="24"/>
                <w:highlight w:val="none"/>
              </w:rPr>
              <w:t>项目施工期执行《建筑施工场界环境噪声排放标准》（GB12523-2011）中的噪声限值，运营期厂界噪声执行《工业企业厂界环境噪声排放标准》（GB12348-2008）中的</w:t>
            </w:r>
            <w:r>
              <w:rPr>
                <w:rFonts w:hint="eastAsia"/>
                <w:color w:val="auto"/>
                <w:kern w:val="0"/>
                <w:sz w:val="24"/>
                <w:highlight w:val="none"/>
              </w:rPr>
              <w:t>3</w:t>
            </w:r>
            <w:r>
              <w:rPr>
                <w:color w:val="auto"/>
                <w:kern w:val="0"/>
                <w:sz w:val="24"/>
                <w:highlight w:val="none"/>
              </w:rPr>
              <w:t>类功能区厂界噪声排放限值，具体标准值见下表。</w:t>
            </w:r>
          </w:p>
          <w:p w14:paraId="4CEDF606">
            <w:pPr>
              <w:pStyle w:val="132"/>
              <w:bidi w:val="0"/>
              <w:rPr>
                <w:b/>
                <w:color w:val="auto"/>
                <w:kern w:val="0"/>
                <w:szCs w:val="21"/>
                <w:highlight w:val="none"/>
              </w:rPr>
            </w:pPr>
            <w:r>
              <w:rPr>
                <w:b/>
                <w:color w:val="auto"/>
                <w:kern w:val="0"/>
                <w:szCs w:val="21"/>
                <w:highlight w:val="none"/>
              </w:rPr>
              <w:t>建筑施工场界噪声限值单位：dB（A）</w:t>
            </w:r>
          </w:p>
          <w:tbl>
            <w:tblPr>
              <w:tblStyle w:val="27"/>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4"/>
              <w:gridCol w:w="4165"/>
            </w:tblGrid>
            <w:tr w14:paraId="21D0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500" w:type="pct"/>
                  <w:tcBorders>
                    <w:bottom w:val="single" w:color="auto" w:sz="4" w:space="0"/>
                    <w:right w:val="single" w:color="auto" w:sz="4" w:space="0"/>
                  </w:tcBorders>
                  <w:vAlign w:val="center"/>
                </w:tcPr>
                <w:p w14:paraId="088A8846">
                  <w:pPr>
                    <w:spacing w:line="320" w:lineRule="exact"/>
                    <w:jc w:val="center"/>
                    <w:rPr>
                      <w:b/>
                      <w:color w:val="auto"/>
                      <w:szCs w:val="21"/>
                      <w:highlight w:val="none"/>
                    </w:rPr>
                  </w:pPr>
                  <w:r>
                    <w:rPr>
                      <w:b/>
                      <w:color w:val="auto"/>
                      <w:szCs w:val="21"/>
                      <w:highlight w:val="none"/>
                    </w:rPr>
                    <w:t>昼间</w:t>
                  </w:r>
                </w:p>
              </w:tc>
              <w:tc>
                <w:tcPr>
                  <w:tcW w:w="2500" w:type="pct"/>
                  <w:tcBorders>
                    <w:left w:val="single" w:color="auto" w:sz="4" w:space="0"/>
                    <w:bottom w:val="single" w:color="auto" w:sz="4" w:space="0"/>
                  </w:tcBorders>
                  <w:vAlign w:val="center"/>
                </w:tcPr>
                <w:p w14:paraId="5E455216">
                  <w:pPr>
                    <w:spacing w:line="320" w:lineRule="exact"/>
                    <w:jc w:val="center"/>
                    <w:rPr>
                      <w:b/>
                      <w:color w:val="auto"/>
                      <w:szCs w:val="21"/>
                      <w:highlight w:val="none"/>
                    </w:rPr>
                  </w:pPr>
                  <w:r>
                    <w:rPr>
                      <w:b/>
                      <w:color w:val="auto"/>
                      <w:szCs w:val="21"/>
                      <w:highlight w:val="none"/>
                    </w:rPr>
                    <w:t>夜间</w:t>
                  </w:r>
                </w:p>
              </w:tc>
            </w:tr>
            <w:tr w14:paraId="0B9D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500" w:type="pct"/>
                  <w:tcBorders>
                    <w:top w:val="single" w:color="auto" w:sz="4" w:space="0"/>
                    <w:right w:val="single" w:color="auto" w:sz="4" w:space="0"/>
                  </w:tcBorders>
                  <w:vAlign w:val="center"/>
                </w:tcPr>
                <w:p w14:paraId="5D9026A0">
                  <w:pPr>
                    <w:spacing w:line="320" w:lineRule="exact"/>
                    <w:jc w:val="center"/>
                    <w:rPr>
                      <w:color w:val="auto"/>
                      <w:szCs w:val="21"/>
                      <w:highlight w:val="none"/>
                    </w:rPr>
                  </w:pPr>
                  <w:r>
                    <w:rPr>
                      <w:color w:val="auto"/>
                      <w:szCs w:val="21"/>
                      <w:highlight w:val="none"/>
                    </w:rPr>
                    <w:t>70</w:t>
                  </w:r>
                </w:p>
              </w:tc>
              <w:tc>
                <w:tcPr>
                  <w:tcW w:w="2500" w:type="pct"/>
                  <w:tcBorders>
                    <w:top w:val="single" w:color="auto" w:sz="4" w:space="0"/>
                    <w:left w:val="single" w:color="auto" w:sz="4" w:space="0"/>
                  </w:tcBorders>
                  <w:vAlign w:val="center"/>
                </w:tcPr>
                <w:p w14:paraId="5425E2CC">
                  <w:pPr>
                    <w:spacing w:line="320" w:lineRule="exact"/>
                    <w:jc w:val="center"/>
                    <w:rPr>
                      <w:color w:val="auto"/>
                      <w:szCs w:val="21"/>
                      <w:highlight w:val="none"/>
                    </w:rPr>
                  </w:pPr>
                  <w:r>
                    <w:rPr>
                      <w:color w:val="auto"/>
                      <w:szCs w:val="21"/>
                      <w:highlight w:val="none"/>
                    </w:rPr>
                    <w:t>55</w:t>
                  </w:r>
                </w:p>
              </w:tc>
            </w:tr>
          </w:tbl>
          <w:p w14:paraId="2137914C">
            <w:pPr>
              <w:pStyle w:val="132"/>
              <w:bidi w:val="0"/>
              <w:rPr>
                <w:b/>
                <w:color w:val="auto"/>
                <w:kern w:val="0"/>
                <w:szCs w:val="21"/>
                <w:highlight w:val="none"/>
              </w:rPr>
            </w:pPr>
            <w:r>
              <w:rPr>
                <w:b/>
                <w:color w:val="auto"/>
                <w:kern w:val="0"/>
                <w:szCs w:val="21"/>
                <w:highlight w:val="none"/>
              </w:rPr>
              <w:t>工业企业厂界环境噪声排放标准单位：dB（A）</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2792"/>
              <w:gridCol w:w="2793"/>
            </w:tblGrid>
            <w:tr w14:paraId="50B3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jc w:val="center"/>
              </w:trPr>
              <w:tc>
                <w:tcPr>
                  <w:tcW w:w="1666" w:type="pct"/>
                  <w:tcBorders>
                    <w:bottom w:val="single" w:color="auto" w:sz="4" w:space="0"/>
                    <w:right w:val="single" w:color="auto" w:sz="4" w:space="0"/>
                  </w:tcBorders>
                  <w:vAlign w:val="center"/>
                </w:tcPr>
                <w:p w14:paraId="31310ED8">
                  <w:pPr>
                    <w:spacing w:line="320" w:lineRule="exact"/>
                    <w:jc w:val="center"/>
                    <w:rPr>
                      <w:b/>
                      <w:color w:val="auto"/>
                      <w:szCs w:val="21"/>
                      <w:highlight w:val="none"/>
                    </w:rPr>
                  </w:pPr>
                  <w:r>
                    <w:rPr>
                      <w:b/>
                      <w:color w:val="auto"/>
                      <w:szCs w:val="21"/>
                      <w:highlight w:val="none"/>
                    </w:rPr>
                    <w:t>标准类别</w:t>
                  </w:r>
                </w:p>
              </w:tc>
              <w:tc>
                <w:tcPr>
                  <w:tcW w:w="1666" w:type="pct"/>
                  <w:tcBorders>
                    <w:left w:val="single" w:color="auto" w:sz="4" w:space="0"/>
                    <w:bottom w:val="single" w:color="auto" w:sz="4" w:space="0"/>
                    <w:right w:val="single" w:color="auto" w:sz="4" w:space="0"/>
                  </w:tcBorders>
                  <w:vAlign w:val="center"/>
                </w:tcPr>
                <w:p w14:paraId="5465BF0D">
                  <w:pPr>
                    <w:spacing w:line="320" w:lineRule="exact"/>
                    <w:jc w:val="center"/>
                    <w:rPr>
                      <w:b/>
                      <w:color w:val="auto"/>
                      <w:szCs w:val="21"/>
                      <w:highlight w:val="none"/>
                    </w:rPr>
                  </w:pPr>
                  <w:r>
                    <w:rPr>
                      <w:b/>
                      <w:color w:val="auto"/>
                      <w:szCs w:val="21"/>
                      <w:highlight w:val="none"/>
                    </w:rPr>
                    <w:t>昼间</w:t>
                  </w:r>
                </w:p>
              </w:tc>
              <w:tc>
                <w:tcPr>
                  <w:tcW w:w="1666" w:type="pct"/>
                  <w:tcBorders>
                    <w:left w:val="single" w:color="auto" w:sz="4" w:space="0"/>
                    <w:bottom w:val="single" w:color="auto" w:sz="4" w:space="0"/>
                  </w:tcBorders>
                  <w:vAlign w:val="center"/>
                </w:tcPr>
                <w:p w14:paraId="1F23ADAD">
                  <w:pPr>
                    <w:spacing w:line="320" w:lineRule="exact"/>
                    <w:jc w:val="center"/>
                    <w:rPr>
                      <w:b/>
                      <w:color w:val="auto"/>
                      <w:szCs w:val="21"/>
                      <w:highlight w:val="none"/>
                    </w:rPr>
                  </w:pPr>
                  <w:r>
                    <w:rPr>
                      <w:b/>
                      <w:color w:val="auto"/>
                      <w:szCs w:val="21"/>
                      <w:highlight w:val="none"/>
                    </w:rPr>
                    <w:t>夜间</w:t>
                  </w:r>
                </w:p>
              </w:tc>
            </w:tr>
            <w:tr w14:paraId="4232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66" w:type="pct"/>
                  <w:tcBorders>
                    <w:top w:val="single" w:color="auto" w:sz="4" w:space="0"/>
                    <w:right w:val="single" w:color="auto" w:sz="4" w:space="0"/>
                  </w:tcBorders>
                  <w:vAlign w:val="center"/>
                </w:tcPr>
                <w:p w14:paraId="2ED2D59F">
                  <w:pPr>
                    <w:spacing w:line="320" w:lineRule="exact"/>
                    <w:jc w:val="center"/>
                    <w:rPr>
                      <w:color w:val="auto"/>
                      <w:szCs w:val="21"/>
                      <w:highlight w:val="none"/>
                    </w:rPr>
                  </w:pPr>
                  <w:r>
                    <w:rPr>
                      <w:rFonts w:hint="eastAsia"/>
                      <w:color w:val="auto"/>
                      <w:szCs w:val="21"/>
                      <w:highlight w:val="none"/>
                    </w:rPr>
                    <w:t>3</w:t>
                  </w:r>
                  <w:r>
                    <w:rPr>
                      <w:color w:val="auto"/>
                      <w:szCs w:val="21"/>
                      <w:highlight w:val="none"/>
                    </w:rPr>
                    <w:t>类</w:t>
                  </w:r>
                </w:p>
              </w:tc>
              <w:tc>
                <w:tcPr>
                  <w:tcW w:w="1666" w:type="pct"/>
                  <w:tcBorders>
                    <w:top w:val="single" w:color="auto" w:sz="4" w:space="0"/>
                    <w:left w:val="single" w:color="auto" w:sz="4" w:space="0"/>
                    <w:right w:val="single" w:color="auto" w:sz="4" w:space="0"/>
                  </w:tcBorders>
                  <w:vAlign w:val="center"/>
                </w:tcPr>
                <w:p w14:paraId="2D65C1B7">
                  <w:pPr>
                    <w:spacing w:line="320" w:lineRule="exact"/>
                    <w:jc w:val="center"/>
                    <w:rPr>
                      <w:color w:val="auto"/>
                      <w:szCs w:val="21"/>
                      <w:highlight w:val="none"/>
                    </w:rPr>
                  </w:pPr>
                  <w:r>
                    <w:rPr>
                      <w:rFonts w:hint="eastAsia"/>
                      <w:color w:val="auto"/>
                      <w:szCs w:val="21"/>
                      <w:highlight w:val="none"/>
                    </w:rPr>
                    <w:t>65</w:t>
                  </w:r>
                </w:p>
              </w:tc>
              <w:tc>
                <w:tcPr>
                  <w:tcW w:w="1666" w:type="pct"/>
                  <w:tcBorders>
                    <w:top w:val="single" w:color="auto" w:sz="4" w:space="0"/>
                    <w:left w:val="single" w:color="auto" w:sz="4" w:space="0"/>
                  </w:tcBorders>
                  <w:vAlign w:val="center"/>
                </w:tcPr>
                <w:p w14:paraId="29AD730F">
                  <w:pPr>
                    <w:spacing w:line="320" w:lineRule="exact"/>
                    <w:jc w:val="center"/>
                    <w:rPr>
                      <w:color w:val="auto"/>
                      <w:szCs w:val="21"/>
                      <w:highlight w:val="none"/>
                    </w:rPr>
                  </w:pPr>
                  <w:r>
                    <w:rPr>
                      <w:color w:val="auto"/>
                      <w:szCs w:val="21"/>
                      <w:highlight w:val="none"/>
                    </w:rPr>
                    <w:t>5</w:t>
                  </w:r>
                  <w:r>
                    <w:rPr>
                      <w:rFonts w:hint="eastAsia"/>
                      <w:color w:val="auto"/>
                      <w:szCs w:val="21"/>
                      <w:highlight w:val="none"/>
                    </w:rPr>
                    <w:t>5</w:t>
                  </w:r>
                </w:p>
              </w:tc>
            </w:tr>
          </w:tbl>
          <w:p w14:paraId="7DC2497A">
            <w:pPr>
              <w:spacing w:line="360" w:lineRule="auto"/>
              <w:rPr>
                <w:b/>
                <w:color w:val="auto"/>
                <w:sz w:val="24"/>
                <w:highlight w:val="none"/>
              </w:rPr>
            </w:pPr>
            <w:r>
              <w:rPr>
                <w:b/>
                <w:color w:val="auto"/>
                <w:sz w:val="24"/>
                <w:highlight w:val="none"/>
              </w:rPr>
              <w:t>4、固体废弃物</w:t>
            </w:r>
          </w:p>
          <w:p w14:paraId="75DC8BE3">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highlight w:val="none"/>
                <w:lang w:eastAsia="zh-CN"/>
              </w:rPr>
            </w:pPr>
            <w:r>
              <w:rPr>
                <w:rFonts w:hint="eastAsia" w:ascii="Times New Roman" w:hAnsi="Times New Roman" w:eastAsia="宋体" w:cs="Times New Roman"/>
                <w:color w:val="auto"/>
                <w:kern w:val="0"/>
                <w:sz w:val="24"/>
                <w:szCs w:val="24"/>
                <w:highlight w:val="none"/>
                <w:lang w:val="en-US" w:eastAsia="zh-CN" w:bidi="ar-SA"/>
              </w:rPr>
              <w:t>一般固废暂存间贮存过程应满足防渗漏、防雨淋、防扬尘等环境保护措施及《一般工业固体废物贮存和填埋污染控制标准》</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GB18599-2020</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有关规定；危险废物储存执行《</w:t>
            </w:r>
            <w:r>
              <w:rPr>
                <w:rFonts w:hint="eastAsia" w:ascii="Times New Roman" w:hAnsi="Times New Roman" w:eastAsia="宋体" w:cs="Times New Roman"/>
                <w:color w:val="auto"/>
                <w:kern w:val="0"/>
                <w:sz w:val="24"/>
                <w:szCs w:val="24"/>
                <w:highlight w:val="none"/>
                <w:lang w:val="en-US" w:eastAsia="zh-CN" w:bidi="ar-SA"/>
              </w:rPr>
              <w:fldChar w:fldCharType="begin"/>
            </w:r>
            <w:r>
              <w:rPr>
                <w:rFonts w:hint="eastAsia" w:ascii="Times New Roman" w:hAnsi="Times New Roman" w:eastAsia="宋体" w:cs="Times New Roman"/>
                <w:color w:val="auto"/>
                <w:kern w:val="0"/>
                <w:sz w:val="24"/>
                <w:szCs w:val="24"/>
                <w:highlight w:val="none"/>
                <w:lang w:val="en-US" w:eastAsia="zh-CN" w:bidi="ar-SA"/>
              </w:rPr>
              <w:instrText xml:space="preserve"> HYPERLINK "https://www.mee.gov.cn/ywgz/fgbz/bz/bzwb/gthw/gtfwwrkzbz/202302/W020230224679408713470.pdf" </w:instrText>
            </w:r>
            <w:r>
              <w:rPr>
                <w:rFonts w:hint="eastAsia" w:ascii="Times New Roman" w:hAnsi="Times New Roman" w:eastAsia="宋体" w:cs="Times New Roman"/>
                <w:color w:val="auto"/>
                <w:kern w:val="0"/>
                <w:sz w:val="24"/>
                <w:szCs w:val="24"/>
                <w:highlight w:val="none"/>
                <w:lang w:val="en-US" w:eastAsia="zh-CN" w:bidi="ar-SA"/>
              </w:rPr>
              <w:fldChar w:fldCharType="separate"/>
            </w:r>
            <w:r>
              <w:rPr>
                <w:rFonts w:hint="eastAsia" w:ascii="Times New Roman" w:hAnsi="Times New Roman" w:eastAsia="宋体" w:cs="Times New Roman"/>
                <w:color w:val="auto"/>
                <w:kern w:val="0"/>
                <w:sz w:val="24"/>
                <w:szCs w:val="24"/>
                <w:highlight w:val="none"/>
                <w:lang w:val="en-US" w:eastAsia="zh-CN" w:bidi="ar-SA"/>
              </w:rPr>
              <w:t>危险废物贮存污染控制标准</w:t>
            </w:r>
            <w:r>
              <w:rPr>
                <w:rFonts w:hint="eastAsia" w:ascii="Times New Roman" w:hAnsi="Times New Roman" w:eastAsia="宋体" w:cs="Times New Roman"/>
                <w:color w:val="auto"/>
                <w:kern w:val="0"/>
                <w:sz w:val="24"/>
                <w:szCs w:val="24"/>
                <w:highlight w:val="none"/>
                <w:lang w:val="en-US" w:eastAsia="zh-CN" w:bidi="ar-SA"/>
              </w:rPr>
              <w:fldChar w:fldCharType="end"/>
            </w:r>
            <w:r>
              <w:rPr>
                <w:rFonts w:hint="eastAsia" w:ascii="Times New Roman" w:hAnsi="Times New Roman" w:eastAsia="宋体" w:cs="Times New Roman"/>
                <w:color w:val="auto"/>
                <w:kern w:val="0"/>
                <w:sz w:val="24"/>
                <w:szCs w:val="24"/>
                <w:highlight w:val="none"/>
                <w:lang w:val="en-US" w:eastAsia="zh-CN" w:bidi="ar-SA"/>
              </w:rPr>
              <w:t>》（GB18597-2023）的有关规定和要求，危险废物转移执行《危险废物转移联单管理办法》中相关要求。</w:t>
            </w:r>
          </w:p>
        </w:tc>
      </w:tr>
      <w:tr w14:paraId="7E799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Align w:val="center"/>
          </w:tcPr>
          <w:p w14:paraId="7F132153">
            <w:pPr>
              <w:adjustRightInd w:val="0"/>
              <w:snapToGrid w:val="0"/>
              <w:jc w:val="center"/>
              <w:rPr>
                <w:color w:val="auto"/>
                <w:kern w:val="0"/>
                <w:sz w:val="24"/>
                <w:szCs w:val="24"/>
                <w:highlight w:val="none"/>
              </w:rPr>
            </w:pPr>
            <w:r>
              <w:rPr>
                <w:color w:val="auto"/>
                <w:kern w:val="0"/>
                <w:sz w:val="24"/>
                <w:szCs w:val="24"/>
                <w:highlight w:val="none"/>
              </w:rPr>
              <w:t>总量</w:t>
            </w:r>
          </w:p>
          <w:p w14:paraId="4B221755">
            <w:pPr>
              <w:adjustRightInd w:val="0"/>
              <w:snapToGrid w:val="0"/>
              <w:jc w:val="center"/>
              <w:rPr>
                <w:color w:val="auto"/>
                <w:kern w:val="0"/>
                <w:sz w:val="24"/>
                <w:szCs w:val="24"/>
                <w:highlight w:val="none"/>
              </w:rPr>
            </w:pPr>
            <w:r>
              <w:rPr>
                <w:color w:val="auto"/>
                <w:kern w:val="0"/>
                <w:sz w:val="24"/>
                <w:szCs w:val="24"/>
                <w:highlight w:val="none"/>
              </w:rPr>
              <w:t>控制</w:t>
            </w:r>
          </w:p>
          <w:p w14:paraId="6464ACA1">
            <w:pPr>
              <w:adjustRightInd w:val="0"/>
              <w:snapToGrid w:val="0"/>
              <w:jc w:val="center"/>
              <w:rPr>
                <w:color w:val="auto"/>
                <w:kern w:val="0"/>
                <w:szCs w:val="21"/>
                <w:highlight w:val="none"/>
              </w:rPr>
            </w:pPr>
            <w:r>
              <w:rPr>
                <w:color w:val="auto"/>
                <w:kern w:val="0"/>
                <w:sz w:val="24"/>
                <w:szCs w:val="24"/>
                <w:highlight w:val="none"/>
              </w:rPr>
              <w:t>指标</w:t>
            </w:r>
          </w:p>
        </w:tc>
        <w:tc>
          <w:tcPr>
            <w:tcW w:w="4751" w:type="pct"/>
            <w:vAlign w:val="center"/>
          </w:tcPr>
          <w:p w14:paraId="6644BB4E">
            <w:pPr>
              <w:spacing w:line="348" w:lineRule="auto"/>
              <w:rPr>
                <w:b/>
                <w:color w:val="auto"/>
                <w:sz w:val="24"/>
                <w:highlight w:val="none"/>
              </w:rPr>
            </w:pPr>
            <w:r>
              <w:rPr>
                <w:b/>
                <w:color w:val="auto"/>
                <w:sz w:val="24"/>
                <w:highlight w:val="none"/>
              </w:rPr>
              <w:t>五、总量控制指标</w:t>
            </w:r>
          </w:p>
          <w:p w14:paraId="22D70427">
            <w:pPr>
              <w:spacing w:line="360" w:lineRule="auto"/>
              <w:ind w:firstLine="482"/>
              <w:rPr>
                <w:rFonts w:ascii="Times New Roman" w:hAnsi="Times New Roman" w:cs="Times New Roman"/>
                <w:color w:val="auto"/>
                <w:sz w:val="24"/>
                <w:highlight w:val="none"/>
              </w:rPr>
            </w:pPr>
            <w:r>
              <w:rPr>
                <w:rFonts w:ascii="Times New Roman" w:hAnsi="Times New Roman" w:cs="Times New Roman"/>
                <w:color w:val="auto"/>
                <w:sz w:val="24"/>
                <w:highlight w:val="none"/>
              </w:rPr>
              <w:t>根据国家对总量控制的有关要求，并结合项目污染物排放及周围环境状况，本项目需进行总量控制的</w:t>
            </w:r>
            <w:r>
              <w:rPr>
                <w:rFonts w:hint="eastAsia" w:cs="Times New Roman"/>
                <w:color w:val="auto"/>
                <w:sz w:val="24"/>
                <w:highlight w:val="none"/>
                <w:lang w:val="en-US" w:eastAsia="zh-CN"/>
              </w:rPr>
              <w:t>水</w:t>
            </w:r>
            <w:r>
              <w:rPr>
                <w:rFonts w:ascii="Times New Roman" w:hAnsi="Times New Roman" w:cs="Times New Roman"/>
                <w:color w:val="auto"/>
                <w:sz w:val="24"/>
                <w:highlight w:val="none"/>
              </w:rPr>
              <w:t>污染物为COD</w:t>
            </w:r>
            <w:r>
              <w:rPr>
                <w:rFonts w:ascii="Times New Roman" w:hAnsi="Times New Roman" w:cs="Times New Roman"/>
                <w:color w:val="auto"/>
                <w:sz w:val="24"/>
                <w:highlight w:val="none"/>
                <w:vertAlign w:val="subscript"/>
              </w:rPr>
              <w:t>Cr</w:t>
            </w:r>
            <w:r>
              <w:rPr>
                <w:rFonts w:ascii="Times New Roman" w:hAnsi="Times New Roman" w:cs="Times New Roman"/>
                <w:color w:val="auto"/>
                <w:sz w:val="24"/>
                <w:highlight w:val="none"/>
              </w:rPr>
              <w:t>、NH</w:t>
            </w:r>
            <w:r>
              <w:rPr>
                <w:rFonts w:ascii="Times New Roman" w:hAnsi="Times New Roman" w:cs="Times New Roman"/>
                <w:color w:val="auto"/>
                <w:sz w:val="24"/>
                <w:highlight w:val="none"/>
                <w:vertAlign w:val="subscript"/>
              </w:rPr>
              <w:t>3</w:t>
            </w:r>
            <w:r>
              <w:rPr>
                <w:rFonts w:ascii="Times New Roman" w:hAnsi="Times New Roman" w:cs="Times New Roman"/>
                <w:color w:val="auto"/>
                <w:sz w:val="24"/>
                <w:highlight w:val="none"/>
              </w:rPr>
              <w:t>-N</w:t>
            </w:r>
            <w:r>
              <w:rPr>
                <w:rFonts w:hint="eastAsia" w:cs="Times New Roman"/>
                <w:color w:val="auto"/>
                <w:sz w:val="24"/>
                <w:highlight w:val="none"/>
                <w:lang w:eastAsia="zh-CN"/>
              </w:rPr>
              <w:t>；</w:t>
            </w:r>
            <w:r>
              <w:rPr>
                <w:rFonts w:hint="eastAsia" w:cs="Times New Roman"/>
                <w:color w:val="auto"/>
                <w:sz w:val="24"/>
                <w:highlight w:val="none"/>
                <w:lang w:val="en-US" w:eastAsia="zh-CN"/>
              </w:rPr>
              <w:t>大气污染物为VOCs。</w:t>
            </w:r>
          </w:p>
          <w:p w14:paraId="1247E917">
            <w:pPr>
              <w:numPr>
                <w:ilvl w:val="0"/>
                <w:numId w:val="25"/>
              </w:numPr>
              <w:spacing w:line="360" w:lineRule="auto"/>
              <w:ind w:firstLine="482"/>
              <w:rPr>
                <w:rFonts w:hint="eastAsia" w:cs="Times New Roman"/>
                <w:color w:val="auto"/>
                <w:sz w:val="24"/>
                <w:highlight w:val="none"/>
                <w:lang w:val="en-US" w:eastAsia="zh-CN"/>
              </w:rPr>
            </w:pPr>
            <w:r>
              <w:rPr>
                <w:rFonts w:hint="eastAsia" w:cs="Times New Roman"/>
                <w:color w:val="auto"/>
                <w:sz w:val="24"/>
                <w:highlight w:val="none"/>
                <w:lang w:val="en-US" w:eastAsia="zh-CN"/>
              </w:rPr>
              <w:t>废水总量控制指标</w:t>
            </w:r>
          </w:p>
          <w:p w14:paraId="03DFAFE7">
            <w:pPr>
              <w:spacing w:line="360" w:lineRule="auto"/>
              <w:ind w:firstLine="482"/>
              <w:rPr>
                <w:rFonts w:ascii="Times New Roman" w:hAnsi="Times New Roman" w:cs="Times New Roman"/>
                <w:b/>
                <w:color w:val="auto"/>
                <w:sz w:val="24"/>
                <w:highlight w:val="none"/>
              </w:rPr>
            </w:pPr>
            <w:r>
              <w:rPr>
                <w:rFonts w:hint="eastAsia" w:cs="Times New Roman"/>
                <w:color w:val="auto"/>
                <w:sz w:val="24"/>
                <w:highlight w:val="none"/>
                <w:lang w:val="en-US" w:eastAsia="zh-CN"/>
              </w:rPr>
              <w:t>本项目产生的生活污水先经隔油+预处理池处理后与产生的生产废水、初期雨水一并经厂区污水处理站处理达《污水综合排放标准》（GB8978-1996）三级标准后进入园区污水处理厂即大英经济开发区污水处理厂，处理达</w:t>
            </w:r>
            <w:r>
              <w:rPr>
                <w:rFonts w:ascii="Times New Roman" w:hAnsi="Times New Roman" w:cs="Times New Roman"/>
                <w:color w:val="auto"/>
                <w:sz w:val="24"/>
                <w:szCs w:val="24"/>
                <w:highlight w:val="none"/>
                <w:u w:val="none"/>
              </w:rPr>
              <w:t>《地表水环境质量标准》（GB3838-2002）中Ⅲ类水体标准（</w:t>
            </w:r>
            <w:r>
              <w:rPr>
                <w:rFonts w:ascii="Times New Roman" w:hAnsi="Times New Roman" w:cs="Times New Roman"/>
                <w:color w:val="auto"/>
                <w:sz w:val="24"/>
                <w:szCs w:val="24"/>
                <w:highlight w:val="none"/>
              </w:rPr>
              <w:t>总氮按照《四川省岷江、沱江流域水污染物排放标准》（DB51/2311-2016）“工业园区集中式污水处理厂排放”标准控制）</w:t>
            </w:r>
            <w:r>
              <w:rPr>
                <w:rFonts w:ascii="Times New Roman" w:hAnsi="Times New Roman" w:cs="Times New Roman"/>
                <w:color w:val="auto"/>
                <w:spacing w:val="-2"/>
                <w:sz w:val="24"/>
                <w:szCs w:val="22"/>
                <w:highlight w:val="none"/>
              </w:rPr>
              <w:t>后</w:t>
            </w:r>
            <w:r>
              <w:rPr>
                <w:rFonts w:ascii="Times New Roman" w:hAnsi="Times New Roman" w:cs="Times New Roman"/>
                <w:color w:val="auto"/>
                <w:sz w:val="24"/>
                <w:highlight w:val="none"/>
              </w:rPr>
              <w:t>排入</w:t>
            </w:r>
            <w:r>
              <w:rPr>
                <w:rFonts w:ascii="Times New Roman" w:hAnsi="Times New Roman" w:cs="Times New Roman"/>
                <w:color w:val="auto"/>
                <w:sz w:val="24"/>
                <w:highlight w:val="none"/>
                <w:lang w:eastAsia="zh-CN"/>
              </w:rPr>
              <w:t>郪江</w:t>
            </w:r>
            <w:r>
              <w:rPr>
                <w:rFonts w:ascii="Times New Roman" w:hAnsi="Times New Roman" w:cs="Times New Roman"/>
                <w:color w:val="auto"/>
                <w:sz w:val="24"/>
                <w:highlight w:val="none"/>
              </w:rPr>
              <w:t>。</w:t>
            </w:r>
          </w:p>
          <w:p w14:paraId="76795046">
            <w:pPr>
              <w:spacing w:line="348"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本项目废水排放量为16328.4m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/a，则：</w:t>
            </w:r>
          </w:p>
          <w:p w14:paraId="10DDE468">
            <w:pPr>
              <w:spacing w:line="348" w:lineRule="auto"/>
              <w:ind w:firstLine="482" w:firstLineChars="200"/>
              <w:rPr>
                <w:rFonts w:hint="default" w:eastAsia="宋体"/>
                <w:b/>
                <w:bCs w:val="0"/>
                <w:color w:val="auto"/>
                <w:sz w:val="24"/>
                <w:highlight w:val="none"/>
                <w:lang w:val="en-US" w:eastAsia="zh-CN"/>
              </w:rPr>
            </w:pPr>
            <w:r>
              <w:rPr>
                <w:rFonts w:hint="eastAsia"/>
                <w:b/>
                <w:bCs w:val="0"/>
                <w:color w:val="auto"/>
                <w:sz w:val="24"/>
                <w:highlight w:val="none"/>
                <w:lang w:val="en-US" w:eastAsia="zh-CN"/>
              </w:rPr>
              <w:t>（1）厂区总排口：</w:t>
            </w:r>
          </w:p>
          <w:p w14:paraId="4CF2867B">
            <w:pPr>
              <w:spacing w:line="348" w:lineRule="auto"/>
              <w:ind w:firstLine="480" w:firstLineChars="200"/>
              <w:rPr>
                <w:bCs/>
                <w:color w:val="auto"/>
                <w:sz w:val="24"/>
                <w:highlight w:val="none"/>
              </w:rPr>
            </w:pPr>
            <w:r>
              <w:rPr>
                <w:bCs/>
                <w:color w:val="auto"/>
                <w:sz w:val="24"/>
                <w:highlight w:val="none"/>
              </w:rPr>
              <w:t>COD</w:t>
            </w:r>
            <w:r>
              <w:rPr>
                <w:rFonts w:hint="eastAsia"/>
                <w:bCs/>
                <w:color w:val="auto"/>
                <w:sz w:val="24"/>
                <w:highlight w:val="none"/>
                <w:vertAlign w:val="subscript"/>
                <w:lang w:val="en-US" w:eastAsia="zh-CN"/>
              </w:rPr>
              <w:t>C</w:t>
            </w:r>
            <w:r>
              <w:rPr>
                <w:bCs/>
                <w:color w:val="auto"/>
                <w:sz w:val="24"/>
                <w:highlight w:val="none"/>
                <w:vertAlign w:val="subscript"/>
              </w:rPr>
              <w:t>r</w:t>
            </w:r>
            <w:r>
              <w:rPr>
                <w:bCs/>
                <w:color w:val="auto"/>
                <w:sz w:val="24"/>
                <w:highlight w:val="none"/>
              </w:rPr>
              <w:t>排放量（t/a）=</w:t>
            </w:r>
            <w:r>
              <w:rPr>
                <w:rFonts w:hint="eastAsia"/>
                <w:bCs/>
                <w:color w:val="auto"/>
                <w:sz w:val="24"/>
                <w:highlight w:val="none"/>
                <w:lang w:val="en-US" w:eastAsia="zh-CN"/>
              </w:rPr>
              <w:t>16328.4</w:t>
            </w:r>
            <w:r>
              <w:rPr>
                <w:bCs/>
                <w:color w:val="auto"/>
                <w:sz w:val="24"/>
                <w:highlight w:val="none"/>
              </w:rPr>
              <w:t>m</w:t>
            </w:r>
            <w:r>
              <w:rPr>
                <w:bCs/>
                <w:color w:val="auto"/>
                <w:sz w:val="24"/>
                <w:highlight w:val="none"/>
                <w:vertAlign w:val="superscript"/>
              </w:rPr>
              <w:t>3</w:t>
            </w:r>
            <w:r>
              <w:rPr>
                <w:bCs/>
                <w:color w:val="auto"/>
                <w:sz w:val="24"/>
                <w:highlight w:val="none"/>
              </w:rPr>
              <w:t>/a×500mg/L÷1000000=</w:t>
            </w:r>
            <w:r>
              <w:rPr>
                <w:rFonts w:hint="eastAsia"/>
                <w:bCs/>
                <w:color w:val="auto"/>
                <w:sz w:val="24"/>
                <w:highlight w:val="none"/>
                <w:lang w:val="en-US" w:eastAsia="zh-CN"/>
              </w:rPr>
              <w:t>8.164</w:t>
            </w:r>
            <w:r>
              <w:rPr>
                <w:bCs/>
                <w:color w:val="auto"/>
                <w:sz w:val="24"/>
                <w:highlight w:val="none"/>
              </w:rPr>
              <w:t>t/a。</w:t>
            </w:r>
          </w:p>
          <w:p w14:paraId="78C5506F">
            <w:pPr>
              <w:spacing w:line="348" w:lineRule="auto"/>
              <w:ind w:firstLine="480" w:firstLineChars="200"/>
              <w:rPr>
                <w:bCs/>
                <w:color w:val="auto"/>
                <w:sz w:val="24"/>
                <w:highlight w:val="none"/>
              </w:rPr>
            </w:pPr>
            <w:r>
              <w:rPr>
                <w:bCs/>
                <w:color w:val="auto"/>
                <w:sz w:val="24"/>
                <w:highlight w:val="none"/>
              </w:rPr>
              <w:t>NH</w:t>
            </w:r>
            <w:r>
              <w:rPr>
                <w:bCs/>
                <w:color w:val="auto"/>
                <w:sz w:val="24"/>
                <w:highlight w:val="none"/>
                <w:vertAlign w:val="subscript"/>
              </w:rPr>
              <w:t>3</w:t>
            </w:r>
            <w:r>
              <w:rPr>
                <w:bCs/>
                <w:color w:val="auto"/>
                <w:sz w:val="24"/>
                <w:highlight w:val="none"/>
              </w:rPr>
              <w:t>-N排放量（t/a）=</w:t>
            </w:r>
            <w:r>
              <w:rPr>
                <w:rFonts w:hint="eastAsia"/>
                <w:bCs/>
                <w:color w:val="auto"/>
                <w:sz w:val="24"/>
                <w:highlight w:val="none"/>
                <w:lang w:eastAsia="zh-CN"/>
              </w:rPr>
              <w:t>16328.4</w:t>
            </w:r>
            <w:r>
              <w:rPr>
                <w:bCs/>
                <w:color w:val="auto"/>
                <w:sz w:val="24"/>
                <w:highlight w:val="none"/>
              </w:rPr>
              <w:t>m</w:t>
            </w:r>
            <w:r>
              <w:rPr>
                <w:bCs/>
                <w:color w:val="auto"/>
                <w:sz w:val="24"/>
                <w:highlight w:val="none"/>
                <w:vertAlign w:val="superscript"/>
              </w:rPr>
              <w:t>3</w:t>
            </w:r>
            <w:r>
              <w:rPr>
                <w:bCs/>
                <w:color w:val="auto"/>
                <w:sz w:val="24"/>
                <w:highlight w:val="none"/>
              </w:rPr>
              <w:t>/a×45mg/L÷1000000=</w:t>
            </w:r>
            <w:r>
              <w:rPr>
                <w:rFonts w:hint="eastAsia"/>
                <w:bCs/>
                <w:color w:val="auto"/>
                <w:sz w:val="24"/>
                <w:highlight w:val="none"/>
                <w:lang w:val="en-US" w:eastAsia="zh-CN"/>
              </w:rPr>
              <w:t>0.735</w:t>
            </w:r>
            <w:r>
              <w:rPr>
                <w:bCs/>
                <w:color w:val="auto"/>
                <w:sz w:val="24"/>
                <w:highlight w:val="none"/>
              </w:rPr>
              <w:t>t/a。</w:t>
            </w:r>
          </w:p>
          <w:p w14:paraId="754EEDE6">
            <w:pPr>
              <w:spacing w:line="348" w:lineRule="auto"/>
              <w:ind w:firstLine="482" w:firstLineChars="200"/>
              <w:rPr>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2</w:t>
            </w:r>
            <w:r>
              <w:rPr>
                <w:rFonts w:hint="eastAsia"/>
                <w:b/>
                <w:bCs/>
                <w:color w:val="auto"/>
                <w:sz w:val="24"/>
                <w:highlight w:val="none"/>
                <w:lang w:eastAsia="zh-CN"/>
              </w:rPr>
              <w:t>）</w:t>
            </w:r>
            <w:r>
              <w:rPr>
                <w:b/>
                <w:bCs/>
                <w:color w:val="auto"/>
                <w:sz w:val="24"/>
                <w:highlight w:val="none"/>
              </w:rPr>
              <w:t>污水处理厂排口</w:t>
            </w:r>
          </w:p>
          <w:p w14:paraId="78C28009">
            <w:pPr>
              <w:spacing w:line="348" w:lineRule="auto"/>
              <w:ind w:firstLine="480" w:firstLineChars="200"/>
              <w:rPr>
                <w:bCs/>
                <w:color w:val="auto"/>
                <w:sz w:val="24"/>
                <w:highlight w:val="none"/>
              </w:rPr>
            </w:pPr>
            <w:r>
              <w:rPr>
                <w:bCs/>
                <w:color w:val="auto"/>
                <w:sz w:val="24"/>
                <w:highlight w:val="none"/>
              </w:rPr>
              <w:t>COD</w:t>
            </w:r>
            <w:r>
              <w:rPr>
                <w:rFonts w:hint="eastAsia"/>
                <w:bCs/>
                <w:color w:val="auto"/>
                <w:sz w:val="24"/>
                <w:highlight w:val="none"/>
                <w:vertAlign w:val="subscript"/>
                <w:lang w:val="en-US" w:eastAsia="zh-CN"/>
              </w:rPr>
              <w:t>C</w:t>
            </w:r>
            <w:r>
              <w:rPr>
                <w:bCs/>
                <w:color w:val="auto"/>
                <w:sz w:val="24"/>
                <w:highlight w:val="none"/>
                <w:vertAlign w:val="subscript"/>
              </w:rPr>
              <w:t>r</w:t>
            </w:r>
            <w:r>
              <w:rPr>
                <w:bCs/>
                <w:color w:val="auto"/>
                <w:sz w:val="24"/>
                <w:highlight w:val="none"/>
              </w:rPr>
              <w:t>排放量（t/a）=</w:t>
            </w:r>
            <w:r>
              <w:rPr>
                <w:rFonts w:hint="eastAsia"/>
                <w:bCs/>
                <w:color w:val="auto"/>
                <w:sz w:val="24"/>
                <w:highlight w:val="none"/>
                <w:lang w:eastAsia="zh-CN"/>
              </w:rPr>
              <w:t>16328.4</w:t>
            </w:r>
            <w:r>
              <w:rPr>
                <w:bCs/>
                <w:color w:val="auto"/>
                <w:sz w:val="24"/>
                <w:highlight w:val="none"/>
              </w:rPr>
              <w:t>m</w:t>
            </w:r>
            <w:r>
              <w:rPr>
                <w:bCs/>
                <w:color w:val="auto"/>
                <w:sz w:val="24"/>
                <w:highlight w:val="none"/>
                <w:vertAlign w:val="superscript"/>
              </w:rPr>
              <w:t>3</w:t>
            </w:r>
            <w:r>
              <w:rPr>
                <w:bCs/>
                <w:color w:val="auto"/>
                <w:sz w:val="24"/>
                <w:highlight w:val="none"/>
              </w:rPr>
              <w:t>/a×</w:t>
            </w:r>
            <w:r>
              <w:rPr>
                <w:rFonts w:hint="eastAsia"/>
                <w:bCs/>
                <w:color w:val="auto"/>
                <w:sz w:val="24"/>
                <w:highlight w:val="none"/>
                <w:lang w:val="en-US" w:eastAsia="zh-CN"/>
              </w:rPr>
              <w:t>2</w:t>
            </w:r>
            <w:r>
              <w:rPr>
                <w:bCs/>
                <w:color w:val="auto"/>
                <w:sz w:val="24"/>
                <w:highlight w:val="none"/>
              </w:rPr>
              <w:t>0mg/L÷1000000=</w:t>
            </w:r>
            <w:r>
              <w:rPr>
                <w:rFonts w:hint="eastAsia"/>
                <w:bCs/>
                <w:color w:val="auto"/>
                <w:sz w:val="24"/>
                <w:highlight w:val="none"/>
                <w:lang w:val="en-US" w:eastAsia="zh-CN"/>
              </w:rPr>
              <w:t>0.327</w:t>
            </w:r>
            <w:r>
              <w:rPr>
                <w:bCs/>
                <w:color w:val="auto"/>
                <w:sz w:val="24"/>
                <w:highlight w:val="none"/>
              </w:rPr>
              <w:t>t/a。</w:t>
            </w:r>
          </w:p>
          <w:p w14:paraId="7DF1D752">
            <w:pPr>
              <w:spacing w:line="348" w:lineRule="auto"/>
              <w:ind w:firstLine="480" w:firstLineChars="200"/>
              <w:rPr>
                <w:bCs/>
                <w:color w:val="auto"/>
                <w:sz w:val="24"/>
                <w:highlight w:val="none"/>
              </w:rPr>
            </w:pPr>
            <w:r>
              <w:rPr>
                <w:bCs/>
                <w:color w:val="auto"/>
                <w:sz w:val="24"/>
                <w:highlight w:val="none"/>
              </w:rPr>
              <w:t>NH</w:t>
            </w:r>
            <w:r>
              <w:rPr>
                <w:bCs/>
                <w:color w:val="auto"/>
                <w:sz w:val="24"/>
                <w:highlight w:val="none"/>
                <w:vertAlign w:val="subscript"/>
              </w:rPr>
              <w:t>3</w:t>
            </w:r>
            <w:r>
              <w:rPr>
                <w:bCs/>
                <w:color w:val="auto"/>
                <w:sz w:val="24"/>
                <w:highlight w:val="none"/>
              </w:rPr>
              <w:t>-N排放量（t/a）=</w:t>
            </w:r>
            <w:r>
              <w:rPr>
                <w:rFonts w:hint="eastAsia"/>
                <w:bCs/>
                <w:color w:val="auto"/>
                <w:sz w:val="24"/>
                <w:highlight w:val="none"/>
                <w:lang w:eastAsia="zh-CN"/>
              </w:rPr>
              <w:t>16328.4</w:t>
            </w:r>
            <w:r>
              <w:rPr>
                <w:bCs/>
                <w:color w:val="auto"/>
                <w:sz w:val="24"/>
                <w:highlight w:val="none"/>
              </w:rPr>
              <w:t>m</w:t>
            </w:r>
            <w:r>
              <w:rPr>
                <w:bCs/>
                <w:color w:val="auto"/>
                <w:sz w:val="24"/>
                <w:highlight w:val="none"/>
                <w:vertAlign w:val="superscript"/>
              </w:rPr>
              <w:t>3</w:t>
            </w:r>
            <w:r>
              <w:rPr>
                <w:bCs/>
                <w:color w:val="auto"/>
                <w:sz w:val="24"/>
                <w:highlight w:val="none"/>
              </w:rPr>
              <w:t>/a×1.</w:t>
            </w:r>
            <w:r>
              <w:rPr>
                <w:rFonts w:hint="eastAsia"/>
                <w:bCs/>
                <w:color w:val="auto"/>
                <w:sz w:val="24"/>
                <w:highlight w:val="none"/>
                <w:lang w:val="en-US" w:eastAsia="zh-CN"/>
              </w:rPr>
              <w:t>0</w:t>
            </w:r>
            <w:r>
              <w:rPr>
                <w:bCs/>
                <w:color w:val="auto"/>
                <w:sz w:val="24"/>
                <w:highlight w:val="none"/>
              </w:rPr>
              <w:t>mg/L÷1000000=</w:t>
            </w:r>
            <w:r>
              <w:rPr>
                <w:rFonts w:hint="eastAsia"/>
                <w:bCs/>
                <w:color w:val="auto"/>
                <w:sz w:val="24"/>
                <w:highlight w:val="none"/>
              </w:rPr>
              <w:t>0.0</w:t>
            </w:r>
            <w:r>
              <w:rPr>
                <w:rFonts w:hint="eastAsia"/>
                <w:bCs/>
                <w:color w:val="auto"/>
                <w:sz w:val="24"/>
                <w:highlight w:val="none"/>
                <w:lang w:val="en-US" w:eastAsia="zh-CN"/>
              </w:rPr>
              <w:t>16</w:t>
            </w:r>
            <w:r>
              <w:rPr>
                <w:bCs/>
                <w:color w:val="auto"/>
                <w:sz w:val="24"/>
                <w:highlight w:val="none"/>
              </w:rPr>
              <w:t>t/a。</w:t>
            </w:r>
          </w:p>
          <w:p w14:paraId="24F64645">
            <w:pPr>
              <w:widowControl/>
              <w:adjustRightInd w:val="0"/>
              <w:snapToGrid w:val="0"/>
              <w:spacing w:before="60" w:line="348" w:lineRule="auto"/>
              <w:ind w:right="113" w:firstLine="480" w:firstLineChars="200"/>
              <w:rPr>
                <w:bCs/>
                <w:color w:val="auto"/>
                <w:kern w:val="0"/>
                <w:sz w:val="24"/>
                <w:highlight w:val="none"/>
              </w:rPr>
            </w:pPr>
            <w:r>
              <w:rPr>
                <w:bCs/>
                <w:color w:val="auto"/>
                <w:kern w:val="0"/>
                <w:sz w:val="24"/>
                <w:highlight w:val="none"/>
              </w:rPr>
              <w:t>2、废气总量控制指标</w:t>
            </w:r>
          </w:p>
          <w:p w14:paraId="466B0EF9">
            <w:pPr>
              <w:widowControl/>
              <w:adjustRightInd w:val="0"/>
              <w:snapToGrid w:val="0"/>
              <w:spacing w:before="60" w:line="348" w:lineRule="auto"/>
              <w:ind w:right="113" w:firstLine="480" w:firstLineChars="200"/>
              <w:rPr>
                <w:rFonts w:hint="eastAsia" w:eastAsia="宋体"/>
                <w:bCs/>
                <w:color w:val="auto"/>
                <w:kern w:val="0"/>
                <w:sz w:val="24"/>
                <w:highlight w:val="none"/>
                <w:lang w:val="en-US" w:eastAsia="zh-CN"/>
              </w:rPr>
            </w:pPr>
            <w:r>
              <w:rPr>
                <w:rFonts w:hint="eastAsia"/>
                <w:bCs/>
                <w:color w:val="auto"/>
                <w:kern w:val="0"/>
                <w:sz w:val="24"/>
                <w:highlight w:val="none"/>
              </w:rPr>
              <w:t>本项目主要新增大气污染物为VOCs</w:t>
            </w:r>
            <w:r>
              <w:rPr>
                <w:rFonts w:hint="eastAsia"/>
                <w:bCs/>
                <w:color w:val="auto"/>
                <w:kern w:val="0"/>
                <w:sz w:val="24"/>
                <w:highlight w:val="none"/>
                <w:lang w:eastAsia="zh-CN"/>
              </w:rPr>
              <w:t>，</w:t>
            </w:r>
            <w:r>
              <w:rPr>
                <w:rFonts w:hint="eastAsia"/>
                <w:bCs/>
                <w:color w:val="auto"/>
                <w:kern w:val="0"/>
                <w:sz w:val="24"/>
                <w:highlight w:val="none"/>
                <w:lang w:val="en-US" w:eastAsia="zh-CN"/>
              </w:rPr>
              <w:t>根据项目工程分析产排污计算可知</w:t>
            </w:r>
            <w:r>
              <w:rPr>
                <w:rFonts w:hint="eastAsia"/>
                <w:bCs/>
                <w:color w:val="auto"/>
                <w:kern w:val="0"/>
                <w:sz w:val="24"/>
                <w:highlight w:val="none"/>
              </w:rPr>
              <w:t>，</w:t>
            </w:r>
            <w:r>
              <w:rPr>
                <w:rFonts w:hint="eastAsia"/>
                <w:bCs/>
                <w:color w:val="auto"/>
                <w:kern w:val="0"/>
                <w:sz w:val="24"/>
                <w:highlight w:val="none"/>
                <w:lang w:val="en-US" w:eastAsia="zh-CN"/>
              </w:rPr>
              <w:t>本次技改新增</w:t>
            </w:r>
            <w:r>
              <w:rPr>
                <w:rFonts w:hint="eastAsia"/>
                <w:bCs/>
                <w:color w:val="auto"/>
                <w:kern w:val="0"/>
                <w:sz w:val="24"/>
                <w:highlight w:val="none"/>
              </w:rPr>
              <w:t>VOCs排放</w:t>
            </w:r>
            <w:r>
              <w:rPr>
                <w:rFonts w:hint="eastAsia"/>
                <w:bCs/>
                <w:color w:val="auto"/>
                <w:kern w:val="0"/>
                <w:sz w:val="24"/>
                <w:highlight w:val="none"/>
                <w:lang w:val="en-US" w:eastAsia="zh-CN"/>
              </w:rPr>
              <w:t>总</w:t>
            </w:r>
            <w:r>
              <w:rPr>
                <w:rFonts w:hint="eastAsia"/>
                <w:bCs/>
                <w:color w:val="auto"/>
                <w:kern w:val="0"/>
                <w:sz w:val="24"/>
                <w:highlight w:val="none"/>
              </w:rPr>
              <w:t>量</w:t>
            </w:r>
            <w:r>
              <w:rPr>
                <w:rFonts w:hint="eastAsia"/>
                <w:bCs/>
                <w:color w:val="auto"/>
                <w:kern w:val="0"/>
                <w:sz w:val="24"/>
                <w:highlight w:val="none"/>
                <w:lang w:val="en-US" w:eastAsia="zh-CN"/>
              </w:rPr>
              <w:t>为0.909t</w:t>
            </w:r>
            <w:r>
              <w:rPr>
                <w:rFonts w:hint="eastAsia"/>
                <w:bCs/>
                <w:color w:val="auto"/>
                <w:kern w:val="0"/>
                <w:sz w:val="24"/>
                <w:highlight w:val="none"/>
              </w:rPr>
              <w:t>/a</w:t>
            </w:r>
            <w:r>
              <w:rPr>
                <w:rFonts w:hint="eastAsia"/>
                <w:bCs/>
                <w:color w:val="auto"/>
                <w:kern w:val="0"/>
                <w:sz w:val="24"/>
                <w:highlight w:val="none"/>
                <w:lang w:eastAsia="zh-CN"/>
              </w:rPr>
              <w:t>，</w:t>
            </w:r>
            <w:r>
              <w:rPr>
                <w:rFonts w:hint="eastAsia"/>
                <w:bCs/>
                <w:color w:val="auto"/>
                <w:kern w:val="0"/>
                <w:sz w:val="24"/>
                <w:highlight w:val="none"/>
                <w:lang w:val="en-US" w:eastAsia="zh-CN"/>
              </w:rPr>
              <w:t>锅炉燃烧污染物</w:t>
            </w:r>
            <w:r>
              <w:rPr>
                <w:color w:val="auto"/>
                <w:kern w:val="0"/>
                <w:sz w:val="24"/>
                <w:szCs w:val="24"/>
                <w:highlight w:val="none"/>
              </w:rPr>
              <w:t>SO</w:t>
            </w:r>
            <w:r>
              <w:rPr>
                <w:color w:val="auto"/>
                <w:kern w:val="0"/>
                <w:sz w:val="24"/>
                <w:szCs w:val="24"/>
                <w:highlight w:val="none"/>
                <w:vertAlign w:val="subscript"/>
              </w:rPr>
              <w:t>2</w:t>
            </w:r>
            <w:r>
              <w:rPr>
                <w:rFonts w:hint="eastAsia"/>
                <w:color w:val="auto"/>
                <w:kern w:val="0"/>
                <w:szCs w:val="21"/>
                <w:highlight w:val="none"/>
                <w:vertAlign w:val="baseline"/>
                <w:lang w:val="en-US" w:eastAsia="zh-CN"/>
              </w:rPr>
              <w:t>及</w:t>
            </w:r>
            <w:r>
              <w:rPr>
                <w:rFonts w:hint="eastAsia"/>
                <w:bCs/>
                <w:color w:val="auto"/>
                <w:kern w:val="0"/>
                <w:sz w:val="24"/>
                <w:highlight w:val="none"/>
                <w:lang w:val="en-US" w:eastAsia="zh-CN"/>
              </w:rPr>
              <w:t>NO</w:t>
            </w:r>
            <w:r>
              <w:rPr>
                <w:rFonts w:hint="eastAsia"/>
                <w:bCs/>
                <w:color w:val="auto"/>
                <w:kern w:val="0"/>
                <w:sz w:val="24"/>
                <w:highlight w:val="none"/>
                <w:vertAlign w:val="subscript"/>
                <w:lang w:val="en-US" w:eastAsia="zh-CN"/>
              </w:rPr>
              <w:t>X</w:t>
            </w:r>
            <w:r>
              <w:rPr>
                <w:rFonts w:hint="eastAsia"/>
                <w:bCs/>
                <w:color w:val="auto"/>
                <w:kern w:val="0"/>
                <w:sz w:val="24"/>
                <w:highlight w:val="none"/>
                <w:lang w:val="en-US" w:eastAsia="zh-CN"/>
              </w:rPr>
              <w:t>在原环评报告书已申请总量，本次依托现有锅炉，不新增总量申请</w:t>
            </w:r>
            <w:r>
              <w:rPr>
                <w:rFonts w:hint="eastAsia"/>
                <w:color w:val="auto"/>
                <w:sz w:val="24"/>
                <w:highlight w:val="none"/>
                <w:lang w:val="en-US" w:eastAsia="zh-CN"/>
              </w:rPr>
              <w:t>。</w:t>
            </w:r>
          </w:p>
          <w:p w14:paraId="13BCBF73">
            <w:pPr>
              <w:adjustRightInd w:val="0"/>
              <w:snapToGrid w:val="0"/>
              <w:spacing w:line="348" w:lineRule="auto"/>
              <w:ind w:firstLine="480" w:firstLineChars="200"/>
              <w:rPr>
                <w:bCs/>
                <w:color w:val="auto"/>
                <w:sz w:val="24"/>
                <w:highlight w:val="none"/>
              </w:rPr>
            </w:pPr>
            <w:r>
              <w:rPr>
                <w:bCs/>
                <w:color w:val="auto"/>
                <w:sz w:val="24"/>
                <w:highlight w:val="none"/>
              </w:rPr>
              <w:t>本项目</w:t>
            </w:r>
            <w:r>
              <w:rPr>
                <w:rFonts w:hint="eastAsia"/>
                <w:bCs/>
                <w:color w:val="auto"/>
                <w:sz w:val="24"/>
                <w:highlight w:val="none"/>
                <w:lang w:val="en-US" w:eastAsia="zh-CN"/>
              </w:rPr>
              <w:t>实施后，</w:t>
            </w:r>
            <w:r>
              <w:rPr>
                <w:rFonts w:hint="eastAsia"/>
                <w:bCs/>
                <w:color w:val="auto"/>
                <w:sz w:val="24"/>
                <w:highlight w:val="none"/>
              </w:rPr>
              <w:t>新增</w:t>
            </w:r>
            <w:r>
              <w:rPr>
                <w:bCs/>
                <w:color w:val="auto"/>
                <w:sz w:val="24"/>
                <w:highlight w:val="none"/>
              </w:rPr>
              <w:t>总量控制建议指标见下表。</w:t>
            </w:r>
          </w:p>
          <w:p w14:paraId="483B805C">
            <w:pPr>
              <w:pStyle w:val="132"/>
              <w:bidi w:val="0"/>
              <w:rPr>
                <w:b/>
                <w:color w:val="auto"/>
                <w:kern w:val="0"/>
                <w:szCs w:val="21"/>
                <w:highlight w:val="none"/>
              </w:rPr>
            </w:pPr>
            <w:r>
              <w:rPr>
                <w:rFonts w:hint="eastAsia"/>
                <w:b/>
                <w:color w:val="auto"/>
                <w:kern w:val="0"/>
                <w:szCs w:val="21"/>
                <w:highlight w:val="none"/>
              </w:rPr>
              <w:t>本项目新增</w:t>
            </w:r>
            <w:r>
              <w:rPr>
                <w:b/>
                <w:color w:val="auto"/>
                <w:kern w:val="0"/>
                <w:szCs w:val="21"/>
                <w:highlight w:val="none"/>
              </w:rPr>
              <w:t>总量控制建议指标</w:t>
            </w:r>
          </w:p>
          <w:tbl>
            <w:tblPr>
              <w:tblStyle w:val="27"/>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712"/>
              <w:gridCol w:w="1718"/>
              <w:gridCol w:w="3614"/>
              <w:gridCol w:w="2335"/>
            </w:tblGrid>
            <w:tr w14:paraId="2C5C5B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4" w:hRule="atLeast"/>
                <w:jc w:val="center"/>
              </w:trPr>
              <w:tc>
                <w:tcPr>
                  <w:tcW w:w="3606" w:type="pct"/>
                  <w:gridSpan w:val="3"/>
                  <w:tcBorders>
                    <w:bottom w:val="single" w:color="000000" w:sz="4" w:space="0"/>
                    <w:right w:val="single" w:color="000000" w:sz="4" w:space="0"/>
                  </w:tcBorders>
                  <w:vAlign w:val="center"/>
                </w:tcPr>
                <w:p w14:paraId="196CA44A">
                  <w:pPr>
                    <w:widowControl/>
                    <w:spacing w:line="260" w:lineRule="exact"/>
                    <w:jc w:val="center"/>
                    <w:rPr>
                      <w:b/>
                      <w:color w:val="auto"/>
                      <w:kern w:val="0"/>
                      <w:szCs w:val="21"/>
                      <w:highlight w:val="none"/>
                    </w:rPr>
                  </w:pPr>
                  <w:r>
                    <w:rPr>
                      <w:b/>
                      <w:color w:val="auto"/>
                      <w:kern w:val="0"/>
                      <w:szCs w:val="21"/>
                      <w:highlight w:val="none"/>
                    </w:rPr>
                    <w:t>污染物</w:t>
                  </w:r>
                </w:p>
              </w:tc>
              <w:tc>
                <w:tcPr>
                  <w:tcW w:w="1393" w:type="pct"/>
                  <w:tcBorders>
                    <w:left w:val="single" w:color="000000" w:sz="4" w:space="0"/>
                    <w:bottom w:val="single" w:color="000000" w:sz="4" w:space="0"/>
                  </w:tcBorders>
                  <w:vAlign w:val="center"/>
                </w:tcPr>
                <w:p w14:paraId="46314094">
                  <w:pPr>
                    <w:widowControl/>
                    <w:spacing w:line="260" w:lineRule="exact"/>
                    <w:jc w:val="center"/>
                    <w:rPr>
                      <w:b/>
                      <w:color w:val="auto"/>
                      <w:kern w:val="0"/>
                      <w:szCs w:val="21"/>
                      <w:highlight w:val="none"/>
                    </w:rPr>
                  </w:pPr>
                  <w:r>
                    <w:rPr>
                      <w:b/>
                      <w:color w:val="auto"/>
                      <w:kern w:val="0"/>
                      <w:szCs w:val="21"/>
                      <w:highlight w:val="none"/>
                    </w:rPr>
                    <w:t>总量控制指标（t/a）</w:t>
                  </w:r>
                </w:p>
              </w:tc>
            </w:tr>
            <w:tr w14:paraId="2F2BE3D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425" w:type="pct"/>
                  <w:vMerge w:val="restart"/>
                  <w:tcBorders>
                    <w:top w:val="single" w:color="000000" w:sz="4" w:space="0"/>
                    <w:bottom w:val="single" w:color="000000" w:sz="4" w:space="0"/>
                    <w:right w:val="single" w:color="000000" w:sz="4" w:space="0"/>
                  </w:tcBorders>
                  <w:vAlign w:val="center"/>
                </w:tcPr>
                <w:p w14:paraId="44DF1CBF">
                  <w:pPr>
                    <w:widowControl/>
                    <w:spacing w:line="260" w:lineRule="exact"/>
                    <w:jc w:val="center"/>
                    <w:rPr>
                      <w:color w:val="auto"/>
                      <w:kern w:val="0"/>
                      <w:szCs w:val="21"/>
                      <w:highlight w:val="none"/>
                    </w:rPr>
                  </w:pPr>
                  <w:r>
                    <w:rPr>
                      <w:color w:val="auto"/>
                      <w:kern w:val="0"/>
                      <w:szCs w:val="21"/>
                      <w:highlight w:val="none"/>
                    </w:rPr>
                    <w:t>废水</w:t>
                  </w:r>
                </w:p>
              </w:tc>
              <w:tc>
                <w:tcPr>
                  <w:tcW w:w="1024" w:type="pct"/>
                  <w:vMerge w:val="restart"/>
                  <w:tcBorders>
                    <w:top w:val="single" w:color="000000" w:sz="4" w:space="0"/>
                    <w:left w:val="single" w:color="000000" w:sz="4" w:space="0"/>
                    <w:bottom w:val="single" w:color="000000" w:sz="4" w:space="0"/>
                    <w:right w:val="single" w:color="000000" w:sz="4" w:space="0"/>
                  </w:tcBorders>
                  <w:vAlign w:val="center"/>
                </w:tcPr>
                <w:p w14:paraId="7E8F4520">
                  <w:pPr>
                    <w:widowControl/>
                    <w:spacing w:line="260" w:lineRule="exact"/>
                    <w:jc w:val="center"/>
                    <w:rPr>
                      <w:color w:val="auto"/>
                      <w:kern w:val="0"/>
                      <w:szCs w:val="21"/>
                      <w:highlight w:val="none"/>
                    </w:rPr>
                  </w:pPr>
                  <w:r>
                    <w:rPr>
                      <w:color w:val="auto"/>
                      <w:kern w:val="0"/>
                      <w:szCs w:val="21"/>
                      <w:highlight w:val="none"/>
                    </w:rPr>
                    <w:t>厂区排口</w:t>
                  </w:r>
                </w:p>
              </w:tc>
              <w:tc>
                <w:tcPr>
                  <w:tcW w:w="2156" w:type="pct"/>
                  <w:tcBorders>
                    <w:top w:val="single" w:color="000000" w:sz="4" w:space="0"/>
                    <w:left w:val="single" w:color="000000" w:sz="4" w:space="0"/>
                    <w:bottom w:val="single" w:color="000000" w:sz="4" w:space="0"/>
                    <w:right w:val="single" w:color="000000" w:sz="4" w:space="0"/>
                  </w:tcBorders>
                  <w:vAlign w:val="center"/>
                </w:tcPr>
                <w:p w14:paraId="4A7AF458">
                  <w:pPr>
                    <w:widowControl/>
                    <w:spacing w:line="260" w:lineRule="exact"/>
                    <w:jc w:val="center"/>
                    <w:rPr>
                      <w:color w:val="auto"/>
                      <w:kern w:val="0"/>
                      <w:szCs w:val="21"/>
                      <w:highlight w:val="none"/>
                      <w:vertAlign w:val="subscript"/>
                    </w:rPr>
                  </w:pPr>
                  <w:r>
                    <w:rPr>
                      <w:color w:val="auto"/>
                      <w:kern w:val="0"/>
                      <w:szCs w:val="21"/>
                      <w:highlight w:val="none"/>
                    </w:rPr>
                    <w:t>COD</w:t>
                  </w:r>
                  <w:r>
                    <w:rPr>
                      <w:rFonts w:hint="eastAsia"/>
                      <w:color w:val="auto"/>
                      <w:kern w:val="0"/>
                      <w:szCs w:val="21"/>
                      <w:highlight w:val="none"/>
                      <w:vertAlign w:val="subscript"/>
                      <w:lang w:val="en-US" w:eastAsia="zh-CN"/>
                    </w:rPr>
                    <w:t>C</w:t>
                  </w:r>
                  <w:r>
                    <w:rPr>
                      <w:color w:val="auto"/>
                      <w:kern w:val="0"/>
                      <w:szCs w:val="21"/>
                      <w:highlight w:val="none"/>
                      <w:vertAlign w:val="subscript"/>
                    </w:rPr>
                    <w:t>r</w:t>
                  </w:r>
                </w:p>
              </w:tc>
              <w:tc>
                <w:tcPr>
                  <w:tcW w:w="1393" w:type="pct"/>
                  <w:tcBorders>
                    <w:top w:val="single" w:color="000000" w:sz="4" w:space="0"/>
                    <w:left w:val="single" w:color="000000" w:sz="4" w:space="0"/>
                    <w:bottom w:val="single" w:color="000000" w:sz="4" w:space="0"/>
                  </w:tcBorders>
                  <w:vAlign w:val="center"/>
                </w:tcPr>
                <w:p w14:paraId="276AADD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8.164</w:t>
                  </w:r>
                </w:p>
              </w:tc>
            </w:tr>
            <w:tr w14:paraId="2695DA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425" w:type="pct"/>
                  <w:vMerge w:val="continue"/>
                  <w:tcBorders>
                    <w:top w:val="single" w:color="000000" w:sz="4" w:space="0"/>
                    <w:bottom w:val="single" w:color="000000" w:sz="4" w:space="0"/>
                    <w:right w:val="single" w:color="000000" w:sz="4" w:space="0"/>
                  </w:tcBorders>
                  <w:vAlign w:val="center"/>
                </w:tcPr>
                <w:p w14:paraId="32E84514">
                  <w:pPr>
                    <w:widowControl/>
                    <w:jc w:val="left"/>
                    <w:rPr>
                      <w:color w:val="auto"/>
                      <w:kern w:val="0"/>
                      <w:szCs w:val="21"/>
                      <w:highlight w:val="none"/>
                    </w:rPr>
                  </w:pPr>
                </w:p>
              </w:tc>
              <w:tc>
                <w:tcPr>
                  <w:tcW w:w="1024" w:type="pct"/>
                  <w:vMerge w:val="continue"/>
                  <w:tcBorders>
                    <w:top w:val="single" w:color="000000" w:sz="4" w:space="0"/>
                    <w:left w:val="single" w:color="000000" w:sz="4" w:space="0"/>
                    <w:bottom w:val="single" w:color="000000" w:sz="4" w:space="0"/>
                    <w:right w:val="single" w:color="000000" w:sz="4" w:space="0"/>
                  </w:tcBorders>
                  <w:vAlign w:val="center"/>
                </w:tcPr>
                <w:p w14:paraId="47BF10C4">
                  <w:pPr>
                    <w:widowControl/>
                    <w:jc w:val="left"/>
                    <w:rPr>
                      <w:color w:val="auto"/>
                      <w:kern w:val="0"/>
                      <w:szCs w:val="21"/>
                      <w:highlight w:val="none"/>
                    </w:rPr>
                  </w:pPr>
                </w:p>
              </w:tc>
              <w:tc>
                <w:tcPr>
                  <w:tcW w:w="2156" w:type="pct"/>
                  <w:tcBorders>
                    <w:top w:val="single" w:color="000000" w:sz="4" w:space="0"/>
                    <w:left w:val="single" w:color="000000" w:sz="4" w:space="0"/>
                    <w:bottom w:val="single" w:color="000000" w:sz="4" w:space="0"/>
                    <w:right w:val="single" w:color="000000" w:sz="4" w:space="0"/>
                  </w:tcBorders>
                  <w:vAlign w:val="center"/>
                </w:tcPr>
                <w:p w14:paraId="1A0A3494">
                  <w:pPr>
                    <w:widowControl/>
                    <w:spacing w:line="260" w:lineRule="exact"/>
                    <w:jc w:val="center"/>
                    <w:rPr>
                      <w:color w:val="auto"/>
                      <w:kern w:val="0"/>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1393" w:type="pct"/>
                  <w:tcBorders>
                    <w:top w:val="single" w:color="000000" w:sz="4" w:space="0"/>
                    <w:left w:val="single" w:color="000000" w:sz="4" w:space="0"/>
                    <w:bottom w:val="single" w:color="000000" w:sz="4" w:space="0"/>
                  </w:tcBorders>
                  <w:vAlign w:val="center"/>
                </w:tcPr>
                <w:p w14:paraId="5135D8B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0.735</w:t>
                  </w:r>
                </w:p>
              </w:tc>
            </w:tr>
            <w:tr w14:paraId="3E24693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0" w:hRule="atLeast"/>
                <w:jc w:val="center"/>
              </w:trPr>
              <w:tc>
                <w:tcPr>
                  <w:tcW w:w="425" w:type="pct"/>
                  <w:vMerge w:val="continue"/>
                  <w:tcBorders>
                    <w:top w:val="single" w:color="000000" w:sz="4" w:space="0"/>
                    <w:bottom w:val="single" w:color="000000" w:sz="4" w:space="0"/>
                    <w:right w:val="single" w:color="000000" w:sz="4" w:space="0"/>
                  </w:tcBorders>
                  <w:vAlign w:val="center"/>
                </w:tcPr>
                <w:p w14:paraId="1E41F8D5">
                  <w:pPr>
                    <w:widowControl/>
                    <w:jc w:val="left"/>
                    <w:rPr>
                      <w:color w:val="auto"/>
                      <w:kern w:val="0"/>
                      <w:szCs w:val="21"/>
                      <w:highlight w:val="none"/>
                    </w:rPr>
                  </w:pPr>
                </w:p>
              </w:tc>
              <w:tc>
                <w:tcPr>
                  <w:tcW w:w="1024" w:type="pct"/>
                  <w:vMerge w:val="restart"/>
                  <w:tcBorders>
                    <w:top w:val="single" w:color="000000" w:sz="4" w:space="0"/>
                    <w:left w:val="single" w:color="000000" w:sz="4" w:space="0"/>
                    <w:bottom w:val="single" w:color="000000" w:sz="4" w:space="0"/>
                    <w:right w:val="single" w:color="000000" w:sz="4" w:space="0"/>
                  </w:tcBorders>
                  <w:vAlign w:val="center"/>
                </w:tcPr>
                <w:p w14:paraId="357503AF">
                  <w:pPr>
                    <w:widowControl/>
                    <w:spacing w:line="260" w:lineRule="exact"/>
                    <w:jc w:val="center"/>
                    <w:rPr>
                      <w:color w:val="auto"/>
                      <w:kern w:val="0"/>
                      <w:szCs w:val="21"/>
                      <w:highlight w:val="none"/>
                    </w:rPr>
                  </w:pPr>
                  <w:r>
                    <w:rPr>
                      <w:color w:val="auto"/>
                      <w:kern w:val="0"/>
                      <w:szCs w:val="21"/>
                      <w:highlight w:val="none"/>
                    </w:rPr>
                    <w:t>污水处理厂排口</w:t>
                  </w:r>
                </w:p>
              </w:tc>
              <w:tc>
                <w:tcPr>
                  <w:tcW w:w="2156" w:type="pct"/>
                  <w:tcBorders>
                    <w:top w:val="single" w:color="000000" w:sz="4" w:space="0"/>
                    <w:left w:val="single" w:color="000000" w:sz="4" w:space="0"/>
                    <w:bottom w:val="single" w:color="000000" w:sz="4" w:space="0"/>
                    <w:right w:val="single" w:color="000000" w:sz="4" w:space="0"/>
                  </w:tcBorders>
                  <w:vAlign w:val="center"/>
                </w:tcPr>
                <w:p w14:paraId="22595D74">
                  <w:pPr>
                    <w:widowControl/>
                    <w:spacing w:line="260" w:lineRule="exact"/>
                    <w:jc w:val="center"/>
                    <w:rPr>
                      <w:color w:val="auto"/>
                      <w:kern w:val="0"/>
                      <w:szCs w:val="21"/>
                      <w:highlight w:val="none"/>
                      <w:vertAlign w:val="subscript"/>
                    </w:rPr>
                  </w:pPr>
                  <w:r>
                    <w:rPr>
                      <w:color w:val="auto"/>
                      <w:kern w:val="0"/>
                      <w:szCs w:val="21"/>
                      <w:highlight w:val="none"/>
                    </w:rPr>
                    <w:t>COD</w:t>
                  </w:r>
                  <w:r>
                    <w:rPr>
                      <w:rFonts w:hint="eastAsia"/>
                      <w:color w:val="auto"/>
                      <w:kern w:val="0"/>
                      <w:szCs w:val="21"/>
                      <w:highlight w:val="none"/>
                      <w:vertAlign w:val="subscript"/>
                      <w:lang w:eastAsia="zh-CN"/>
                    </w:rPr>
                    <w:t>C</w:t>
                  </w:r>
                  <w:r>
                    <w:rPr>
                      <w:color w:val="auto"/>
                      <w:kern w:val="0"/>
                      <w:szCs w:val="21"/>
                      <w:highlight w:val="none"/>
                      <w:vertAlign w:val="subscript"/>
                    </w:rPr>
                    <w:t>r</w:t>
                  </w:r>
                </w:p>
              </w:tc>
              <w:tc>
                <w:tcPr>
                  <w:tcW w:w="1393" w:type="pct"/>
                  <w:tcBorders>
                    <w:top w:val="single" w:color="000000" w:sz="4" w:space="0"/>
                    <w:left w:val="single" w:color="000000" w:sz="4" w:space="0"/>
                    <w:bottom w:val="single" w:color="000000" w:sz="4" w:space="0"/>
                  </w:tcBorders>
                  <w:vAlign w:val="center"/>
                </w:tcPr>
                <w:p w14:paraId="1B5C3B0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0.327</w:t>
                  </w:r>
                </w:p>
              </w:tc>
            </w:tr>
            <w:tr w14:paraId="7918673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36" w:hRule="atLeast"/>
                <w:jc w:val="center"/>
              </w:trPr>
              <w:tc>
                <w:tcPr>
                  <w:tcW w:w="425" w:type="pct"/>
                  <w:vMerge w:val="continue"/>
                  <w:tcBorders>
                    <w:top w:val="single" w:color="000000" w:sz="4" w:space="0"/>
                    <w:bottom w:val="single" w:color="000000" w:sz="4" w:space="0"/>
                    <w:right w:val="single" w:color="000000" w:sz="4" w:space="0"/>
                  </w:tcBorders>
                  <w:vAlign w:val="center"/>
                </w:tcPr>
                <w:p w14:paraId="60CED276">
                  <w:pPr>
                    <w:widowControl/>
                    <w:jc w:val="left"/>
                    <w:rPr>
                      <w:color w:val="auto"/>
                      <w:kern w:val="0"/>
                      <w:szCs w:val="21"/>
                      <w:highlight w:val="none"/>
                    </w:rPr>
                  </w:pPr>
                </w:p>
              </w:tc>
              <w:tc>
                <w:tcPr>
                  <w:tcW w:w="1024" w:type="pct"/>
                  <w:vMerge w:val="continue"/>
                  <w:tcBorders>
                    <w:top w:val="single" w:color="000000" w:sz="4" w:space="0"/>
                    <w:left w:val="single" w:color="000000" w:sz="4" w:space="0"/>
                    <w:bottom w:val="single" w:color="000000" w:sz="4" w:space="0"/>
                    <w:right w:val="single" w:color="000000" w:sz="4" w:space="0"/>
                  </w:tcBorders>
                  <w:vAlign w:val="center"/>
                </w:tcPr>
                <w:p w14:paraId="475A9840">
                  <w:pPr>
                    <w:widowControl/>
                    <w:jc w:val="left"/>
                    <w:rPr>
                      <w:color w:val="auto"/>
                      <w:kern w:val="0"/>
                      <w:szCs w:val="21"/>
                      <w:highlight w:val="none"/>
                    </w:rPr>
                  </w:pPr>
                </w:p>
              </w:tc>
              <w:tc>
                <w:tcPr>
                  <w:tcW w:w="2156" w:type="pct"/>
                  <w:tcBorders>
                    <w:top w:val="single" w:color="000000" w:sz="4" w:space="0"/>
                    <w:left w:val="single" w:color="000000" w:sz="4" w:space="0"/>
                    <w:bottom w:val="single" w:color="000000" w:sz="4" w:space="0"/>
                    <w:right w:val="single" w:color="000000" w:sz="4" w:space="0"/>
                  </w:tcBorders>
                  <w:vAlign w:val="center"/>
                </w:tcPr>
                <w:p w14:paraId="217647C1">
                  <w:pPr>
                    <w:widowControl/>
                    <w:spacing w:line="260" w:lineRule="exact"/>
                    <w:jc w:val="center"/>
                    <w:rPr>
                      <w:color w:val="auto"/>
                      <w:kern w:val="0"/>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1393" w:type="pct"/>
                  <w:tcBorders>
                    <w:top w:val="single" w:color="000000" w:sz="4" w:space="0"/>
                    <w:left w:val="single" w:color="000000" w:sz="4" w:space="0"/>
                    <w:bottom w:val="single" w:color="000000" w:sz="4" w:space="0"/>
                  </w:tcBorders>
                  <w:vAlign w:val="center"/>
                </w:tcPr>
                <w:p w14:paraId="20E54C5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0.016</w:t>
                  </w:r>
                </w:p>
              </w:tc>
            </w:tr>
            <w:tr w14:paraId="3520EFB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50" w:hRule="atLeast"/>
                <w:jc w:val="center"/>
              </w:trPr>
              <w:tc>
                <w:tcPr>
                  <w:tcW w:w="1450" w:type="pct"/>
                  <w:gridSpan w:val="2"/>
                  <w:vMerge w:val="restart"/>
                  <w:tcBorders>
                    <w:right w:val="single" w:color="000000" w:sz="4" w:space="0"/>
                  </w:tcBorders>
                  <w:vAlign w:val="center"/>
                </w:tcPr>
                <w:p w14:paraId="42F149E7">
                  <w:pPr>
                    <w:widowControl/>
                    <w:spacing w:line="260" w:lineRule="exact"/>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废气</w:t>
                  </w:r>
                </w:p>
              </w:tc>
              <w:tc>
                <w:tcPr>
                  <w:tcW w:w="2156" w:type="pct"/>
                  <w:tcBorders>
                    <w:top w:val="single" w:color="000000" w:sz="4" w:space="0"/>
                    <w:left w:val="single" w:color="000000" w:sz="4" w:space="0"/>
                    <w:bottom w:val="single" w:color="000000" w:sz="4" w:space="0"/>
                    <w:right w:val="single" w:color="000000" w:sz="4" w:space="0"/>
                  </w:tcBorders>
                  <w:vAlign w:val="center"/>
                </w:tcPr>
                <w:p w14:paraId="6535D8EB">
                  <w:pPr>
                    <w:widowControl/>
                    <w:spacing w:line="260" w:lineRule="exact"/>
                    <w:jc w:val="center"/>
                    <w:rPr>
                      <w:color w:val="auto"/>
                      <w:kern w:val="0"/>
                      <w:szCs w:val="21"/>
                      <w:highlight w:val="none"/>
                    </w:rPr>
                  </w:pPr>
                  <w:r>
                    <w:rPr>
                      <w:color w:val="auto"/>
                      <w:kern w:val="0"/>
                      <w:szCs w:val="21"/>
                      <w:highlight w:val="none"/>
                    </w:rPr>
                    <w:t>VOCs</w:t>
                  </w:r>
                  <w:r>
                    <w:rPr>
                      <w:rFonts w:hint="eastAsia"/>
                      <w:color w:val="auto"/>
                      <w:kern w:val="0"/>
                      <w:szCs w:val="21"/>
                      <w:highlight w:val="none"/>
                      <w:lang w:eastAsia="zh-CN"/>
                    </w:rPr>
                    <w:t>（</w:t>
                  </w:r>
                  <w:r>
                    <w:rPr>
                      <w:rFonts w:hint="eastAsia"/>
                      <w:color w:val="auto"/>
                      <w:kern w:val="0"/>
                      <w:szCs w:val="21"/>
                      <w:highlight w:val="none"/>
                      <w:lang w:val="en-US" w:eastAsia="zh-CN"/>
                    </w:rPr>
                    <w:t>以非甲烷总烃计</w:t>
                  </w:r>
                  <w:r>
                    <w:rPr>
                      <w:rFonts w:hint="eastAsia"/>
                      <w:color w:val="auto"/>
                      <w:kern w:val="0"/>
                      <w:szCs w:val="21"/>
                      <w:highlight w:val="none"/>
                      <w:lang w:eastAsia="zh-CN"/>
                    </w:rPr>
                    <w:t>）</w:t>
                  </w:r>
                </w:p>
              </w:tc>
              <w:tc>
                <w:tcPr>
                  <w:tcW w:w="1393" w:type="pct"/>
                  <w:tcBorders>
                    <w:top w:val="single" w:color="000000" w:sz="4" w:space="0"/>
                    <w:left w:val="single" w:color="000000" w:sz="4" w:space="0"/>
                    <w:bottom w:val="single" w:color="000000" w:sz="4" w:space="0"/>
                  </w:tcBorders>
                  <w:vAlign w:val="center"/>
                </w:tcPr>
                <w:p w14:paraId="001CB1AB">
                  <w:pPr>
                    <w:keepNext w:val="0"/>
                    <w:keepLines w:val="0"/>
                    <w:widowControl/>
                    <w:suppressLineNumbers w:val="0"/>
                    <w:jc w:val="center"/>
                    <w:textAlignment w:val="center"/>
                    <w:rPr>
                      <w:rFonts w:hint="default" w:eastAsia="宋体"/>
                      <w:color w:val="auto"/>
                      <w:highlight w:val="none"/>
                      <w:lang w:val="en-US" w:eastAsia="zh-CN"/>
                    </w:rPr>
                  </w:pPr>
                  <w:r>
                    <w:rPr>
                      <w:rFonts w:hint="eastAsia" w:cs="Times New Roman"/>
                      <w:i w:val="0"/>
                      <w:iCs w:val="0"/>
                      <w:color w:val="auto"/>
                      <w:kern w:val="0"/>
                      <w:sz w:val="21"/>
                      <w:szCs w:val="21"/>
                      <w:highlight w:val="none"/>
                      <w:u w:val="none"/>
                      <w:lang w:val="en-US" w:eastAsia="zh-CN" w:bidi="ar"/>
                    </w:rPr>
                    <w:t>0.909</w:t>
                  </w:r>
                </w:p>
              </w:tc>
            </w:tr>
            <w:tr w14:paraId="0368867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36" w:hRule="atLeast"/>
                <w:jc w:val="center"/>
              </w:trPr>
              <w:tc>
                <w:tcPr>
                  <w:tcW w:w="1450" w:type="pct"/>
                  <w:gridSpan w:val="2"/>
                  <w:vMerge w:val="continue"/>
                  <w:tcBorders>
                    <w:right w:val="single" w:color="000000" w:sz="4" w:space="0"/>
                  </w:tcBorders>
                  <w:vAlign w:val="center"/>
                </w:tcPr>
                <w:p w14:paraId="789668A2">
                  <w:pPr>
                    <w:widowControl/>
                    <w:spacing w:line="260" w:lineRule="exact"/>
                    <w:jc w:val="center"/>
                    <w:rPr>
                      <w:rFonts w:hint="eastAsia"/>
                      <w:color w:val="auto"/>
                      <w:kern w:val="0"/>
                      <w:szCs w:val="21"/>
                      <w:highlight w:val="none"/>
                      <w:lang w:val="en-US" w:eastAsia="zh-CN"/>
                    </w:rPr>
                  </w:pPr>
                </w:p>
              </w:tc>
              <w:tc>
                <w:tcPr>
                  <w:tcW w:w="2156" w:type="pct"/>
                  <w:tcBorders>
                    <w:top w:val="single" w:color="000000" w:sz="4" w:space="0"/>
                    <w:left w:val="single" w:color="000000" w:sz="4" w:space="0"/>
                    <w:bottom w:val="single" w:color="000000" w:sz="4" w:space="0"/>
                    <w:right w:val="single" w:color="000000" w:sz="4" w:space="0"/>
                  </w:tcBorders>
                  <w:vAlign w:val="center"/>
                </w:tcPr>
                <w:p w14:paraId="23E85CDF">
                  <w:pPr>
                    <w:widowControl/>
                    <w:spacing w:line="260" w:lineRule="exact"/>
                    <w:jc w:val="center"/>
                    <w:rPr>
                      <w:color w:val="auto"/>
                      <w:kern w:val="0"/>
                      <w:sz w:val="21"/>
                      <w:szCs w:val="21"/>
                      <w:highlight w:val="none"/>
                    </w:rPr>
                  </w:pPr>
                  <w:r>
                    <w:rPr>
                      <w:rFonts w:hint="eastAsia"/>
                      <w:bCs/>
                      <w:color w:val="auto"/>
                      <w:kern w:val="0"/>
                      <w:sz w:val="21"/>
                      <w:szCs w:val="21"/>
                      <w:highlight w:val="none"/>
                      <w:lang w:val="en-US" w:eastAsia="zh-CN"/>
                    </w:rPr>
                    <w:t>NO</w:t>
                  </w:r>
                  <w:r>
                    <w:rPr>
                      <w:rFonts w:hint="eastAsia"/>
                      <w:bCs/>
                      <w:color w:val="auto"/>
                      <w:kern w:val="0"/>
                      <w:sz w:val="21"/>
                      <w:szCs w:val="21"/>
                      <w:highlight w:val="none"/>
                      <w:vertAlign w:val="subscript"/>
                      <w:lang w:val="en-US" w:eastAsia="zh-CN"/>
                    </w:rPr>
                    <w:t>X</w:t>
                  </w:r>
                </w:p>
              </w:tc>
              <w:tc>
                <w:tcPr>
                  <w:tcW w:w="1393" w:type="pct"/>
                  <w:tcBorders>
                    <w:top w:val="single" w:color="000000" w:sz="4" w:space="0"/>
                    <w:left w:val="single" w:color="000000" w:sz="4" w:space="0"/>
                    <w:bottom w:val="single" w:color="000000" w:sz="4" w:space="0"/>
                  </w:tcBorders>
                  <w:vAlign w:val="center"/>
                </w:tcPr>
                <w:p w14:paraId="259B9A1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bl>
          <w:p w14:paraId="64A93FB0">
            <w:pPr>
              <w:pStyle w:val="132"/>
              <w:bidi w:val="0"/>
              <w:rPr>
                <w:b/>
                <w:color w:val="auto"/>
                <w:kern w:val="0"/>
                <w:szCs w:val="21"/>
                <w:highlight w:val="none"/>
              </w:rPr>
            </w:pPr>
            <w:r>
              <w:rPr>
                <w:rFonts w:hint="eastAsia"/>
                <w:b/>
                <w:color w:val="auto"/>
                <w:kern w:val="0"/>
                <w:szCs w:val="21"/>
                <w:highlight w:val="none"/>
                <w:lang w:val="en-US" w:eastAsia="zh-CN"/>
              </w:rPr>
              <w:t>技改</w:t>
            </w:r>
            <w:r>
              <w:rPr>
                <w:rFonts w:hint="eastAsia"/>
                <w:b/>
                <w:color w:val="auto"/>
                <w:kern w:val="0"/>
                <w:szCs w:val="21"/>
                <w:highlight w:val="none"/>
              </w:rPr>
              <w:t>前后全厂</w:t>
            </w:r>
            <w:r>
              <w:rPr>
                <w:b/>
                <w:color w:val="auto"/>
                <w:kern w:val="0"/>
                <w:szCs w:val="21"/>
                <w:highlight w:val="none"/>
              </w:rPr>
              <w:t>总量控制建议指标</w:t>
            </w:r>
          </w:p>
          <w:tbl>
            <w:tblPr>
              <w:tblStyle w:val="27"/>
              <w:tblW w:w="4943" w:type="pct"/>
              <w:tblInd w:w="0" w:type="dxa"/>
              <w:tblLayout w:type="autofit"/>
              <w:tblCellMar>
                <w:top w:w="0" w:type="dxa"/>
                <w:left w:w="28" w:type="dxa"/>
                <w:bottom w:w="0" w:type="dxa"/>
                <w:right w:w="28" w:type="dxa"/>
              </w:tblCellMar>
            </w:tblPr>
            <w:tblGrid>
              <w:gridCol w:w="581"/>
              <w:gridCol w:w="931"/>
              <w:gridCol w:w="871"/>
              <w:gridCol w:w="1198"/>
              <w:gridCol w:w="1009"/>
              <w:gridCol w:w="1120"/>
              <w:gridCol w:w="1411"/>
              <w:gridCol w:w="1172"/>
            </w:tblGrid>
            <w:tr w14:paraId="01A02EFF">
              <w:tblPrEx>
                <w:tblCellMar>
                  <w:top w:w="0" w:type="dxa"/>
                  <w:left w:w="28" w:type="dxa"/>
                  <w:bottom w:w="0" w:type="dxa"/>
                  <w:right w:w="28" w:type="dxa"/>
                </w:tblCellMar>
              </w:tblPrEx>
              <w:trPr>
                <w:trHeight w:val="340" w:hRule="atLeast"/>
              </w:trPr>
              <w:tc>
                <w:tcPr>
                  <w:tcW w:w="1436" w:type="pct"/>
                  <w:gridSpan w:val="3"/>
                  <w:tcBorders>
                    <w:top w:val="single" w:color="000000" w:sz="8" w:space="0"/>
                    <w:left w:val="single" w:color="000000" w:sz="8" w:space="0"/>
                    <w:bottom w:val="single" w:color="000000" w:sz="8" w:space="0"/>
                    <w:right w:val="single" w:color="000000" w:sz="8" w:space="0"/>
                  </w:tcBorders>
                  <w:vAlign w:val="center"/>
                </w:tcPr>
                <w:p w14:paraId="5AE19C39">
                  <w:pPr>
                    <w:widowControl/>
                    <w:jc w:val="center"/>
                    <w:textAlignment w:val="center"/>
                    <w:rPr>
                      <w:b/>
                      <w:bCs/>
                      <w:color w:val="auto"/>
                      <w:szCs w:val="21"/>
                      <w:highlight w:val="none"/>
                    </w:rPr>
                  </w:pPr>
                  <w:r>
                    <w:rPr>
                      <w:b/>
                      <w:bCs/>
                      <w:color w:val="auto"/>
                      <w:kern w:val="0"/>
                      <w:szCs w:val="21"/>
                      <w:highlight w:val="none"/>
                      <w:lang w:bidi="ar"/>
                    </w:rPr>
                    <w:t>污染物</w:t>
                  </w:r>
                </w:p>
              </w:tc>
              <w:tc>
                <w:tcPr>
                  <w:tcW w:w="722" w:type="pct"/>
                  <w:tcBorders>
                    <w:top w:val="single" w:color="000000" w:sz="8" w:space="0"/>
                    <w:left w:val="nil"/>
                    <w:bottom w:val="single" w:color="000000" w:sz="8" w:space="0"/>
                    <w:right w:val="single" w:color="000000" w:sz="8" w:space="0"/>
                  </w:tcBorders>
                  <w:vAlign w:val="center"/>
                </w:tcPr>
                <w:p w14:paraId="5DD768BF">
                  <w:pPr>
                    <w:widowControl/>
                    <w:jc w:val="center"/>
                    <w:textAlignment w:val="center"/>
                    <w:rPr>
                      <w:rFonts w:hint="default" w:eastAsia="宋体"/>
                      <w:b/>
                      <w:bCs/>
                      <w:color w:val="auto"/>
                      <w:szCs w:val="21"/>
                      <w:highlight w:val="none"/>
                      <w:lang w:val="en-US" w:eastAsia="zh-CN"/>
                    </w:rPr>
                  </w:pPr>
                  <w:r>
                    <w:rPr>
                      <w:b/>
                      <w:bCs/>
                      <w:color w:val="auto"/>
                      <w:kern w:val="0"/>
                      <w:szCs w:val="21"/>
                      <w:highlight w:val="none"/>
                      <w:lang w:bidi="ar"/>
                    </w:rPr>
                    <w:t>现有工程</w:t>
                  </w:r>
                  <w:r>
                    <w:rPr>
                      <w:rFonts w:hint="eastAsia"/>
                      <w:b/>
                      <w:bCs/>
                      <w:color w:val="auto"/>
                      <w:kern w:val="0"/>
                      <w:szCs w:val="21"/>
                      <w:highlight w:val="none"/>
                      <w:lang w:val="en-US" w:eastAsia="zh-CN" w:bidi="ar"/>
                    </w:rPr>
                    <w:t>许可排放量</w:t>
                  </w:r>
                  <w:bookmarkStart w:id="24" w:name="OLE_LINK8"/>
                  <w:r>
                    <w:rPr>
                      <w:rFonts w:hint="eastAsia"/>
                      <w:b/>
                      <w:bCs/>
                      <w:color w:val="auto"/>
                      <w:kern w:val="0"/>
                      <w:szCs w:val="21"/>
                      <w:highlight w:val="none"/>
                      <w:lang w:val="en-US" w:eastAsia="zh-CN" w:bidi="ar"/>
                    </w:rPr>
                    <w:t>（t/a）</w:t>
                  </w:r>
                  <w:bookmarkEnd w:id="24"/>
                </w:p>
              </w:tc>
              <w:tc>
                <w:tcPr>
                  <w:tcW w:w="608" w:type="pct"/>
                  <w:tcBorders>
                    <w:top w:val="single" w:color="000000" w:sz="8" w:space="0"/>
                    <w:left w:val="nil"/>
                    <w:bottom w:val="single" w:color="000000" w:sz="8" w:space="0"/>
                    <w:right w:val="single" w:color="000000" w:sz="8" w:space="0"/>
                  </w:tcBorders>
                  <w:vAlign w:val="center"/>
                </w:tcPr>
                <w:p w14:paraId="7D489100">
                  <w:pPr>
                    <w:widowControl/>
                    <w:jc w:val="center"/>
                    <w:textAlignment w:val="center"/>
                    <w:rPr>
                      <w:b/>
                      <w:bCs/>
                      <w:color w:val="auto"/>
                      <w:szCs w:val="21"/>
                      <w:highlight w:val="none"/>
                    </w:rPr>
                  </w:pPr>
                  <w:r>
                    <w:rPr>
                      <w:b/>
                      <w:bCs/>
                      <w:color w:val="auto"/>
                      <w:kern w:val="0"/>
                      <w:szCs w:val="21"/>
                      <w:highlight w:val="none"/>
                      <w:lang w:bidi="ar"/>
                    </w:rPr>
                    <w:t>本项目</w:t>
                  </w:r>
                  <w:r>
                    <w:rPr>
                      <w:rFonts w:hint="eastAsia"/>
                      <w:b/>
                      <w:bCs/>
                      <w:color w:val="auto"/>
                      <w:kern w:val="0"/>
                      <w:szCs w:val="21"/>
                      <w:highlight w:val="none"/>
                      <w:lang w:val="en-US" w:eastAsia="zh-CN" w:bidi="ar"/>
                    </w:rPr>
                    <w:t>排放量（t/a）</w:t>
                  </w:r>
                </w:p>
              </w:tc>
              <w:tc>
                <w:tcPr>
                  <w:tcW w:w="675" w:type="pct"/>
                  <w:tcBorders>
                    <w:top w:val="single" w:color="000000" w:sz="8" w:space="0"/>
                    <w:left w:val="nil"/>
                    <w:bottom w:val="single" w:color="000000" w:sz="8" w:space="0"/>
                    <w:right w:val="single" w:color="000000" w:sz="8" w:space="0"/>
                  </w:tcBorders>
                  <w:vAlign w:val="center"/>
                </w:tcPr>
                <w:p w14:paraId="7C9CA6FE">
                  <w:pPr>
                    <w:widowControl/>
                    <w:jc w:val="center"/>
                    <w:textAlignment w:val="center"/>
                    <w:rPr>
                      <w:b/>
                      <w:bCs/>
                      <w:color w:val="auto"/>
                      <w:szCs w:val="21"/>
                      <w:highlight w:val="none"/>
                    </w:rPr>
                  </w:pPr>
                  <w:r>
                    <w:rPr>
                      <w:b/>
                      <w:bCs/>
                      <w:color w:val="auto"/>
                      <w:szCs w:val="21"/>
                      <w:highlight w:val="none"/>
                    </w:rPr>
                    <w:t>以新带老削减量</w:t>
                  </w:r>
                  <w:r>
                    <w:rPr>
                      <w:rFonts w:hint="eastAsia"/>
                      <w:b/>
                      <w:bCs/>
                      <w:color w:val="auto"/>
                      <w:kern w:val="0"/>
                      <w:szCs w:val="21"/>
                      <w:highlight w:val="none"/>
                      <w:lang w:val="en-US" w:eastAsia="zh-CN" w:bidi="ar"/>
                    </w:rPr>
                    <w:t>（t/a）</w:t>
                  </w:r>
                </w:p>
              </w:tc>
              <w:tc>
                <w:tcPr>
                  <w:tcW w:w="850" w:type="pct"/>
                  <w:tcBorders>
                    <w:top w:val="single" w:color="000000" w:sz="8" w:space="0"/>
                    <w:left w:val="nil"/>
                    <w:bottom w:val="single" w:color="000000" w:sz="8" w:space="0"/>
                    <w:right w:val="single" w:color="000000" w:sz="8" w:space="0"/>
                  </w:tcBorders>
                  <w:vAlign w:val="center"/>
                </w:tcPr>
                <w:p w14:paraId="394CCFE9">
                  <w:pPr>
                    <w:widowControl/>
                    <w:jc w:val="center"/>
                    <w:textAlignment w:val="center"/>
                    <w:rPr>
                      <w:b/>
                      <w:bCs/>
                      <w:color w:val="auto"/>
                      <w:szCs w:val="21"/>
                      <w:highlight w:val="none"/>
                    </w:rPr>
                  </w:pPr>
                  <w:r>
                    <w:rPr>
                      <w:rFonts w:hint="eastAsia"/>
                      <w:b/>
                      <w:bCs/>
                      <w:color w:val="auto"/>
                      <w:kern w:val="0"/>
                      <w:szCs w:val="21"/>
                      <w:highlight w:val="none"/>
                      <w:lang w:val="en-US" w:eastAsia="zh-CN" w:bidi="ar"/>
                    </w:rPr>
                    <w:t>技改</w:t>
                  </w:r>
                  <w:r>
                    <w:rPr>
                      <w:b/>
                      <w:bCs/>
                      <w:color w:val="auto"/>
                      <w:kern w:val="0"/>
                      <w:szCs w:val="21"/>
                      <w:highlight w:val="none"/>
                      <w:lang w:bidi="ar"/>
                    </w:rPr>
                    <w:t>后全厂</w:t>
                  </w:r>
                  <w:r>
                    <w:rPr>
                      <w:rFonts w:hint="eastAsia"/>
                      <w:b/>
                      <w:bCs/>
                      <w:color w:val="auto"/>
                      <w:kern w:val="0"/>
                      <w:szCs w:val="21"/>
                      <w:highlight w:val="none"/>
                      <w:lang w:val="en-US" w:eastAsia="zh-CN" w:bidi="ar"/>
                    </w:rPr>
                    <w:t>排放总量（t/a）</w:t>
                  </w:r>
                </w:p>
              </w:tc>
              <w:tc>
                <w:tcPr>
                  <w:tcW w:w="706" w:type="pct"/>
                  <w:tcBorders>
                    <w:top w:val="single" w:color="000000" w:sz="8" w:space="0"/>
                    <w:left w:val="nil"/>
                    <w:bottom w:val="single" w:color="000000" w:sz="8" w:space="0"/>
                    <w:right w:val="single" w:color="000000" w:sz="8" w:space="0"/>
                  </w:tcBorders>
                  <w:vAlign w:val="center"/>
                </w:tcPr>
                <w:p w14:paraId="4ED41717">
                  <w:pPr>
                    <w:widowControl/>
                    <w:jc w:val="center"/>
                    <w:textAlignment w:val="center"/>
                    <w:rPr>
                      <w:b/>
                      <w:bCs/>
                      <w:color w:val="auto"/>
                      <w:kern w:val="0"/>
                      <w:szCs w:val="21"/>
                      <w:highlight w:val="none"/>
                      <w:lang w:bidi="ar"/>
                    </w:rPr>
                  </w:pPr>
                  <w:r>
                    <w:rPr>
                      <w:rFonts w:hint="eastAsia"/>
                      <w:b/>
                      <w:bCs/>
                      <w:color w:val="auto"/>
                      <w:kern w:val="0"/>
                      <w:szCs w:val="21"/>
                      <w:highlight w:val="none"/>
                      <w:lang w:val="en-US" w:eastAsia="zh-CN" w:bidi="ar"/>
                    </w:rPr>
                    <w:t>技改</w:t>
                  </w:r>
                  <w:r>
                    <w:rPr>
                      <w:b/>
                      <w:bCs/>
                      <w:color w:val="auto"/>
                      <w:kern w:val="0"/>
                      <w:szCs w:val="21"/>
                      <w:highlight w:val="none"/>
                      <w:lang w:bidi="ar"/>
                    </w:rPr>
                    <w:t>后增减量</w:t>
                  </w:r>
                  <w:r>
                    <w:rPr>
                      <w:rFonts w:hint="eastAsia"/>
                      <w:b/>
                      <w:bCs/>
                      <w:color w:val="auto"/>
                      <w:kern w:val="0"/>
                      <w:szCs w:val="21"/>
                      <w:highlight w:val="none"/>
                      <w:lang w:val="en-US" w:eastAsia="zh-CN" w:bidi="ar"/>
                    </w:rPr>
                    <w:t>（t/a）</w:t>
                  </w:r>
                </w:p>
              </w:tc>
            </w:tr>
            <w:tr w14:paraId="196EFBEE">
              <w:tblPrEx>
                <w:tblCellMar>
                  <w:top w:w="0" w:type="dxa"/>
                  <w:left w:w="28" w:type="dxa"/>
                  <w:bottom w:w="0" w:type="dxa"/>
                  <w:right w:w="28" w:type="dxa"/>
                </w:tblCellMar>
              </w:tblPrEx>
              <w:trPr>
                <w:trHeight w:val="340" w:hRule="atLeast"/>
              </w:trPr>
              <w:tc>
                <w:tcPr>
                  <w:tcW w:w="350" w:type="pct"/>
                  <w:vMerge w:val="restart"/>
                  <w:tcBorders>
                    <w:top w:val="nil"/>
                    <w:left w:val="single" w:color="000000" w:sz="8" w:space="0"/>
                    <w:bottom w:val="single" w:color="000000" w:sz="8" w:space="0"/>
                    <w:right w:val="single" w:color="000000" w:sz="8" w:space="0"/>
                  </w:tcBorders>
                  <w:vAlign w:val="center"/>
                </w:tcPr>
                <w:p w14:paraId="45B8648E">
                  <w:pPr>
                    <w:widowControl/>
                    <w:spacing w:line="260" w:lineRule="exact"/>
                    <w:jc w:val="center"/>
                    <w:rPr>
                      <w:color w:val="auto"/>
                      <w:kern w:val="0"/>
                      <w:szCs w:val="21"/>
                      <w:highlight w:val="none"/>
                    </w:rPr>
                  </w:pPr>
                  <w:r>
                    <w:rPr>
                      <w:color w:val="auto"/>
                      <w:kern w:val="0"/>
                      <w:szCs w:val="21"/>
                      <w:highlight w:val="none"/>
                    </w:rPr>
                    <w:t>废水</w:t>
                  </w:r>
                </w:p>
              </w:tc>
              <w:tc>
                <w:tcPr>
                  <w:tcW w:w="561" w:type="pct"/>
                  <w:vMerge w:val="restart"/>
                  <w:tcBorders>
                    <w:top w:val="nil"/>
                    <w:left w:val="nil"/>
                    <w:bottom w:val="single" w:color="000000" w:sz="8" w:space="0"/>
                    <w:right w:val="single" w:color="000000" w:sz="8" w:space="0"/>
                  </w:tcBorders>
                  <w:vAlign w:val="center"/>
                </w:tcPr>
                <w:p w14:paraId="7AA9B861">
                  <w:pPr>
                    <w:widowControl/>
                    <w:spacing w:line="260" w:lineRule="exact"/>
                    <w:jc w:val="center"/>
                    <w:rPr>
                      <w:rFonts w:hint="eastAsia" w:eastAsia="宋体"/>
                      <w:color w:val="auto"/>
                      <w:kern w:val="0"/>
                      <w:szCs w:val="21"/>
                      <w:highlight w:val="none"/>
                      <w:lang w:eastAsia="zh-CN"/>
                    </w:rPr>
                  </w:pPr>
                  <w:r>
                    <w:rPr>
                      <w:color w:val="auto"/>
                      <w:kern w:val="0"/>
                      <w:szCs w:val="21"/>
                      <w:highlight w:val="none"/>
                    </w:rPr>
                    <w:t>厂区排口</w:t>
                  </w:r>
                  <w:r>
                    <w:rPr>
                      <w:rFonts w:hint="eastAsia"/>
                      <w:color w:val="auto"/>
                      <w:kern w:val="0"/>
                      <w:szCs w:val="21"/>
                      <w:highlight w:val="none"/>
                      <w:lang w:eastAsia="zh-CN"/>
                    </w:rPr>
                    <w:t>（</w:t>
                  </w:r>
                  <w:r>
                    <w:rPr>
                      <w:rFonts w:hint="eastAsia"/>
                      <w:color w:val="auto"/>
                      <w:kern w:val="0"/>
                      <w:szCs w:val="21"/>
                      <w:highlight w:val="none"/>
                      <w:lang w:val="en-US" w:eastAsia="zh-CN"/>
                    </w:rPr>
                    <w:t>标准限值计算法</w:t>
                  </w:r>
                  <w:r>
                    <w:rPr>
                      <w:rFonts w:hint="eastAsia"/>
                      <w:color w:val="auto"/>
                      <w:kern w:val="0"/>
                      <w:szCs w:val="21"/>
                      <w:highlight w:val="none"/>
                      <w:lang w:eastAsia="zh-CN"/>
                    </w:rPr>
                    <w:t>）</w:t>
                  </w:r>
                </w:p>
              </w:tc>
              <w:tc>
                <w:tcPr>
                  <w:tcW w:w="524" w:type="pct"/>
                  <w:tcBorders>
                    <w:top w:val="nil"/>
                    <w:left w:val="nil"/>
                    <w:bottom w:val="single" w:color="000000" w:sz="8" w:space="0"/>
                    <w:right w:val="single" w:color="000000" w:sz="8" w:space="0"/>
                  </w:tcBorders>
                  <w:vAlign w:val="center"/>
                </w:tcPr>
                <w:p w14:paraId="6448144A">
                  <w:pPr>
                    <w:widowControl/>
                    <w:spacing w:line="260" w:lineRule="exact"/>
                    <w:jc w:val="center"/>
                    <w:rPr>
                      <w:color w:val="auto"/>
                      <w:kern w:val="0"/>
                      <w:szCs w:val="21"/>
                      <w:highlight w:val="none"/>
                    </w:rPr>
                  </w:pPr>
                  <w:r>
                    <w:rPr>
                      <w:color w:val="auto"/>
                      <w:kern w:val="0"/>
                      <w:szCs w:val="21"/>
                      <w:highlight w:val="none"/>
                    </w:rPr>
                    <w:t>COD</w:t>
                  </w:r>
                </w:p>
              </w:tc>
              <w:tc>
                <w:tcPr>
                  <w:tcW w:w="722" w:type="pct"/>
                  <w:tcBorders>
                    <w:top w:val="nil"/>
                    <w:left w:val="nil"/>
                    <w:bottom w:val="single" w:color="000000" w:sz="8" w:space="0"/>
                    <w:right w:val="single" w:color="000000" w:sz="8" w:space="0"/>
                  </w:tcBorders>
                  <w:vAlign w:val="center"/>
                </w:tcPr>
                <w:p w14:paraId="2F50C22C">
                  <w:pPr>
                    <w:widowControl/>
                    <w:spacing w:line="260" w:lineRule="exact"/>
                    <w:jc w:val="center"/>
                    <w:rPr>
                      <w:color w:val="auto"/>
                      <w:kern w:val="0"/>
                      <w:szCs w:val="21"/>
                      <w:highlight w:val="none"/>
                    </w:rPr>
                  </w:pPr>
                  <w:r>
                    <w:rPr>
                      <w:color w:val="auto"/>
                      <w:kern w:val="0"/>
                      <w:szCs w:val="21"/>
                      <w:highlight w:val="none"/>
                    </w:rPr>
                    <w:t>4.635</w:t>
                  </w:r>
                </w:p>
              </w:tc>
              <w:tc>
                <w:tcPr>
                  <w:tcW w:w="608" w:type="pct"/>
                  <w:tcBorders>
                    <w:top w:val="nil"/>
                    <w:left w:val="nil"/>
                    <w:bottom w:val="single" w:color="000000" w:sz="8" w:space="0"/>
                    <w:right w:val="single" w:color="000000" w:sz="8" w:space="0"/>
                  </w:tcBorders>
                  <w:vAlign w:val="center"/>
                </w:tcPr>
                <w:p w14:paraId="2AF673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2"/>
                      <w:sz w:val="21"/>
                      <w:szCs w:val="21"/>
                      <w:highlight w:val="none"/>
                      <w:u w:val="none"/>
                      <w:lang w:val="en-US" w:eastAsia="zh-CN" w:bidi="ar-SA"/>
                    </w:rPr>
                    <w:t>8.164</w:t>
                  </w:r>
                </w:p>
              </w:tc>
              <w:tc>
                <w:tcPr>
                  <w:tcW w:w="675" w:type="pct"/>
                  <w:tcBorders>
                    <w:top w:val="single" w:color="000000" w:sz="8" w:space="0"/>
                    <w:left w:val="nil"/>
                    <w:bottom w:val="single" w:color="000000" w:sz="8" w:space="0"/>
                    <w:right w:val="single" w:color="000000" w:sz="8" w:space="0"/>
                  </w:tcBorders>
                  <w:vAlign w:val="center"/>
                </w:tcPr>
                <w:p w14:paraId="21880C9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11" w:type="dxa"/>
                  <w:tcBorders>
                    <w:top w:val="nil"/>
                    <w:left w:val="nil"/>
                    <w:bottom w:val="single" w:color="000000" w:sz="8" w:space="0"/>
                    <w:right w:val="single" w:color="000000" w:sz="8" w:space="0"/>
                  </w:tcBorders>
                  <w:vAlign w:val="center"/>
                </w:tcPr>
                <w:p w14:paraId="3D6600A5">
                  <w:pPr>
                    <w:keepNext w:val="0"/>
                    <w:keepLines w:val="0"/>
                    <w:widowControl/>
                    <w:suppressLineNumbers w:val="0"/>
                    <w:jc w:val="center"/>
                    <w:textAlignment w:val="center"/>
                    <w:rPr>
                      <w:rFonts w:hint="eastAsia"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12.799</w:t>
                  </w:r>
                </w:p>
              </w:tc>
              <w:tc>
                <w:tcPr>
                  <w:tcW w:w="1172" w:type="dxa"/>
                  <w:tcBorders>
                    <w:top w:val="nil"/>
                    <w:left w:val="nil"/>
                    <w:bottom w:val="single" w:color="000000" w:sz="8" w:space="0"/>
                    <w:right w:val="single" w:color="000000" w:sz="8" w:space="0"/>
                  </w:tcBorders>
                  <w:vAlign w:val="center"/>
                </w:tcPr>
                <w:p w14:paraId="652E7A6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8.164</w:t>
                  </w:r>
                </w:p>
              </w:tc>
            </w:tr>
            <w:tr w14:paraId="297A86BA">
              <w:tblPrEx>
                <w:tblCellMar>
                  <w:top w:w="0" w:type="dxa"/>
                  <w:left w:w="28" w:type="dxa"/>
                  <w:bottom w:w="0" w:type="dxa"/>
                  <w:right w:w="28" w:type="dxa"/>
                </w:tblCellMar>
              </w:tblPrEx>
              <w:trPr>
                <w:trHeight w:val="340" w:hRule="atLeast"/>
              </w:trPr>
              <w:tc>
                <w:tcPr>
                  <w:tcW w:w="350" w:type="pct"/>
                  <w:vMerge w:val="continue"/>
                  <w:tcBorders>
                    <w:top w:val="nil"/>
                    <w:left w:val="single" w:color="000000" w:sz="8" w:space="0"/>
                    <w:bottom w:val="single" w:color="000000" w:sz="8" w:space="0"/>
                    <w:right w:val="single" w:color="000000" w:sz="8" w:space="0"/>
                  </w:tcBorders>
                  <w:vAlign w:val="center"/>
                </w:tcPr>
                <w:p w14:paraId="2C77C5B1">
                  <w:pPr>
                    <w:widowControl/>
                    <w:spacing w:line="260" w:lineRule="exact"/>
                    <w:jc w:val="center"/>
                    <w:rPr>
                      <w:color w:val="auto"/>
                      <w:kern w:val="0"/>
                      <w:szCs w:val="21"/>
                      <w:highlight w:val="none"/>
                    </w:rPr>
                  </w:pPr>
                </w:p>
              </w:tc>
              <w:tc>
                <w:tcPr>
                  <w:tcW w:w="561" w:type="pct"/>
                  <w:vMerge w:val="continue"/>
                  <w:tcBorders>
                    <w:top w:val="nil"/>
                    <w:left w:val="nil"/>
                    <w:bottom w:val="single" w:color="000000" w:sz="8" w:space="0"/>
                    <w:right w:val="single" w:color="000000" w:sz="8" w:space="0"/>
                  </w:tcBorders>
                  <w:vAlign w:val="center"/>
                </w:tcPr>
                <w:p w14:paraId="7C5C649E">
                  <w:pPr>
                    <w:widowControl/>
                    <w:spacing w:line="260" w:lineRule="exact"/>
                    <w:jc w:val="center"/>
                    <w:rPr>
                      <w:color w:val="auto"/>
                      <w:kern w:val="0"/>
                      <w:szCs w:val="21"/>
                      <w:highlight w:val="none"/>
                    </w:rPr>
                  </w:pPr>
                </w:p>
              </w:tc>
              <w:tc>
                <w:tcPr>
                  <w:tcW w:w="524" w:type="pct"/>
                  <w:tcBorders>
                    <w:top w:val="nil"/>
                    <w:left w:val="nil"/>
                    <w:bottom w:val="single" w:color="000000" w:sz="8" w:space="0"/>
                    <w:right w:val="single" w:color="000000" w:sz="8" w:space="0"/>
                  </w:tcBorders>
                  <w:vAlign w:val="center"/>
                </w:tcPr>
                <w:p w14:paraId="2BC208CB">
                  <w:pPr>
                    <w:widowControl/>
                    <w:spacing w:line="260" w:lineRule="exact"/>
                    <w:jc w:val="center"/>
                    <w:rPr>
                      <w:color w:val="auto"/>
                      <w:kern w:val="0"/>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722" w:type="pct"/>
                  <w:tcBorders>
                    <w:top w:val="nil"/>
                    <w:left w:val="nil"/>
                    <w:bottom w:val="single" w:color="000000" w:sz="8" w:space="0"/>
                    <w:right w:val="single" w:color="000000" w:sz="8" w:space="0"/>
                  </w:tcBorders>
                  <w:vAlign w:val="center"/>
                </w:tcPr>
                <w:p w14:paraId="22A960C2">
                  <w:pPr>
                    <w:widowControl/>
                    <w:spacing w:line="260" w:lineRule="exact"/>
                    <w:jc w:val="center"/>
                    <w:rPr>
                      <w:color w:val="auto"/>
                      <w:kern w:val="0"/>
                      <w:szCs w:val="21"/>
                      <w:highlight w:val="none"/>
                    </w:rPr>
                  </w:pPr>
                  <w:r>
                    <w:rPr>
                      <w:color w:val="auto"/>
                      <w:kern w:val="0"/>
                      <w:szCs w:val="21"/>
                      <w:highlight w:val="none"/>
                    </w:rPr>
                    <w:t>0.417</w:t>
                  </w:r>
                </w:p>
              </w:tc>
              <w:tc>
                <w:tcPr>
                  <w:tcW w:w="608" w:type="pct"/>
                  <w:tcBorders>
                    <w:top w:val="nil"/>
                    <w:left w:val="nil"/>
                    <w:bottom w:val="single" w:color="000000" w:sz="8" w:space="0"/>
                    <w:right w:val="single" w:color="000000" w:sz="8" w:space="0"/>
                  </w:tcBorders>
                  <w:vAlign w:val="center"/>
                </w:tcPr>
                <w:p w14:paraId="606117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2"/>
                      <w:sz w:val="21"/>
                      <w:szCs w:val="21"/>
                      <w:highlight w:val="none"/>
                      <w:u w:val="none"/>
                      <w:lang w:val="en-US" w:eastAsia="zh-CN" w:bidi="ar-SA"/>
                    </w:rPr>
                    <w:t>0.735</w:t>
                  </w:r>
                </w:p>
              </w:tc>
              <w:tc>
                <w:tcPr>
                  <w:tcW w:w="675" w:type="pct"/>
                  <w:tcBorders>
                    <w:top w:val="single" w:color="000000" w:sz="8" w:space="0"/>
                    <w:left w:val="nil"/>
                    <w:bottom w:val="single" w:color="000000" w:sz="8" w:space="0"/>
                    <w:right w:val="single" w:color="000000" w:sz="8" w:space="0"/>
                  </w:tcBorders>
                  <w:vAlign w:val="center"/>
                </w:tcPr>
                <w:p w14:paraId="5652DEB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11" w:type="dxa"/>
                  <w:tcBorders>
                    <w:top w:val="nil"/>
                    <w:left w:val="nil"/>
                    <w:bottom w:val="single" w:color="000000" w:sz="8" w:space="0"/>
                    <w:right w:val="single" w:color="000000" w:sz="8" w:space="0"/>
                  </w:tcBorders>
                  <w:vAlign w:val="center"/>
                </w:tcPr>
                <w:p w14:paraId="3AFAC0B1">
                  <w:pPr>
                    <w:keepNext w:val="0"/>
                    <w:keepLines w:val="0"/>
                    <w:widowControl/>
                    <w:suppressLineNumbers w:val="0"/>
                    <w:jc w:val="center"/>
                    <w:textAlignment w:val="center"/>
                    <w:rPr>
                      <w:rFonts w:hint="eastAsia"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1.152</w:t>
                  </w:r>
                </w:p>
              </w:tc>
              <w:tc>
                <w:tcPr>
                  <w:tcW w:w="1172" w:type="dxa"/>
                  <w:tcBorders>
                    <w:top w:val="nil"/>
                    <w:left w:val="nil"/>
                    <w:bottom w:val="single" w:color="000000" w:sz="8" w:space="0"/>
                    <w:right w:val="single" w:color="000000" w:sz="8" w:space="0"/>
                  </w:tcBorders>
                  <w:vAlign w:val="center"/>
                </w:tcPr>
                <w:p w14:paraId="2FD4DD6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0.735</w:t>
                  </w:r>
                </w:p>
              </w:tc>
            </w:tr>
            <w:tr w14:paraId="07E2721B">
              <w:tblPrEx>
                <w:tblCellMar>
                  <w:top w:w="0" w:type="dxa"/>
                  <w:left w:w="28" w:type="dxa"/>
                  <w:bottom w:w="0" w:type="dxa"/>
                  <w:right w:w="28" w:type="dxa"/>
                </w:tblCellMar>
              </w:tblPrEx>
              <w:trPr>
                <w:trHeight w:val="340" w:hRule="atLeast"/>
              </w:trPr>
              <w:tc>
                <w:tcPr>
                  <w:tcW w:w="350" w:type="pct"/>
                  <w:vMerge w:val="continue"/>
                  <w:tcBorders>
                    <w:top w:val="nil"/>
                    <w:left w:val="single" w:color="000000" w:sz="8" w:space="0"/>
                    <w:bottom w:val="single" w:color="000000" w:sz="8" w:space="0"/>
                    <w:right w:val="single" w:color="000000" w:sz="8" w:space="0"/>
                  </w:tcBorders>
                  <w:vAlign w:val="center"/>
                </w:tcPr>
                <w:p w14:paraId="5642EDD3">
                  <w:pPr>
                    <w:widowControl/>
                    <w:spacing w:line="260" w:lineRule="exact"/>
                    <w:jc w:val="center"/>
                    <w:rPr>
                      <w:color w:val="auto"/>
                      <w:kern w:val="0"/>
                      <w:szCs w:val="21"/>
                      <w:highlight w:val="none"/>
                    </w:rPr>
                  </w:pPr>
                </w:p>
              </w:tc>
              <w:tc>
                <w:tcPr>
                  <w:tcW w:w="561" w:type="pct"/>
                  <w:vMerge w:val="restart"/>
                  <w:tcBorders>
                    <w:top w:val="nil"/>
                    <w:left w:val="nil"/>
                    <w:bottom w:val="single" w:color="000000" w:sz="8" w:space="0"/>
                    <w:right w:val="single" w:color="000000" w:sz="8" w:space="0"/>
                  </w:tcBorders>
                  <w:vAlign w:val="center"/>
                </w:tcPr>
                <w:p w14:paraId="29E8DD05">
                  <w:pPr>
                    <w:widowControl/>
                    <w:spacing w:line="260" w:lineRule="exact"/>
                    <w:jc w:val="center"/>
                    <w:rPr>
                      <w:color w:val="auto"/>
                      <w:kern w:val="0"/>
                      <w:szCs w:val="21"/>
                      <w:highlight w:val="none"/>
                    </w:rPr>
                  </w:pPr>
                  <w:r>
                    <w:rPr>
                      <w:color w:val="auto"/>
                      <w:kern w:val="0"/>
                      <w:szCs w:val="21"/>
                      <w:highlight w:val="none"/>
                    </w:rPr>
                    <w:t>污水厂排口</w:t>
                  </w:r>
                  <w:r>
                    <w:rPr>
                      <w:rFonts w:hint="eastAsia"/>
                      <w:color w:val="auto"/>
                      <w:kern w:val="0"/>
                      <w:szCs w:val="21"/>
                      <w:highlight w:val="none"/>
                      <w:lang w:eastAsia="zh-CN"/>
                    </w:rPr>
                    <w:t>（</w:t>
                  </w:r>
                  <w:r>
                    <w:rPr>
                      <w:rFonts w:hint="eastAsia"/>
                      <w:color w:val="auto"/>
                      <w:kern w:val="0"/>
                      <w:szCs w:val="21"/>
                      <w:highlight w:val="none"/>
                      <w:lang w:val="en-US" w:eastAsia="zh-CN"/>
                    </w:rPr>
                    <w:t>标准限值计算法</w:t>
                  </w:r>
                  <w:r>
                    <w:rPr>
                      <w:rFonts w:hint="eastAsia"/>
                      <w:color w:val="auto"/>
                      <w:kern w:val="0"/>
                      <w:szCs w:val="21"/>
                      <w:highlight w:val="none"/>
                      <w:lang w:eastAsia="zh-CN"/>
                    </w:rPr>
                    <w:t>）</w:t>
                  </w:r>
                </w:p>
              </w:tc>
              <w:tc>
                <w:tcPr>
                  <w:tcW w:w="524" w:type="pct"/>
                  <w:tcBorders>
                    <w:top w:val="nil"/>
                    <w:left w:val="nil"/>
                    <w:bottom w:val="single" w:color="000000" w:sz="8" w:space="0"/>
                    <w:right w:val="single" w:color="000000" w:sz="8" w:space="0"/>
                  </w:tcBorders>
                  <w:vAlign w:val="center"/>
                </w:tcPr>
                <w:p w14:paraId="75603187">
                  <w:pPr>
                    <w:widowControl/>
                    <w:spacing w:line="260" w:lineRule="exact"/>
                    <w:jc w:val="center"/>
                    <w:rPr>
                      <w:color w:val="auto"/>
                      <w:kern w:val="0"/>
                      <w:szCs w:val="21"/>
                      <w:highlight w:val="none"/>
                    </w:rPr>
                  </w:pPr>
                  <w:r>
                    <w:rPr>
                      <w:color w:val="auto"/>
                      <w:kern w:val="0"/>
                      <w:szCs w:val="21"/>
                      <w:highlight w:val="none"/>
                    </w:rPr>
                    <w:t>COD</w:t>
                  </w:r>
                </w:p>
              </w:tc>
              <w:tc>
                <w:tcPr>
                  <w:tcW w:w="722" w:type="pct"/>
                  <w:tcBorders>
                    <w:top w:val="nil"/>
                    <w:left w:val="nil"/>
                    <w:bottom w:val="single" w:color="000000" w:sz="8" w:space="0"/>
                    <w:right w:val="single" w:color="000000" w:sz="8" w:space="0"/>
                  </w:tcBorders>
                  <w:vAlign w:val="center"/>
                </w:tcPr>
                <w:p w14:paraId="3884357B">
                  <w:pPr>
                    <w:widowControl/>
                    <w:spacing w:line="260" w:lineRule="exact"/>
                    <w:jc w:val="center"/>
                    <w:rPr>
                      <w:rFonts w:hint="default"/>
                      <w:color w:val="auto"/>
                      <w:kern w:val="0"/>
                      <w:szCs w:val="21"/>
                      <w:highlight w:val="none"/>
                      <w:lang w:val="en-US" w:eastAsia="zh-CN"/>
                    </w:rPr>
                  </w:pPr>
                  <w:r>
                    <w:rPr>
                      <w:rFonts w:hint="eastAsia"/>
                      <w:color w:val="auto"/>
                      <w:kern w:val="0"/>
                      <w:szCs w:val="21"/>
                      <w:highlight w:val="none"/>
                      <w:lang w:val="en-US" w:eastAsia="zh-CN"/>
                    </w:rPr>
                    <w:t>0.19</w:t>
                  </w:r>
                </w:p>
              </w:tc>
              <w:tc>
                <w:tcPr>
                  <w:tcW w:w="608" w:type="pct"/>
                  <w:tcBorders>
                    <w:top w:val="nil"/>
                    <w:left w:val="nil"/>
                    <w:bottom w:val="single" w:color="000000" w:sz="8" w:space="0"/>
                    <w:right w:val="single" w:color="000000" w:sz="8" w:space="0"/>
                  </w:tcBorders>
                  <w:vAlign w:val="center"/>
                </w:tcPr>
                <w:p w14:paraId="333E56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2"/>
                      <w:sz w:val="21"/>
                      <w:szCs w:val="21"/>
                      <w:highlight w:val="none"/>
                      <w:u w:val="none"/>
                      <w:lang w:val="en-US" w:eastAsia="zh-CN" w:bidi="ar-SA"/>
                    </w:rPr>
                    <w:t>0.327</w:t>
                  </w:r>
                </w:p>
              </w:tc>
              <w:tc>
                <w:tcPr>
                  <w:tcW w:w="675" w:type="pct"/>
                  <w:tcBorders>
                    <w:top w:val="single" w:color="000000" w:sz="8" w:space="0"/>
                    <w:left w:val="nil"/>
                    <w:bottom w:val="single" w:color="000000" w:sz="8" w:space="0"/>
                    <w:right w:val="single" w:color="000000" w:sz="8" w:space="0"/>
                  </w:tcBorders>
                  <w:vAlign w:val="center"/>
                </w:tcPr>
                <w:p w14:paraId="629B68D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zh-CN"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11" w:type="dxa"/>
                  <w:tcBorders>
                    <w:top w:val="nil"/>
                    <w:left w:val="nil"/>
                    <w:bottom w:val="single" w:color="000000" w:sz="8" w:space="0"/>
                    <w:right w:val="single" w:color="000000" w:sz="8" w:space="0"/>
                  </w:tcBorders>
                  <w:vAlign w:val="center"/>
                </w:tcPr>
                <w:p w14:paraId="035A1D79">
                  <w:pPr>
                    <w:keepNext w:val="0"/>
                    <w:keepLines w:val="0"/>
                    <w:widowControl/>
                    <w:suppressLineNumbers w:val="0"/>
                    <w:jc w:val="center"/>
                    <w:textAlignment w:val="center"/>
                    <w:rPr>
                      <w:rFonts w:hint="eastAsia"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0.517</w:t>
                  </w:r>
                </w:p>
              </w:tc>
              <w:tc>
                <w:tcPr>
                  <w:tcW w:w="1172" w:type="dxa"/>
                  <w:tcBorders>
                    <w:top w:val="nil"/>
                    <w:left w:val="nil"/>
                    <w:bottom w:val="single" w:color="000000" w:sz="8" w:space="0"/>
                    <w:right w:val="single" w:color="000000" w:sz="8" w:space="0"/>
                  </w:tcBorders>
                  <w:vAlign w:val="center"/>
                </w:tcPr>
                <w:p w14:paraId="0834388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0.327</w:t>
                  </w:r>
                </w:p>
              </w:tc>
            </w:tr>
            <w:tr w14:paraId="2BFDC672">
              <w:tblPrEx>
                <w:tblCellMar>
                  <w:top w:w="0" w:type="dxa"/>
                  <w:left w:w="28" w:type="dxa"/>
                  <w:bottom w:w="0" w:type="dxa"/>
                  <w:right w:w="28" w:type="dxa"/>
                </w:tblCellMar>
              </w:tblPrEx>
              <w:trPr>
                <w:trHeight w:val="340" w:hRule="atLeast"/>
              </w:trPr>
              <w:tc>
                <w:tcPr>
                  <w:tcW w:w="350" w:type="pct"/>
                  <w:vMerge w:val="continue"/>
                  <w:tcBorders>
                    <w:top w:val="nil"/>
                    <w:left w:val="single" w:color="000000" w:sz="8" w:space="0"/>
                    <w:bottom w:val="single" w:color="000000" w:sz="8" w:space="0"/>
                    <w:right w:val="single" w:color="000000" w:sz="8" w:space="0"/>
                  </w:tcBorders>
                  <w:vAlign w:val="center"/>
                </w:tcPr>
                <w:p w14:paraId="11D3233B">
                  <w:pPr>
                    <w:widowControl/>
                    <w:spacing w:line="260" w:lineRule="exact"/>
                    <w:jc w:val="center"/>
                    <w:rPr>
                      <w:color w:val="auto"/>
                      <w:kern w:val="0"/>
                      <w:szCs w:val="21"/>
                      <w:highlight w:val="none"/>
                    </w:rPr>
                  </w:pPr>
                </w:p>
              </w:tc>
              <w:tc>
                <w:tcPr>
                  <w:tcW w:w="561" w:type="pct"/>
                  <w:vMerge w:val="continue"/>
                  <w:tcBorders>
                    <w:top w:val="nil"/>
                    <w:left w:val="nil"/>
                    <w:bottom w:val="single" w:color="000000" w:sz="8" w:space="0"/>
                    <w:right w:val="single" w:color="000000" w:sz="8" w:space="0"/>
                  </w:tcBorders>
                  <w:vAlign w:val="center"/>
                </w:tcPr>
                <w:p w14:paraId="217EA82D">
                  <w:pPr>
                    <w:widowControl/>
                    <w:spacing w:line="260" w:lineRule="exact"/>
                    <w:jc w:val="center"/>
                    <w:rPr>
                      <w:color w:val="auto"/>
                      <w:kern w:val="0"/>
                      <w:szCs w:val="21"/>
                      <w:highlight w:val="none"/>
                    </w:rPr>
                  </w:pPr>
                </w:p>
              </w:tc>
              <w:tc>
                <w:tcPr>
                  <w:tcW w:w="524" w:type="pct"/>
                  <w:tcBorders>
                    <w:top w:val="nil"/>
                    <w:left w:val="nil"/>
                    <w:bottom w:val="single" w:color="000000" w:sz="8" w:space="0"/>
                    <w:right w:val="single" w:color="000000" w:sz="8" w:space="0"/>
                  </w:tcBorders>
                  <w:vAlign w:val="center"/>
                </w:tcPr>
                <w:p w14:paraId="4C6470B4">
                  <w:pPr>
                    <w:widowControl/>
                    <w:spacing w:line="260" w:lineRule="exact"/>
                    <w:jc w:val="center"/>
                    <w:rPr>
                      <w:color w:val="auto"/>
                      <w:kern w:val="0"/>
                      <w:szCs w:val="21"/>
                      <w:highlight w:val="none"/>
                    </w:rPr>
                  </w:pPr>
                  <w:r>
                    <w:rPr>
                      <w:color w:val="auto"/>
                      <w:kern w:val="0"/>
                      <w:szCs w:val="21"/>
                      <w:highlight w:val="none"/>
                    </w:rPr>
                    <w:t>NH</w:t>
                  </w:r>
                  <w:r>
                    <w:rPr>
                      <w:color w:val="auto"/>
                      <w:kern w:val="0"/>
                      <w:szCs w:val="21"/>
                      <w:highlight w:val="none"/>
                      <w:vertAlign w:val="subscript"/>
                    </w:rPr>
                    <w:t>3</w:t>
                  </w:r>
                  <w:r>
                    <w:rPr>
                      <w:color w:val="auto"/>
                      <w:kern w:val="0"/>
                      <w:szCs w:val="21"/>
                      <w:highlight w:val="none"/>
                    </w:rPr>
                    <w:t>-N</w:t>
                  </w:r>
                </w:p>
              </w:tc>
              <w:tc>
                <w:tcPr>
                  <w:tcW w:w="722" w:type="pct"/>
                  <w:tcBorders>
                    <w:top w:val="nil"/>
                    <w:left w:val="nil"/>
                    <w:bottom w:val="single" w:color="000000" w:sz="8" w:space="0"/>
                    <w:right w:val="single" w:color="000000" w:sz="8" w:space="0"/>
                  </w:tcBorders>
                  <w:vAlign w:val="center"/>
                </w:tcPr>
                <w:p w14:paraId="1E409144">
                  <w:pPr>
                    <w:widowControl/>
                    <w:spacing w:line="260" w:lineRule="exact"/>
                    <w:jc w:val="center"/>
                    <w:rPr>
                      <w:rFonts w:hint="default"/>
                      <w:color w:val="auto"/>
                      <w:kern w:val="0"/>
                      <w:szCs w:val="21"/>
                      <w:highlight w:val="none"/>
                      <w:lang w:val="en-US" w:eastAsia="zh-CN"/>
                    </w:rPr>
                  </w:pPr>
                  <w:r>
                    <w:rPr>
                      <w:rFonts w:hint="eastAsia"/>
                      <w:color w:val="auto"/>
                      <w:kern w:val="0"/>
                      <w:szCs w:val="21"/>
                      <w:highlight w:val="none"/>
                      <w:lang w:val="en-US" w:eastAsia="zh-CN"/>
                    </w:rPr>
                    <w:t>0.01</w:t>
                  </w:r>
                </w:p>
              </w:tc>
              <w:tc>
                <w:tcPr>
                  <w:tcW w:w="608" w:type="pct"/>
                  <w:tcBorders>
                    <w:top w:val="nil"/>
                    <w:left w:val="nil"/>
                    <w:bottom w:val="single" w:color="000000" w:sz="8" w:space="0"/>
                    <w:right w:val="single" w:color="000000" w:sz="8" w:space="0"/>
                  </w:tcBorders>
                  <w:vAlign w:val="center"/>
                </w:tcPr>
                <w:p w14:paraId="17B5A2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2"/>
                      <w:sz w:val="21"/>
                      <w:szCs w:val="21"/>
                      <w:highlight w:val="none"/>
                      <w:u w:val="none"/>
                      <w:lang w:val="en-US" w:eastAsia="zh-CN" w:bidi="ar-SA"/>
                    </w:rPr>
                    <w:t>0.016</w:t>
                  </w:r>
                </w:p>
              </w:tc>
              <w:tc>
                <w:tcPr>
                  <w:tcW w:w="675" w:type="pct"/>
                  <w:tcBorders>
                    <w:top w:val="single" w:color="000000" w:sz="8" w:space="0"/>
                    <w:left w:val="nil"/>
                    <w:bottom w:val="single" w:color="000000" w:sz="8" w:space="0"/>
                    <w:right w:val="single" w:color="000000" w:sz="8" w:space="0"/>
                  </w:tcBorders>
                  <w:vAlign w:val="center"/>
                </w:tcPr>
                <w:p w14:paraId="2D75858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zh-CN"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11" w:type="dxa"/>
                  <w:tcBorders>
                    <w:top w:val="nil"/>
                    <w:left w:val="nil"/>
                    <w:bottom w:val="single" w:color="000000" w:sz="8" w:space="0"/>
                    <w:right w:val="single" w:color="000000" w:sz="8" w:space="0"/>
                  </w:tcBorders>
                  <w:vAlign w:val="center"/>
                </w:tcPr>
                <w:p w14:paraId="76C85385">
                  <w:pPr>
                    <w:keepNext w:val="0"/>
                    <w:keepLines w:val="0"/>
                    <w:widowControl/>
                    <w:suppressLineNumbers w:val="0"/>
                    <w:jc w:val="center"/>
                    <w:textAlignment w:val="center"/>
                    <w:rPr>
                      <w:rFonts w:hint="eastAsia"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0.026</w:t>
                  </w:r>
                </w:p>
              </w:tc>
              <w:tc>
                <w:tcPr>
                  <w:tcW w:w="1172" w:type="dxa"/>
                  <w:tcBorders>
                    <w:top w:val="nil"/>
                    <w:left w:val="nil"/>
                    <w:bottom w:val="single" w:color="000000" w:sz="8" w:space="0"/>
                    <w:right w:val="single" w:color="000000" w:sz="8" w:space="0"/>
                  </w:tcBorders>
                  <w:vAlign w:val="center"/>
                </w:tcPr>
                <w:p w14:paraId="4046528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0.016</w:t>
                  </w:r>
                </w:p>
              </w:tc>
            </w:tr>
            <w:tr w14:paraId="21F16D9A">
              <w:tblPrEx>
                <w:tblCellMar>
                  <w:top w:w="0" w:type="dxa"/>
                  <w:left w:w="28" w:type="dxa"/>
                  <w:bottom w:w="0" w:type="dxa"/>
                  <w:right w:w="28" w:type="dxa"/>
                </w:tblCellMar>
              </w:tblPrEx>
              <w:trPr>
                <w:trHeight w:val="340" w:hRule="atLeast"/>
              </w:trPr>
              <w:tc>
                <w:tcPr>
                  <w:tcW w:w="350" w:type="pct"/>
                  <w:vMerge w:val="restart"/>
                  <w:tcBorders>
                    <w:top w:val="nil"/>
                    <w:left w:val="single" w:color="000000" w:sz="8" w:space="0"/>
                    <w:right w:val="single" w:color="000000" w:sz="8" w:space="0"/>
                  </w:tcBorders>
                  <w:vAlign w:val="center"/>
                </w:tcPr>
                <w:p w14:paraId="36B52798">
                  <w:pPr>
                    <w:widowControl/>
                    <w:spacing w:line="260" w:lineRule="exact"/>
                    <w:jc w:val="center"/>
                    <w:rPr>
                      <w:color w:val="auto"/>
                      <w:kern w:val="0"/>
                      <w:szCs w:val="21"/>
                      <w:highlight w:val="none"/>
                    </w:rPr>
                  </w:pPr>
                  <w:r>
                    <w:rPr>
                      <w:color w:val="auto"/>
                      <w:kern w:val="0"/>
                      <w:szCs w:val="21"/>
                      <w:highlight w:val="none"/>
                    </w:rPr>
                    <w:t>废气</w:t>
                  </w:r>
                </w:p>
              </w:tc>
              <w:tc>
                <w:tcPr>
                  <w:tcW w:w="1085" w:type="pct"/>
                  <w:gridSpan w:val="2"/>
                  <w:tcBorders>
                    <w:top w:val="nil"/>
                    <w:left w:val="nil"/>
                    <w:bottom w:val="single" w:color="000000" w:sz="8" w:space="0"/>
                    <w:right w:val="single" w:color="000000" w:sz="8" w:space="0"/>
                  </w:tcBorders>
                  <w:vAlign w:val="center"/>
                </w:tcPr>
                <w:p w14:paraId="3ADEE319">
                  <w:pPr>
                    <w:widowControl/>
                    <w:spacing w:line="260" w:lineRule="exact"/>
                    <w:jc w:val="center"/>
                    <w:rPr>
                      <w:color w:val="auto"/>
                      <w:kern w:val="0"/>
                      <w:szCs w:val="21"/>
                      <w:highlight w:val="none"/>
                    </w:rPr>
                  </w:pPr>
                  <w:r>
                    <w:rPr>
                      <w:color w:val="auto"/>
                      <w:kern w:val="0"/>
                      <w:szCs w:val="21"/>
                      <w:highlight w:val="none"/>
                    </w:rPr>
                    <w:t>SO</w:t>
                  </w:r>
                  <w:r>
                    <w:rPr>
                      <w:color w:val="auto"/>
                      <w:kern w:val="0"/>
                      <w:szCs w:val="21"/>
                      <w:highlight w:val="none"/>
                      <w:vertAlign w:val="subscript"/>
                    </w:rPr>
                    <w:t>2</w:t>
                  </w:r>
                </w:p>
              </w:tc>
              <w:tc>
                <w:tcPr>
                  <w:tcW w:w="722" w:type="pct"/>
                  <w:tcBorders>
                    <w:top w:val="nil"/>
                    <w:left w:val="nil"/>
                    <w:bottom w:val="single" w:color="000000" w:sz="8" w:space="0"/>
                    <w:right w:val="single" w:color="000000" w:sz="8" w:space="0"/>
                  </w:tcBorders>
                  <w:vAlign w:val="center"/>
                </w:tcPr>
                <w:p w14:paraId="392CF604">
                  <w:pPr>
                    <w:widowControl/>
                    <w:spacing w:line="260" w:lineRule="exac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0.03</w:t>
                  </w:r>
                </w:p>
              </w:tc>
              <w:tc>
                <w:tcPr>
                  <w:tcW w:w="608" w:type="pct"/>
                  <w:tcBorders>
                    <w:top w:val="nil"/>
                    <w:left w:val="nil"/>
                    <w:bottom w:val="single" w:color="000000" w:sz="8" w:space="0"/>
                    <w:right w:val="single" w:color="000000" w:sz="8" w:space="0"/>
                  </w:tcBorders>
                  <w:vAlign w:val="center"/>
                </w:tcPr>
                <w:p w14:paraId="3BE67F8D">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w:t>
                  </w:r>
                </w:p>
              </w:tc>
              <w:tc>
                <w:tcPr>
                  <w:tcW w:w="675" w:type="pct"/>
                  <w:tcBorders>
                    <w:top w:val="nil"/>
                    <w:left w:val="nil"/>
                    <w:bottom w:val="single" w:color="000000" w:sz="8" w:space="0"/>
                    <w:right w:val="single" w:color="000000" w:sz="8" w:space="0"/>
                  </w:tcBorders>
                  <w:vAlign w:val="center"/>
                </w:tcPr>
                <w:p w14:paraId="01DCC84C">
                  <w:pPr>
                    <w:keepNext w:val="0"/>
                    <w:keepLines w:val="0"/>
                    <w:widowControl/>
                    <w:suppressLineNumbers w:val="0"/>
                    <w:jc w:val="center"/>
                    <w:textAlignment w:val="center"/>
                    <w:rPr>
                      <w:rFonts w:hint="default" w:eastAsia="Times New Roman"/>
                      <w:color w:val="auto"/>
                      <w:kern w:val="0"/>
                      <w:szCs w:val="22"/>
                      <w:highlight w:val="none"/>
                      <w:lang w:val="en-US" w:bidi="zh-CN"/>
                    </w:rPr>
                  </w:pPr>
                  <w:r>
                    <w:rPr>
                      <w:rFonts w:hint="eastAsia" w:eastAsia="Times New Roman"/>
                      <w:color w:val="auto"/>
                      <w:kern w:val="0"/>
                      <w:szCs w:val="22"/>
                      <w:highlight w:val="none"/>
                      <w:lang w:val="en-US" w:bidi="zh-CN"/>
                    </w:rPr>
                    <w:t>0</w:t>
                  </w:r>
                </w:p>
              </w:tc>
              <w:tc>
                <w:tcPr>
                  <w:tcW w:w="1411" w:type="dxa"/>
                  <w:tcBorders>
                    <w:top w:val="nil"/>
                    <w:left w:val="nil"/>
                    <w:bottom w:val="single" w:color="000000" w:sz="8" w:space="0"/>
                    <w:right w:val="single" w:color="000000" w:sz="8" w:space="0"/>
                  </w:tcBorders>
                  <w:vAlign w:val="center"/>
                </w:tcPr>
                <w:p w14:paraId="0CCFE27B">
                  <w:pPr>
                    <w:widowControl/>
                    <w:spacing w:line="260" w:lineRule="exact"/>
                    <w:jc w:val="center"/>
                    <w:rPr>
                      <w:rFonts w:hint="default"/>
                      <w:color w:val="auto"/>
                      <w:szCs w:val="21"/>
                      <w:highlight w:val="none"/>
                      <w:lang w:val="en-US"/>
                    </w:rPr>
                  </w:pPr>
                  <w:r>
                    <w:rPr>
                      <w:rFonts w:hint="eastAsia"/>
                      <w:color w:val="auto"/>
                      <w:kern w:val="0"/>
                      <w:szCs w:val="21"/>
                      <w:highlight w:val="none"/>
                      <w:lang w:val="en-US" w:eastAsia="zh-CN"/>
                    </w:rPr>
                    <w:t>0.03</w:t>
                  </w:r>
                </w:p>
              </w:tc>
              <w:tc>
                <w:tcPr>
                  <w:tcW w:w="706" w:type="pct"/>
                  <w:tcBorders>
                    <w:top w:val="nil"/>
                    <w:left w:val="nil"/>
                    <w:bottom w:val="single" w:color="000000" w:sz="8" w:space="0"/>
                    <w:right w:val="single" w:color="000000" w:sz="8" w:space="0"/>
                  </w:tcBorders>
                  <w:vAlign w:val="center"/>
                </w:tcPr>
                <w:p w14:paraId="30892643">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w:t>
                  </w:r>
                </w:p>
              </w:tc>
            </w:tr>
            <w:tr w14:paraId="48F3CD98">
              <w:tblPrEx>
                <w:tblCellMar>
                  <w:top w:w="0" w:type="dxa"/>
                  <w:left w:w="28" w:type="dxa"/>
                  <w:bottom w:w="0" w:type="dxa"/>
                  <w:right w:w="28" w:type="dxa"/>
                </w:tblCellMar>
              </w:tblPrEx>
              <w:trPr>
                <w:trHeight w:val="340" w:hRule="atLeast"/>
              </w:trPr>
              <w:tc>
                <w:tcPr>
                  <w:tcW w:w="350" w:type="pct"/>
                  <w:vMerge w:val="continue"/>
                  <w:tcBorders>
                    <w:left w:val="single" w:color="000000" w:sz="8" w:space="0"/>
                    <w:right w:val="single" w:color="000000" w:sz="8" w:space="0"/>
                  </w:tcBorders>
                  <w:vAlign w:val="center"/>
                </w:tcPr>
                <w:p w14:paraId="1B028D64">
                  <w:pPr>
                    <w:ind w:firstLine="420"/>
                    <w:jc w:val="center"/>
                    <w:rPr>
                      <w:color w:val="auto"/>
                      <w:szCs w:val="21"/>
                      <w:highlight w:val="none"/>
                    </w:rPr>
                  </w:pPr>
                </w:p>
              </w:tc>
              <w:tc>
                <w:tcPr>
                  <w:tcW w:w="1085" w:type="pct"/>
                  <w:gridSpan w:val="2"/>
                  <w:tcBorders>
                    <w:top w:val="nil"/>
                    <w:left w:val="nil"/>
                    <w:bottom w:val="single" w:color="000000" w:sz="8" w:space="0"/>
                    <w:right w:val="single" w:color="000000" w:sz="8" w:space="0"/>
                  </w:tcBorders>
                  <w:vAlign w:val="center"/>
                </w:tcPr>
                <w:p w14:paraId="05853062">
                  <w:pPr>
                    <w:widowControl/>
                    <w:spacing w:line="260" w:lineRule="exact"/>
                    <w:jc w:val="center"/>
                    <w:rPr>
                      <w:color w:val="auto"/>
                      <w:kern w:val="0"/>
                      <w:szCs w:val="21"/>
                      <w:highlight w:val="none"/>
                    </w:rPr>
                  </w:pPr>
                  <w:r>
                    <w:rPr>
                      <w:color w:val="auto"/>
                      <w:kern w:val="0"/>
                      <w:szCs w:val="21"/>
                      <w:highlight w:val="none"/>
                    </w:rPr>
                    <w:t>NOx</w:t>
                  </w:r>
                </w:p>
              </w:tc>
              <w:tc>
                <w:tcPr>
                  <w:tcW w:w="722" w:type="pct"/>
                  <w:tcBorders>
                    <w:top w:val="nil"/>
                    <w:left w:val="nil"/>
                    <w:bottom w:val="single" w:color="000000" w:sz="8" w:space="0"/>
                    <w:right w:val="single" w:color="000000" w:sz="8" w:space="0"/>
                  </w:tcBorders>
                  <w:vAlign w:val="center"/>
                </w:tcPr>
                <w:p w14:paraId="205D6AD4">
                  <w:pPr>
                    <w:widowControl/>
                    <w:spacing w:line="260" w:lineRule="exac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0.32</w:t>
                  </w:r>
                </w:p>
              </w:tc>
              <w:tc>
                <w:tcPr>
                  <w:tcW w:w="608" w:type="pct"/>
                  <w:tcBorders>
                    <w:top w:val="nil"/>
                    <w:left w:val="nil"/>
                    <w:bottom w:val="single" w:color="000000" w:sz="8" w:space="0"/>
                    <w:right w:val="single" w:color="000000" w:sz="8" w:space="0"/>
                  </w:tcBorders>
                  <w:vAlign w:val="center"/>
                </w:tcPr>
                <w:p w14:paraId="5314AC45">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0</w:t>
                  </w:r>
                </w:p>
              </w:tc>
              <w:tc>
                <w:tcPr>
                  <w:tcW w:w="675" w:type="pct"/>
                  <w:tcBorders>
                    <w:top w:val="nil"/>
                    <w:left w:val="nil"/>
                    <w:bottom w:val="single" w:color="000000" w:sz="8" w:space="0"/>
                    <w:right w:val="single" w:color="000000" w:sz="8" w:space="0"/>
                  </w:tcBorders>
                  <w:vAlign w:val="center"/>
                </w:tcPr>
                <w:p w14:paraId="323DB808">
                  <w:pPr>
                    <w:jc w:val="center"/>
                    <w:rPr>
                      <w:rFonts w:hint="default" w:eastAsia="Times New Roman"/>
                      <w:color w:val="auto"/>
                      <w:kern w:val="0"/>
                      <w:szCs w:val="22"/>
                      <w:highlight w:val="none"/>
                      <w:lang w:val="en-US" w:bidi="zh-CN"/>
                    </w:rPr>
                  </w:pPr>
                  <w:r>
                    <w:rPr>
                      <w:rFonts w:hint="eastAsia" w:eastAsia="Times New Roman"/>
                      <w:color w:val="auto"/>
                      <w:kern w:val="0"/>
                      <w:szCs w:val="22"/>
                      <w:highlight w:val="none"/>
                      <w:lang w:val="en-US" w:bidi="zh-CN"/>
                    </w:rPr>
                    <w:t>0</w:t>
                  </w:r>
                </w:p>
              </w:tc>
              <w:tc>
                <w:tcPr>
                  <w:tcW w:w="1411" w:type="dxa"/>
                  <w:tcBorders>
                    <w:top w:val="nil"/>
                    <w:left w:val="nil"/>
                    <w:bottom w:val="single" w:color="000000" w:sz="8" w:space="0"/>
                    <w:right w:val="single" w:color="000000" w:sz="8" w:space="0"/>
                  </w:tcBorders>
                  <w:vAlign w:val="center"/>
                </w:tcPr>
                <w:p w14:paraId="39EDEDA4">
                  <w:pPr>
                    <w:widowControl/>
                    <w:spacing w:line="260" w:lineRule="exact"/>
                    <w:jc w:val="center"/>
                    <w:rPr>
                      <w:color w:val="auto"/>
                      <w:szCs w:val="21"/>
                      <w:highlight w:val="none"/>
                    </w:rPr>
                  </w:pPr>
                  <w:r>
                    <w:rPr>
                      <w:rFonts w:hint="eastAsia"/>
                      <w:color w:val="auto"/>
                      <w:kern w:val="0"/>
                      <w:szCs w:val="21"/>
                      <w:highlight w:val="none"/>
                      <w:lang w:val="en-US" w:eastAsia="zh-CN"/>
                    </w:rPr>
                    <w:t>0.32</w:t>
                  </w:r>
                </w:p>
              </w:tc>
              <w:tc>
                <w:tcPr>
                  <w:tcW w:w="706" w:type="pct"/>
                  <w:tcBorders>
                    <w:top w:val="nil"/>
                    <w:left w:val="nil"/>
                    <w:bottom w:val="single" w:color="000000" w:sz="8" w:space="0"/>
                    <w:right w:val="single" w:color="000000" w:sz="8" w:space="0"/>
                  </w:tcBorders>
                  <w:vAlign w:val="center"/>
                </w:tcPr>
                <w:p w14:paraId="01847517">
                  <w:pPr>
                    <w:keepNext w:val="0"/>
                    <w:keepLines w:val="0"/>
                    <w:widowControl/>
                    <w:suppressLineNumbers w:val="0"/>
                    <w:jc w:val="center"/>
                    <w:textAlignment w:val="center"/>
                    <w:rPr>
                      <w:rFonts w:hint="eastAsia" w:eastAsia="宋体"/>
                      <w:color w:val="auto"/>
                      <w:szCs w:val="21"/>
                      <w:highlight w:val="none"/>
                      <w:lang w:eastAsia="zh-CN"/>
                    </w:rPr>
                  </w:pPr>
                  <w:r>
                    <w:rPr>
                      <w:rFonts w:hint="eastAsia" w:cs="Times New Roman"/>
                      <w:i w:val="0"/>
                      <w:iCs w:val="0"/>
                      <w:color w:val="auto"/>
                      <w:kern w:val="0"/>
                      <w:sz w:val="21"/>
                      <w:szCs w:val="21"/>
                      <w:highlight w:val="none"/>
                      <w:u w:val="none"/>
                      <w:lang w:val="en-US" w:eastAsia="zh-CN" w:bidi="ar"/>
                    </w:rPr>
                    <w:t>0</w:t>
                  </w:r>
                </w:p>
              </w:tc>
            </w:tr>
            <w:tr w14:paraId="6CF625E1">
              <w:tblPrEx>
                <w:tblCellMar>
                  <w:top w:w="0" w:type="dxa"/>
                  <w:left w:w="28" w:type="dxa"/>
                  <w:bottom w:w="0" w:type="dxa"/>
                  <w:right w:w="28" w:type="dxa"/>
                </w:tblCellMar>
              </w:tblPrEx>
              <w:trPr>
                <w:trHeight w:val="355" w:hRule="atLeast"/>
              </w:trPr>
              <w:tc>
                <w:tcPr>
                  <w:tcW w:w="350" w:type="pct"/>
                  <w:vMerge w:val="continue"/>
                  <w:tcBorders>
                    <w:left w:val="single" w:color="000000" w:sz="8" w:space="0"/>
                    <w:bottom w:val="single" w:color="000000" w:sz="8" w:space="0"/>
                    <w:right w:val="single" w:color="000000" w:sz="8" w:space="0"/>
                  </w:tcBorders>
                  <w:vAlign w:val="center"/>
                </w:tcPr>
                <w:p w14:paraId="56522940">
                  <w:pPr>
                    <w:ind w:firstLine="420"/>
                    <w:jc w:val="center"/>
                    <w:rPr>
                      <w:color w:val="auto"/>
                      <w:szCs w:val="21"/>
                      <w:highlight w:val="none"/>
                    </w:rPr>
                  </w:pPr>
                </w:p>
              </w:tc>
              <w:tc>
                <w:tcPr>
                  <w:tcW w:w="1085" w:type="pct"/>
                  <w:gridSpan w:val="2"/>
                  <w:tcBorders>
                    <w:top w:val="nil"/>
                    <w:left w:val="nil"/>
                    <w:bottom w:val="single" w:color="000000" w:sz="8" w:space="0"/>
                    <w:right w:val="single" w:color="000000" w:sz="8" w:space="0"/>
                  </w:tcBorders>
                  <w:vAlign w:val="center"/>
                </w:tcPr>
                <w:p w14:paraId="6E5D0E55">
                  <w:pPr>
                    <w:widowControl/>
                    <w:spacing w:line="260" w:lineRule="exact"/>
                    <w:jc w:val="center"/>
                    <w:rPr>
                      <w:color w:val="auto"/>
                      <w:kern w:val="0"/>
                      <w:szCs w:val="21"/>
                      <w:highlight w:val="none"/>
                    </w:rPr>
                  </w:pPr>
                  <w:r>
                    <w:rPr>
                      <w:color w:val="auto"/>
                      <w:kern w:val="0"/>
                      <w:szCs w:val="21"/>
                      <w:highlight w:val="none"/>
                    </w:rPr>
                    <w:t>VOCs</w:t>
                  </w:r>
                </w:p>
              </w:tc>
              <w:tc>
                <w:tcPr>
                  <w:tcW w:w="722" w:type="pct"/>
                  <w:tcBorders>
                    <w:top w:val="nil"/>
                    <w:left w:val="nil"/>
                    <w:bottom w:val="single" w:color="000000" w:sz="8" w:space="0"/>
                    <w:right w:val="single" w:color="000000" w:sz="8" w:space="0"/>
                  </w:tcBorders>
                  <w:vAlign w:val="center"/>
                </w:tcPr>
                <w:p w14:paraId="61668E72">
                  <w:pPr>
                    <w:widowControl/>
                    <w:spacing w:line="260" w:lineRule="exact"/>
                    <w:jc w:val="center"/>
                    <w:rPr>
                      <w:rFonts w:hint="default"/>
                      <w:color w:val="auto"/>
                      <w:kern w:val="0"/>
                      <w:szCs w:val="21"/>
                      <w:highlight w:val="none"/>
                      <w:lang w:val="en-US"/>
                    </w:rPr>
                  </w:pPr>
                  <w:r>
                    <w:rPr>
                      <w:rFonts w:hint="eastAsia"/>
                      <w:color w:val="auto"/>
                      <w:kern w:val="0"/>
                      <w:szCs w:val="21"/>
                      <w:highlight w:val="none"/>
                      <w:lang w:val="en-US" w:eastAsia="zh-CN"/>
                    </w:rPr>
                    <w:t>6.8</w:t>
                  </w:r>
                </w:p>
              </w:tc>
              <w:tc>
                <w:tcPr>
                  <w:tcW w:w="608" w:type="pct"/>
                  <w:tcBorders>
                    <w:top w:val="nil"/>
                    <w:left w:val="nil"/>
                    <w:bottom w:val="single" w:color="000000" w:sz="8" w:space="0"/>
                    <w:right w:val="single" w:color="000000" w:sz="8" w:space="0"/>
                  </w:tcBorders>
                  <w:vAlign w:val="center"/>
                </w:tcPr>
                <w:p w14:paraId="5A5D5F95">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0.90</w:t>
                  </w:r>
                  <w:r>
                    <w:rPr>
                      <w:rFonts w:hint="eastAsia" w:cs="Times New Roman"/>
                      <w:i w:val="0"/>
                      <w:iCs w:val="0"/>
                      <w:color w:val="auto"/>
                      <w:kern w:val="0"/>
                      <w:sz w:val="21"/>
                      <w:szCs w:val="21"/>
                      <w:highlight w:val="none"/>
                      <w:u w:val="none"/>
                      <w:lang w:val="en-US" w:eastAsia="zh-CN" w:bidi="ar"/>
                    </w:rPr>
                    <w:t>9</w:t>
                  </w:r>
                </w:p>
              </w:tc>
              <w:tc>
                <w:tcPr>
                  <w:tcW w:w="675" w:type="pct"/>
                  <w:tcBorders>
                    <w:top w:val="nil"/>
                    <w:left w:val="nil"/>
                    <w:bottom w:val="single" w:color="000000" w:sz="8" w:space="0"/>
                    <w:right w:val="single" w:color="000000" w:sz="8" w:space="0"/>
                  </w:tcBorders>
                  <w:vAlign w:val="center"/>
                </w:tcPr>
                <w:p w14:paraId="1D17F96A">
                  <w:pPr>
                    <w:jc w:val="center"/>
                    <w:rPr>
                      <w:rFonts w:hint="default" w:eastAsia="Times New Roman"/>
                      <w:color w:val="auto"/>
                      <w:kern w:val="0"/>
                      <w:szCs w:val="22"/>
                      <w:highlight w:val="none"/>
                      <w:lang w:val="en-US" w:bidi="zh-CN"/>
                    </w:rPr>
                  </w:pPr>
                  <w:r>
                    <w:rPr>
                      <w:rFonts w:hint="eastAsia" w:eastAsia="Times New Roman"/>
                      <w:color w:val="auto"/>
                      <w:kern w:val="0"/>
                      <w:szCs w:val="22"/>
                      <w:highlight w:val="none"/>
                      <w:lang w:val="en-US" w:bidi="zh-CN"/>
                    </w:rPr>
                    <w:t>0</w:t>
                  </w:r>
                </w:p>
              </w:tc>
              <w:tc>
                <w:tcPr>
                  <w:tcW w:w="850" w:type="pct"/>
                  <w:tcBorders>
                    <w:top w:val="nil"/>
                    <w:left w:val="nil"/>
                    <w:bottom w:val="single" w:color="000000" w:sz="8" w:space="0"/>
                    <w:right w:val="single" w:color="000000" w:sz="8" w:space="0"/>
                  </w:tcBorders>
                  <w:vAlign w:val="center"/>
                </w:tcPr>
                <w:p w14:paraId="2387710D">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7.70</w:t>
                  </w:r>
                  <w:r>
                    <w:rPr>
                      <w:rFonts w:hint="eastAsia" w:cs="Times New Roman"/>
                      <w:i w:val="0"/>
                      <w:iCs w:val="0"/>
                      <w:color w:val="auto"/>
                      <w:kern w:val="0"/>
                      <w:sz w:val="21"/>
                      <w:szCs w:val="21"/>
                      <w:highlight w:val="none"/>
                      <w:u w:val="none"/>
                      <w:lang w:val="en-US" w:eastAsia="zh-CN" w:bidi="ar"/>
                    </w:rPr>
                    <w:t>9</w:t>
                  </w:r>
                </w:p>
              </w:tc>
              <w:tc>
                <w:tcPr>
                  <w:tcW w:w="706" w:type="pct"/>
                  <w:tcBorders>
                    <w:top w:val="nil"/>
                    <w:left w:val="nil"/>
                    <w:bottom w:val="single" w:color="000000" w:sz="8" w:space="0"/>
                    <w:right w:val="single" w:color="000000" w:sz="8" w:space="0"/>
                  </w:tcBorders>
                  <w:vAlign w:val="center"/>
                </w:tcPr>
                <w:p w14:paraId="19416B87">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0.90</w:t>
                  </w:r>
                  <w:r>
                    <w:rPr>
                      <w:rFonts w:hint="eastAsia" w:cs="Times New Roman"/>
                      <w:i w:val="0"/>
                      <w:iCs w:val="0"/>
                      <w:color w:val="auto"/>
                      <w:kern w:val="0"/>
                      <w:sz w:val="21"/>
                      <w:szCs w:val="21"/>
                      <w:highlight w:val="none"/>
                      <w:u w:val="none"/>
                      <w:lang w:val="en-US" w:eastAsia="zh-CN" w:bidi="ar"/>
                    </w:rPr>
                    <w:t>9</w:t>
                  </w:r>
                </w:p>
              </w:tc>
            </w:tr>
          </w:tbl>
          <w:p w14:paraId="752DBFD6">
            <w:pPr>
              <w:adjustRightInd w:val="0"/>
              <w:snapToGrid w:val="0"/>
              <w:rPr>
                <w:color w:val="auto"/>
                <w:kern w:val="0"/>
                <w:szCs w:val="21"/>
                <w:highlight w:val="none"/>
              </w:rPr>
            </w:pPr>
          </w:p>
          <w:p w14:paraId="1E627388">
            <w:pPr>
              <w:adjustRightInd w:val="0"/>
              <w:snapToGrid w:val="0"/>
              <w:rPr>
                <w:color w:val="auto"/>
                <w:kern w:val="0"/>
                <w:szCs w:val="21"/>
                <w:highlight w:val="none"/>
              </w:rPr>
            </w:pPr>
          </w:p>
          <w:p w14:paraId="58C31094">
            <w:pPr>
              <w:adjustRightInd w:val="0"/>
              <w:snapToGrid w:val="0"/>
              <w:rPr>
                <w:color w:val="auto"/>
                <w:kern w:val="0"/>
                <w:szCs w:val="21"/>
                <w:highlight w:val="none"/>
              </w:rPr>
            </w:pPr>
          </w:p>
          <w:p w14:paraId="55E18394">
            <w:pPr>
              <w:adjustRightInd w:val="0"/>
              <w:snapToGrid w:val="0"/>
              <w:rPr>
                <w:color w:val="auto"/>
                <w:kern w:val="0"/>
                <w:szCs w:val="21"/>
                <w:highlight w:val="none"/>
              </w:rPr>
            </w:pPr>
          </w:p>
          <w:p w14:paraId="49585A3B">
            <w:pPr>
              <w:adjustRightInd w:val="0"/>
              <w:snapToGrid w:val="0"/>
              <w:rPr>
                <w:color w:val="auto"/>
                <w:kern w:val="0"/>
                <w:szCs w:val="21"/>
                <w:highlight w:val="none"/>
              </w:rPr>
            </w:pPr>
          </w:p>
          <w:p w14:paraId="0082D18D">
            <w:pPr>
              <w:adjustRightInd w:val="0"/>
              <w:snapToGrid w:val="0"/>
              <w:rPr>
                <w:color w:val="auto"/>
                <w:kern w:val="0"/>
                <w:szCs w:val="21"/>
                <w:highlight w:val="none"/>
              </w:rPr>
            </w:pPr>
          </w:p>
          <w:p w14:paraId="4FF25031">
            <w:pPr>
              <w:pStyle w:val="9"/>
              <w:rPr>
                <w:color w:val="auto"/>
                <w:kern w:val="0"/>
                <w:szCs w:val="21"/>
                <w:highlight w:val="none"/>
              </w:rPr>
            </w:pPr>
          </w:p>
          <w:p w14:paraId="571175B7">
            <w:pPr>
              <w:rPr>
                <w:color w:val="auto"/>
                <w:kern w:val="0"/>
                <w:szCs w:val="21"/>
                <w:highlight w:val="none"/>
              </w:rPr>
            </w:pPr>
          </w:p>
          <w:p w14:paraId="1834602D">
            <w:pPr>
              <w:rPr>
                <w:color w:val="auto"/>
                <w:kern w:val="0"/>
                <w:szCs w:val="21"/>
                <w:highlight w:val="none"/>
              </w:rPr>
            </w:pPr>
          </w:p>
          <w:p w14:paraId="0F844BB6">
            <w:pPr>
              <w:pStyle w:val="9"/>
              <w:rPr>
                <w:color w:val="auto"/>
                <w:kern w:val="0"/>
                <w:szCs w:val="21"/>
                <w:highlight w:val="none"/>
              </w:rPr>
            </w:pPr>
          </w:p>
          <w:p w14:paraId="00234C41">
            <w:pPr>
              <w:rPr>
                <w:color w:val="auto"/>
                <w:kern w:val="0"/>
                <w:szCs w:val="21"/>
                <w:highlight w:val="none"/>
              </w:rPr>
            </w:pPr>
          </w:p>
          <w:p w14:paraId="3DEF9251">
            <w:pPr>
              <w:pStyle w:val="9"/>
              <w:rPr>
                <w:color w:val="auto"/>
                <w:highlight w:val="none"/>
              </w:rPr>
            </w:pPr>
          </w:p>
        </w:tc>
      </w:tr>
    </w:tbl>
    <w:p w14:paraId="2BB0C5E1">
      <w:pPr>
        <w:widowControl/>
        <w:spacing w:before="100" w:beforeAutospacing="1" w:after="100" w:afterAutospacing="1"/>
        <w:jc w:val="center"/>
        <w:outlineLvl w:val="0"/>
        <w:rPr>
          <w:b/>
          <w:bCs/>
          <w:snapToGrid w:val="0"/>
          <w:color w:val="auto"/>
          <w:kern w:val="0"/>
          <w:sz w:val="30"/>
          <w:szCs w:val="30"/>
          <w:highlight w:val="none"/>
        </w:rPr>
      </w:pPr>
      <w:r>
        <w:rPr>
          <w:snapToGrid w:val="0"/>
          <w:color w:val="auto"/>
          <w:kern w:val="0"/>
          <w:sz w:val="36"/>
          <w:szCs w:val="36"/>
          <w:highlight w:val="none"/>
        </w:rPr>
        <w:br w:type="page"/>
      </w:r>
      <w:bookmarkStart w:id="25" w:name="_Toc70265311"/>
      <w:r>
        <w:rPr>
          <w:b/>
          <w:bCs/>
          <w:snapToGrid w:val="0"/>
          <w:color w:val="auto"/>
          <w:kern w:val="0"/>
          <w:sz w:val="30"/>
          <w:szCs w:val="30"/>
          <w:highlight w:val="none"/>
        </w:rPr>
        <w:t>四、主要环境影响和保护措施</w:t>
      </w:r>
      <w:bookmarkEnd w:id="25"/>
    </w:p>
    <w:tbl>
      <w:tblPr>
        <w:tblStyle w:val="2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1"/>
        <w:gridCol w:w="8268"/>
      </w:tblGrid>
      <w:tr w14:paraId="31C44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Mar>
              <w:left w:w="28" w:type="dxa"/>
              <w:right w:w="28" w:type="dxa"/>
            </w:tcMar>
            <w:vAlign w:val="center"/>
          </w:tcPr>
          <w:p w14:paraId="28AB9E32">
            <w:pPr>
              <w:widowControl/>
              <w:adjustRightInd w:val="0"/>
              <w:snapToGrid w:val="0"/>
              <w:jc w:val="center"/>
              <w:rPr>
                <w:bCs/>
                <w:color w:val="auto"/>
                <w:sz w:val="24"/>
                <w:szCs w:val="24"/>
                <w:highlight w:val="none"/>
              </w:rPr>
            </w:pPr>
            <w:r>
              <w:rPr>
                <w:color w:val="auto"/>
                <w:sz w:val="24"/>
                <w:szCs w:val="24"/>
                <w:highlight w:val="none"/>
              </w:rPr>
              <w:t>施工期环境保护措施</w:t>
            </w:r>
          </w:p>
        </w:tc>
        <w:tc>
          <w:tcPr>
            <w:tcW w:w="4603" w:type="pct"/>
            <w:vAlign w:val="center"/>
          </w:tcPr>
          <w:p w14:paraId="13341766">
            <w:pPr>
              <w:spacing w:line="360" w:lineRule="auto"/>
              <w:rPr>
                <w:b/>
                <w:color w:val="auto"/>
                <w:kern w:val="0"/>
                <w:sz w:val="24"/>
                <w:highlight w:val="none"/>
              </w:rPr>
            </w:pPr>
            <w:r>
              <w:rPr>
                <w:rFonts w:hint="eastAsia"/>
                <w:b/>
                <w:color w:val="auto"/>
                <w:spacing w:val="-10"/>
                <w:sz w:val="24"/>
                <w:highlight w:val="none"/>
                <w:lang w:val="en-US" w:eastAsia="zh-CN"/>
              </w:rPr>
              <w:t>一</w:t>
            </w:r>
            <w:r>
              <w:rPr>
                <w:b/>
                <w:color w:val="auto"/>
                <w:spacing w:val="-10"/>
                <w:sz w:val="24"/>
                <w:highlight w:val="none"/>
              </w:rPr>
              <w:t>、</w:t>
            </w:r>
            <w:r>
              <w:rPr>
                <w:rFonts w:hint="eastAsia"/>
                <w:b/>
                <w:color w:val="auto"/>
                <w:spacing w:val="-10"/>
                <w:sz w:val="24"/>
                <w:highlight w:val="none"/>
                <w:lang w:val="en-US" w:eastAsia="zh-CN"/>
              </w:rPr>
              <w:t>施工</w:t>
            </w:r>
            <w:r>
              <w:rPr>
                <w:b/>
                <w:color w:val="auto"/>
                <w:spacing w:val="-10"/>
                <w:sz w:val="24"/>
                <w:highlight w:val="none"/>
              </w:rPr>
              <w:t>期</w:t>
            </w:r>
            <w:r>
              <w:rPr>
                <w:b/>
                <w:color w:val="auto"/>
                <w:kern w:val="0"/>
                <w:sz w:val="24"/>
                <w:highlight w:val="none"/>
              </w:rPr>
              <w:t>污染物排放及治理措施</w:t>
            </w:r>
          </w:p>
          <w:p w14:paraId="462F625B">
            <w:pPr>
              <w:adjustRightInd w:val="0"/>
              <w:snapToGrid w:val="0"/>
              <w:spacing w:line="360" w:lineRule="auto"/>
              <w:ind w:firstLine="482" w:firstLineChars="200"/>
              <w:jc w:val="left"/>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1、大气污染源</w:t>
            </w:r>
          </w:p>
          <w:p w14:paraId="7A396B44">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施工过程中的大气污染物主要为施工扬尘和施工废气，主要来自三方面：一是土石方堆放、回填、运输等过程中产生的扬尘；二是车辆运输过程中产生的二次扬尘；三是机械燃油废气和装饰工程中的有机废气。</w:t>
            </w:r>
          </w:p>
          <w:p w14:paraId="4B4369AB">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（1）施工扬尘</w:t>
            </w:r>
          </w:p>
          <w:p w14:paraId="52359067">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施工扬尘起尘量与许多因素有关。本项目起尘原因主要是建筑材料（钢材等）运输进场装卸及堆放过程产生的扬尘、</w:t>
            </w:r>
            <w:r>
              <w:rPr>
                <w:rFonts w:hint="eastAsia" w:cs="Times New Roman"/>
                <w:color w:val="auto"/>
                <w:sz w:val="24"/>
                <w:highlight w:val="none"/>
                <w:lang w:val="en-US" w:eastAsia="zh-CN"/>
              </w:rPr>
              <w:t>开挖土石方产生的扬尘、</w:t>
            </w:r>
            <w:r>
              <w:rPr>
                <w:rFonts w:ascii="Times New Roman" w:hAnsi="Times New Roman" w:cs="Times New Roman"/>
                <w:color w:val="auto"/>
                <w:sz w:val="24"/>
                <w:highlight w:val="none"/>
              </w:rPr>
              <w:t>建筑材料运输产生的道路扬尘等。此类扬尘属无组织面源排放，经类比分析，施工场地扬尘浓度平均值约为3.5mg/m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。其属低矮排放源</w:t>
            </w:r>
            <w:r>
              <w:rPr>
                <w:rFonts w:hint="eastAsia" w:cs="Times New Roman"/>
                <w:color w:val="auto"/>
                <w:sz w:val="24"/>
                <w:highlight w:val="none"/>
                <w:lang w:eastAsia="zh-CN"/>
              </w:rPr>
              <w:t>，</w:t>
            </w:r>
            <w:r>
              <w:rPr>
                <w:rFonts w:ascii="Times New Roman" w:hAnsi="Times New Roman" w:cs="Times New Roman"/>
                <w:color w:val="auto"/>
                <w:sz w:val="24"/>
                <w:highlight w:val="none"/>
              </w:rPr>
              <w:t>影响范围小，时间较短，随施工结束后消除。</w:t>
            </w:r>
          </w:p>
          <w:p w14:paraId="5A796407">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为减少施工扬尘的产生和排放，在施工过程中，施工单位必须严格按照国家</w:t>
            </w:r>
            <w:r>
              <w:rPr>
                <w:rFonts w:ascii="Times New Roman" w:hAnsi="Times New Roman" w:cs="Times New Roman"/>
                <w:color w:val="auto"/>
                <w:sz w:val="24"/>
                <w:highlight w:val="none"/>
                <w:u w:val="none"/>
              </w:rPr>
              <w:t>生态环境部</w:t>
            </w:r>
            <w:r>
              <w:rPr>
                <w:rFonts w:ascii="Times New Roman" w:hAnsi="Times New Roman" w:cs="Times New Roman"/>
                <w:color w:val="auto"/>
                <w:sz w:val="24"/>
                <w:highlight w:val="none"/>
              </w:rPr>
              <w:t>和建设部《关于有效控制城市扬尘污染物的通知</w:t>
            </w:r>
            <w:r>
              <w:rPr>
                <w:rFonts w:hint="eastAsia" w:cs="Times New Roman"/>
                <w:color w:val="auto"/>
                <w:sz w:val="24"/>
                <w:highlight w:val="none"/>
                <w:lang w:eastAsia="zh-CN"/>
              </w:rPr>
              <w:t>》《</w:t>
            </w:r>
            <w:r>
              <w:rPr>
                <w:rFonts w:ascii="Times New Roman" w:hAnsi="Times New Roman" w:cs="Times New Roman"/>
                <w:color w:val="auto"/>
                <w:sz w:val="24"/>
                <w:highlight w:val="none"/>
              </w:rPr>
              <w:t>关于印发&lt;四川省灰霾污染防治实施方案&gt;的通知》（川环发</w:t>
            </w:r>
            <w:r>
              <w:rPr>
                <w:rFonts w:hint="eastAsia" w:cs="Times New Roman"/>
                <w:color w:val="auto"/>
                <w:sz w:val="24"/>
                <w:highlight w:val="none"/>
                <w:lang w:eastAsia="zh-CN"/>
              </w:rPr>
              <w:t>〔</w:t>
            </w:r>
            <w:r>
              <w:rPr>
                <w:rFonts w:ascii="Times New Roman" w:hAnsi="Times New Roman" w:cs="Times New Roman"/>
                <w:color w:val="auto"/>
                <w:sz w:val="24"/>
                <w:highlight w:val="none"/>
              </w:rPr>
              <w:t>2013</w:t>
            </w:r>
            <w:r>
              <w:rPr>
                <w:rFonts w:hint="eastAsia" w:cs="Times New Roman"/>
                <w:color w:val="auto"/>
                <w:sz w:val="24"/>
                <w:highlight w:val="none"/>
                <w:lang w:eastAsia="zh-CN"/>
              </w:rPr>
              <w:t>〕</w:t>
            </w:r>
            <w:r>
              <w:rPr>
                <w:rFonts w:ascii="Times New Roman" w:hAnsi="Times New Roman" w:cs="Times New Roman"/>
                <w:color w:val="auto"/>
                <w:sz w:val="24"/>
                <w:highlight w:val="none"/>
              </w:rPr>
              <w:t>78号）等相关要求，严格按照《四川省人民政府办公厅关于印发四川省大气污染防治行动计划实施细则2015年度实施计划的通知》（川办函〔2015〕59号）中有关施工工地和道路扬尘污染防治规定，积极推行绿色施工，施工现场必须全封闭设置围墙，严禁敞开式作业，施工现场道路、作业区、生活区必须进行地面硬化；制定、完善和严格执行建设施工管理制度，全面推行现场标准化管理，城市主城区工地做到“六必须”（必须围挡作业，必须硬化道路，必须设置冲洗设施，必须及时洒水作业，必须配齐保洁人员，必须及时清扫施工现场）、“六不准”（不准车辆带泥出门，不准运渣车辆冒载，不准高空抛洒建筑垃圾，不准现场搅拌混凝土，不准场地积水，不准现场焚烧废弃物），加强建设工地监督检查，督促责任单位落实降尘、压尘和抑尘措施。为此，施工单位应根据本项目分阶段建设的特殊性采取以下扬尘治理措施：</w:t>
            </w:r>
          </w:p>
          <w:p w14:paraId="551ACBC6">
            <w:pPr>
              <w:adjustRightInd w:val="0"/>
              <w:snapToGrid w:val="0"/>
              <w:spacing w:line="360" w:lineRule="auto"/>
              <w:ind w:firstLine="480" w:firstLineChars="200"/>
              <w:jc w:val="left"/>
              <w:rPr>
                <w:rFonts w:hint="eastAsia" w:eastAsia="宋体"/>
                <w:color w:val="auto"/>
                <w:sz w:val="24"/>
                <w:highlight w:val="none"/>
                <w:lang w:eastAsia="zh-CN"/>
              </w:rPr>
            </w:pPr>
            <w:r>
              <w:rPr>
                <w:rFonts w:ascii="Times New Roman" w:hAnsi="Times New Roman" w:cs="Times New Roman"/>
                <w:color w:val="auto"/>
                <w:sz w:val="24"/>
                <w:highlight w:val="none"/>
              </w:rPr>
              <w:t>①</w:t>
            </w:r>
            <w:r>
              <w:rPr>
                <w:rFonts w:hint="eastAsia"/>
                <w:color w:val="auto"/>
                <w:sz w:val="24"/>
                <w:highlight w:val="none"/>
                <w:lang w:val="en-US" w:eastAsia="zh-CN"/>
              </w:rPr>
              <w:t>设置围挡</w:t>
            </w:r>
            <w:r>
              <w:rPr>
                <w:color w:val="auto"/>
                <w:sz w:val="24"/>
                <w:highlight w:val="none"/>
              </w:rPr>
              <w:t>对施工区域实行封闭或隔离</w:t>
            </w:r>
            <w:r>
              <w:rPr>
                <w:rFonts w:hint="eastAsia"/>
                <w:color w:val="auto"/>
                <w:sz w:val="24"/>
                <w:highlight w:val="none"/>
                <w:lang w:eastAsia="zh-CN"/>
              </w:rPr>
              <w:t>；</w:t>
            </w:r>
          </w:p>
          <w:p w14:paraId="7962A4D6">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②要求施工单位文明施工，定期对地面洒水，对撒落在路面的渣土及时清除，避免扬尘对周边</w:t>
            </w:r>
            <w:r>
              <w:rPr>
                <w:rFonts w:hint="eastAsia" w:cs="Times New Roman"/>
                <w:color w:val="auto"/>
                <w:sz w:val="24"/>
                <w:highlight w:val="none"/>
                <w:lang w:val="en-US" w:eastAsia="zh-CN"/>
              </w:rPr>
              <w:t>环境空气造成污染</w:t>
            </w:r>
            <w:r>
              <w:rPr>
                <w:rFonts w:ascii="Times New Roman" w:hAnsi="Times New Roman" w:cs="Times New Roman"/>
                <w:color w:val="auto"/>
                <w:sz w:val="24"/>
                <w:highlight w:val="none"/>
              </w:rPr>
              <w:t>；</w:t>
            </w:r>
          </w:p>
          <w:p w14:paraId="41B8D906">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③自卸车、垃圾运输车等运输车辆不允许超载、冒载，出场前一律清洗轮胎，用毡布覆盖，并且在施工区出口设置防尘飞扬垫；</w:t>
            </w:r>
          </w:p>
          <w:p w14:paraId="2235EE86">
            <w:pPr>
              <w:adjustRightInd w:val="0"/>
              <w:snapToGrid w:val="0"/>
              <w:spacing w:line="360" w:lineRule="auto"/>
              <w:ind w:firstLine="480" w:firstLineChars="200"/>
              <w:jc w:val="left"/>
              <w:rPr>
                <w:rFonts w:hint="eastAsia" w:ascii="Times New Roman" w:hAnsi="Times New Roman" w:cs="Times New Roman"/>
                <w:color w:val="auto"/>
                <w:sz w:val="24"/>
                <w:highlight w:val="none"/>
                <w:lang w:eastAsia="zh-CN"/>
              </w:rPr>
            </w:pPr>
            <w:r>
              <w:rPr>
                <w:rFonts w:ascii="Times New Roman" w:hAnsi="Times New Roman" w:cs="Times New Roman"/>
                <w:color w:val="auto"/>
                <w:sz w:val="24"/>
                <w:highlight w:val="none"/>
              </w:rPr>
              <w:t>④运输车辆装运施工材料时注意进行必要的盖布遮挡，避免材料散落</w:t>
            </w:r>
            <w:r>
              <w:rPr>
                <w:rFonts w:hint="eastAsia" w:ascii="Times New Roman" w:hAnsi="Times New Roman" w:cs="Times New Roman"/>
                <w:color w:val="auto"/>
                <w:sz w:val="24"/>
                <w:highlight w:val="none"/>
                <w:lang w:eastAsia="zh-CN"/>
              </w:rPr>
              <w:t>；</w:t>
            </w:r>
          </w:p>
          <w:p w14:paraId="6077F3EB">
            <w:pPr>
              <w:adjustRightInd w:val="0"/>
              <w:snapToGrid w:val="0"/>
              <w:spacing w:line="360" w:lineRule="auto"/>
              <w:ind w:firstLine="480" w:firstLineChars="200"/>
              <w:jc w:val="left"/>
              <w:rPr>
                <w:rFonts w:ascii="Times New Roman" w:hAnsi="Times New Roman" w:cs="Times New Roman"/>
                <w:color w:val="auto"/>
                <w:sz w:val="24"/>
                <w:highlight w:val="none"/>
              </w:rPr>
            </w:pPr>
            <w:bookmarkStart w:id="26" w:name="OLE_LINK9"/>
            <w:r>
              <w:rPr>
                <w:rFonts w:ascii="Times New Roman" w:hAnsi="Times New Roman" w:cs="Times New Roman"/>
                <w:color w:val="auto"/>
                <w:sz w:val="24"/>
                <w:highlight w:val="none"/>
              </w:rPr>
              <w:fldChar w:fldCharType="begin"/>
            </w:r>
            <w:r>
              <w:rPr>
                <w:rFonts w:ascii="Times New Roman" w:hAnsi="Times New Roman" w:cs="Times New Roman"/>
                <w:color w:val="auto"/>
                <w:sz w:val="24"/>
                <w:highlight w:val="none"/>
              </w:rPr>
              <w:instrText xml:space="preserve"> = 5 \* GB3 \* MERGEFORMAT </w:instrText>
            </w:r>
            <w:r>
              <w:rPr>
                <w:rFonts w:ascii="Times New Roman" w:hAnsi="Times New Roman" w:cs="Times New Roman"/>
                <w:color w:val="auto"/>
                <w:sz w:val="24"/>
                <w:highlight w:val="none"/>
              </w:rPr>
              <w:fldChar w:fldCharType="separate"/>
            </w:r>
            <w:r>
              <w:rPr>
                <w:rFonts w:ascii="Times New Roman" w:hAnsi="Times New Roman" w:cs="Times New Roman"/>
                <w:color w:val="auto"/>
                <w:sz w:val="24"/>
                <w:highlight w:val="none"/>
              </w:rPr>
              <w:t>⑤</w:t>
            </w:r>
            <w:r>
              <w:rPr>
                <w:rFonts w:ascii="Times New Roman" w:hAnsi="Times New Roman" w:cs="Times New Roman"/>
                <w:color w:val="auto"/>
                <w:sz w:val="24"/>
                <w:highlight w:val="none"/>
              </w:rPr>
              <w:fldChar w:fldCharType="end"/>
            </w:r>
            <w:bookmarkEnd w:id="26"/>
            <w:r>
              <w:rPr>
                <w:rFonts w:ascii="Times New Roman" w:hAnsi="Times New Roman" w:cs="Times New Roman"/>
                <w:color w:val="auto"/>
                <w:sz w:val="24"/>
                <w:highlight w:val="none"/>
              </w:rPr>
              <w:t>严禁抛撒建筑垃圾</w:t>
            </w:r>
            <w:r>
              <w:rPr>
                <w:rFonts w:hint="eastAsia" w:cs="Times New Roman"/>
                <w:color w:val="auto"/>
                <w:sz w:val="24"/>
                <w:highlight w:val="none"/>
                <w:lang w:val="en-US" w:eastAsia="zh-CN"/>
              </w:rPr>
              <w:t>及基础开挖土石方，土石方及时回填，</w:t>
            </w:r>
            <w:r>
              <w:rPr>
                <w:rFonts w:ascii="Times New Roman" w:hAnsi="Times New Roman" w:cs="Times New Roman"/>
                <w:color w:val="auto"/>
                <w:sz w:val="24"/>
                <w:highlight w:val="none"/>
              </w:rPr>
              <w:t>建筑垃圾及时清运并在指定的垃圾处置场处置。不能及时清运的，应在施工工地设置临时密闭性垃圾堆放场地进行保存</w:t>
            </w:r>
            <w:r>
              <w:rPr>
                <w:rFonts w:hint="eastAsia" w:cs="Times New Roman"/>
                <w:color w:val="auto"/>
                <w:sz w:val="24"/>
                <w:highlight w:val="none"/>
                <w:lang w:eastAsia="zh-CN"/>
              </w:rPr>
              <w:t>，</w:t>
            </w:r>
            <w:r>
              <w:rPr>
                <w:rFonts w:hint="eastAsia" w:cs="Times New Roman"/>
                <w:color w:val="auto"/>
                <w:sz w:val="24"/>
                <w:highlight w:val="none"/>
                <w:lang w:val="en-US" w:eastAsia="zh-CN"/>
              </w:rPr>
              <w:t>施工结束后及时清运；</w:t>
            </w:r>
            <w:r>
              <w:rPr>
                <w:rFonts w:ascii="Times New Roman" w:hAnsi="Times New Roman" w:cs="Times New Roman"/>
                <w:color w:val="auto"/>
                <w:sz w:val="24"/>
                <w:highlight w:val="none"/>
              </w:rPr>
              <w:t>沙、渣土等易产生扬尘的堆放场地，必须设置围栏或采取遮盖、洒水等防尘措施。风速大于3m/s时应停止施工。</w:t>
            </w:r>
          </w:p>
          <w:p w14:paraId="02F6E96E">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同时，项目应执行川办函〔2018〕10号《四川省重污染天气应急预案（2018年修订）》及川重污染天气应急办〔2018〕34号《四川省重污染天气应急指挥部办公室关于印发&lt;四川省重污染天气应急预案（2018年修订）&gt;修订单的函》中的应急措施要求，做好施工管理及施工现场污染防治工作。</w:t>
            </w:r>
          </w:p>
          <w:p w14:paraId="4D786488">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环评要求施工单位在日常施工过程中严格采取上述施工扬尘污染防治措施，切实有效降低施工工地扬尘产生量及其浓度，确保达到《四川省施工场地扬尘排放标准》（DB512682-2020）的排放要求。</w:t>
            </w:r>
          </w:p>
          <w:p w14:paraId="598A6E25">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（2）施工燃油废气</w:t>
            </w:r>
          </w:p>
          <w:p w14:paraId="50F17910">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施工期间，使用机动车运送原材料、设备，会排放定量的CO、NO</w:t>
            </w:r>
            <w:r>
              <w:rPr>
                <w:rFonts w:ascii="Times New Roman" w:hAnsi="Times New Roman" w:cs="Times New Roman"/>
                <w:color w:val="auto"/>
                <w:sz w:val="24"/>
                <w:highlight w:val="none"/>
                <w:vertAlign w:val="subscript"/>
              </w:rPr>
              <w:t>x</w:t>
            </w:r>
            <w:r>
              <w:rPr>
                <w:rFonts w:ascii="Times New Roman" w:hAnsi="Times New Roman" w:cs="Times New Roman"/>
                <w:color w:val="auto"/>
                <w:sz w:val="24"/>
                <w:highlight w:val="none"/>
              </w:rPr>
              <w:t>以及未完全燃烧的HC等，其特点是排放量小，且属间断性无组织排放，由于其这一特点，加之施工场地开阔，扩散条件良好，因此对其不加处理也可达到相应的排放标准。在施工期内应多加注意施工设备的维护，使其能够正常</w:t>
            </w:r>
            <w:r>
              <w:rPr>
                <w:rFonts w:hint="eastAsia" w:cs="Times New Roman"/>
                <w:color w:val="auto"/>
                <w:sz w:val="24"/>
                <w:highlight w:val="none"/>
                <w:lang w:val="en-US" w:eastAsia="zh-CN"/>
              </w:rPr>
              <w:t>地</w:t>
            </w:r>
            <w:r>
              <w:rPr>
                <w:rFonts w:ascii="Times New Roman" w:hAnsi="Times New Roman" w:cs="Times New Roman"/>
                <w:color w:val="auto"/>
                <w:sz w:val="24"/>
                <w:highlight w:val="none"/>
              </w:rPr>
              <w:t>运行，提高设备原料的利用率。</w:t>
            </w:r>
          </w:p>
          <w:p w14:paraId="16114580">
            <w:pPr>
              <w:adjustRightInd w:val="0"/>
              <w:snapToGrid w:val="0"/>
              <w:spacing w:line="360" w:lineRule="auto"/>
              <w:ind w:firstLine="482" w:firstLineChars="200"/>
              <w:jc w:val="left"/>
              <w:rPr>
                <w:rFonts w:ascii="Times New Roman" w:hAnsi="Times New Roman" w:cs="Times New Roman"/>
                <w:b/>
                <w:bCs/>
                <w:color w:val="auto"/>
                <w:sz w:val="24"/>
                <w:highlight w:val="none"/>
              </w:rPr>
            </w:pPr>
            <w:r>
              <w:rPr>
                <w:rFonts w:hint="eastAsia" w:cs="Times New Roman"/>
                <w:b/>
                <w:bCs/>
                <w:color w:val="auto"/>
                <w:sz w:val="24"/>
                <w:highlight w:val="none"/>
                <w:lang w:val="en-US" w:eastAsia="zh-CN"/>
              </w:rPr>
              <w:t>2</w:t>
            </w:r>
            <w:r>
              <w:rPr>
                <w:rFonts w:ascii="Times New Roman" w:hAnsi="Times New Roman" w:cs="Times New Roman"/>
                <w:b/>
                <w:bCs/>
                <w:color w:val="auto"/>
                <w:sz w:val="24"/>
                <w:highlight w:val="none"/>
              </w:rPr>
              <w:t>、</w:t>
            </w:r>
            <w:r>
              <w:rPr>
                <w:rFonts w:hint="eastAsia" w:cs="Times New Roman"/>
                <w:b/>
                <w:bCs/>
                <w:color w:val="auto"/>
                <w:sz w:val="24"/>
                <w:highlight w:val="none"/>
                <w:lang w:val="en-US" w:eastAsia="zh-CN"/>
              </w:rPr>
              <w:t>水</w:t>
            </w:r>
            <w:r>
              <w:rPr>
                <w:rFonts w:ascii="Times New Roman" w:hAnsi="Times New Roman" w:cs="Times New Roman"/>
                <w:b/>
                <w:bCs/>
                <w:color w:val="auto"/>
                <w:sz w:val="24"/>
                <w:highlight w:val="none"/>
              </w:rPr>
              <w:t>污染源</w:t>
            </w:r>
          </w:p>
          <w:p w14:paraId="5A533A7E">
            <w:pPr>
              <w:adjustRightInd w:val="0"/>
              <w:snapToGrid w:val="0"/>
              <w:spacing w:line="360" w:lineRule="auto"/>
              <w:ind w:firstLine="480" w:firstLineChars="200"/>
              <w:jc w:val="left"/>
              <w:rPr>
                <w:rFonts w:ascii="Times New Roman" w:hAnsi="Times New Roman" w:cs="Times New Roman"/>
                <w:color w:val="auto"/>
                <w:sz w:val="24"/>
                <w:highlight w:val="none"/>
              </w:rPr>
            </w:pPr>
            <w:r>
              <w:rPr>
                <w:rFonts w:hint="eastAsia" w:cs="Times New Roman"/>
                <w:color w:val="auto"/>
                <w:sz w:val="24"/>
                <w:highlight w:val="none"/>
                <w:lang w:val="en-US" w:eastAsia="zh-CN"/>
              </w:rPr>
              <w:t>本项目在现有厂区预留空地施工，</w:t>
            </w:r>
            <w:r>
              <w:rPr>
                <w:rFonts w:ascii="Times New Roman" w:hAnsi="Times New Roman" w:cs="Times New Roman"/>
                <w:color w:val="auto"/>
                <w:sz w:val="24"/>
                <w:highlight w:val="none"/>
              </w:rPr>
              <w:t>施工期废水主要包括施工废水和生活污水。</w:t>
            </w:r>
          </w:p>
          <w:p w14:paraId="4B609E1B">
            <w:pPr>
              <w:numPr>
                <w:ilvl w:val="0"/>
                <w:numId w:val="26"/>
              </w:num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施工废水</w:t>
            </w:r>
          </w:p>
          <w:p w14:paraId="5CC44111">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主要来源于混凝土搅拌系统砂石材料和施工机械的冲洗废水，该废水含泥砂，悬浮物浓度较高，pH值呈弱碱性，并带有少量的油污。类比相似项目，施工废水中主要污染物浓度为COD</w:t>
            </w:r>
            <w:r>
              <w:rPr>
                <w:rFonts w:ascii="Times New Roman" w:hAnsi="Times New Roman" w:cs="Times New Roman"/>
                <w:color w:val="auto"/>
                <w:sz w:val="24"/>
                <w:highlight w:val="none"/>
                <w:vertAlign w:val="subscript"/>
              </w:rPr>
              <w:t>Cr</w:t>
            </w:r>
            <w:r>
              <w:rPr>
                <w:rFonts w:ascii="Times New Roman" w:hAnsi="Times New Roman" w:cs="Times New Roman"/>
                <w:color w:val="auto"/>
                <w:sz w:val="24"/>
                <w:highlight w:val="none"/>
              </w:rPr>
              <w:t>：150mg/L、SS：1200mg/L、石油类：12mg/L，废水经</w:t>
            </w:r>
            <w:r>
              <w:rPr>
                <w:rFonts w:ascii="Times New Roman" w:hAnsi="Times New Roman" w:cs="Times New Roman"/>
                <w:color w:val="auto"/>
                <w:sz w:val="24"/>
                <w:highlight w:val="none"/>
                <w:lang w:val="en-US" w:eastAsia="zh-CN"/>
              </w:rPr>
              <w:t>三级沉淀池</w:t>
            </w:r>
            <w:r>
              <w:rPr>
                <w:rFonts w:ascii="Times New Roman" w:hAnsi="Times New Roman" w:cs="Times New Roman"/>
                <w:color w:val="auto"/>
                <w:sz w:val="24"/>
                <w:highlight w:val="none"/>
              </w:rPr>
              <w:t>沉淀后回用施工，不外排</w:t>
            </w:r>
            <w:r>
              <w:rPr>
                <w:rFonts w:ascii="Times New Roman" w:hAnsi="Times New Roman" w:cs="Times New Roman"/>
                <w:color w:val="auto"/>
                <w:sz w:val="24"/>
                <w:highlight w:val="none"/>
                <w:lang w:val="en-US" w:eastAsia="zh-CN"/>
              </w:rPr>
              <w:t>。</w:t>
            </w:r>
          </w:p>
          <w:p w14:paraId="6ED6FE96">
            <w:pPr>
              <w:numPr>
                <w:ilvl w:val="0"/>
                <w:numId w:val="26"/>
              </w:numPr>
              <w:adjustRightInd w:val="0"/>
              <w:snapToGrid w:val="0"/>
              <w:spacing w:line="360" w:lineRule="auto"/>
              <w:ind w:left="0" w:leftChars="0"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生活污水</w:t>
            </w:r>
          </w:p>
          <w:p w14:paraId="6E0B138D">
            <w:pPr>
              <w:adjustRightInd w:val="0"/>
              <w:snapToGrid w:val="0"/>
              <w:spacing w:line="360" w:lineRule="auto"/>
              <w:ind w:firstLine="480" w:firstLineChars="200"/>
              <w:jc w:val="left"/>
              <w:rPr>
                <w:rFonts w:ascii="Times New Roman" w:hAnsi="Times New Roman" w:eastAsia="宋体" w:cs="Times New Roman"/>
                <w:color w:val="auto"/>
                <w:sz w:val="24"/>
                <w:highlight w:val="none"/>
                <w:lang w:val="en-US" w:eastAsia="zh-CN"/>
              </w:rPr>
            </w:pPr>
            <w:r>
              <w:rPr>
                <w:rFonts w:ascii="Times New Roman" w:hAnsi="Times New Roman" w:cs="Times New Roman"/>
                <w:color w:val="auto"/>
                <w:sz w:val="24"/>
                <w:highlight w:val="none"/>
              </w:rPr>
              <w:t>施工高峰期作业人员及管理人员按</w:t>
            </w:r>
            <w:r>
              <w:rPr>
                <w:rFonts w:hint="eastAsia" w:cs="Times New Roman"/>
                <w:color w:val="auto"/>
                <w:sz w:val="24"/>
                <w:highlight w:val="none"/>
                <w:lang w:val="en-US" w:eastAsia="zh-CN"/>
              </w:rPr>
              <w:t>50</w:t>
            </w:r>
            <w:r>
              <w:rPr>
                <w:rFonts w:ascii="Times New Roman" w:hAnsi="Times New Roman" w:cs="Times New Roman"/>
                <w:color w:val="auto"/>
                <w:sz w:val="24"/>
                <w:highlight w:val="none"/>
              </w:rPr>
              <w:t>人计，生活用水量按50L/人·d计，则生活日用水量为</w:t>
            </w:r>
            <w:r>
              <w:rPr>
                <w:rFonts w:hint="eastAsia" w:cs="Times New Roman"/>
                <w:color w:val="auto"/>
                <w:sz w:val="24"/>
                <w:highlight w:val="none"/>
                <w:lang w:val="en-US" w:eastAsia="zh-CN"/>
              </w:rPr>
              <w:t>2.5</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/d；排放系数按0.8计，则项目施工期生活污水排放量为</w:t>
            </w:r>
            <w:r>
              <w:rPr>
                <w:rFonts w:hint="eastAsia" w:cs="Times New Roman"/>
                <w:color w:val="auto"/>
                <w:sz w:val="24"/>
                <w:highlight w:val="none"/>
                <w:lang w:val="en-US" w:eastAsia="zh-CN"/>
              </w:rPr>
              <w:t>2.0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/d；主要污染物为COD、BOD、氨氮、SS以及少量动植物油等。项目</w:t>
            </w:r>
            <w:r>
              <w:rPr>
                <w:rFonts w:ascii="Times New Roman" w:hAnsi="Times New Roman" w:cs="Times New Roman"/>
                <w:color w:val="auto"/>
                <w:sz w:val="24"/>
                <w:highlight w:val="none"/>
                <w:lang w:val="en-US" w:eastAsia="zh-CN"/>
              </w:rPr>
              <w:t>依托厂区已建</w:t>
            </w:r>
            <w:r>
              <w:rPr>
                <w:rFonts w:hint="eastAsia" w:cs="Times New Roman"/>
                <w:color w:val="auto"/>
                <w:sz w:val="24"/>
                <w:highlight w:val="none"/>
                <w:lang w:val="en-US" w:eastAsia="zh-CN"/>
              </w:rPr>
              <w:t>的</w:t>
            </w:r>
            <w:r>
              <w:rPr>
                <w:rFonts w:ascii="Times New Roman" w:hAnsi="Times New Roman" w:cs="Times New Roman"/>
                <w:color w:val="auto"/>
                <w:sz w:val="24"/>
                <w:highlight w:val="none"/>
              </w:rPr>
              <w:t>隔油-预处理池（容积为</w:t>
            </w:r>
            <w:r>
              <w:rPr>
                <w:rFonts w:hint="eastAsia" w:cs="Times New Roman"/>
                <w:color w:val="auto"/>
                <w:sz w:val="24"/>
                <w:highlight w:val="none"/>
                <w:lang w:val="en-US" w:eastAsia="zh-CN"/>
              </w:rPr>
              <w:t>15</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w:t>
            </w:r>
            <w:r>
              <w:rPr>
                <w:rFonts w:hint="eastAsia" w:cs="Times New Roman"/>
                <w:color w:val="auto"/>
                <w:sz w:val="24"/>
                <w:highlight w:val="none"/>
                <w:lang w:val="en-US" w:eastAsia="zh-CN"/>
              </w:rPr>
              <w:t>和污水处理站（规模84</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hint="eastAsia" w:cs="Times New Roman"/>
                <w:color w:val="auto"/>
                <w:sz w:val="24"/>
                <w:highlight w:val="none"/>
                <w:lang w:val="en-US" w:eastAsia="zh-CN"/>
              </w:rPr>
              <w:t>/d）</w:t>
            </w:r>
            <w:r>
              <w:rPr>
                <w:rFonts w:ascii="Times New Roman" w:hAnsi="Times New Roman" w:cs="Times New Roman"/>
                <w:color w:val="auto"/>
                <w:sz w:val="24"/>
                <w:highlight w:val="none"/>
              </w:rPr>
              <w:t>，生活污水排入隔油-预处理池处理后</w:t>
            </w:r>
            <w:r>
              <w:rPr>
                <w:rFonts w:hint="eastAsia" w:cs="Times New Roman"/>
                <w:color w:val="auto"/>
                <w:sz w:val="24"/>
                <w:highlight w:val="none"/>
                <w:lang w:val="en-US" w:eastAsia="zh-CN"/>
              </w:rPr>
              <w:t>排入厂区</w:t>
            </w:r>
            <w:r>
              <w:rPr>
                <w:rFonts w:hint="eastAsia" w:ascii="Times New Roman" w:hAnsi="Times New Roman" w:cs="Times New Roman"/>
                <w:color w:val="auto"/>
                <w:sz w:val="24"/>
                <w:highlight w:val="none"/>
                <w:lang w:val="en-US" w:eastAsia="zh-CN"/>
              </w:rPr>
              <w:t>已建污水处理站处理达</w:t>
            </w:r>
            <w:r>
              <w:rPr>
                <w:rFonts w:ascii="Times New Roman" w:hAnsi="Times New Roman" w:cs="Times New Roman"/>
                <w:color w:val="auto"/>
                <w:sz w:val="24"/>
                <w:highlight w:val="none"/>
              </w:rPr>
              <w:t>《污水综合排放标准》（GB8978-1996）中的三级标准后</w:t>
            </w:r>
            <w:r>
              <w:rPr>
                <w:rFonts w:hint="eastAsia" w:ascii="Times New Roman" w:hAnsi="Times New Roman" w:cs="Times New Roman"/>
                <w:color w:val="auto"/>
                <w:sz w:val="24"/>
                <w:highlight w:val="none"/>
                <w:lang w:val="en-US" w:eastAsia="zh-CN"/>
              </w:rPr>
              <w:t>再</w:t>
            </w:r>
            <w:r>
              <w:rPr>
                <w:rFonts w:ascii="Times New Roman" w:hAnsi="Times New Roman" w:cs="Times New Roman"/>
                <w:color w:val="auto"/>
                <w:sz w:val="24"/>
                <w:highlight w:val="none"/>
              </w:rPr>
              <w:t>通过园区污水管网</w:t>
            </w:r>
            <w:r>
              <w:rPr>
                <w:rFonts w:ascii="Times New Roman" w:hAnsi="Times New Roman" w:cs="Times New Roman"/>
                <w:color w:val="auto"/>
                <w:sz w:val="24"/>
                <w:highlight w:val="none"/>
                <w:lang w:val="en-US" w:eastAsia="zh-CN"/>
              </w:rPr>
              <w:t>排至</w:t>
            </w:r>
            <w:r>
              <w:rPr>
                <w:rFonts w:hint="eastAsia" w:ascii="Times New Roman" w:hAnsi="Times New Roman" w:cs="Times New Roman"/>
                <w:color w:val="auto"/>
                <w:sz w:val="24"/>
                <w:highlight w:val="none"/>
                <w:lang w:val="en-US" w:eastAsia="zh-CN"/>
              </w:rPr>
              <w:t>大英经济开发区污水处理厂</w:t>
            </w:r>
            <w:r>
              <w:rPr>
                <w:rFonts w:ascii="Times New Roman" w:hAnsi="Times New Roman" w:cs="Times New Roman"/>
                <w:color w:val="auto"/>
                <w:sz w:val="24"/>
                <w:highlight w:val="none"/>
              </w:rPr>
              <w:t>。</w:t>
            </w:r>
          </w:p>
          <w:p w14:paraId="368296EA">
            <w:pPr>
              <w:adjustRightInd w:val="0"/>
              <w:snapToGrid w:val="0"/>
              <w:spacing w:line="360" w:lineRule="auto"/>
              <w:ind w:firstLine="482" w:firstLineChars="200"/>
              <w:jc w:val="left"/>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3、噪声源</w:t>
            </w:r>
          </w:p>
          <w:p w14:paraId="18EE0AC1">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施工期噪声主要包括施工机械噪声和运输车辆交通噪声，具体如下：</w:t>
            </w:r>
          </w:p>
          <w:p w14:paraId="7073C84D">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①土石方挖掘机、基础施工工序使用的塔吊，钢筋加工时使用的卷扬机、压缩机等机械设备及运输车辆产生的噪声，声级值数75~105dB（A）。</w:t>
            </w:r>
          </w:p>
          <w:p w14:paraId="0FBB79CC">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②板、梁、柱</w:t>
            </w:r>
            <w:r>
              <w:rPr>
                <w:rFonts w:hint="eastAsia" w:cs="Times New Roman"/>
                <w:color w:val="auto"/>
                <w:sz w:val="24"/>
                <w:highlight w:val="none"/>
                <w:lang w:eastAsia="zh-CN"/>
              </w:rPr>
              <w:t>浇筑</w:t>
            </w:r>
            <w:r>
              <w:rPr>
                <w:rFonts w:ascii="Times New Roman" w:hAnsi="Times New Roman" w:cs="Times New Roman"/>
                <w:color w:val="auto"/>
                <w:sz w:val="24"/>
                <w:highlight w:val="none"/>
              </w:rPr>
              <w:t>时，使用的混凝土输送泵、振捣碾，钢筋加工使用的电锯、电焊机、空压机等设备产生的噪声，声级值约75～105dB（A）。</w:t>
            </w:r>
          </w:p>
          <w:p w14:paraId="0EB99FAC">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③电钻、电锤、手工钻、无齿锯、多功能木工刨、云石机、切割机、角向磨光机等设备噪声，声级值90～115dB（A）。</w:t>
            </w:r>
          </w:p>
          <w:p w14:paraId="6D8BC148">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④运输建筑材料及土石方的车辆交通噪声，声级值约75～90dB（A）。</w:t>
            </w:r>
          </w:p>
          <w:p w14:paraId="7080C3F5">
            <w:pPr>
              <w:adjustRightInd w:val="0"/>
              <w:snapToGrid w:val="0"/>
              <w:spacing w:line="360" w:lineRule="auto"/>
              <w:ind w:firstLine="482" w:firstLineChars="200"/>
              <w:jc w:val="left"/>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拟采取的防治措施有：</w:t>
            </w:r>
          </w:p>
          <w:p w14:paraId="1729B2A6">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①选用低噪设备，并采取有效的隔声减振措施。</w:t>
            </w:r>
          </w:p>
          <w:p w14:paraId="726478B4">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合理安排作业时间，将打桩、倾倒卵石料等强噪声作业尽量安排在白天进行，杜绝夜间（22：00~6：00），午休期间（12:00-14:00）施工噪声扰民；如果工艺要求必须连续作业的强噪声施工，应首先征得当地建委、城管等主管部门的同意，并及时向周边各住宅区居民公告，以免发生噪声扰民纠纷。</w:t>
            </w:r>
          </w:p>
          <w:p w14:paraId="54F26366">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③严格进行施工人员管理，文明施工。装卸、搬运钢管、模板等严禁抛掷，木工房使用前应完全封闭。</w:t>
            </w:r>
          </w:p>
          <w:p w14:paraId="270EEC81">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④施工范围严格设置围挡，对钢筋加工区设置加工棚。</w:t>
            </w:r>
          </w:p>
          <w:p w14:paraId="5EAD5754">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⑤选用低噪设备、做好施工机械消声、</w:t>
            </w:r>
            <w:r>
              <w:rPr>
                <w:rFonts w:hint="eastAsia" w:cs="Times New Roman"/>
                <w:color w:val="auto"/>
                <w:sz w:val="24"/>
                <w:highlight w:val="none"/>
                <w:lang w:eastAsia="zh-CN"/>
              </w:rPr>
              <w:t>减振</w:t>
            </w:r>
            <w:r>
              <w:rPr>
                <w:rFonts w:ascii="Times New Roman" w:hAnsi="Times New Roman" w:cs="Times New Roman"/>
                <w:color w:val="auto"/>
                <w:sz w:val="24"/>
                <w:highlight w:val="none"/>
              </w:rPr>
              <w:t>工作，定期对机械设备进行维修维护。</w:t>
            </w:r>
          </w:p>
          <w:p w14:paraId="33FD9D37">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⑥合理布局，将主要噪声设备源强（钢筋加工棚、设备加工区）置于施工范围中部。</w:t>
            </w:r>
          </w:p>
          <w:p w14:paraId="7B9A1B3D">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在采取上述措施的基础上，施工期场界噪声能达到《建筑施工场界环境噪声排放标准》（GB12523-2011）标准要求。</w:t>
            </w:r>
          </w:p>
          <w:p w14:paraId="65509292">
            <w:pPr>
              <w:adjustRightInd w:val="0"/>
              <w:snapToGrid w:val="0"/>
              <w:spacing w:line="360" w:lineRule="auto"/>
              <w:ind w:firstLine="482" w:firstLineChars="200"/>
              <w:jc w:val="left"/>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4、固体废物</w:t>
            </w:r>
          </w:p>
          <w:p w14:paraId="59A9EA12">
            <w:pPr>
              <w:adjustRightInd w:val="0"/>
              <w:snapToGrid w:val="0"/>
              <w:spacing w:line="360" w:lineRule="auto"/>
              <w:ind w:firstLine="480" w:firstLineChars="200"/>
              <w:jc w:val="left"/>
              <w:rPr>
                <w:rFonts w:ascii="Times New Roman" w:hAnsi="Times New Roman" w:cs="Times New Roman"/>
                <w:color w:val="auto"/>
                <w:sz w:val="24"/>
                <w:highlight w:val="none"/>
              </w:rPr>
            </w:pPr>
            <w:r>
              <w:rPr>
                <w:rFonts w:hint="eastAsia" w:cs="Times New Roman"/>
                <w:color w:val="auto"/>
                <w:sz w:val="24"/>
                <w:highlight w:val="none"/>
                <w:lang w:val="en-US" w:eastAsia="zh-CN"/>
              </w:rPr>
              <w:t>本项目</w:t>
            </w:r>
            <w:r>
              <w:rPr>
                <w:rFonts w:ascii="Times New Roman" w:hAnsi="Times New Roman" w:cs="Times New Roman"/>
                <w:color w:val="auto"/>
                <w:sz w:val="24"/>
                <w:highlight w:val="none"/>
              </w:rPr>
              <w:t>固体废物主要为建筑垃圾和施工人员的生活垃圾。</w:t>
            </w:r>
          </w:p>
          <w:p w14:paraId="2347102F">
            <w:pPr>
              <w:adjustRightInd w:val="0"/>
              <w:snapToGrid w:val="0"/>
              <w:spacing w:line="360" w:lineRule="auto"/>
              <w:ind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（1）土石方</w:t>
            </w:r>
          </w:p>
          <w:p w14:paraId="7014328D">
            <w:pPr>
              <w:adjustRightInd w:val="0"/>
              <w:snapToGrid w:val="0"/>
              <w:spacing w:line="360" w:lineRule="auto"/>
              <w:ind w:firstLine="480" w:firstLineChars="200"/>
              <w:jc w:val="left"/>
              <w:rPr>
                <w:rFonts w:hint="default" w:cs="Times New Roman"/>
                <w:color w:val="auto"/>
                <w:sz w:val="24"/>
                <w:highlight w:val="none"/>
                <w:lang w:val="en-US" w:eastAsia="zh-CN"/>
              </w:rPr>
            </w:pPr>
            <w:r>
              <w:rPr>
                <w:rFonts w:hint="eastAsia" w:cs="Times New Roman"/>
                <w:color w:val="auto"/>
                <w:sz w:val="24"/>
                <w:highlight w:val="none"/>
                <w:lang w:val="en-US" w:eastAsia="zh-CN"/>
              </w:rPr>
              <w:t>本项目在厂区预留场地内进行建设，场地已平整，土石方主要为构筑物地基开挖及基础建设产生，其土石方基本能挖填平衡，无弃方。</w:t>
            </w:r>
          </w:p>
          <w:p w14:paraId="1318F382">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ascii="Times New Roman" w:hAnsi="Times New Roman" w:cs="Times New Roman"/>
                <w:color w:val="auto"/>
                <w:sz w:val="24"/>
                <w:highlight w:val="none"/>
              </w:rPr>
              <w:t>（</w:t>
            </w:r>
            <w:r>
              <w:rPr>
                <w:rFonts w:hint="eastAsia" w:cs="Times New Roman"/>
                <w:color w:val="auto"/>
                <w:sz w:val="24"/>
                <w:highlight w:val="none"/>
                <w:lang w:val="en-US" w:eastAsia="zh-CN"/>
              </w:rPr>
              <w:t>2</w:t>
            </w:r>
            <w:r>
              <w:rPr>
                <w:rFonts w:ascii="Times New Roman" w:hAnsi="Times New Roman" w:cs="Times New Roman"/>
                <w:color w:val="auto"/>
                <w:sz w:val="24"/>
                <w:highlight w:val="none"/>
              </w:rPr>
              <w:t>）</w:t>
            </w:r>
            <w:r>
              <w:rPr>
                <w:rFonts w:hint="eastAsia" w:cs="Times New Roman"/>
                <w:color w:val="auto"/>
                <w:sz w:val="24"/>
                <w:highlight w:val="none"/>
                <w:lang w:val="en-US" w:eastAsia="zh-CN"/>
              </w:rPr>
              <w:t>建筑垃圾</w:t>
            </w:r>
          </w:p>
          <w:p w14:paraId="0A9076E3">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在项目施工过程中，产生的建筑垃圾（废木块、混凝土渣、废铁、废钢板废料等、废包装材料等），评价对产生的建渣按照10kg/m</w:t>
            </w:r>
            <w:r>
              <w:rPr>
                <w:rFonts w:ascii="Times New Roman" w:hAnsi="Times New Roman" w:cs="Times New Roman"/>
                <w:color w:val="auto"/>
                <w:sz w:val="24"/>
                <w:highlight w:val="none"/>
                <w:vertAlign w:val="superscript"/>
              </w:rPr>
              <w:t>2</w:t>
            </w:r>
            <w:r>
              <w:rPr>
                <w:rFonts w:ascii="Times New Roman" w:hAnsi="Times New Roman" w:cs="Times New Roman"/>
                <w:color w:val="auto"/>
                <w:sz w:val="24"/>
                <w:highlight w:val="none"/>
              </w:rPr>
              <w:t>的计算，本项目</w:t>
            </w:r>
            <w:r>
              <w:rPr>
                <w:rFonts w:hint="eastAsia" w:cs="Times New Roman"/>
                <w:color w:val="auto"/>
                <w:sz w:val="24"/>
                <w:highlight w:val="none"/>
                <w:lang w:val="en-US" w:eastAsia="zh-CN"/>
              </w:rPr>
              <w:t>总</w:t>
            </w:r>
            <w:r>
              <w:rPr>
                <w:rFonts w:ascii="Times New Roman" w:hAnsi="Times New Roman" w:cs="Times New Roman"/>
                <w:color w:val="auto"/>
                <w:sz w:val="24"/>
                <w:highlight w:val="none"/>
              </w:rPr>
              <w:t>建筑面积为</w:t>
            </w:r>
            <w:r>
              <w:rPr>
                <w:rFonts w:hint="eastAsia" w:cs="Times New Roman"/>
                <w:color w:val="auto"/>
                <w:sz w:val="24"/>
                <w:highlight w:val="none"/>
                <w:lang w:val="en-US" w:eastAsia="zh-CN"/>
              </w:rPr>
              <w:t>2543.5</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2</w:t>
            </w:r>
            <w:r>
              <w:rPr>
                <w:rFonts w:ascii="Times New Roman" w:hAnsi="Times New Roman" w:cs="Times New Roman"/>
                <w:color w:val="auto"/>
                <w:sz w:val="24"/>
                <w:highlight w:val="none"/>
              </w:rPr>
              <w:t>，则推算本项目施工期产生的施工建渣为</w:t>
            </w:r>
            <w:r>
              <w:rPr>
                <w:rFonts w:hint="eastAsia" w:cs="Times New Roman"/>
                <w:color w:val="auto"/>
                <w:sz w:val="24"/>
                <w:highlight w:val="none"/>
                <w:lang w:val="en-US" w:eastAsia="zh-CN"/>
              </w:rPr>
              <w:t>25.435</w:t>
            </w:r>
            <w:r>
              <w:rPr>
                <w:rFonts w:ascii="Times New Roman" w:hAnsi="Times New Roman" w:cs="Times New Roman"/>
                <w:color w:val="auto"/>
                <w:sz w:val="24"/>
                <w:highlight w:val="none"/>
              </w:rPr>
              <w:t>吨。施工现场应设置建筑废弃物临时堆场并进行防雨、防泄漏处理。施工产生的废料应首先考虑回收利用，对钢筋、钢板、木材等下角料可分类回收，交废物收购站处理；对不能回收的建筑垃圾，如混凝土废料、含砖、石、砂的杂土等应集中堆放，定时清运到指定垃圾场。</w:t>
            </w:r>
          </w:p>
          <w:p w14:paraId="2EA39AD9">
            <w:pPr>
              <w:autoSpaceDE/>
              <w:autoSpaceDN/>
              <w:adjustRightInd w:val="0"/>
              <w:snapToGrid w:val="0"/>
              <w:spacing w:line="360" w:lineRule="auto"/>
              <w:ind w:firstLine="480" w:firstLineChars="200"/>
              <w:jc w:val="left"/>
              <w:rPr>
                <w:rFonts w:ascii="Times New Roman" w:hAnsi="Times New Roman" w:cs="Times New Roman"/>
                <w:color w:val="auto"/>
                <w:sz w:val="24"/>
                <w:szCs w:val="24"/>
                <w:highlight w:val="none"/>
              </w:rPr>
            </w:pPr>
            <w:r>
              <w:rPr>
                <w:rStyle w:val="34"/>
                <w:rFonts w:ascii="Times New Roman" w:hAnsi="Times New Roman" w:cs="Times New Roman"/>
                <w:color w:val="auto"/>
                <w:kern w:val="0"/>
                <w:sz w:val="24"/>
                <w:szCs w:val="24"/>
                <w:highlight w:val="none"/>
              </w:rPr>
              <w:t>（</w:t>
            </w:r>
            <w:r>
              <w:rPr>
                <w:rStyle w:val="34"/>
                <w:rFonts w:hint="eastAsia" w:cs="Times New Roman"/>
                <w:color w:val="auto"/>
                <w:kern w:val="0"/>
                <w:sz w:val="24"/>
                <w:szCs w:val="24"/>
                <w:highlight w:val="none"/>
                <w:lang w:val="en-US" w:eastAsia="zh-CN"/>
              </w:rPr>
              <w:t>3</w:t>
            </w:r>
            <w:r>
              <w:rPr>
                <w:rStyle w:val="34"/>
                <w:rFonts w:ascii="Times New Roman" w:hAnsi="Times New Roman" w:cs="Times New Roman"/>
                <w:color w:val="auto"/>
                <w:kern w:val="0"/>
                <w:sz w:val="24"/>
                <w:szCs w:val="24"/>
                <w:highlight w:val="none"/>
              </w:rPr>
              <w:t>）</w:t>
            </w:r>
            <w:r>
              <w:rPr>
                <w:rStyle w:val="34"/>
                <w:rFonts w:ascii="Times New Roman" w:hAnsi="Times New Roman" w:cs="Times New Roman"/>
                <w:color w:val="auto"/>
                <w:kern w:val="0"/>
                <w:sz w:val="24"/>
                <w:szCs w:val="24"/>
                <w:highlight w:val="none"/>
                <w:lang w:val="en-US" w:eastAsia="zh-CN"/>
              </w:rPr>
              <w:t>施工期</w:t>
            </w:r>
            <w:r>
              <w:rPr>
                <w:rStyle w:val="34"/>
                <w:rFonts w:ascii="Times New Roman" w:hAnsi="Times New Roman" w:cs="Times New Roman"/>
                <w:color w:val="auto"/>
                <w:kern w:val="0"/>
                <w:sz w:val="24"/>
                <w:szCs w:val="24"/>
                <w:highlight w:val="none"/>
              </w:rPr>
              <w:t>生活垃圾</w:t>
            </w:r>
          </w:p>
          <w:p w14:paraId="5FF36532">
            <w:pPr>
              <w:autoSpaceDE/>
              <w:autoSpaceDN/>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按高峰时施工人员</w:t>
            </w:r>
            <w:r>
              <w:rPr>
                <w:rFonts w:hint="eastAsia" w:cs="Times New Roman"/>
                <w:color w:val="auto"/>
                <w:sz w:val="24"/>
                <w:highlight w:val="none"/>
                <w:lang w:val="en-US" w:eastAsia="zh-CN"/>
              </w:rPr>
              <w:t>50</w:t>
            </w:r>
            <w:r>
              <w:rPr>
                <w:rFonts w:ascii="Times New Roman" w:hAnsi="Times New Roman" w:cs="Times New Roman"/>
                <w:color w:val="auto"/>
                <w:sz w:val="24"/>
                <w:highlight w:val="none"/>
              </w:rPr>
              <w:t>人，施工期生活垃圾按0.5kg/人·d计，产生量为</w:t>
            </w:r>
            <w:r>
              <w:rPr>
                <w:rFonts w:hint="eastAsia" w:cs="Times New Roman"/>
                <w:color w:val="auto"/>
                <w:sz w:val="24"/>
                <w:highlight w:val="none"/>
                <w:lang w:val="en-US" w:eastAsia="zh-CN"/>
              </w:rPr>
              <w:t>0.025t</w:t>
            </w:r>
            <w:r>
              <w:rPr>
                <w:rFonts w:ascii="Times New Roman" w:hAnsi="Times New Roman" w:cs="Times New Roman"/>
                <w:color w:val="auto"/>
                <w:sz w:val="24"/>
                <w:highlight w:val="none"/>
              </w:rPr>
              <w:t>/d。环评要求设专人打扫卫生，设置垃圾箱、垃圾桶，每天收集施工区域的生活垃圾，交由环卫部门统一清运、处理。</w:t>
            </w:r>
          </w:p>
          <w:p w14:paraId="0CEC05F5">
            <w:pPr>
              <w:adjustRightInd w:val="0"/>
              <w:snapToGrid w:val="0"/>
              <w:spacing w:line="360" w:lineRule="auto"/>
              <w:ind w:firstLine="482" w:firstLineChars="200"/>
              <w:jc w:val="left"/>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5、水土流失</w:t>
            </w:r>
          </w:p>
          <w:p w14:paraId="327244C0">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（1）污染源分析</w:t>
            </w:r>
          </w:p>
          <w:p w14:paraId="64DB306B">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建筑物施工过程中基础开挖将不可避免产生水土流失。水土流失的成因主要有：</w:t>
            </w:r>
          </w:p>
          <w:p w14:paraId="28663A7B">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①施工过程中开挖造成地表裸露，表层土抗蚀能力减弱，将加剧水土流失。</w:t>
            </w:r>
          </w:p>
          <w:p w14:paraId="512723FD">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②施工区的土石渣料堆放遇下雨时受雨水冲刷，将不可避免的产生部分水土流失。</w:t>
            </w:r>
          </w:p>
          <w:p w14:paraId="489F89D9">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③取土回填也易产生水土流失。</w:t>
            </w:r>
          </w:p>
          <w:p w14:paraId="498E3105">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（2）防治措施</w:t>
            </w:r>
          </w:p>
          <w:p w14:paraId="4551499D">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①在施工过程中必须做到对施工区土壤的分层剥离、分层开挖、分层堆放和循序分层回填。应注意表层土壤的堆放及防护问题，避免雨天施工，施工时采取修建挡土墙、排水沟、覆盖塑料布等措施，可有效防止水土流失。</w:t>
            </w:r>
          </w:p>
          <w:p w14:paraId="0811CBCA">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②施工设置杂货区、垃圾箱，明确卫生责任区，确定责任人，并定期打扫清除。</w:t>
            </w:r>
          </w:p>
          <w:p w14:paraId="53B063D1">
            <w:pPr>
              <w:spacing w:line="360" w:lineRule="auto"/>
              <w:ind w:firstLine="480" w:firstLineChars="200"/>
              <w:rPr>
                <w:rFonts w:hint="default"/>
                <w:bCs/>
                <w:color w:val="auto"/>
                <w:spacing w:val="-10"/>
                <w:szCs w:val="21"/>
                <w:highlight w:val="none"/>
                <w:lang w:val="en-US"/>
              </w:rPr>
            </w:pPr>
            <w:r>
              <w:rPr>
                <w:rFonts w:ascii="Times New Roman" w:hAnsi="Times New Roman" w:cs="Times New Roman"/>
                <w:color w:val="auto"/>
                <w:sz w:val="24"/>
                <w:highlight w:val="none"/>
              </w:rPr>
              <w:t>综上所述，本项目施工期施工作业影响是暂时的，在施工结束后，影响区域的各环境要素基本都可以得到恢复。只要建设单位认真制定和严格落实工程施工期应该采取的环保对策措施，则施工建设活动对外环境的不利影响可得到消除或有效控制。</w:t>
            </w:r>
          </w:p>
        </w:tc>
      </w:tr>
      <w:tr w14:paraId="246D2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96" w:type="pct"/>
            <w:tcMar>
              <w:left w:w="28" w:type="dxa"/>
              <w:right w:w="28" w:type="dxa"/>
            </w:tcMar>
            <w:vAlign w:val="center"/>
          </w:tcPr>
          <w:p w14:paraId="6F94A667">
            <w:pPr>
              <w:adjustRightInd w:val="0"/>
              <w:snapToGrid w:val="0"/>
              <w:jc w:val="center"/>
              <w:rPr>
                <w:bCs/>
                <w:color w:val="auto"/>
                <w:sz w:val="24"/>
                <w:szCs w:val="24"/>
                <w:highlight w:val="none"/>
              </w:rPr>
            </w:pPr>
            <w:r>
              <w:rPr>
                <w:bCs/>
                <w:color w:val="auto"/>
                <w:sz w:val="24"/>
                <w:szCs w:val="24"/>
                <w:highlight w:val="none"/>
              </w:rPr>
              <w:t>运营期环境影响和保护措施</w:t>
            </w:r>
          </w:p>
        </w:tc>
        <w:tc>
          <w:tcPr>
            <w:tcW w:w="4603" w:type="pct"/>
            <w:vAlign w:val="center"/>
          </w:tcPr>
          <w:p w14:paraId="3E956A09">
            <w:pPr>
              <w:spacing w:line="360" w:lineRule="auto"/>
              <w:rPr>
                <w:b/>
                <w:color w:val="auto"/>
                <w:kern w:val="0"/>
                <w:sz w:val="24"/>
                <w:highlight w:val="none"/>
              </w:rPr>
            </w:pPr>
            <w:r>
              <w:rPr>
                <w:rFonts w:hint="eastAsia"/>
                <w:b/>
                <w:color w:val="auto"/>
                <w:spacing w:val="-10"/>
                <w:sz w:val="24"/>
                <w:highlight w:val="none"/>
                <w:lang w:val="en-US" w:eastAsia="zh-CN"/>
              </w:rPr>
              <w:t>二</w:t>
            </w:r>
            <w:r>
              <w:rPr>
                <w:b/>
                <w:color w:val="auto"/>
                <w:spacing w:val="-10"/>
                <w:sz w:val="24"/>
                <w:highlight w:val="none"/>
              </w:rPr>
              <w:t>、运营期</w:t>
            </w:r>
            <w:r>
              <w:rPr>
                <w:b/>
                <w:color w:val="auto"/>
                <w:kern w:val="0"/>
                <w:sz w:val="24"/>
                <w:highlight w:val="none"/>
              </w:rPr>
              <w:t>污染物排放及治理措施</w:t>
            </w:r>
          </w:p>
          <w:p w14:paraId="0E3CF9EF">
            <w:pPr>
              <w:spacing w:line="360" w:lineRule="auto"/>
              <w:ind w:firstLine="482" w:firstLineChars="200"/>
              <w:textAlignment w:val="baseline"/>
              <w:rPr>
                <w:b/>
                <w:color w:val="auto"/>
                <w:sz w:val="24"/>
                <w:szCs w:val="22"/>
                <w:highlight w:val="none"/>
                <w:lang w:bidi="ar"/>
              </w:rPr>
            </w:pPr>
            <w:r>
              <w:rPr>
                <w:b/>
                <w:color w:val="auto"/>
                <w:sz w:val="24"/>
                <w:szCs w:val="22"/>
                <w:highlight w:val="none"/>
                <w:lang w:bidi="ar"/>
              </w:rPr>
              <w:t>1</w:t>
            </w:r>
            <w:r>
              <w:rPr>
                <w:rFonts w:hint="eastAsia"/>
                <w:b/>
                <w:color w:val="auto"/>
                <w:sz w:val="24"/>
                <w:szCs w:val="22"/>
                <w:highlight w:val="none"/>
                <w:lang w:eastAsia="zh-CN" w:bidi="ar"/>
              </w:rPr>
              <w:t>、</w:t>
            </w:r>
            <w:r>
              <w:rPr>
                <w:b/>
                <w:color w:val="auto"/>
                <w:sz w:val="24"/>
                <w:szCs w:val="22"/>
                <w:highlight w:val="none"/>
                <w:lang w:bidi="ar"/>
              </w:rPr>
              <w:t>废气</w:t>
            </w:r>
          </w:p>
          <w:p w14:paraId="06780966">
            <w:pPr>
              <w:spacing w:line="360" w:lineRule="auto"/>
              <w:ind w:firstLine="480" w:firstLineChars="200"/>
              <w:rPr>
                <w:rFonts w:eastAsiaTheme="minorEastAsia"/>
                <w:color w:val="auto"/>
                <w:sz w:val="24"/>
                <w:szCs w:val="21"/>
                <w:highlight w:val="none"/>
              </w:rPr>
            </w:pPr>
            <w:r>
              <w:rPr>
                <w:rFonts w:hint="eastAsia"/>
                <w:b w:val="0"/>
                <w:bCs/>
                <w:color w:val="auto"/>
                <w:sz w:val="24"/>
                <w:szCs w:val="22"/>
                <w:highlight w:val="none"/>
                <w:lang w:val="en-US" w:eastAsia="zh-CN" w:bidi="ar"/>
              </w:rPr>
              <w:t>本项目运营期产生的废气主要为生产装置区蒸馏尾气、储罐呼吸废气、污水处理站恶臭以及危废贮存库异味。分析化验室主要对原料及产品进行</w:t>
            </w:r>
            <w:r>
              <w:rPr>
                <w:rFonts w:eastAsiaTheme="minorEastAsia"/>
                <w:color w:val="auto"/>
                <w:sz w:val="24"/>
                <w:szCs w:val="21"/>
                <w:highlight w:val="none"/>
              </w:rPr>
              <w:t>产品性状、水分、含量</w:t>
            </w:r>
            <w:r>
              <w:rPr>
                <w:rFonts w:hint="eastAsia" w:eastAsiaTheme="minorEastAsia"/>
                <w:color w:val="auto"/>
                <w:sz w:val="24"/>
                <w:szCs w:val="21"/>
                <w:highlight w:val="none"/>
                <w:lang w:val="en-US" w:eastAsia="zh-CN"/>
              </w:rPr>
              <w:t>等检测，采用质谱仪直接进行分析，不涉及有机、无机试剂使用，不产生检验废气。</w:t>
            </w:r>
            <w:r>
              <w:rPr>
                <w:rFonts w:hint="eastAsia" w:cs="Times New Roman"/>
                <w:color w:val="auto"/>
                <w:sz w:val="24"/>
                <w:szCs w:val="24"/>
                <w:highlight w:val="none"/>
                <w:lang w:val="en-US" w:eastAsia="zh-CN"/>
              </w:rPr>
              <w:t>本次技改供热依托现有蒸汽锅炉，锅炉燃烧废气依托现有废气净化措施处理后排放</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且锅炉燃烧废气污染物已按最不利考虑纳入原环评排污中，并进行达标可行性分析中，本次技改不新增锅炉燃烧废气，不再进行废气产排污分析，仅进行依托可行性分析。</w:t>
            </w:r>
          </w:p>
          <w:p w14:paraId="6153A6EC">
            <w:pPr>
              <w:spacing w:line="360" w:lineRule="auto"/>
              <w:ind w:firstLine="482" w:firstLineChars="200"/>
              <w:textAlignment w:val="baseline"/>
              <w:rPr>
                <w:rFonts w:hint="default" w:eastAsia="宋体"/>
                <w:b/>
                <w:color w:val="auto"/>
                <w:sz w:val="24"/>
                <w:szCs w:val="22"/>
                <w:highlight w:val="none"/>
                <w:lang w:val="en-US" w:eastAsia="zh-CN" w:bidi="ar"/>
              </w:rPr>
            </w:pPr>
            <w:r>
              <w:rPr>
                <w:b/>
                <w:color w:val="auto"/>
                <w:sz w:val="24"/>
                <w:szCs w:val="22"/>
                <w:highlight w:val="none"/>
                <w:lang w:bidi="ar"/>
              </w:rPr>
              <w:t>（1）</w:t>
            </w:r>
            <w:r>
              <w:rPr>
                <w:rFonts w:hint="eastAsia"/>
                <w:b/>
                <w:color w:val="auto"/>
                <w:sz w:val="24"/>
                <w:szCs w:val="22"/>
                <w:highlight w:val="none"/>
                <w:lang w:val="en-US" w:eastAsia="zh-CN" w:bidi="ar"/>
              </w:rPr>
              <w:t>蒸馏尾气</w:t>
            </w:r>
          </w:p>
          <w:p w14:paraId="02DD804D">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本项目产品为高浓度的醇胺类产品，通过将现有厂区相对低浓度的三乙醇胺和N-甲基一乙醇胺产品经过短程分子蒸馏法进行提纯得到高浓度产品，在蒸馏冷凝过程中会产生少量不凝气（即蒸馏尾气），其主要成分为三乙醇胺和N-甲基一乙醇胺等水易溶性气体，主要污染物为VOCs。</w:t>
            </w:r>
          </w:p>
          <w:p w14:paraId="479EB0E6">
            <w:pPr>
              <w:spacing w:line="360" w:lineRule="auto"/>
              <w:ind w:firstLine="482" w:firstLineChars="200"/>
              <w:rPr>
                <w:rFonts w:hint="default"/>
                <w:color w:val="auto"/>
                <w:sz w:val="24"/>
                <w:highlight w:val="none"/>
                <w:lang w:val="en-US" w:eastAsia="zh-CN"/>
              </w:rPr>
            </w:pPr>
            <w:r>
              <w:rPr>
                <w:rFonts w:hint="eastAsia"/>
                <w:b/>
                <w:bCs/>
                <w:color w:val="auto"/>
                <w:sz w:val="24"/>
                <w:highlight w:val="none"/>
                <w:lang w:val="en-US" w:eastAsia="zh-CN"/>
              </w:rPr>
              <w:t>源强：</w:t>
            </w:r>
            <w:r>
              <w:rPr>
                <w:rFonts w:hint="eastAsia"/>
                <w:color w:val="auto"/>
                <w:sz w:val="24"/>
                <w:highlight w:val="none"/>
                <w:lang w:val="en-US" w:eastAsia="zh-CN"/>
              </w:rPr>
              <w:t>本项目采用短程分子蒸馏法，液体混合物被加热，低沸点组分蒸发形成蒸汽，高沸点组分保持液态。蒸汽分子在蒸发面向冷凝面飞射的过程中，如果冷凝面积较大且距离短，蒸汽分子能更快地被冷凝。根据厂区现有产品生产工况，乙醇胺类产品和N-甲基乙醇胺类产品按需交替生产，本项目原料为厂区现有产品，使用同一条蒸馏生产线（3套装置），因此同理按需交替生产，产能为</w:t>
            </w:r>
            <w:r>
              <w:rPr>
                <w:rFonts w:hint="eastAsia" w:cs="Times New Roman"/>
                <w:color w:val="auto"/>
                <w:kern w:val="0"/>
                <w:sz w:val="24"/>
                <w:szCs w:val="24"/>
                <w:highlight w:val="none"/>
                <w:lang w:val="en-US" w:eastAsia="zh-CN" w:bidi="ar"/>
              </w:rPr>
              <w:t>年产2250t高浓度三</w:t>
            </w:r>
            <w:r>
              <w:rPr>
                <w:rFonts w:hint="default" w:ascii="Times New Roman" w:hAnsi="Times New Roman" w:eastAsia="宋体" w:cs="Times New Roman"/>
                <w:color w:val="auto"/>
                <w:kern w:val="0"/>
                <w:sz w:val="24"/>
                <w:szCs w:val="24"/>
                <w:highlight w:val="none"/>
                <w:lang w:bidi="ar"/>
              </w:rPr>
              <w:t>乙醇胺</w:t>
            </w:r>
            <w:r>
              <w:rPr>
                <w:rFonts w:hint="eastAsia" w:cs="Times New Roman"/>
                <w:color w:val="auto"/>
                <w:kern w:val="0"/>
                <w:sz w:val="24"/>
                <w:szCs w:val="24"/>
                <w:highlight w:val="none"/>
                <w:lang w:val="en-US" w:eastAsia="zh-CN" w:bidi="ar"/>
              </w:rPr>
              <w:t>产品及249.5t低浓度</w:t>
            </w:r>
            <w:r>
              <w:rPr>
                <w:rFonts w:hint="default" w:ascii="Times New Roman" w:hAnsi="Times New Roman" w:eastAsia="宋体" w:cs="Times New Roman"/>
                <w:color w:val="auto"/>
                <w:kern w:val="0"/>
                <w:sz w:val="24"/>
                <w:szCs w:val="24"/>
                <w:highlight w:val="none"/>
                <w:lang w:bidi="ar"/>
              </w:rPr>
              <w:t>乙醇胺</w:t>
            </w:r>
            <w:r>
              <w:rPr>
                <w:rFonts w:hint="eastAsia" w:cs="Times New Roman"/>
                <w:color w:val="auto"/>
                <w:kern w:val="0"/>
                <w:sz w:val="24"/>
                <w:szCs w:val="24"/>
                <w:highlight w:val="none"/>
                <w:lang w:val="en-US" w:eastAsia="zh-CN" w:bidi="ar"/>
              </w:rPr>
              <w:t>副产品，450t高浓度</w:t>
            </w:r>
            <w:r>
              <w:rPr>
                <w:rFonts w:hint="default" w:ascii="Times New Roman" w:hAnsi="Times New Roman" w:eastAsia="宋体" w:cs="Times New Roman"/>
                <w:color w:val="auto"/>
                <w:kern w:val="0"/>
                <w:sz w:val="24"/>
                <w:szCs w:val="24"/>
                <w:highlight w:val="none"/>
                <w:lang w:bidi="ar"/>
              </w:rPr>
              <w:t>N-甲基</w:t>
            </w:r>
            <w:r>
              <w:rPr>
                <w:rFonts w:hint="eastAsia" w:cs="Times New Roman"/>
                <w:color w:val="auto"/>
                <w:kern w:val="0"/>
                <w:sz w:val="24"/>
                <w:szCs w:val="24"/>
                <w:highlight w:val="none"/>
                <w:lang w:val="en-US" w:eastAsia="zh-CN" w:bidi="ar"/>
              </w:rPr>
              <w:t>一</w:t>
            </w:r>
            <w:r>
              <w:rPr>
                <w:rFonts w:hint="default" w:ascii="Times New Roman" w:hAnsi="Times New Roman" w:eastAsia="宋体" w:cs="Times New Roman"/>
                <w:color w:val="auto"/>
                <w:kern w:val="0"/>
                <w:sz w:val="24"/>
                <w:szCs w:val="24"/>
                <w:highlight w:val="none"/>
                <w:lang w:bidi="ar"/>
              </w:rPr>
              <w:t>乙醇胺</w:t>
            </w:r>
            <w:r>
              <w:rPr>
                <w:rFonts w:hint="eastAsia" w:cs="Times New Roman"/>
                <w:color w:val="auto"/>
                <w:kern w:val="0"/>
                <w:sz w:val="24"/>
                <w:szCs w:val="24"/>
                <w:highlight w:val="none"/>
                <w:lang w:val="en-US" w:eastAsia="zh-CN" w:bidi="ar"/>
              </w:rPr>
              <w:t>产品及49.915t低浓度</w:t>
            </w:r>
            <w:r>
              <w:rPr>
                <w:rFonts w:hint="default" w:ascii="Times New Roman" w:hAnsi="Times New Roman" w:eastAsia="宋体" w:cs="Times New Roman"/>
                <w:color w:val="auto"/>
                <w:kern w:val="0"/>
                <w:sz w:val="24"/>
                <w:szCs w:val="24"/>
                <w:highlight w:val="none"/>
                <w:lang w:bidi="ar"/>
              </w:rPr>
              <w:t>N-甲基</w:t>
            </w:r>
            <w:r>
              <w:rPr>
                <w:rFonts w:hint="eastAsia" w:cs="Times New Roman"/>
                <w:color w:val="auto"/>
                <w:kern w:val="0"/>
                <w:sz w:val="24"/>
                <w:szCs w:val="24"/>
                <w:highlight w:val="none"/>
                <w:lang w:val="en-US" w:eastAsia="zh-CN" w:bidi="ar"/>
              </w:rPr>
              <w:t>一</w:t>
            </w:r>
            <w:r>
              <w:rPr>
                <w:rFonts w:hint="default" w:ascii="Times New Roman" w:hAnsi="Times New Roman" w:eastAsia="宋体" w:cs="Times New Roman"/>
                <w:color w:val="auto"/>
                <w:kern w:val="0"/>
                <w:sz w:val="24"/>
                <w:szCs w:val="24"/>
                <w:highlight w:val="none"/>
                <w:lang w:bidi="ar"/>
              </w:rPr>
              <w:t>乙醇胺</w:t>
            </w:r>
            <w:r>
              <w:rPr>
                <w:rFonts w:hint="eastAsia" w:cs="Times New Roman"/>
                <w:color w:val="auto"/>
                <w:kern w:val="0"/>
                <w:sz w:val="24"/>
                <w:szCs w:val="24"/>
                <w:highlight w:val="none"/>
                <w:lang w:val="en-US" w:eastAsia="zh-CN" w:bidi="ar"/>
              </w:rPr>
              <w:t>副产品，</w:t>
            </w:r>
            <w:r>
              <w:rPr>
                <w:rFonts w:hint="eastAsia"/>
                <w:color w:val="auto"/>
                <w:sz w:val="24"/>
                <w:szCs w:val="24"/>
                <w:highlight w:val="none"/>
                <w:lang w:val="en-US" w:eastAsia="zh-CN"/>
              </w:rPr>
              <w:t>共计2999.541t/a。蒸馏装置年运行7200h，其中三乙醇胺6000h，N-甲基一乙醇胺1200h。</w:t>
            </w:r>
          </w:p>
          <w:p w14:paraId="3547BB5D">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结合前文物料平衡表，本项目各单元蒸馏尾气产生情况如下表所示：</w:t>
            </w:r>
          </w:p>
          <w:p w14:paraId="7156B1EA">
            <w:pPr>
              <w:pStyle w:val="41"/>
              <w:bidi w:val="0"/>
              <w:rPr>
                <w:rFonts w:hint="default"/>
                <w:color w:val="auto"/>
                <w:highlight w:val="none"/>
                <w:lang w:val="en-US" w:eastAsia="zh-CN"/>
              </w:rPr>
            </w:pPr>
            <w:r>
              <w:rPr>
                <w:rFonts w:hint="eastAsia"/>
                <w:color w:val="auto"/>
                <w:highlight w:val="none"/>
                <w:lang w:val="en-US" w:eastAsia="zh-CN"/>
              </w:rPr>
              <w:t>项目蒸馏提纯尾气产生情况一览表</w:t>
            </w:r>
          </w:p>
          <w:tbl>
            <w:tblPr>
              <w:tblStyle w:val="27"/>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0"/>
              <w:gridCol w:w="1088"/>
              <w:gridCol w:w="862"/>
              <w:gridCol w:w="894"/>
              <w:gridCol w:w="966"/>
              <w:gridCol w:w="1066"/>
              <w:gridCol w:w="1058"/>
              <w:gridCol w:w="1192"/>
            </w:tblGrid>
            <w:tr w14:paraId="48DB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66" w:type="pct"/>
                  <w:vAlign w:val="center"/>
                </w:tcPr>
                <w:p w14:paraId="22DD94CD">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产生单元</w:t>
                  </w:r>
                </w:p>
              </w:tc>
              <w:tc>
                <w:tcPr>
                  <w:tcW w:w="676" w:type="pct"/>
                  <w:vAlign w:val="center"/>
                </w:tcPr>
                <w:p w14:paraId="3AFA4543">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蒸馏原料</w:t>
                  </w:r>
                </w:p>
              </w:tc>
              <w:tc>
                <w:tcPr>
                  <w:tcW w:w="536" w:type="pct"/>
                  <w:vAlign w:val="center"/>
                </w:tcPr>
                <w:p w14:paraId="4DF0DAC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物料循环</w:t>
                  </w:r>
                  <w:r>
                    <w:rPr>
                      <w:rFonts w:hint="default" w:ascii="Times New Roman" w:hAnsi="Times New Roman" w:eastAsia="宋体" w:cs="Times New Roman"/>
                      <w:b/>
                      <w:bCs/>
                      <w:color w:val="auto"/>
                      <w:spacing w:val="-24"/>
                      <w:sz w:val="21"/>
                      <w:szCs w:val="21"/>
                      <w:highlight w:val="none"/>
                    </w:rPr>
                    <w:t>量</w:t>
                  </w:r>
                  <w:r>
                    <w:rPr>
                      <w:rFonts w:hint="default"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a</w:t>
                  </w:r>
                  <w:r>
                    <w:rPr>
                      <w:rFonts w:hint="default" w:ascii="Times New Roman" w:hAnsi="Times New Roman" w:eastAsia="宋体" w:cs="Times New Roman"/>
                      <w:b/>
                      <w:bCs/>
                      <w:color w:val="auto"/>
                      <w:sz w:val="21"/>
                      <w:szCs w:val="21"/>
                      <w:highlight w:val="none"/>
                    </w:rPr>
                    <w:t>）</w:t>
                  </w:r>
                </w:p>
              </w:tc>
              <w:tc>
                <w:tcPr>
                  <w:tcW w:w="556" w:type="pct"/>
                  <w:vAlign w:val="center"/>
                </w:tcPr>
                <w:p w14:paraId="75FDDD9F">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冷凝器不凝系数</w:t>
                  </w:r>
                </w:p>
              </w:tc>
              <w:tc>
                <w:tcPr>
                  <w:tcW w:w="601" w:type="pct"/>
                  <w:vAlign w:val="center"/>
                </w:tcPr>
                <w:p w14:paraId="167C928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污染物类型</w:t>
                  </w:r>
                </w:p>
              </w:tc>
              <w:tc>
                <w:tcPr>
                  <w:tcW w:w="1066" w:type="dxa"/>
                  <w:vAlign w:val="center"/>
                </w:tcPr>
                <w:p w14:paraId="5C3D84B0">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产生速率（</w:t>
                  </w:r>
                  <w:r>
                    <w:rPr>
                      <w:rFonts w:hint="default" w:ascii="Times New Roman" w:hAnsi="Times New Roman" w:eastAsia="宋体" w:cs="Times New Roman"/>
                      <w:b/>
                      <w:bCs/>
                      <w:i w:val="0"/>
                      <w:iCs w:val="0"/>
                      <w:color w:val="auto"/>
                      <w:kern w:val="0"/>
                      <w:sz w:val="21"/>
                      <w:szCs w:val="21"/>
                      <w:highlight w:val="none"/>
                      <w:u w:val="none"/>
                      <w:lang w:val="en-US" w:eastAsia="zh-CN" w:bidi="ar"/>
                    </w:rPr>
                    <w:t>kg/h</w:t>
                  </w:r>
                  <w:r>
                    <w:rPr>
                      <w:rFonts w:hint="eastAsia" w:ascii="宋体" w:hAnsi="宋体" w:eastAsia="宋体" w:cs="宋体"/>
                      <w:b/>
                      <w:bCs/>
                      <w:i w:val="0"/>
                      <w:iCs w:val="0"/>
                      <w:color w:val="auto"/>
                      <w:kern w:val="0"/>
                      <w:sz w:val="21"/>
                      <w:szCs w:val="21"/>
                      <w:highlight w:val="none"/>
                      <w:u w:val="none"/>
                      <w:lang w:val="en-US" w:eastAsia="zh-CN" w:bidi="ar"/>
                    </w:rPr>
                    <w:t>）</w:t>
                  </w:r>
                </w:p>
              </w:tc>
              <w:tc>
                <w:tcPr>
                  <w:tcW w:w="1058" w:type="dxa"/>
                  <w:vAlign w:val="center"/>
                </w:tcPr>
                <w:p w14:paraId="2949E2A3">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产生浓度（</w:t>
                  </w:r>
                  <w:r>
                    <w:rPr>
                      <w:rFonts w:hint="default" w:ascii="Times New Roman" w:hAnsi="Times New Roman" w:eastAsia="宋体" w:cs="Times New Roman"/>
                      <w:b/>
                      <w:bCs/>
                      <w:i w:val="0"/>
                      <w:iCs w:val="0"/>
                      <w:color w:val="auto"/>
                      <w:kern w:val="0"/>
                      <w:sz w:val="21"/>
                      <w:szCs w:val="21"/>
                      <w:highlight w:val="none"/>
                      <w:u w:val="none"/>
                      <w:lang w:val="en-US" w:eastAsia="zh-CN" w:bidi="ar"/>
                    </w:rPr>
                    <w:t>mg/m3</w:t>
                  </w:r>
                  <w:r>
                    <w:rPr>
                      <w:rFonts w:hint="eastAsia" w:ascii="宋体" w:hAnsi="宋体" w:eastAsia="宋体" w:cs="宋体"/>
                      <w:b/>
                      <w:bCs/>
                      <w:i w:val="0"/>
                      <w:iCs w:val="0"/>
                      <w:color w:val="auto"/>
                      <w:kern w:val="0"/>
                      <w:sz w:val="21"/>
                      <w:szCs w:val="21"/>
                      <w:highlight w:val="none"/>
                      <w:u w:val="none"/>
                      <w:lang w:val="en-US" w:eastAsia="zh-CN" w:bidi="ar"/>
                    </w:rPr>
                    <w:t>）</w:t>
                  </w:r>
                </w:p>
              </w:tc>
              <w:tc>
                <w:tcPr>
                  <w:tcW w:w="1192" w:type="dxa"/>
                  <w:vAlign w:val="center"/>
                </w:tcPr>
                <w:p w14:paraId="00D1B596">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产生量（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r>
            <w:tr w14:paraId="73B4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566" w:type="pct"/>
                  <w:vMerge w:val="restart"/>
                  <w:vAlign w:val="center"/>
                </w:tcPr>
                <w:p w14:paraId="2383E8EA">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生产车间（</w:t>
                  </w:r>
                  <w:r>
                    <w:rPr>
                      <w:rFonts w:hint="default" w:ascii="Times New Roman" w:hAnsi="Times New Roman" w:eastAsia="宋体" w:cs="Times New Roman"/>
                      <w:color w:val="auto"/>
                      <w:sz w:val="21"/>
                      <w:szCs w:val="21"/>
                      <w:highlight w:val="none"/>
                      <w:lang w:val="en-US" w:eastAsia="zh-CN"/>
                    </w:rPr>
                    <w:t>醇胺蒸馏装置</w:t>
                  </w:r>
                  <w:r>
                    <w:rPr>
                      <w:rFonts w:hint="eastAsia" w:cs="Times New Roman"/>
                      <w:color w:val="auto"/>
                      <w:sz w:val="21"/>
                      <w:szCs w:val="21"/>
                      <w:highlight w:val="none"/>
                      <w:lang w:val="en-US" w:eastAsia="zh-CN"/>
                    </w:rPr>
                    <w:t>）</w:t>
                  </w:r>
                </w:p>
              </w:tc>
              <w:tc>
                <w:tcPr>
                  <w:tcW w:w="676" w:type="pct"/>
                  <w:vAlign w:val="center"/>
                </w:tcPr>
                <w:p w14:paraId="743A18D7">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三乙醇胺（≥99.5%）</w:t>
                  </w:r>
                </w:p>
              </w:tc>
              <w:tc>
                <w:tcPr>
                  <w:tcW w:w="536" w:type="pct"/>
                  <w:vAlign w:val="center"/>
                </w:tcPr>
                <w:p w14:paraId="22D958DF">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w:t>
                  </w:r>
                  <w:r>
                    <w:rPr>
                      <w:rFonts w:hint="eastAsia" w:ascii="Times New Roman" w:hAnsi="Times New Roman" w:eastAsia="宋体" w:cs="Times New Roman"/>
                      <w:color w:val="auto"/>
                      <w:sz w:val="21"/>
                      <w:szCs w:val="21"/>
                      <w:highlight w:val="none"/>
                      <w:lang w:val="en-US" w:eastAsia="zh-CN"/>
                    </w:rPr>
                    <w:t>0</w:t>
                  </w:r>
                </w:p>
              </w:tc>
              <w:tc>
                <w:tcPr>
                  <w:tcW w:w="556" w:type="pct"/>
                  <w:vAlign w:val="center"/>
                </w:tcPr>
                <w:p w14:paraId="342C8F4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tc>
              <w:tc>
                <w:tcPr>
                  <w:tcW w:w="601" w:type="pct"/>
                  <w:vAlign w:val="center"/>
                </w:tcPr>
                <w:p w14:paraId="49D1BC90">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5"/>
                      <w:sz w:val="21"/>
                      <w:szCs w:val="21"/>
                      <w:highlight w:val="none"/>
                    </w:rPr>
                    <w:t>VOCs</w:t>
                  </w:r>
                </w:p>
              </w:tc>
              <w:tc>
                <w:tcPr>
                  <w:tcW w:w="1066" w:type="dxa"/>
                  <w:vAlign w:val="center"/>
                </w:tcPr>
                <w:p w14:paraId="08A531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0.083 </w:t>
                  </w:r>
                </w:p>
              </w:tc>
              <w:tc>
                <w:tcPr>
                  <w:tcW w:w="1058" w:type="dxa"/>
                  <w:vAlign w:val="center"/>
                </w:tcPr>
                <w:p w14:paraId="2C8E65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18.90 </w:t>
                  </w:r>
                </w:p>
              </w:tc>
              <w:tc>
                <w:tcPr>
                  <w:tcW w:w="1192" w:type="dxa"/>
                  <w:vAlign w:val="center"/>
                </w:tcPr>
                <w:p w14:paraId="0DDFC4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0.500 </w:t>
                  </w:r>
                </w:p>
              </w:tc>
            </w:tr>
            <w:tr w14:paraId="6A0E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trPr>
              <w:tc>
                <w:tcPr>
                  <w:tcW w:w="566" w:type="pct"/>
                  <w:vMerge w:val="continue"/>
                  <w:vAlign w:val="center"/>
                </w:tcPr>
                <w:p w14:paraId="52C981D3">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76" w:type="pct"/>
                  <w:vAlign w:val="center"/>
                </w:tcPr>
                <w:p w14:paraId="15ADE4BA">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N-甲基一乙醇胺（≥99.3%）</w:t>
                  </w:r>
                </w:p>
              </w:tc>
              <w:tc>
                <w:tcPr>
                  <w:tcW w:w="536" w:type="pct"/>
                  <w:vAlign w:val="center"/>
                </w:tcPr>
                <w:p w14:paraId="72A089F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50</w:t>
                  </w: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56" w:type="pct"/>
                  <w:vAlign w:val="center"/>
                </w:tcPr>
                <w:p w14:paraId="1E98A22C">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0.2</w:t>
                  </w:r>
                  <w:r>
                    <w:rPr>
                      <w:rFonts w:hint="default" w:ascii="Times New Roman" w:hAnsi="Times New Roman" w:eastAsia="宋体" w:cs="Times New Roman"/>
                      <w:color w:val="auto"/>
                      <w:sz w:val="21"/>
                      <w:szCs w:val="21"/>
                      <w:highlight w:val="none"/>
                    </w:rPr>
                    <w:t>‰</w:t>
                  </w:r>
                </w:p>
              </w:tc>
              <w:tc>
                <w:tcPr>
                  <w:tcW w:w="601" w:type="pct"/>
                  <w:vAlign w:val="center"/>
                </w:tcPr>
                <w:p w14:paraId="4C18E5D8">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5"/>
                      <w:sz w:val="21"/>
                      <w:szCs w:val="21"/>
                      <w:highlight w:val="none"/>
                    </w:rPr>
                    <w:t>VOCs</w:t>
                  </w:r>
                </w:p>
              </w:tc>
              <w:tc>
                <w:tcPr>
                  <w:tcW w:w="1066" w:type="dxa"/>
                  <w:vAlign w:val="center"/>
                </w:tcPr>
                <w:p w14:paraId="214AFF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0.083 </w:t>
                  </w:r>
                </w:p>
              </w:tc>
              <w:tc>
                <w:tcPr>
                  <w:tcW w:w="1058" w:type="dxa"/>
                  <w:vAlign w:val="center"/>
                </w:tcPr>
                <w:p w14:paraId="532D284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18.90 </w:t>
                  </w:r>
                </w:p>
              </w:tc>
              <w:tc>
                <w:tcPr>
                  <w:tcW w:w="1192" w:type="dxa"/>
                  <w:vAlign w:val="center"/>
                </w:tcPr>
                <w:p w14:paraId="3906FC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0.100 </w:t>
                  </w:r>
                </w:p>
              </w:tc>
            </w:tr>
            <w:tr w14:paraId="1B7A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1243" w:type="pct"/>
                  <w:gridSpan w:val="2"/>
                  <w:vAlign w:val="center"/>
                </w:tcPr>
                <w:p w14:paraId="50DE887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合</w:t>
                  </w:r>
                  <w:r>
                    <w:rPr>
                      <w:rFonts w:hint="eastAsia" w:ascii="Times New Roman" w:hAnsi="Times New Roman" w:eastAsia="宋体" w:cs="Times New Roman"/>
                      <w:color w:val="auto"/>
                      <w:sz w:val="21"/>
                      <w:szCs w:val="21"/>
                      <w:highlight w:val="none"/>
                      <w:lang w:val="en-US" w:eastAsia="zh-CN"/>
                    </w:rPr>
                    <w:t>计</w:t>
                  </w:r>
                </w:p>
              </w:tc>
              <w:tc>
                <w:tcPr>
                  <w:tcW w:w="536" w:type="pct"/>
                  <w:vAlign w:val="center"/>
                </w:tcPr>
                <w:p w14:paraId="2BE890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3000</w:t>
                  </w:r>
                </w:p>
              </w:tc>
              <w:tc>
                <w:tcPr>
                  <w:tcW w:w="556" w:type="pct"/>
                  <w:vAlign w:val="center"/>
                </w:tcPr>
                <w:p w14:paraId="36D559B6">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01" w:type="pct"/>
                  <w:vAlign w:val="center"/>
                </w:tcPr>
                <w:p w14:paraId="34A34CE3">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w w:val="95"/>
                      <w:sz w:val="21"/>
                      <w:szCs w:val="21"/>
                      <w:highlight w:val="none"/>
                    </w:rPr>
                  </w:pPr>
                  <w:r>
                    <w:rPr>
                      <w:rFonts w:hint="default" w:ascii="Times New Roman" w:hAnsi="Times New Roman" w:eastAsia="宋体" w:cs="Times New Roman"/>
                      <w:color w:val="auto"/>
                      <w:w w:val="95"/>
                      <w:sz w:val="21"/>
                      <w:szCs w:val="21"/>
                      <w:highlight w:val="none"/>
                    </w:rPr>
                    <w:t>VOCs</w:t>
                  </w:r>
                </w:p>
              </w:tc>
              <w:tc>
                <w:tcPr>
                  <w:tcW w:w="1066" w:type="dxa"/>
                  <w:vAlign w:val="center"/>
                </w:tcPr>
                <w:p w14:paraId="60731D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0.083 </w:t>
                  </w:r>
                </w:p>
              </w:tc>
              <w:tc>
                <w:tcPr>
                  <w:tcW w:w="1058" w:type="dxa"/>
                  <w:vAlign w:val="center"/>
                </w:tcPr>
                <w:p w14:paraId="34ABE9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18.90 </w:t>
                  </w:r>
                </w:p>
              </w:tc>
              <w:tc>
                <w:tcPr>
                  <w:tcW w:w="1192" w:type="dxa"/>
                  <w:vAlign w:val="center"/>
                </w:tcPr>
                <w:p w14:paraId="18B643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0.600 </w:t>
                  </w:r>
                </w:p>
              </w:tc>
            </w:tr>
          </w:tbl>
          <w:p w14:paraId="0CC35771">
            <w:pPr>
              <w:spacing w:line="360" w:lineRule="auto"/>
              <w:rPr>
                <w:rFonts w:hint="default"/>
                <w:b w:val="0"/>
                <w:bCs/>
                <w:color w:val="auto"/>
                <w:sz w:val="24"/>
                <w:highlight w:val="none"/>
                <w:lang w:val="en-US" w:eastAsia="zh-CN"/>
              </w:rPr>
            </w:pPr>
            <w:r>
              <w:rPr>
                <w:b w:val="0"/>
                <w:bCs/>
                <w:color w:val="auto"/>
                <w:sz w:val="21"/>
                <w:highlight w:val="none"/>
              </w:rPr>
              <w:t>备注：冷凝器不凝系数由设计单位</w:t>
            </w:r>
            <w:r>
              <w:rPr>
                <w:rFonts w:hint="eastAsia"/>
                <w:b w:val="0"/>
                <w:bCs/>
                <w:color w:val="auto"/>
                <w:sz w:val="21"/>
                <w:highlight w:val="none"/>
                <w:lang w:val="en-US" w:eastAsia="zh-CN"/>
              </w:rPr>
              <w:t>根据产品蒸发及冷凝器性能估算</w:t>
            </w:r>
            <w:r>
              <w:rPr>
                <w:b w:val="0"/>
                <w:bCs/>
                <w:color w:val="auto"/>
                <w:sz w:val="21"/>
                <w:highlight w:val="none"/>
              </w:rPr>
              <w:t>提供。</w:t>
            </w:r>
          </w:p>
          <w:p w14:paraId="1E6849D2">
            <w:pPr>
              <w:spacing w:line="360" w:lineRule="auto"/>
              <w:ind w:firstLine="482" w:firstLineChars="200"/>
              <w:rPr>
                <w:rFonts w:hint="default"/>
                <w:color w:val="auto"/>
                <w:sz w:val="24"/>
                <w:highlight w:val="none"/>
                <w:lang w:val="en-US" w:eastAsia="zh-CN"/>
              </w:rPr>
            </w:pPr>
            <w:r>
              <w:rPr>
                <w:rFonts w:hint="eastAsia"/>
                <w:b/>
                <w:bCs/>
                <w:color w:val="auto"/>
                <w:sz w:val="24"/>
                <w:highlight w:val="none"/>
                <w:lang w:val="en-US" w:eastAsia="zh-CN"/>
              </w:rPr>
              <w:t>治理措施：</w:t>
            </w:r>
            <w:r>
              <w:rPr>
                <w:rFonts w:hint="eastAsia"/>
                <w:color w:val="auto"/>
                <w:sz w:val="24"/>
                <w:highlight w:val="none"/>
                <w:lang w:val="en-US" w:eastAsia="zh-CN"/>
              </w:rPr>
              <w:t>产品蒸馏提纯产生的尾气均为水易溶性气体，本项目新建水洗塔（四段式）一座，将尾气中的VOCs成分吸收至水中，剩余尾气则依托现有工艺废气DA001排气筒（28m）有组织排放。</w:t>
            </w:r>
          </w:p>
          <w:p w14:paraId="1EC6399A">
            <w:pPr>
              <w:spacing w:line="360" w:lineRule="auto"/>
              <w:ind w:firstLine="482" w:firstLineChars="200"/>
              <w:rPr>
                <w:rFonts w:hint="eastAsia"/>
                <w:color w:val="auto"/>
                <w:sz w:val="24"/>
                <w:highlight w:val="none"/>
                <w:lang w:val="en-US" w:eastAsia="zh-CN"/>
              </w:rPr>
            </w:pPr>
            <w:r>
              <w:rPr>
                <w:rFonts w:hint="eastAsia"/>
                <w:b/>
                <w:bCs/>
                <w:color w:val="auto"/>
                <w:sz w:val="24"/>
                <w:highlight w:val="none"/>
                <w:lang w:val="en-US" w:eastAsia="zh-CN"/>
              </w:rPr>
              <w:t>措施可行性：</w:t>
            </w:r>
            <w:r>
              <w:rPr>
                <w:rFonts w:hint="eastAsia"/>
                <w:color w:val="auto"/>
                <w:sz w:val="24"/>
                <w:highlight w:val="none"/>
                <w:lang w:val="en-US" w:eastAsia="zh-CN"/>
              </w:rPr>
              <w:t>根据《四川省石化行业挥发性有机物控制技术指南》，目前我国针对石化行业生产的实际情况以及挥发性有机污染物污染源排放特点，主要采用吸附、吸收、冷凝、膜分离油气回收、催化燃烧、热力焚烧、泄漏检测与修复等技术对VOC开展治理。</w:t>
            </w:r>
          </w:p>
          <w:p w14:paraId="6F7DC36D">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吸收法是利用相似相溶原理，常采用沸点较高、蒸气压较低的低挥发或不挥发液体（如柴油、煤油等）为吸收剂，吸收废气中的VOCs组分，VOCs从气相转移到液相中，从而达到净化废气的目的。本项目产品蒸馏提纯排放的尾气主要污染物成分为水易溶性有机气体，水洗塔采用四级水洗，水洗去除效率可达90%以上。因此，本项目采用吸收法对产品蒸馏提纯排放的水易溶性有机气体进行处理，治理措施技术经济可行。</w:t>
            </w:r>
          </w:p>
          <w:p w14:paraId="008511D4">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根据《四川省固定污染源大气挥发性有机物排放标准》（DB51/2377-2017）涉及有机溶剂生产和使用的其它行业最低去除效率要求为80%。本评价以最不利情况核算，经过水洗塔（四级水洗）处理效率以80%计算。现有厂区乙醇胺和N-甲基乙醇胺两类产品交替生产，本项目两种产品随其交替生产，其中三乙醇胺年提纯运行约6000h，N-甲基一乙醇胺年提纯运行约1200h，共计运行时间7200h，则经过水洗塔后产品蒸馏提纯排放尾气中有机废气（以VOCs计）量为0.12t/a，排放速率为0.017kg/h。水洗塔尾气由风机（风机风量4410m</w:t>
            </w:r>
            <w:r>
              <w:rPr>
                <w:rFonts w:hint="eastAsia"/>
                <w:color w:val="auto"/>
                <w:sz w:val="24"/>
                <w:highlight w:val="none"/>
                <w:vertAlign w:val="superscript"/>
                <w:lang w:val="en-US" w:eastAsia="zh-CN"/>
              </w:rPr>
              <w:t>3</w:t>
            </w:r>
            <w:r>
              <w:rPr>
                <w:rFonts w:hint="eastAsia"/>
                <w:color w:val="auto"/>
                <w:sz w:val="24"/>
                <w:highlight w:val="none"/>
                <w:lang w:val="en-US" w:eastAsia="zh-CN"/>
              </w:rPr>
              <w:t>/h）引出，则水洗塔尾气中VOCs浓度为3.779mg/m</w:t>
            </w:r>
            <w:r>
              <w:rPr>
                <w:rFonts w:hint="eastAsia"/>
                <w:color w:val="auto"/>
                <w:sz w:val="24"/>
                <w:highlight w:val="none"/>
                <w:vertAlign w:val="superscript"/>
                <w:lang w:val="en-US" w:eastAsia="zh-CN"/>
              </w:rPr>
              <w:t>3</w:t>
            </w:r>
            <w:r>
              <w:rPr>
                <w:rFonts w:hint="eastAsia"/>
                <w:color w:val="auto"/>
                <w:sz w:val="24"/>
                <w:highlight w:val="none"/>
                <w:lang w:val="en-US" w:eastAsia="zh-CN"/>
              </w:rPr>
              <w:t>，引至现有工艺废气排气筒DA001（28m）排放。</w:t>
            </w:r>
          </w:p>
          <w:p w14:paraId="35AFF6CB">
            <w:pPr>
              <w:pStyle w:val="41"/>
              <w:bidi w:val="0"/>
              <w:rPr>
                <w:rFonts w:hint="default" w:eastAsia="宋体"/>
                <w:color w:val="auto"/>
                <w:sz w:val="24"/>
                <w:highlight w:val="none"/>
                <w:lang w:val="en-US" w:eastAsia="zh-CN"/>
              </w:rPr>
            </w:pPr>
            <w:r>
              <w:rPr>
                <w:b/>
                <w:color w:val="auto"/>
                <w:spacing w:val="-1"/>
                <w:sz w:val="21"/>
                <w:highlight w:val="none"/>
              </w:rPr>
              <w:t>项目</w:t>
            </w:r>
            <w:r>
              <w:rPr>
                <w:rFonts w:hint="eastAsia"/>
                <w:b/>
                <w:color w:val="auto"/>
                <w:spacing w:val="-1"/>
                <w:sz w:val="21"/>
                <w:highlight w:val="none"/>
                <w:lang w:val="en-US" w:eastAsia="zh-CN"/>
              </w:rPr>
              <w:t>蒸馏尾气</w:t>
            </w:r>
            <w:r>
              <w:rPr>
                <w:b/>
                <w:color w:val="auto"/>
                <w:spacing w:val="-1"/>
                <w:sz w:val="21"/>
                <w:highlight w:val="none"/>
              </w:rPr>
              <w:t>排放</w:t>
            </w:r>
            <w:r>
              <w:rPr>
                <w:rFonts w:hint="eastAsia"/>
                <w:b/>
                <w:color w:val="auto"/>
                <w:spacing w:val="-1"/>
                <w:sz w:val="21"/>
                <w:highlight w:val="none"/>
                <w:lang w:val="en-US" w:eastAsia="zh-CN"/>
              </w:rPr>
              <w:t>情况一览表</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7"/>
              <w:gridCol w:w="624"/>
              <w:gridCol w:w="566"/>
              <w:gridCol w:w="746"/>
              <w:gridCol w:w="669"/>
              <w:gridCol w:w="767"/>
              <w:gridCol w:w="807"/>
              <w:gridCol w:w="894"/>
              <w:gridCol w:w="714"/>
              <w:gridCol w:w="752"/>
              <w:gridCol w:w="870"/>
            </w:tblGrid>
            <w:tr w14:paraId="3280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0" w:type="pct"/>
                  <w:vMerge w:val="restart"/>
                  <w:vAlign w:val="center"/>
                </w:tcPr>
                <w:p w14:paraId="2D67D1D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产生源</w:t>
                  </w:r>
                </w:p>
              </w:tc>
              <w:tc>
                <w:tcPr>
                  <w:tcW w:w="388" w:type="pct"/>
                  <w:vMerge w:val="restart"/>
                  <w:vAlign w:val="center"/>
                </w:tcPr>
                <w:p w14:paraId="0AB30DB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352" w:type="pct"/>
                  <w:vMerge w:val="restart"/>
                  <w:vAlign w:val="center"/>
                </w:tcPr>
                <w:p w14:paraId="7133190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污染物产生量</w:t>
                  </w:r>
                </w:p>
                <w:p w14:paraId="2C55FDFF">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464" w:type="pct"/>
                  <w:vMerge w:val="restart"/>
                  <w:vAlign w:val="center"/>
                </w:tcPr>
                <w:p w14:paraId="05A073CC">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处理</w:t>
                  </w:r>
                  <w:r>
                    <w:rPr>
                      <w:rFonts w:hint="eastAsia" w:cs="Times New Roman"/>
                      <w:b/>
                      <w:bCs/>
                      <w:color w:val="auto"/>
                      <w:sz w:val="21"/>
                      <w:szCs w:val="21"/>
                      <w:highlight w:val="none"/>
                      <w:lang w:val="en-US" w:eastAsia="zh-CN"/>
                    </w:rPr>
                    <w:t>措施</w:t>
                  </w:r>
                </w:p>
              </w:tc>
              <w:tc>
                <w:tcPr>
                  <w:tcW w:w="416" w:type="pct"/>
                  <w:vMerge w:val="restart"/>
                  <w:vAlign w:val="center"/>
                </w:tcPr>
                <w:p w14:paraId="20D6E10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处理效率%</w:t>
                  </w:r>
                </w:p>
              </w:tc>
              <w:tc>
                <w:tcPr>
                  <w:tcW w:w="477" w:type="pct"/>
                  <w:vMerge w:val="restart"/>
                  <w:vAlign w:val="center"/>
                </w:tcPr>
                <w:p w14:paraId="0420B6D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水洗塔排风</w:t>
                  </w:r>
                  <w:r>
                    <w:rPr>
                      <w:rFonts w:hint="default" w:ascii="Times New Roman" w:hAnsi="Times New Roman" w:eastAsia="宋体" w:cs="Times New Roman"/>
                      <w:b/>
                      <w:bCs/>
                      <w:color w:val="auto"/>
                      <w:sz w:val="21"/>
                      <w:szCs w:val="21"/>
                      <w:highlight w:val="none"/>
                    </w:rPr>
                    <w:t>量m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/h</w:t>
                  </w:r>
                </w:p>
              </w:tc>
              <w:tc>
                <w:tcPr>
                  <w:tcW w:w="502" w:type="pct"/>
                  <w:vMerge w:val="restart"/>
                  <w:vAlign w:val="center"/>
                </w:tcPr>
                <w:p w14:paraId="121DEED8">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eastAsia" w:ascii="宋体" w:hAnsi="宋体" w:eastAsia="宋体" w:cs="宋体"/>
                      <w:b/>
                      <w:bCs/>
                      <w:i w:val="0"/>
                      <w:iCs w:val="0"/>
                      <w:color w:val="auto"/>
                      <w:kern w:val="0"/>
                      <w:sz w:val="22"/>
                      <w:szCs w:val="22"/>
                      <w:highlight w:val="none"/>
                      <w:u w:val="none"/>
                      <w:lang w:val="en-US" w:eastAsia="zh-CN" w:bidi="ar"/>
                    </w:rPr>
                    <w:t>排放速率</w:t>
                  </w:r>
                  <w:r>
                    <w:rPr>
                      <w:rFonts w:hint="default" w:ascii="Times New Roman" w:hAnsi="Times New Roman" w:eastAsia="宋体" w:cs="Times New Roman"/>
                      <w:b/>
                      <w:bCs/>
                      <w:i w:val="0"/>
                      <w:iCs w:val="0"/>
                      <w:color w:val="auto"/>
                      <w:kern w:val="0"/>
                      <w:sz w:val="22"/>
                      <w:szCs w:val="22"/>
                      <w:highlight w:val="none"/>
                      <w:u w:val="none"/>
                      <w:lang w:val="en-US" w:eastAsia="zh-CN" w:bidi="ar"/>
                    </w:rPr>
                    <w:t>kg/h</w:t>
                  </w:r>
                </w:p>
              </w:tc>
              <w:tc>
                <w:tcPr>
                  <w:tcW w:w="556" w:type="pct"/>
                  <w:vMerge w:val="restart"/>
                  <w:vAlign w:val="center"/>
                </w:tcPr>
                <w:p w14:paraId="086D1D1D">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eastAsia" w:ascii="宋体" w:hAnsi="宋体" w:eastAsia="宋体" w:cs="宋体"/>
                      <w:b/>
                      <w:bCs/>
                      <w:i w:val="0"/>
                      <w:iCs w:val="0"/>
                      <w:color w:val="auto"/>
                      <w:kern w:val="0"/>
                      <w:sz w:val="22"/>
                      <w:szCs w:val="22"/>
                      <w:highlight w:val="none"/>
                      <w:u w:val="none"/>
                      <w:lang w:val="en-US" w:eastAsia="zh-CN" w:bidi="ar"/>
                    </w:rPr>
                    <w:t>排放浓度</w:t>
                  </w:r>
                  <w:r>
                    <w:rPr>
                      <w:rFonts w:hint="default" w:ascii="Times New Roman" w:hAnsi="Times New Roman" w:eastAsia="宋体" w:cs="Times New Roman"/>
                      <w:b/>
                      <w:bCs/>
                      <w:i w:val="0"/>
                      <w:iCs w:val="0"/>
                      <w:color w:val="auto"/>
                      <w:kern w:val="0"/>
                      <w:sz w:val="22"/>
                      <w:szCs w:val="22"/>
                      <w:highlight w:val="none"/>
                      <w:u w:val="none"/>
                      <w:lang w:val="en-US" w:eastAsia="zh-CN" w:bidi="ar"/>
                    </w:rPr>
                    <w:t>mg/m</w:t>
                  </w:r>
                  <w:r>
                    <w:rPr>
                      <w:rFonts w:hint="default" w:ascii="Times New Roman" w:hAnsi="Times New Roman" w:eastAsia="宋体" w:cs="Times New Roman"/>
                      <w:b/>
                      <w:bCs/>
                      <w:i w:val="0"/>
                      <w:iCs w:val="0"/>
                      <w:color w:val="auto"/>
                      <w:kern w:val="0"/>
                      <w:sz w:val="22"/>
                      <w:szCs w:val="22"/>
                      <w:highlight w:val="none"/>
                      <w:u w:val="none"/>
                      <w:vertAlign w:val="superscript"/>
                      <w:lang w:val="en-US" w:eastAsia="zh-CN" w:bidi="ar"/>
                    </w:rPr>
                    <w:t>3</w:t>
                  </w:r>
                </w:p>
              </w:tc>
              <w:tc>
                <w:tcPr>
                  <w:tcW w:w="444" w:type="pct"/>
                  <w:vMerge w:val="restart"/>
                  <w:vAlign w:val="center"/>
                </w:tcPr>
                <w:p w14:paraId="0900613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排放量</w:t>
                  </w:r>
                  <w:r>
                    <w:rPr>
                      <w:rFonts w:hint="default" w:ascii="Times New Roman" w:hAnsi="Times New Roman" w:eastAsia="宋体" w:cs="Times New Roman"/>
                      <w:b/>
                      <w:bCs/>
                      <w:i w:val="0"/>
                      <w:iCs w:val="0"/>
                      <w:color w:val="auto"/>
                      <w:kern w:val="0"/>
                      <w:sz w:val="22"/>
                      <w:szCs w:val="22"/>
                      <w:highlight w:val="none"/>
                      <w:u w:val="none"/>
                      <w:lang w:val="en-US" w:eastAsia="zh-CN" w:bidi="ar"/>
                    </w:rPr>
                    <w:t>t/a</w:t>
                  </w:r>
                </w:p>
              </w:tc>
              <w:tc>
                <w:tcPr>
                  <w:tcW w:w="1007" w:type="pct"/>
                  <w:gridSpan w:val="2"/>
                  <w:vAlign w:val="center"/>
                </w:tcPr>
                <w:p w14:paraId="056CE41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排放标准</w:t>
                  </w:r>
                </w:p>
              </w:tc>
            </w:tr>
            <w:tr w14:paraId="6091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390" w:type="pct"/>
                  <w:vMerge w:val="continue"/>
                  <w:vAlign w:val="center"/>
                </w:tcPr>
                <w:p w14:paraId="7F4B102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388" w:type="pct"/>
                  <w:vMerge w:val="continue"/>
                  <w:vAlign w:val="center"/>
                </w:tcPr>
                <w:p w14:paraId="62C0417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vAlign w:val="center"/>
                </w:tcPr>
                <w:p w14:paraId="3BE2ED2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64" w:type="pct"/>
                  <w:vMerge w:val="continue"/>
                  <w:vAlign w:val="center"/>
                </w:tcPr>
                <w:p w14:paraId="516FA17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16" w:type="pct"/>
                  <w:vMerge w:val="continue"/>
                  <w:vAlign w:val="center"/>
                </w:tcPr>
                <w:p w14:paraId="28F81DDF">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77" w:type="pct"/>
                  <w:vMerge w:val="continue"/>
                  <w:vAlign w:val="center"/>
                </w:tcPr>
                <w:p w14:paraId="3101779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502" w:type="pct"/>
                  <w:vMerge w:val="continue"/>
                  <w:vAlign w:val="center"/>
                </w:tcPr>
                <w:p w14:paraId="185D587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556" w:type="pct"/>
                  <w:vMerge w:val="continue"/>
                  <w:vAlign w:val="center"/>
                </w:tcPr>
                <w:p w14:paraId="72EC3BCF">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44" w:type="pct"/>
                  <w:vMerge w:val="continue"/>
                  <w:vAlign w:val="center"/>
                </w:tcPr>
                <w:p w14:paraId="1696FBD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67" w:type="pct"/>
                  <w:vAlign w:val="center"/>
                </w:tcPr>
                <w:p w14:paraId="1E922B4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速率kg/h</w:t>
                  </w:r>
                </w:p>
              </w:tc>
              <w:tc>
                <w:tcPr>
                  <w:tcW w:w="540" w:type="pct"/>
                  <w:vAlign w:val="center"/>
                </w:tcPr>
                <w:p w14:paraId="1AAE211C">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p>
              </w:tc>
            </w:tr>
            <w:tr w14:paraId="3CA5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trPr>
              <w:tc>
                <w:tcPr>
                  <w:tcW w:w="390" w:type="pct"/>
                  <w:vAlign w:val="center"/>
                </w:tcPr>
                <w:p w14:paraId="51DD2E1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三</w:t>
                  </w:r>
                  <w:r>
                    <w:rPr>
                      <w:rFonts w:hint="default" w:ascii="Times New Roman" w:hAnsi="Times New Roman" w:eastAsia="宋体" w:cs="Times New Roman"/>
                      <w:b w:val="0"/>
                      <w:bCs w:val="0"/>
                      <w:color w:val="auto"/>
                      <w:sz w:val="21"/>
                      <w:szCs w:val="21"/>
                      <w:highlight w:val="none"/>
                    </w:rPr>
                    <w:t>乙醇胺</w:t>
                  </w:r>
                </w:p>
              </w:tc>
              <w:tc>
                <w:tcPr>
                  <w:tcW w:w="388" w:type="pct"/>
                  <w:vMerge w:val="restart"/>
                  <w:vAlign w:val="center"/>
                </w:tcPr>
                <w:p w14:paraId="52B3910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VOCs</w:t>
                  </w:r>
                </w:p>
              </w:tc>
              <w:tc>
                <w:tcPr>
                  <w:tcW w:w="566" w:type="dxa"/>
                  <w:vAlign w:val="center"/>
                </w:tcPr>
                <w:p w14:paraId="5251675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0.500 </w:t>
                  </w:r>
                </w:p>
              </w:tc>
              <w:tc>
                <w:tcPr>
                  <w:tcW w:w="464" w:type="pct"/>
                  <w:vMerge w:val="restart"/>
                  <w:vAlign w:val="center"/>
                </w:tcPr>
                <w:p w14:paraId="6E3054D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水洗塔（四段式）+</w:t>
                  </w:r>
                  <w:r>
                    <w:rPr>
                      <w:rFonts w:hint="eastAsia" w:cs="Times New Roman"/>
                      <w:b w:val="0"/>
                      <w:bCs w:val="0"/>
                      <w:color w:val="auto"/>
                      <w:sz w:val="21"/>
                      <w:szCs w:val="21"/>
                      <w:highlight w:val="none"/>
                      <w:lang w:val="en-US" w:eastAsia="zh-CN"/>
                    </w:rPr>
                    <w:t>28</w:t>
                  </w:r>
                  <w:r>
                    <w:rPr>
                      <w:rFonts w:hint="default" w:ascii="Times New Roman" w:hAnsi="Times New Roman" w:eastAsia="宋体" w:cs="Times New Roman"/>
                      <w:b w:val="0"/>
                      <w:bCs w:val="0"/>
                      <w:color w:val="auto"/>
                      <w:sz w:val="21"/>
                      <w:szCs w:val="21"/>
                      <w:highlight w:val="none"/>
                    </w:rPr>
                    <w:t>m排气筒</w:t>
                  </w:r>
                </w:p>
              </w:tc>
              <w:tc>
                <w:tcPr>
                  <w:tcW w:w="416" w:type="pct"/>
                  <w:vMerge w:val="restart"/>
                  <w:vAlign w:val="center"/>
                </w:tcPr>
                <w:p w14:paraId="103FCE1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80</w:t>
                  </w:r>
                </w:p>
              </w:tc>
              <w:tc>
                <w:tcPr>
                  <w:tcW w:w="477" w:type="pct"/>
                  <w:vMerge w:val="restart"/>
                  <w:vAlign w:val="center"/>
                </w:tcPr>
                <w:p w14:paraId="4E40A56C">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441</w:t>
                  </w:r>
                  <w:r>
                    <w:rPr>
                      <w:rFonts w:hint="default" w:ascii="Times New Roman" w:hAnsi="Times New Roman" w:eastAsia="宋体" w:cs="Times New Roman"/>
                      <w:b w:val="0"/>
                      <w:bCs w:val="0"/>
                      <w:color w:val="auto"/>
                      <w:sz w:val="21"/>
                      <w:szCs w:val="21"/>
                      <w:highlight w:val="none"/>
                    </w:rPr>
                    <w:t>0</w:t>
                  </w:r>
                </w:p>
              </w:tc>
              <w:tc>
                <w:tcPr>
                  <w:tcW w:w="807" w:type="dxa"/>
                  <w:vAlign w:val="center"/>
                </w:tcPr>
                <w:p w14:paraId="22B3C6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0.017 </w:t>
                  </w:r>
                </w:p>
              </w:tc>
              <w:tc>
                <w:tcPr>
                  <w:tcW w:w="894" w:type="dxa"/>
                  <w:vAlign w:val="center"/>
                </w:tcPr>
                <w:p w14:paraId="2EB8D8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3.779 </w:t>
                  </w:r>
                </w:p>
              </w:tc>
              <w:tc>
                <w:tcPr>
                  <w:tcW w:w="714" w:type="dxa"/>
                  <w:vAlign w:val="center"/>
                </w:tcPr>
                <w:p w14:paraId="0EC183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0.100 </w:t>
                  </w:r>
                </w:p>
              </w:tc>
              <w:tc>
                <w:tcPr>
                  <w:tcW w:w="467" w:type="pct"/>
                  <w:vAlign w:val="center"/>
                </w:tcPr>
                <w:p w14:paraId="3B3A42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17.36</w:t>
                  </w:r>
                </w:p>
              </w:tc>
              <w:tc>
                <w:tcPr>
                  <w:tcW w:w="540" w:type="pct"/>
                  <w:vAlign w:val="center"/>
                </w:tcPr>
                <w:p w14:paraId="7807A4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14:paraId="373D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9" w:hRule="atLeast"/>
              </w:trPr>
              <w:tc>
                <w:tcPr>
                  <w:tcW w:w="390" w:type="pct"/>
                  <w:vAlign w:val="center"/>
                </w:tcPr>
                <w:p w14:paraId="3387BF8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N-甲基</w:t>
                  </w:r>
                  <w:r>
                    <w:rPr>
                      <w:rFonts w:hint="eastAsia" w:cs="Times New Roman"/>
                      <w:b w:val="0"/>
                      <w:bCs w:val="0"/>
                      <w:color w:val="auto"/>
                      <w:sz w:val="21"/>
                      <w:szCs w:val="21"/>
                      <w:highlight w:val="none"/>
                      <w:lang w:val="en-US" w:eastAsia="zh-CN"/>
                    </w:rPr>
                    <w:t>一</w:t>
                  </w:r>
                  <w:r>
                    <w:rPr>
                      <w:rFonts w:hint="default" w:ascii="Times New Roman" w:hAnsi="Times New Roman" w:eastAsia="宋体" w:cs="Times New Roman"/>
                      <w:b w:val="0"/>
                      <w:bCs w:val="0"/>
                      <w:color w:val="auto"/>
                      <w:sz w:val="21"/>
                      <w:szCs w:val="21"/>
                      <w:highlight w:val="none"/>
                    </w:rPr>
                    <w:t>乙醇胺</w:t>
                  </w:r>
                </w:p>
              </w:tc>
              <w:tc>
                <w:tcPr>
                  <w:tcW w:w="388" w:type="pct"/>
                  <w:vMerge w:val="continue"/>
                  <w:vAlign w:val="center"/>
                </w:tcPr>
                <w:p w14:paraId="4935057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p>
              </w:tc>
              <w:tc>
                <w:tcPr>
                  <w:tcW w:w="566" w:type="dxa"/>
                  <w:vAlign w:val="center"/>
                </w:tcPr>
                <w:p w14:paraId="56733B1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0.100 </w:t>
                  </w:r>
                </w:p>
              </w:tc>
              <w:tc>
                <w:tcPr>
                  <w:tcW w:w="464" w:type="pct"/>
                  <w:vMerge w:val="continue"/>
                  <w:vAlign w:val="center"/>
                </w:tcPr>
                <w:p w14:paraId="319EDD0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p>
              </w:tc>
              <w:tc>
                <w:tcPr>
                  <w:tcW w:w="416" w:type="pct"/>
                  <w:vMerge w:val="continue"/>
                  <w:vAlign w:val="center"/>
                </w:tcPr>
                <w:p w14:paraId="32B5A05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p>
              </w:tc>
              <w:tc>
                <w:tcPr>
                  <w:tcW w:w="477" w:type="pct"/>
                  <w:vMerge w:val="continue"/>
                  <w:vAlign w:val="center"/>
                </w:tcPr>
                <w:p w14:paraId="74D507DF">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p>
              </w:tc>
              <w:tc>
                <w:tcPr>
                  <w:tcW w:w="807" w:type="dxa"/>
                  <w:vAlign w:val="center"/>
                </w:tcPr>
                <w:p w14:paraId="6166DF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0.017 </w:t>
                  </w:r>
                </w:p>
              </w:tc>
              <w:tc>
                <w:tcPr>
                  <w:tcW w:w="894" w:type="dxa"/>
                  <w:vAlign w:val="center"/>
                </w:tcPr>
                <w:p w14:paraId="41B86E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3.779 </w:t>
                  </w:r>
                </w:p>
              </w:tc>
              <w:tc>
                <w:tcPr>
                  <w:tcW w:w="714" w:type="dxa"/>
                  <w:vAlign w:val="center"/>
                </w:tcPr>
                <w:p w14:paraId="586168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0.020 </w:t>
                  </w:r>
                </w:p>
              </w:tc>
              <w:tc>
                <w:tcPr>
                  <w:tcW w:w="467" w:type="pct"/>
                  <w:vAlign w:val="center"/>
                </w:tcPr>
                <w:p w14:paraId="1B4F54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17.36</w:t>
                  </w:r>
                </w:p>
              </w:tc>
              <w:tc>
                <w:tcPr>
                  <w:tcW w:w="540" w:type="pct"/>
                  <w:vAlign w:val="center"/>
                </w:tcPr>
                <w:p w14:paraId="3C7786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14:paraId="778C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390" w:type="pct"/>
                  <w:vAlign w:val="center"/>
                </w:tcPr>
                <w:p w14:paraId="18CBCEE7">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合计</w:t>
                  </w:r>
                </w:p>
              </w:tc>
              <w:tc>
                <w:tcPr>
                  <w:tcW w:w="388" w:type="pct"/>
                  <w:vAlign w:val="center"/>
                </w:tcPr>
                <w:p w14:paraId="599E8DD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VOCs</w:t>
                  </w:r>
                </w:p>
              </w:tc>
              <w:tc>
                <w:tcPr>
                  <w:tcW w:w="566" w:type="dxa"/>
                  <w:vAlign w:val="center"/>
                </w:tcPr>
                <w:p w14:paraId="6028F9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0.600 </w:t>
                  </w:r>
                </w:p>
              </w:tc>
              <w:tc>
                <w:tcPr>
                  <w:tcW w:w="464" w:type="pct"/>
                  <w:vMerge w:val="continue"/>
                  <w:vAlign w:val="center"/>
                </w:tcPr>
                <w:p w14:paraId="7D03F74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416" w:type="pct"/>
                  <w:vMerge w:val="continue"/>
                  <w:vAlign w:val="center"/>
                </w:tcPr>
                <w:p w14:paraId="58F09635">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p>
              </w:tc>
              <w:tc>
                <w:tcPr>
                  <w:tcW w:w="477" w:type="pct"/>
                  <w:vMerge w:val="continue"/>
                  <w:vAlign w:val="center"/>
                </w:tcPr>
                <w:p w14:paraId="0B8CC183">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p>
              </w:tc>
              <w:tc>
                <w:tcPr>
                  <w:tcW w:w="807" w:type="dxa"/>
                  <w:vAlign w:val="center"/>
                </w:tcPr>
                <w:p w14:paraId="67A815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0.017 </w:t>
                  </w:r>
                </w:p>
              </w:tc>
              <w:tc>
                <w:tcPr>
                  <w:tcW w:w="894" w:type="dxa"/>
                  <w:vAlign w:val="center"/>
                </w:tcPr>
                <w:p w14:paraId="3C9178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3.779 </w:t>
                  </w:r>
                </w:p>
              </w:tc>
              <w:tc>
                <w:tcPr>
                  <w:tcW w:w="714" w:type="dxa"/>
                  <w:vAlign w:val="center"/>
                </w:tcPr>
                <w:p w14:paraId="3EDDA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0.120 </w:t>
                  </w:r>
                </w:p>
              </w:tc>
              <w:tc>
                <w:tcPr>
                  <w:tcW w:w="467" w:type="pct"/>
                  <w:vAlign w:val="center"/>
                </w:tcPr>
                <w:p w14:paraId="168AE24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17.36</w:t>
                  </w:r>
                </w:p>
              </w:tc>
              <w:tc>
                <w:tcPr>
                  <w:tcW w:w="540" w:type="pct"/>
                  <w:vAlign w:val="center"/>
                </w:tcPr>
                <w:p w14:paraId="641A9A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bl>
          <w:p w14:paraId="26C19643">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综上所述，在单独运行本项目生产工艺装置进行高浓度三乙醇胺及N-甲基一乙醇胺产品生产的情况下，项目产品蒸馏尾气经水洗塔处理后VOCs排放速率及排放浓度均能满足《四川省固定污染源大气挥发性有机物排放标准》（DB51/2377-2017）涉及有机溶剂生产和使用的其它行业标准限值。</w:t>
            </w:r>
          </w:p>
          <w:p w14:paraId="73B378DD">
            <w:pPr>
              <w:numPr>
                <w:ilvl w:val="0"/>
                <w:numId w:val="0"/>
              </w:numPr>
              <w:spacing w:line="360" w:lineRule="auto"/>
              <w:ind w:leftChars="196"/>
              <w:rPr>
                <w:rFonts w:hint="eastAsia"/>
                <w:b/>
                <w:color w:val="auto"/>
                <w:sz w:val="24"/>
                <w:highlight w:val="none"/>
                <w:lang w:val="en-US" w:eastAsia="zh-CN"/>
              </w:rPr>
            </w:pPr>
            <w:r>
              <w:rPr>
                <w:rFonts w:hint="eastAsia"/>
                <w:b/>
                <w:color w:val="auto"/>
                <w:sz w:val="24"/>
                <w:highlight w:val="none"/>
                <w:lang w:val="en-US" w:eastAsia="zh-CN"/>
              </w:rPr>
              <w:t>（2）储罐呼吸废气（以VOCs计）</w:t>
            </w:r>
          </w:p>
          <w:p w14:paraId="47C739D5">
            <w:pPr>
              <w:widowControl/>
              <w:spacing w:line="360" w:lineRule="auto"/>
              <w:ind w:firstLine="452" w:firstLineChars="200"/>
              <w:jc w:val="left"/>
              <w:rPr>
                <w:rFonts w:hint="eastAsia" w:cs="Times New Roman"/>
                <w:color w:val="auto"/>
                <w:spacing w:val="-7"/>
                <w:kern w:val="2"/>
                <w:sz w:val="24"/>
                <w:szCs w:val="32"/>
                <w:highlight w:val="none"/>
                <w:lang w:val="en-US" w:eastAsia="zh-CN" w:bidi="ar-SA"/>
              </w:rPr>
            </w:pPr>
            <w:r>
              <w:rPr>
                <w:rFonts w:hint="eastAsia" w:ascii="Times New Roman" w:hAnsi="Times New Roman" w:eastAsia="宋体" w:cs="Times New Roman"/>
                <w:color w:val="auto"/>
                <w:spacing w:val="-7"/>
                <w:kern w:val="2"/>
                <w:sz w:val="24"/>
                <w:szCs w:val="32"/>
                <w:highlight w:val="none"/>
                <w:lang w:val="en-US" w:eastAsia="zh-CN" w:bidi="ar-SA"/>
              </w:rPr>
              <w:t>本项目</w:t>
            </w:r>
            <w:r>
              <w:rPr>
                <w:rFonts w:hint="eastAsia" w:cs="Times New Roman"/>
                <w:color w:val="auto"/>
                <w:spacing w:val="-7"/>
                <w:kern w:val="2"/>
                <w:sz w:val="24"/>
                <w:szCs w:val="32"/>
                <w:highlight w:val="none"/>
                <w:lang w:val="en-US" w:eastAsia="zh-CN" w:bidi="ar-SA"/>
              </w:rPr>
              <w:t>新建生产车间，内含罐区，储罐呼吸废气主要为生产车间生产装置区内原料罐、高沸物罐及产品罐产生，该罐体为常压立式储罐，其余罐体为负压储罐，不考虑呼吸废气。因此，新增的生产装置储罐情况详见下表：</w:t>
            </w:r>
          </w:p>
          <w:p w14:paraId="615762FD">
            <w:pPr>
              <w:pStyle w:val="41"/>
              <w:rPr>
                <w:rFonts w:hint="eastAsia"/>
                <w:color w:val="auto"/>
                <w:szCs w:val="21"/>
                <w:highlight w:val="none"/>
                <w:lang w:val="en-US" w:eastAsia="zh-CN"/>
              </w:rPr>
            </w:pPr>
            <w:r>
              <w:rPr>
                <w:rFonts w:hint="eastAsia"/>
                <w:color w:val="auto"/>
                <w:szCs w:val="21"/>
                <w:highlight w:val="none"/>
                <w:lang w:val="en-US" w:eastAsia="zh-CN"/>
              </w:rPr>
              <w:t>本项目新增生产装置储罐列表</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0"/>
              <w:gridCol w:w="378"/>
              <w:gridCol w:w="912"/>
              <w:gridCol w:w="632"/>
              <w:gridCol w:w="553"/>
              <w:gridCol w:w="615"/>
              <w:gridCol w:w="985"/>
              <w:gridCol w:w="484"/>
              <w:gridCol w:w="1247"/>
              <w:gridCol w:w="346"/>
              <w:gridCol w:w="700"/>
              <w:gridCol w:w="500"/>
              <w:gridCol w:w="464"/>
            </w:tblGrid>
            <w:tr w14:paraId="011D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trPr>
              <w:tc>
                <w:tcPr>
                  <w:tcW w:w="136" w:type="pct"/>
                  <w:vAlign w:val="center"/>
                </w:tcPr>
                <w:p w14:paraId="6BA0C1C3">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35" w:type="pct"/>
                  <w:vAlign w:val="center"/>
                </w:tcPr>
                <w:p w14:paraId="060C47CD">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储罐名称</w:t>
                  </w:r>
                </w:p>
              </w:tc>
              <w:tc>
                <w:tcPr>
                  <w:tcW w:w="567" w:type="pct"/>
                  <w:vAlign w:val="center"/>
                </w:tcPr>
                <w:p w14:paraId="79F18697">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物料名称</w:t>
                  </w:r>
                </w:p>
              </w:tc>
              <w:tc>
                <w:tcPr>
                  <w:tcW w:w="393" w:type="pct"/>
                  <w:vAlign w:val="center"/>
                </w:tcPr>
                <w:p w14:paraId="35053556">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年周转量（</w:t>
                  </w:r>
                  <w:r>
                    <w:rPr>
                      <w:rFonts w:hint="default" w:ascii="Times New Roman" w:hAnsi="Times New Roman" w:eastAsia="宋体" w:cs="Times New Roman"/>
                      <w:b/>
                      <w:bCs/>
                      <w:color w:val="auto"/>
                      <w:spacing w:val="8"/>
                      <w:sz w:val="21"/>
                      <w:szCs w:val="21"/>
                      <w:highlight w:val="none"/>
                    </w:rPr>
                    <w:t>t/a）</w:t>
                  </w:r>
                </w:p>
              </w:tc>
              <w:tc>
                <w:tcPr>
                  <w:tcW w:w="344" w:type="pct"/>
                  <w:vAlign w:val="center"/>
                </w:tcPr>
                <w:p w14:paraId="30D2C9A6">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分子量</w:t>
                  </w:r>
                </w:p>
              </w:tc>
              <w:tc>
                <w:tcPr>
                  <w:tcW w:w="382" w:type="pct"/>
                  <w:vAlign w:val="center"/>
                </w:tcPr>
                <w:p w14:paraId="5D3FC672">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3"/>
                      <w:sz w:val="21"/>
                      <w:szCs w:val="21"/>
                      <w:highlight w:val="none"/>
                    </w:rPr>
                    <w:t>蒸气压</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pacing w:val="9"/>
                      <w:sz w:val="21"/>
                      <w:szCs w:val="21"/>
                      <w:highlight w:val="none"/>
                    </w:rPr>
                    <w:t>Pa）</w:t>
                  </w:r>
                </w:p>
              </w:tc>
              <w:tc>
                <w:tcPr>
                  <w:tcW w:w="612" w:type="pct"/>
                  <w:vAlign w:val="center"/>
                </w:tcPr>
                <w:p w14:paraId="224226F8">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3"/>
                      <w:sz w:val="21"/>
                      <w:szCs w:val="21"/>
                      <w:highlight w:val="none"/>
                    </w:rPr>
                    <w:t>物料密度</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pacing w:val="9"/>
                      <w:sz w:val="21"/>
                      <w:szCs w:val="21"/>
                      <w:highlight w:val="none"/>
                    </w:rPr>
                    <w:t>kg/m</w:t>
                  </w:r>
                  <w:r>
                    <w:rPr>
                      <w:rFonts w:hint="default" w:ascii="Times New Roman" w:hAnsi="Times New Roman" w:eastAsia="宋体" w:cs="Times New Roman"/>
                      <w:b/>
                      <w:bCs/>
                      <w:color w:val="auto"/>
                      <w:spacing w:val="9"/>
                      <w:sz w:val="21"/>
                      <w:szCs w:val="21"/>
                      <w:highlight w:val="none"/>
                      <w:vertAlign w:val="superscript"/>
                    </w:rPr>
                    <w:t>3</w:t>
                  </w:r>
                  <w:r>
                    <w:rPr>
                      <w:rFonts w:hint="default" w:ascii="Times New Roman" w:hAnsi="Times New Roman" w:eastAsia="宋体" w:cs="Times New Roman"/>
                      <w:b/>
                      <w:bCs/>
                      <w:color w:val="auto"/>
                      <w:spacing w:val="9"/>
                      <w:sz w:val="21"/>
                      <w:szCs w:val="21"/>
                      <w:highlight w:val="none"/>
                      <w:vertAlign w:val="baseline"/>
                    </w:rPr>
                    <w:t>）</w:t>
                  </w:r>
                </w:p>
              </w:tc>
              <w:tc>
                <w:tcPr>
                  <w:tcW w:w="301" w:type="pct"/>
                  <w:vAlign w:val="center"/>
                </w:tcPr>
                <w:p w14:paraId="0F92EF0F">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储存温度</w:t>
                  </w:r>
                  <w:r>
                    <w:rPr>
                      <w:rFonts w:hint="default" w:ascii="Times New Roman" w:hAnsi="Times New Roman" w:cs="Times New Roman"/>
                      <w:b/>
                      <w:bCs/>
                      <w:color w:val="auto"/>
                      <w:sz w:val="21"/>
                      <w:szCs w:val="21"/>
                      <w:highlight w:val="none"/>
                      <w:lang w:val="en-US" w:eastAsia="zh-CN"/>
                    </w:rPr>
                    <w:t>℃</w:t>
                  </w:r>
                </w:p>
              </w:tc>
              <w:tc>
                <w:tcPr>
                  <w:tcW w:w="775" w:type="pct"/>
                  <w:vAlign w:val="center"/>
                </w:tcPr>
                <w:p w14:paraId="5D67C201">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储罐形式</w:t>
                  </w:r>
                </w:p>
              </w:tc>
              <w:tc>
                <w:tcPr>
                  <w:tcW w:w="215" w:type="pct"/>
                  <w:vAlign w:val="center"/>
                </w:tcPr>
                <w:p w14:paraId="2A4D376F">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3"/>
                      <w:sz w:val="21"/>
                      <w:szCs w:val="21"/>
                      <w:highlight w:val="none"/>
                    </w:rPr>
                    <w:t>储罐个数</w:t>
                  </w:r>
                </w:p>
              </w:tc>
              <w:tc>
                <w:tcPr>
                  <w:tcW w:w="435" w:type="pct"/>
                  <w:vAlign w:val="center"/>
                </w:tcPr>
                <w:p w14:paraId="155B1E59">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储罐</w:t>
                  </w:r>
                  <w:r>
                    <w:rPr>
                      <w:rFonts w:hint="default" w:ascii="Times New Roman" w:hAnsi="Times New Roman" w:eastAsia="宋体" w:cs="Times New Roman"/>
                      <w:b/>
                      <w:bCs/>
                      <w:color w:val="auto"/>
                      <w:sz w:val="21"/>
                      <w:szCs w:val="21"/>
                      <w:highlight w:val="none"/>
                    </w:rPr>
                    <w:t>容积（</w:t>
                  </w:r>
                  <w:r>
                    <w:rPr>
                      <w:rFonts w:hint="default" w:ascii="Times New Roman" w:hAnsi="Times New Roman" w:eastAsia="宋体" w:cs="Times New Roman"/>
                      <w:b/>
                      <w:bCs/>
                      <w:color w:val="auto"/>
                      <w:spacing w:val="6"/>
                      <w:sz w:val="21"/>
                      <w:szCs w:val="21"/>
                      <w:highlight w:val="none"/>
                    </w:rPr>
                    <w:t>m</w:t>
                  </w:r>
                  <w:r>
                    <w:rPr>
                      <w:rFonts w:hint="default" w:ascii="Times New Roman" w:hAnsi="Times New Roman" w:eastAsia="宋体" w:cs="Times New Roman"/>
                      <w:b/>
                      <w:bCs/>
                      <w:color w:val="auto"/>
                      <w:spacing w:val="6"/>
                      <w:sz w:val="21"/>
                      <w:szCs w:val="21"/>
                      <w:highlight w:val="none"/>
                      <w:vertAlign w:val="superscript"/>
                    </w:rPr>
                    <w:t>3</w:t>
                  </w:r>
                  <w:r>
                    <w:rPr>
                      <w:rFonts w:hint="default" w:ascii="Times New Roman" w:hAnsi="Times New Roman" w:eastAsia="宋体" w:cs="Times New Roman"/>
                      <w:b/>
                      <w:bCs/>
                      <w:color w:val="auto"/>
                      <w:spacing w:val="6"/>
                      <w:sz w:val="21"/>
                      <w:szCs w:val="21"/>
                      <w:highlight w:val="none"/>
                      <w:vertAlign w:val="baseline"/>
                    </w:rPr>
                    <w:t>）</w:t>
                  </w:r>
                </w:p>
              </w:tc>
              <w:tc>
                <w:tcPr>
                  <w:tcW w:w="311" w:type="pct"/>
                  <w:vAlign w:val="center"/>
                </w:tcPr>
                <w:p w14:paraId="6278021B">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3"/>
                      <w:sz w:val="21"/>
                      <w:szCs w:val="21"/>
                      <w:highlight w:val="none"/>
                    </w:rPr>
                    <w:t>装料系数</w:t>
                  </w:r>
                </w:p>
              </w:tc>
              <w:tc>
                <w:tcPr>
                  <w:tcW w:w="288" w:type="pct"/>
                  <w:vAlign w:val="center"/>
                </w:tcPr>
                <w:p w14:paraId="3188632E">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3"/>
                      <w:sz w:val="21"/>
                      <w:szCs w:val="21"/>
                      <w:highlight w:val="none"/>
                    </w:rPr>
                    <w:t>储存天数</w:t>
                  </w:r>
                </w:p>
              </w:tc>
            </w:tr>
            <w:tr w14:paraId="21CD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6" w:type="pct"/>
                  <w:vAlign w:val="center"/>
                </w:tcPr>
                <w:p w14:paraId="09053EBF">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35" w:type="pct"/>
                  <w:vMerge w:val="restart"/>
                  <w:vAlign w:val="center"/>
                </w:tcPr>
                <w:p w14:paraId="487AD504">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
                    </w:rPr>
                    <w:t>原料罐</w:t>
                  </w:r>
                </w:p>
              </w:tc>
              <w:tc>
                <w:tcPr>
                  <w:tcW w:w="567" w:type="pct"/>
                  <w:vAlign w:val="center"/>
                </w:tcPr>
                <w:p w14:paraId="27254BEB">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rPr>
                    <w:t>乙醇胺</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纯度</w:t>
                  </w:r>
                  <w:r>
                    <w:rPr>
                      <w:rFonts w:hint="eastAsia"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eastAsia="zh-CN"/>
                    </w:rPr>
                    <w:t>）</w:t>
                  </w:r>
                </w:p>
              </w:tc>
              <w:tc>
                <w:tcPr>
                  <w:tcW w:w="393" w:type="pct"/>
                  <w:vAlign w:val="center"/>
                </w:tcPr>
                <w:p w14:paraId="40F344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2500</w:t>
                  </w:r>
                </w:p>
              </w:tc>
              <w:tc>
                <w:tcPr>
                  <w:tcW w:w="344" w:type="pct"/>
                  <w:vAlign w:val="center"/>
                </w:tcPr>
                <w:p w14:paraId="5D1F1352">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149</w:t>
                  </w:r>
                </w:p>
              </w:tc>
              <w:tc>
                <w:tcPr>
                  <w:tcW w:w="382" w:type="pct"/>
                  <w:vAlign w:val="center"/>
                </w:tcPr>
                <w:p w14:paraId="41B3C63F">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1.33</w:t>
                  </w:r>
                </w:p>
              </w:tc>
              <w:tc>
                <w:tcPr>
                  <w:tcW w:w="612" w:type="pct"/>
                  <w:vAlign w:val="center"/>
                </w:tcPr>
                <w:p w14:paraId="51576D0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1120</w:t>
                  </w:r>
                </w:p>
              </w:tc>
              <w:tc>
                <w:tcPr>
                  <w:tcW w:w="301" w:type="pct"/>
                  <w:vAlign w:val="center"/>
                </w:tcPr>
                <w:p w14:paraId="453EEC31">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常温</w:t>
                  </w:r>
                </w:p>
              </w:tc>
              <w:tc>
                <w:tcPr>
                  <w:tcW w:w="1247" w:type="dxa"/>
                  <w:vMerge w:val="restart"/>
                  <w:vAlign w:val="center"/>
                </w:tcPr>
                <w:p w14:paraId="3158DA5A">
                  <w:pPr>
                    <w:pStyle w:val="120"/>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pacing w:val="8"/>
                      <w:sz w:val="21"/>
                      <w:szCs w:val="21"/>
                      <w:highlight w:val="none"/>
                    </w:rPr>
                    <w:t>立式薄壁储</w:t>
                  </w:r>
                  <w:r>
                    <w:rPr>
                      <w:rFonts w:hint="default" w:ascii="Times New Roman" w:hAnsi="Times New Roman" w:eastAsia="宋体" w:cs="Times New Roman"/>
                      <w:color w:val="auto"/>
                      <w:sz w:val="21"/>
                      <w:szCs w:val="21"/>
                      <w:highlight w:val="none"/>
                    </w:rPr>
                    <w:t>罐</w:t>
                  </w:r>
                  <w:r>
                    <w:rPr>
                      <w:rFonts w:hint="default" w:ascii="Times New Roman" w:hAnsi="Times New Roman" w:eastAsia="宋体" w:cs="Times New Roman"/>
                      <w:color w:val="auto"/>
                      <w:spacing w:val="4"/>
                      <w:sz w:val="21"/>
                      <w:szCs w:val="21"/>
                      <w:highlight w:val="none"/>
                    </w:rPr>
                    <w:t>Φ3600×</w:t>
                  </w:r>
                  <w:r>
                    <w:rPr>
                      <w:rFonts w:hint="default" w:ascii="Times New Roman" w:hAnsi="Times New Roman" w:eastAsia="宋体" w:cs="Times New Roman"/>
                      <w:color w:val="auto"/>
                      <w:spacing w:val="4"/>
                      <w:sz w:val="21"/>
                      <w:szCs w:val="21"/>
                      <w:highlight w:val="none"/>
                      <w:lang w:val="en-US" w:eastAsia="zh-CN"/>
                    </w:rPr>
                    <w:t>50</w:t>
                  </w:r>
                  <w:r>
                    <w:rPr>
                      <w:rFonts w:hint="default" w:ascii="Times New Roman" w:hAnsi="Times New Roman" w:eastAsia="宋体" w:cs="Times New Roman"/>
                      <w:color w:val="auto"/>
                      <w:spacing w:val="4"/>
                      <w:sz w:val="21"/>
                      <w:szCs w:val="21"/>
                      <w:highlight w:val="none"/>
                    </w:rPr>
                    <w:t>00</w:t>
                  </w:r>
                </w:p>
              </w:tc>
              <w:tc>
                <w:tcPr>
                  <w:tcW w:w="215" w:type="pct"/>
                  <w:vMerge w:val="restart"/>
                  <w:vAlign w:val="center"/>
                </w:tcPr>
                <w:p w14:paraId="1D247E3B">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35" w:type="pct"/>
                  <w:vMerge w:val="restart"/>
                  <w:vAlign w:val="center"/>
                </w:tcPr>
                <w:p w14:paraId="2832C7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311" w:type="pct"/>
                  <w:vAlign w:val="center"/>
                </w:tcPr>
                <w:p w14:paraId="522896F3">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0.85</w:t>
                  </w:r>
                </w:p>
              </w:tc>
              <w:tc>
                <w:tcPr>
                  <w:tcW w:w="288" w:type="pct"/>
                  <w:vAlign w:val="center"/>
                </w:tcPr>
                <w:p w14:paraId="74765A3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30</w:t>
                  </w:r>
                </w:p>
              </w:tc>
            </w:tr>
            <w:tr w14:paraId="1DA6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136" w:type="pct"/>
                  <w:vAlign w:val="center"/>
                </w:tcPr>
                <w:p w14:paraId="1E454ACD">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35" w:type="pct"/>
                  <w:vMerge w:val="continue"/>
                  <w:vAlign w:val="center"/>
                </w:tcPr>
                <w:p w14:paraId="1D786579">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567" w:type="pct"/>
                  <w:vAlign w:val="center"/>
                </w:tcPr>
                <w:p w14:paraId="1F70503A">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N-甲基一乙醇胺</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纯度</w:t>
                  </w:r>
                  <w:r>
                    <w:rPr>
                      <w:rFonts w:hint="eastAsia"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eastAsia="zh-CN"/>
                    </w:rPr>
                    <w:t>）</w:t>
                  </w:r>
                </w:p>
              </w:tc>
              <w:tc>
                <w:tcPr>
                  <w:tcW w:w="393" w:type="pct"/>
                  <w:vAlign w:val="center"/>
                </w:tcPr>
                <w:p w14:paraId="569B9F9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344" w:type="pct"/>
                  <w:vAlign w:val="center"/>
                </w:tcPr>
                <w:p w14:paraId="4724DF8D">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382" w:type="pct"/>
                  <w:vAlign w:val="center"/>
                </w:tcPr>
                <w:p w14:paraId="3152506C">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930</w:t>
                  </w:r>
                </w:p>
              </w:tc>
              <w:tc>
                <w:tcPr>
                  <w:tcW w:w="612" w:type="pct"/>
                  <w:vAlign w:val="center"/>
                </w:tcPr>
                <w:p w14:paraId="34DA133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w:t>
                  </w:r>
                  <w:r>
                    <w:rPr>
                      <w:rFonts w:hint="eastAsia" w:cs="Times New Roman"/>
                      <w:color w:val="auto"/>
                      <w:sz w:val="21"/>
                      <w:szCs w:val="21"/>
                      <w:highlight w:val="none"/>
                      <w:lang w:val="en-US" w:eastAsia="zh-CN"/>
                    </w:rPr>
                    <w:t>5</w:t>
                  </w:r>
                </w:p>
              </w:tc>
              <w:tc>
                <w:tcPr>
                  <w:tcW w:w="301" w:type="pct"/>
                  <w:vAlign w:val="center"/>
                </w:tcPr>
                <w:p w14:paraId="2F2DD625">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常温</w:t>
                  </w:r>
                </w:p>
              </w:tc>
              <w:tc>
                <w:tcPr>
                  <w:tcW w:w="775" w:type="pct"/>
                  <w:vMerge w:val="continue"/>
                  <w:vAlign w:val="center"/>
                </w:tcPr>
                <w:p w14:paraId="38B393F1">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sz w:val="21"/>
                      <w:szCs w:val="21"/>
                      <w:highlight w:val="none"/>
                    </w:rPr>
                  </w:pPr>
                </w:p>
              </w:tc>
              <w:tc>
                <w:tcPr>
                  <w:tcW w:w="215" w:type="pct"/>
                  <w:vMerge w:val="continue"/>
                  <w:vAlign w:val="center"/>
                </w:tcPr>
                <w:p w14:paraId="70D72D98">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35" w:type="pct"/>
                  <w:vMerge w:val="continue"/>
                  <w:vAlign w:val="center"/>
                </w:tcPr>
                <w:p w14:paraId="20872D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311" w:type="pct"/>
                  <w:vAlign w:val="center"/>
                </w:tcPr>
                <w:p w14:paraId="4DBB4ED0">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0.85</w:t>
                  </w:r>
                </w:p>
              </w:tc>
              <w:tc>
                <w:tcPr>
                  <w:tcW w:w="288" w:type="pct"/>
                  <w:vAlign w:val="center"/>
                </w:tcPr>
                <w:p w14:paraId="0ECEA1E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30</w:t>
                  </w:r>
                </w:p>
              </w:tc>
            </w:tr>
            <w:tr w14:paraId="2E3F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136" w:type="pct"/>
                  <w:vAlign w:val="center"/>
                </w:tcPr>
                <w:p w14:paraId="25EDF508">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35" w:type="pct"/>
                  <w:vMerge w:val="restart"/>
                  <w:vAlign w:val="center"/>
                </w:tcPr>
                <w:p w14:paraId="511254BF">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高沸物罐</w:t>
                  </w:r>
                </w:p>
              </w:tc>
              <w:tc>
                <w:tcPr>
                  <w:tcW w:w="567" w:type="pct"/>
                  <w:vAlign w:val="center"/>
                </w:tcPr>
                <w:p w14:paraId="0F516961">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rPr>
                    <w:t>乙醇胺</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纯度</w:t>
                  </w:r>
                  <w:r>
                    <w:rPr>
                      <w:rFonts w:hint="eastAsia"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w:t>
                  </w:r>
                </w:p>
              </w:tc>
              <w:tc>
                <w:tcPr>
                  <w:tcW w:w="393" w:type="pct"/>
                  <w:vAlign w:val="center"/>
                </w:tcPr>
                <w:p w14:paraId="76C033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249.5</w:t>
                  </w:r>
                </w:p>
              </w:tc>
              <w:tc>
                <w:tcPr>
                  <w:tcW w:w="344" w:type="pct"/>
                  <w:vAlign w:val="center"/>
                </w:tcPr>
                <w:p w14:paraId="351AA228">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149</w:t>
                  </w:r>
                </w:p>
              </w:tc>
              <w:tc>
                <w:tcPr>
                  <w:tcW w:w="382" w:type="pct"/>
                  <w:vAlign w:val="center"/>
                </w:tcPr>
                <w:p w14:paraId="1F906396">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1.33</w:t>
                  </w:r>
                </w:p>
              </w:tc>
              <w:tc>
                <w:tcPr>
                  <w:tcW w:w="985" w:type="dxa"/>
                  <w:vAlign w:val="center"/>
                </w:tcPr>
                <w:p w14:paraId="6D88A4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1120</w:t>
                  </w:r>
                </w:p>
              </w:tc>
              <w:tc>
                <w:tcPr>
                  <w:tcW w:w="301" w:type="pct"/>
                  <w:vAlign w:val="center"/>
                </w:tcPr>
                <w:p w14:paraId="3C635ED4">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247" w:type="dxa"/>
                  <w:vMerge w:val="restart"/>
                  <w:vAlign w:val="center"/>
                </w:tcPr>
                <w:p w14:paraId="48134B64">
                  <w:pPr>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立式薄壁储罐Φ3600×</w:t>
                  </w:r>
                  <w:r>
                    <w:rPr>
                      <w:rFonts w:hint="default" w:ascii="Times New Roman" w:hAnsi="Times New Roman" w:eastAsia="宋体" w:cs="Times New Roman"/>
                      <w:color w:val="auto"/>
                      <w:sz w:val="21"/>
                      <w:szCs w:val="21"/>
                      <w:highlight w:val="none"/>
                      <w:lang w:val="en-US" w:eastAsia="zh-CN"/>
                    </w:rPr>
                    <w:t>500</w:t>
                  </w:r>
                  <w:r>
                    <w:rPr>
                      <w:rFonts w:hint="default" w:ascii="Times New Roman" w:hAnsi="Times New Roman" w:eastAsia="宋体" w:cs="Times New Roman"/>
                      <w:color w:val="auto"/>
                      <w:sz w:val="21"/>
                      <w:szCs w:val="21"/>
                      <w:highlight w:val="none"/>
                    </w:rPr>
                    <w:t>0</w:t>
                  </w:r>
                </w:p>
              </w:tc>
              <w:tc>
                <w:tcPr>
                  <w:tcW w:w="215" w:type="pct"/>
                  <w:vMerge w:val="restart"/>
                  <w:vAlign w:val="center"/>
                </w:tcPr>
                <w:p w14:paraId="0B9BA8FD">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435" w:type="pct"/>
                  <w:vMerge w:val="restart"/>
                  <w:vAlign w:val="center"/>
                </w:tcPr>
                <w:p w14:paraId="7A1DBC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500" w:type="dxa"/>
                  <w:vAlign w:val="center"/>
                </w:tcPr>
                <w:p w14:paraId="7D59E502">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0.85</w:t>
                  </w:r>
                </w:p>
              </w:tc>
              <w:tc>
                <w:tcPr>
                  <w:tcW w:w="464" w:type="dxa"/>
                  <w:vAlign w:val="center"/>
                </w:tcPr>
                <w:p w14:paraId="614E017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14:paraId="7328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136" w:type="pct"/>
                  <w:vAlign w:val="center"/>
                </w:tcPr>
                <w:p w14:paraId="54B86EB4">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35" w:type="pct"/>
                  <w:vMerge w:val="continue"/>
                  <w:vAlign w:val="center"/>
                </w:tcPr>
                <w:p w14:paraId="3C12BC2E">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21"/>
                      <w:szCs w:val="21"/>
                      <w:highlight w:val="none"/>
                      <w:lang w:val="en-US" w:eastAsia="zh-CN"/>
                    </w:rPr>
                  </w:pPr>
                </w:p>
              </w:tc>
              <w:tc>
                <w:tcPr>
                  <w:tcW w:w="567" w:type="pct"/>
                  <w:vAlign w:val="center"/>
                </w:tcPr>
                <w:p w14:paraId="1EC74854">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N-甲基一乙醇胺</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纯度</w:t>
                  </w:r>
                  <w:r>
                    <w:rPr>
                      <w:rFonts w:hint="eastAsia"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w:t>
                  </w:r>
                </w:p>
              </w:tc>
              <w:tc>
                <w:tcPr>
                  <w:tcW w:w="393" w:type="pct"/>
                  <w:vAlign w:val="center"/>
                </w:tcPr>
                <w:p w14:paraId="349B42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49.915</w:t>
                  </w:r>
                </w:p>
              </w:tc>
              <w:tc>
                <w:tcPr>
                  <w:tcW w:w="344" w:type="pct"/>
                  <w:vAlign w:val="center"/>
                </w:tcPr>
                <w:p w14:paraId="5B79B9F7">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382" w:type="pct"/>
                  <w:vAlign w:val="center"/>
                </w:tcPr>
                <w:p w14:paraId="61A2C5CB">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930</w:t>
                  </w:r>
                </w:p>
              </w:tc>
              <w:tc>
                <w:tcPr>
                  <w:tcW w:w="985" w:type="dxa"/>
                  <w:vAlign w:val="center"/>
                </w:tcPr>
                <w:p w14:paraId="3A0D75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93</w:t>
                  </w:r>
                  <w:r>
                    <w:rPr>
                      <w:rFonts w:hint="eastAsia" w:cs="Times New Roman"/>
                      <w:color w:val="auto"/>
                      <w:sz w:val="21"/>
                      <w:szCs w:val="21"/>
                      <w:highlight w:val="none"/>
                      <w:lang w:val="en-US" w:eastAsia="zh-CN"/>
                    </w:rPr>
                    <w:t>5</w:t>
                  </w:r>
                </w:p>
              </w:tc>
              <w:tc>
                <w:tcPr>
                  <w:tcW w:w="301" w:type="pct"/>
                  <w:vAlign w:val="center"/>
                </w:tcPr>
                <w:p w14:paraId="6477112A">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75" w:type="pct"/>
                  <w:vMerge w:val="continue"/>
                  <w:vAlign w:val="center"/>
                </w:tcPr>
                <w:p w14:paraId="616B7962">
                  <w:pPr>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highlight w:val="none"/>
                      <w:lang w:val="en-US" w:eastAsia="zh-CN"/>
                    </w:rPr>
                  </w:pPr>
                </w:p>
              </w:tc>
              <w:tc>
                <w:tcPr>
                  <w:tcW w:w="215" w:type="pct"/>
                  <w:vMerge w:val="continue"/>
                  <w:vAlign w:val="center"/>
                </w:tcPr>
                <w:p w14:paraId="598CA655">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35" w:type="pct"/>
                  <w:vMerge w:val="continue"/>
                  <w:vAlign w:val="center"/>
                </w:tcPr>
                <w:p w14:paraId="75B5D4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00" w:type="dxa"/>
                  <w:vAlign w:val="center"/>
                </w:tcPr>
                <w:p w14:paraId="157BC3DD">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0.85</w:t>
                  </w:r>
                </w:p>
              </w:tc>
              <w:tc>
                <w:tcPr>
                  <w:tcW w:w="464" w:type="dxa"/>
                  <w:vAlign w:val="center"/>
                </w:tcPr>
                <w:p w14:paraId="57BE027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14:paraId="21D5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trPr>
              <w:tc>
                <w:tcPr>
                  <w:tcW w:w="136" w:type="pct"/>
                  <w:vAlign w:val="center"/>
                </w:tcPr>
                <w:p w14:paraId="0ABA6569">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35" w:type="pct"/>
                  <w:vMerge w:val="restart"/>
                  <w:vAlign w:val="center"/>
                </w:tcPr>
                <w:p w14:paraId="10E0F6A5">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产品罐</w:t>
                  </w:r>
                </w:p>
              </w:tc>
              <w:tc>
                <w:tcPr>
                  <w:tcW w:w="567" w:type="pct"/>
                  <w:vAlign w:val="center"/>
                </w:tcPr>
                <w:p w14:paraId="048B469F">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rPr>
                    <w:t>乙醇胺</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纯度</w:t>
                  </w:r>
                  <w:r>
                    <w:rPr>
                      <w:rFonts w:hint="eastAsia"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eastAsia="zh-CN"/>
                    </w:rPr>
                    <w:t>）</w:t>
                  </w:r>
                </w:p>
              </w:tc>
              <w:tc>
                <w:tcPr>
                  <w:tcW w:w="393" w:type="pct"/>
                  <w:vAlign w:val="center"/>
                </w:tcPr>
                <w:p w14:paraId="729CFF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2250</w:t>
                  </w:r>
                </w:p>
              </w:tc>
              <w:tc>
                <w:tcPr>
                  <w:tcW w:w="344" w:type="pct"/>
                  <w:vAlign w:val="center"/>
                </w:tcPr>
                <w:p w14:paraId="14CF71D1">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149</w:t>
                  </w:r>
                </w:p>
              </w:tc>
              <w:tc>
                <w:tcPr>
                  <w:tcW w:w="382" w:type="pct"/>
                  <w:vAlign w:val="center"/>
                </w:tcPr>
                <w:p w14:paraId="15729BA9">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1.33</w:t>
                  </w:r>
                </w:p>
              </w:tc>
              <w:tc>
                <w:tcPr>
                  <w:tcW w:w="985" w:type="dxa"/>
                  <w:vAlign w:val="center"/>
                </w:tcPr>
                <w:p w14:paraId="44A488B7">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1120</w:t>
                  </w:r>
                </w:p>
              </w:tc>
              <w:tc>
                <w:tcPr>
                  <w:tcW w:w="301" w:type="pct"/>
                  <w:vAlign w:val="center"/>
                </w:tcPr>
                <w:p w14:paraId="1011289D">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常温</w:t>
                  </w:r>
                </w:p>
              </w:tc>
              <w:tc>
                <w:tcPr>
                  <w:tcW w:w="1247" w:type="dxa"/>
                  <w:vMerge w:val="restart"/>
                  <w:vAlign w:val="center"/>
                </w:tcPr>
                <w:p w14:paraId="7CAA0B40">
                  <w:pPr>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立式薄壁储罐</w:t>
                  </w:r>
                </w:p>
                <w:p w14:paraId="0C4378A8">
                  <w:pPr>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Φ3</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00×4</w:t>
                  </w:r>
                  <w:r>
                    <w:rPr>
                      <w:rFonts w:hint="default" w:ascii="Times New Roman" w:hAnsi="Times New Roman" w:eastAsia="宋体" w:cs="Times New Roman"/>
                      <w:color w:val="auto"/>
                      <w:sz w:val="21"/>
                      <w:szCs w:val="21"/>
                      <w:highlight w:val="none"/>
                      <w:lang w:val="en-US" w:eastAsia="zh-CN"/>
                    </w:rPr>
                    <w:t>58</w:t>
                  </w:r>
                  <w:r>
                    <w:rPr>
                      <w:rFonts w:hint="default" w:ascii="Times New Roman" w:hAnsi="Times New Roman" w:eastAsia="宋体" w:cs="Times New Roman"/>
                      <w:color w:val="auto"/>
                      <w:sz w:val="21"/>
                      <w:szCs w:val="21"/>
                      <w:highlight w:val="none"/>
                    </w:rPr>
                    <w:t>0</w:t>
                  </w:r>
                </w:p>
              </w:tc>
              <w:tc>
                <w:tcPr>
                  <w:tcW w:w="215" w:type="pct"/>
                  <w:vMerge w:val="restart"/>
                  <w:vAlign w:val="center"/>
                </w:tcPr>
                <w:p w14:paraId="1A6ADD91">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435" w:type="pct"/>
                  <w:vMerge w:val="restart"/>
                  <w:vAlign w:val="center"/>
                </w:tcPr>
                <w:p w14:paraId="640570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311" w:type="pct"/>
                  <w:vAlign w:val="center"/>
                </w:tcPr>
                <w:p w14:paraId="53FE342A">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0.85</w:t>
                  </w:r>
                </w:p>
              </w:tc>
              <w:tc>
                <w:tcPr>
                  <w:tcW w:w="288" w:type="pct"/>
                  <w:vAlign w:val="center"/>
                </w:tcPr>
                <w:p w14:paraId="14A0B79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30</w:t>
                  </w:r>
                </w:p>
              </w:tc>
            </w:tr>
            <w:tr w14:paraId="65F5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136" w:type="pct"/>
                  <w:vAlign w:val="center"/>
                </w:tcPr>
                <w:p w14:paraId="2A5DF19A">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35" w:type="pct"/>
                  <w:vMerge w:val="continue"/>
                  <w:vAlign w:val="center"/>
                </w:tcPr>
                <w:p w14:paraId="57BC7F65">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567" w:type="pct"/>
                  <w:vAlign w:val="center"/>
                </w:tcPr>
                <w:p w14:paraId="7EC502A3">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N-甲基一乙醇胺</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纯度</w:t>
                  </w:r>
                  <w:r>
                    <w:rPr>
                      <w:rFonts w:hint="eastAsia"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eastAsia="zh-CN"/>
                    </w:rPr>
                    <w:t>）</w:t>
                  </w:r>
                </w:p>
              </w:tc>
              <w:tc>
                <w:tcPr>
                  <w:tcW w:w="393" w:type="pct"/>
                  <w:vAlign w:val="center"/>
                </w:tcPr>
                <w:p w14:paraId="5E5F2C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450</w:t>
                  </w:r>
                </w:p>
              </w:tc>
              <w:tc>
                <w:tcPr>
                  <w:tcW w:w="344" w:type="pct"/>
                  <w:vAlign w:val="center"/>
                </w:tcPr>
                <w:p w14:paraId="03487F07">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382" w:type="pct"/>
                  <w:vAlign w:val="center"/>
                </w:tcPr>
                <w:p w14:paraId="50303FB8">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930</w:t>
                  </w:r>
                </w:p>
              </w:tc>
              <w:tc>
                <w:tcPr>
                  <w:tcW w:w="985" w:type="dxa"/>
                  <w:vAlign w:val="center"/>
                </w:tcPr>
                <w:p w14:paraId="5C3A28C1">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93</w:t>
                  </w:r>
                  <w:r>
                    <w:rPr>
                      <w:rFonts w:hint="eastAsia" w:cs="Times New Roman"/>
                      <w:color w:val="auto"/>
                      <w:sz w:val="21"/>
                      <w:szCs w:val="21"/>
                      <w:highlight w:val="none"/>
                      <w:lang w:val="en-US" w:eastAsia="zh-CN"/>
                    </w:rPr>
                    <w:t>5</w:t>
                  </w:r>
                </w:p>
              </w:tc>
              <w:tc>
                <w:tcPr>
                  <w:tcW w:w="301" w:type="pct"/>
                  <w:vAlign w:val="center"/>
                </w:tcPr>
                <w:p w14:paraId="7E0BB0DA">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常温</w:t>
                  </w:r>
                </w:p>
              </w:tc>
              <w:tc>
                <w:tcPr>
                  <w:tcW w:w="775" w:type="pct"/>
                  <w:vMerge w:val="continue"/>
                  <w:vAlign w:val="center"/>
                </w:tcPr>
                <w:p w14:paraId="0478167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p>
              </w:tc>
              <w:tc>
                <w:tcPr>
                  <w:tcW w:w="215" w:type="pct"/>
                  <w:vMerge w:val="continue"/>
                  <w:vAlign w:val="center"/>
                </w:tcPr>
                <w:p w14:paraId="3B8FAAFE">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35" w:type="pct"/>
                  <w:vMerge w:val="continue"/>
                  <w:vAlign w:val="center"/>
                </w:tcPr>
                <w:p w14:paraId="1005DE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p>
              </w:tc>
              <w:tc>
                <w:tcPr>
                  <w:tcW w:w="311" w:type="pct"/>
                  <w:vAlign w:val="center"/>
                </w:tcPr>
                <w:p w14:paraId="185AB23A">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0.85</w:t>
                  </w:r>
                </w:p>
              </w:tc>
              <w:tc>
                <w:tcPr>
                  <w:tcW w:w="288" w:type="pct"/>
                  <w:vAlign w:val="center"/>
                </w:tcPr>
                <w:p w14:paraId="24E9CC4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30</w:t>
                  </w:r>
                </w:p>
              </w:tc>
            </w:tr>
          </w:tbl>
          <w:p w14:paraId="18F5D9CB">
            <w:pPr>
              <w:widowControl/>
              <w:spacing w:line="360" w:lineRule="auto"/>
              <w:ind w:firstLine="452" w:firstLineChars="200"/>
              <w:jc w:val="left"/>
              <w:rPr>
                <w:rFonts w:hint="eastAsia" w:ascii="Times New Roman" w:hAnsi="Times New Roman" w:eastAsia="宋体" w:cs="Times New Roman"/>
                <w:color w:val="auto"/>
                <w:spacing w:val="-7"/>
                <w:kern w:val="2"/>
                <w:sz w:val="24"/>
                <w:szCs w:val="32"/>
                <w:highlight w:val="none"/>
                <w:lang w:val="en-US" w:eastAsia="zh-CN" w:bidi="ar-SA"/>
              </w:rPr>
            </w:pPr>
            <w:r>
              <w:rPr>
                <w:rFonts w:hint="eastAsia" w:ascii="Times New Roman" w:hAnsi="Times New Roman" w:eastAsia="宋体" w:cs="Times New Roman"/>
                <w:color w:val="auto"/>
                <w:spacing w:val="-7"/>
                <w:kern w:val="2"/>
                <w:sz w:val="24"/>
                <w:szCs w:val="32"/>
                <w:highlight w:val="none"/>
                <w:lang w:val="en-US" w:eastAsia="zh-CN" w:bidi="ar-SA"/>
              </w:rPr>
              <w:t>根据行业“大小呼吸”经验公式，参照《石油化工行业</w:t>
            </w:r>
            <w:r>
              <w:rPr>
                <w:rFonts w:hint="eastAsia" w:cs="Times New Roman"/>
                <w:color w:val="auto"/>
                <w:spacing w:val="-7"/>
                <w:kern w:val="2"/>
                <w:sz w:val="24"/>
                <w:szCs w:val="32"/>
                <w:highlight w:val="none"/>
                <w:lang w:val="en-US" w:eastAsia="zh-CN" w:bidi="ar-SA"/>
              </w:rPr>
              <w:t>V</w:t>
            </w:r>
            <w:r>
              <w:rPr>
                <w:rFonts w:hint="eastAsia" w:ascii="Times New Roman" w:hAnsi="Times New Roman" w:eastAsia="宋体" w:cs="Times New Roman"/>
                <w:color w:val="auto"/>
                <w:spacing w:val="-7"/>
                <w:kern w:val="2"/>
                <w:sz w:val="24"/>
                <w:szCs w:val="32"/>
                <w:highlight w:val="none"/>
                <w:lang w:val="en-US" w:eastAsia="zh-CN" w:bidi="ar-SA"/>
              </w:rPr>
              <w:t>OCs排放量计算方法》（财税</w:t>
            </w:r>
            <w:r>
              <w:rPr>
                <w:rFonts w:hint="eastAsia" w:cs="Times New Roman"/>
                <w:color w:val="auto"/>
                <w:spacing w:val="-7"/>
                <w:kern w:val="2"/>
                <w:sz w:val="24"/>
                <w:szCs w:val="32"/>
                <w:highlight w:val="none"/>
                <w:lang w:val="en-US" w:eastAsia="zh-CN" w:bidi="ar-SA"/>
              </w:rPr>
              <w:t>〔</w:t>
            </w:r>
            <w:r>
              <w:rPr>
                <w:rFonts w:hint="eastAsia" w:ascii="Times New Roman" w:hAnsi="Times New Roman" w:eastAsia="宋体" w:cs="Times New Roman"/>
                <w:color w:val="auto"/>
                <w:spacing w:val="-7"/>
                <w:kern w:val="2"/>
                <w:sz w:val="24"/>
                <w:szCs w:val="32"/>
                <w:highlight w:val="none"/>
                <w:lang w:val="en-US" w:eastAsia="zh-CN" w:bidi="ar-SA"/>
              </w:rPr>
              <w:t>2015</w:t>
            </w:r>
            <w:r>
              <w:rPr>
                <w:rFonts w:hint="eastAsia" w:cs="Times New Roman"/>
                <w:color w:val="auto"/>
                <w:spacing w:val="-7"/>
                <w:kern w:val="2"/>
                <w:sz w:val="24"/>
                <w:szCs w:val="32"/>
                <w:highlight w:val="none"/>
                <w:lang w:val="en-US" w:eastAsia="zh-CN" w:bidi="ar-SA"/>
              </w:rPr>
              <w:t>〕</w:t>
            </w:r>
            <w:r>
              <w:rPr>
                <w:rFonts w:hint="eastAsia" w:ascii="Times New Roman" w:hAnsi="Times New Roman" w:eastAsia="宋体" w:cs="Times New Roman"/>
                <w:color w:val="auto"/>
                <w:spacing w:val="-7"/>
                <w:kern w:val="2"/>
                <w:sz w:val="24"/>
                <w:szCs w:val="32"/>
                <w:highlight w:val="none"/>
                <w:lang w:val="en-US" w:eastAsia="zh-CN" w:bidi="ar-SA"/>
              </w:rPr>
              <w:t>71号附件2）、《石化行业VOCs污染源排查工作指南》（环办〔2015〕104号）和《</w:t>
            </w:r>
            <w:bookmarkStart w:id="27" w:name="OLE_LINK14"/>
            <w:r>
              <w:rPr>
                <w:rFonts w:hint="eastAsia" w:ascii="Times New Roman" w:hAnsi="Times New Roman" w:eastAsia="宋体" w:cs="Times New Roman"/>
                <w:color w:val="auto"/>
                <w:spacing w:val="-7"/>
                <w:kern w:val="2"/>
                <w:sz w:val="24"/>
                <w:szCs w:val="32"/>
                <w:highlight w:val="none"/>
                <w:lang w:val="en-US" w:eastAsia="zh-CN" w:bidi="ar-SA"/>
              </w:rPr>
              <w:t>排污许可证申请与核发技术规范石化行业</w:t>
            </w:r>
            <w:bookmarkEnd w:id="27"/>
            <w:r>
              <w:rPr>
                <w:rFonts w:hint="eastAsia" w:ascii="Times New Roman" w:hAnsi="Times New Roman" w:eastAsia="宋体" w:cs="Times New Roman"/>
                <w:color w:val="auto"/>
                <w:spacing w:val="-7"/>
                <w:kern w:val="2"/>
                <w:sz w:val="24"/>
                <w:szCs w:val="32"/>
                <w:highlight w:val="none"/>
                <w:lang w:val="en-US" w:eastAsia="zh-CN" w:bidi="ar-SA"/>
              </w:rPr>
              <w:t>》（HJ853-2017），项目罐区</w:t>
            </w:r>
            <w:r>
              <w:rPr>
                <w:rFonts w:hint="eastAsia" w:cs="Times New Roman"/>
                <w:color w:val="auto"/>
                <w:spacing w:val="-7"/>
                <w:kern w:val="2"/>
                <w:sz w:val="24"/>
                <w:szCs w:val="32"/>
                <w:highlight w:val="none"/>
                <w:lang w:val="en-US" w:eastAsia="zh-CN" w:bidi="ar-SA"/>
              </w:rPr>
              <w:t>废气总计</w:t>
            </w:r>
            <w:r>
              <w:rPr>
                <w:rFonts w:hint="eastAsia" w:ascii="Times New Roman" w:hAnsi="Times New Roman" w:eastAsia="宋体" w:cs="Times New Roman"/>
                <w:color w:val="auto"/>
                <w:spacing w:val="-7"/>
                <w:kern w:val="2"/>
                <w:sz w:val="24"/>
                <w:szCs w:val="32"/>
                <w:highlight w:val="none"/>
                <w:lang w:val="en-US" w:eastAsia="zh-CN" w:bidi="ar-SA"/>
              </w:rPr>
              <w:t>排放计算如下：</w:t>
            </w:r>
          </w:p>
          <w:p w14:paraId="3170059C">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小呼吸排放量</w:t>
            </w:r>
          </w:p>
          <w:p w14:paraId="5CA7EFA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i/>
                <w:color w:val="auto"/>
                <w:kern w:val="2"/>
                <w:sz w:val="24"/>
                <w:szCs w:val="24"/>
                <w:highlight w:val="none"/>
                <w:lang w:val="en-US" w:eastAsia="zh-CN" w:bidi="ar-SA"/>
              </w:rPr>
            </w:pPr>
            <m:oMathPara>
              <m:oMath>
                <m:sSub>
                  <m:sSubPr>
                    <m:ctrlPr>
                      <w:rPr>
                        <w:rFonts w:hint="default" w:ascii="Cambria Math" w:hAnsi="Cambria Math" w:cs="Times New Roman"/>
                        <w:i/>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L</m:t>
                    </m:r>
                    <m:ctrlPr>
                      <w:rPr>
                        <w:rFonts w:hint="default" w:ascii="Cambria Math" w:hAnsi="Cambria Math" w:cs="Times New Roman"/>
                        <w:i/>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B</m:t>
                    </m:r>
                    <m:ctrlPr>
                      <w:rPr>
                        <w:rFonts w:hint="default" w:ascii="Cambria Math" w:hAnsi="Cambria Math" w:cs="Times New Roman"/>
                        <w:i/>
                        <w:color w:val="auto"/>
                        <w:kern w:val="2"/>
                        <w:sz w:val="24"/>
                        <w:szCs w:val="24"/>
                        <w:highlight w:val="none"/>
                        <w:lang w:val="en-US" w:bidi="ar-SA"/>
                      </w:rPr>
                    </m:ctrlPr>
                  </m:sub>
                </m:sSub>
                <m:r>
                  <m:rPr/>
                  <w:rPr>
                    <w:rFonts w:hint="default" w:ascii="Cambria Math" w:hAnsi="Cambria Math" w:cs="Times New Roman"/>
                    <w:color w:val="auto"/>
                    <w:kern w:val="2"/>
                    <w:sz w:val="24"/>
                    <w:szCs w:val="24"/>
                    <w:highlight w:val="none"/>
                    <w:lang w:val="en-US" w:eastAsia="zh-CN" w:bidi="ar-SA"/>
                  </w:rPr>
                  <m:t>=0.191</m:t>
                </m:r>
                <m:r>
                  <m:rPr/>
                  <w:rPr>
                    <w:rFonts w:hint="default" w:ascii="Cambria Math" w:hAnsi="Cambria Math" w:cs="Times New Roman"/>
                    <w:color w:val="auto"/>
                    <w:kern w:val="2"/>
                    <w:sz w:val="24"/>
                    <w:szCs w:val="24"/>
                    <w:highlight w:val="none"/>
                    <w:lang w:val="en-US" w:bidi="ar-SA"/>
                  </w:rPr>
                  <m:t>×</m:t>
                </m:r>
                <m:r>
                  <m:rPr/>
                  <w:rPr>
                    <w:rFonts w:hint="default" w:ascii="Cambria Math" w:hAnsi="Cambria Math" w:cs="Times New Roman"/>
                    <w:color w:val="auto"/>
                    <w:kern w:val="2"/>
                    <w:sz w:val="24"/>
                    <w:szCs w:val="24"/>
                    <w:highlight w:val="none"/>
                    <w:lang w:val="en-US" w:eastAsia="zh-CN" w:bidi="ar-SA"/>
                  </w:rPr>
                  <m:t>M</m:t>
                </m:r>
                <m:r>
                  <m:rPr/>
                  <w:rPr>
                    <w:rFonts w:hint="default" w:ascii="Cambria Math" w:hAnsi="Cambria Math" w:cs="Times New Roman"/>
                    <w:color w:val="auto"/>
                    <w:kern w:val="2"/>
                    <w:sz w:val="24"/>
                    <w:szCs w:val="24"/>
                    <w:highlight w:val="none"/>
                    <w:lang w:val="en-US" w:bidi="ar-SA"/>
                  </w:rPr>
                  <m:t>×</m:t>
                </m:r>
                <m:sSup>
                  <m:sSupPr>
                    <m:ctrlPr>
                      <w:rPr>
                        <w:rFonts w:hint="default" w:ascii="Cambria Math" w:hAnsi="Cambria Math" w:cs="Times New Roman"/>
                        <w:i/>
                        <w:color w:val="auto"/>
                        <w:kern w:val="2"/>
                        <w:sz w:val="24"/>
                        <w:szCs w:val="24"/>
                        <w:highlight w:val="none"/>
                        <w:lang w:val="en-US" w:bidi="ar-SA"/>
                      </w:rPr>
                    </m:ctrlPr>
                  </m:sSupPr>
                  <m:e>
                    <m:d>
                      <m:dPr>
                        <m:ctrlPr>
                          <w:rPr>
                            <w:rFonts w:hint="default" w:ascii="Cambria Math" w:hAnsi="Cambria Math" w:cs="Times New Roman"/>
                            <w:i/>
                            <w:color w:val="auto"/>
                            <w:kern w:val="2"/>
                            <w:sz w:val="24"/>
                            <w:szCs w:val="24"/>
                            <w:highlight w:val="none"/>
                            <w:lang w:val="en-US" w:bidi="ar-SA"/>
                          </w:rPr>
                        </m:ctrlPr>
                      </m:dPr>
                      <m:e>
                        <m:f>
                          <m:fPr>
                            <m:ctrlPr>
                              <w:rPr>
                                <w:rFonts w:hint="default" w:ascii="Cambria Math" w:hAnsi="Cambria Math" w:cs="Times New Roman"/>
                                <w:i/>
                                <w:color w:val="auto"/>
                                <w:kern w:val="2"/>
                                <w:sz w:val="24"/>
                                <w:szCs w:val="24"/>
                                <w:highlight w:val="none"/>
                                <w:lang w:val="en-US" w:bidi="ar-SA"/>
                              </w:rPr>
                            </m:ctrlPr>
                          </m:fPr>
                          <m:num>
                            <m:r>
                              <m:rPr/>
                              <w:rPr>
                                <w:rFonts w:hint="default" w:ascii="Cambria Math" w:hAnsi="Cambria Math" w:cs="Times New Roman"/>
                                <w:color w:val="auto"/>
                                <w:kern w:val="2"/>
                                <w:sz w:val="24"/>
                                <w:szCs w:val="24"/>
                                <w:highlight w:val="none"/>
                                <w:lang w:val="en-US" w:eastAsia="zh-CN" w:bidi="ar-SA"/>
                              </w:rPr>
                              <m:t>P</m:t>
                            </m:r>
                            <m:ctrlPr>
                              <w:rPr>
                                <w:rFonts w:hint="default" w:ascii="Cambria Math" w:hAnsi="Cambria Math" w:cs="Times New Roman"/>
                                <w:i/>
                                <w:color w:val="auto"/>
                                <w:kern w:val="2"/>
                                <w:sz w:val="24"/>
                                <w:szCs w:val="24"/>
                                <w:highlight w:val="none"/>
                                <w:lang w:val="en-US" w:bidi="ar-SA"/>
                              </w:rPr>
                            </m:ctrlPr>
                          </m:num>
                          <m:den>
                            <m:r>
                              <m:rPr/>
                              <w:rPr>
                                <w:rFonts w:hint="default" w:ascii="Cambria Math" w:hAnsi="Cambria Math" w:cs="Times New Roman"/>
                                <w:color w:val="auto"/>
                                <w:kern w:val="2"/>
                                <w:sz w:val="24"/>
                                <w:szCs w:val="24"/>
                                <w:highlight w:val="none"/>
                                <w:lang w:val="en-US" w:eastAsia="zh-CN" w:bidi="ar-SA"/>
                              </w:rPr>
                              <m:t>100910−P</m:t>
                            </m:r>
                            <m:ctrlPr>
                              <w:rPr>
                                <w:rFonts w:hint="default" w:ascii="Cambria Math" w:hAnsi="Cambria Math" w:cs="Times New Roman"/>
                                <w:i/>
                                <w:color w:val="auto"/>
                                <w:kern w:val="2"/>
                                <w:sz w:val="24"/>
                                <w:szCs w:val="24"/>
                                <w:highlight w:val="none"/>
                                <w:lang w:val="en-US" w:bidi="ar-SA"/>
                              </w:rPr>
                            </m:ctrlPr>
                          </m:den>
                        </m:f>
                        <m:ctrlPr>
                          <w:rPr>
                            <w:rFonts w:hint="default" w:ascii="Cambria Math" w:hAnsi="Cambria Math" w:cs="Times New Roman"/>
                            <w:i/>
                            <w:color w:val="auto"/>
                            <w:kern w:val="2"/>
                            <w:sz w:val="24"/>
                            <w:szCs w:val="24"/>
                            <w:highlight w:val="none"/>
                            <w:lang w:val="en-US" w:bidi="ar-SA"/>
                          </w:rPr>
                        </m:ctrlPr>
                      </m:e>
                    </m:d>
                    <m:ctrlPr>
                      <w:rPr>
                        <w:rFonts w:hint="default" w:ascii="Cambria Math" w:hAnsi="Cambria Math" w:cs="Times New Roman"/>
                        <w:i/>
                        <w:color w:val="auto"/>
                        <w:kern w:val="2"/>
                        <w:sz w:val="24"/>
                        <w:szCs w:val="24"/>
                        <w:highlight w:val="none"/>
                        <w:lang w:val="en-US" w:bidi="ar-SA"/>
                      </w:rPr>
                    </m:ctrlPr>
                  </m:e>
                  <m:sup>
                    <m:r>
                      <m:rPr/>
                      <w:rPr>
                        <w:rFonts w:hint="default" w:ascii="Cambria Math" w:hAnsi="Cambria Math" w:cs="Times New Roman"/>
                        <w:color w:val="auto"/>
                        <w:kern w:val="2"/>
                        <w:sz w:val="24"/>
                        <w:szCs w:val="24"/>
                        <w:highlight w:val="none"/>
                        <w:lang w:val="en-US" w:eastAsia="zh-CN" w:bidi="ar-SA"/>
                      </w:rPr>
                      <m:t>0.68</m:t>
                    </m:r>
                    <m:ctrlPr>
                      <w:rPr>
                        <w:rFonts w:hint="default" w:ascii="Cambria Math" w:hAnsi="Cambria Math" w:cs="Times New Roman"/>
                        <w:i/>
                        <w:color w:val="auto"/>
                        <w:kern w:val="2"/>
                        <w:sz w:val="24"/>
                        <w:szCs w:val="24"/>
                        <w:highlight w:val="none"/>
                        <w:lang w:val="en-US" w:bidi="ar-SA"/>
                      </w:rPr>
                    </m:ctrlPr>
                  </m:sup>
                </m:sSup>
                <m:sSup>
                  <m:sSupPr>
                    <m:ctrlPr>
                      <w:rPr>
                        <w:rFonts w:hint="default" w:ascii="Cambria Math" w:hAnsi="Cambria Math" w:cs="Times New Roman"/>
                        <w:i/>
                        <w:color w:val="auto"/>
                        <w:kern w:val="2"/>
                        <w:sz w:val="24"/>
                        <w:szCs w:val="24"/>
                        <w:highlight w:val="none"/>
                        <w:lang w:val="en-US" w:bidi="ar-SA"/>
                      </w:rPr>
                    </m:ctrlPr>
                  </m:sSupPr>
                  <m:e>
                    <m:r>
                      <m:rPr/>
                      <w:rPr>
                        <w:rFonts w:hint="default" w:ascii="Cambria Math" w:hAnsi="Cambria Math" w:cs="Times New Roman"/>
                        <w:color w:val="auto"/>
                        <w:kern w:val="2"/>
                        <w:sz w:val="24"/>
                        <w:szCs w:val="24"/>
                        <w:highlight w:val="none"/>
                        <w:lang w:val="en-US" w:bidi="ar-SA"/>
                      </w:rPr>
                      <m:t>×</m:t>
                    </m:r>
                    <m:r>
                      <m:rPr/>
                      <w:rPr>
                        <w:rFonts w:hint="default" w:ascii="Cambria Math" w:hAnsi="Cambria Math" w:cs="Times New Roman"/>
                        <w:color w:val="auto"/>
                        <w:kern w:val="2"/>
                        <w:sz w:val="24"/>
                        <w:szCs w:val="24"/>
                        <w:highlight w:val="none"/>
                        <w:lang w:val="en-US" w:eastAsia="zh-CN" w:bidi="ar-SA"/>
                      </w:rPr>
                      <m:t>D</m:t>
                    </m:r>
                    <m:ctrlPr>
                      <w:rPr>
                        <w:rFonts w:hint="default" w:ascii="Cambria Math" w:hAnsi="Cambria Math" w:cs="Times New Roman"/>
                        <w:i/>
                        <w:color w:val="auto"/>
                        <w:kern w:val="2"/>
                        <w:sz w:val="24"/>
                        <w:szCs w:val="24"/>
                        <w:highlight w:val="none"/>
                        <w:lang w:val="en-US" w:bidi="ar-SA"/>
                      </w:rPr>
                    </m:ctrlPr>
                  </m:e>
                  <m:sup>
                    <m:r>
                      <m:rPr/>
                      <w:rPr>
                        <w:rFonts w:hint="default" w:ascii="Cambria Math" w:hAnsi="Cambria Math" w:cs="Times New Roman"/>
                        <w:color w:val="auto"/>
                        <w:kern w:val="2"/>
                        <w:sz w:val="24"/>
                        <w:szCs w:val="24"/>
                        <w:highlight w:val="none"/>
                        <w:lang w:val="en-US" w:eastAsia="zh-CN" w:bidi="ar-SA"/>
                      </w:rPr>
                      <m:t>1.73</m:t>
                    </m:r>
                    <m:ctrlPr>
                      <w:rPr>
                        <w:rFonts w:hint="default" w:ascii="Cambria Math" w:hAnsi="Cambria Math" w:cs="Times New Roman"/>
                        <w:i/>
                        <w:color w:val="auto"/>
                        <w:kern w:val="2"/>
                        <w:sz w:val="24"/>
                        <w:szCs w:val="24"/>
                        <w:highlight w:val="none"/>
                        <w:lang w:val="en-US" w:bidi="ar-SA"/>
                      </w:rPr>
                    </m:ctrlPr>
                  </m:sup>
                </m:sSup>
                <m:r>
                  <m:rPr/>
                  <w:rPr>
                    <w:rFonts w:hint="default" w:ascii="Cambria Math" w:hAnsi="Cambria Math" w:cs="Times New Roman"/>
                    <w:color w:val="auto"/>
                    <w:kern w:val="2"/>
                    <w:sz w:val="24"/>
                    <w:szCs w:val="24"/>
                    <w:highlight w:val="none"/>
                    <w:lang w:val="en-US" w:bidi="ar-SA"/>
                  </w:rPr>
                  <m:t>×</m:t>
                </m:r>
                <m:sSup>
                  <m:sSupPr>
                    <m:ctrlPr>
                      <w:rPr>
                        <w:rFonts w:hint="default" w:ascii="Cambria Math" w:hAnsi="Cambria Math" w:cs="Times New Roman"/>
                        <w:i/>
                        <w:color w:val="auto"/>
                        <w:kern w:val="2"/>
                        <w:sz w:val="24"/>
                        <w:szCs w:val="24"/>
                        <w:highlight w:val="none"/>
                        <w:lang w:val="en-US" w:bidi="ar-SA"/>
                      </w:rPr>
                    </m:ctrlPr>
                  </m:sSupPr>
                  <m:e>
                    <m:r>
                      <m:rPr/>
                      <w:rPr>
                        <w:rFonts w:hint="default" w:ascii="Cambria Math" w:hAnsi="Cambria Math" w:cs="Times New Roman"/>
                        <w:color w:val="auto"/>
                        <w:kern w:val="2"/>
                        <w:sz w:val="24"/>
                        <w:szCs w:val="24"/>
                        <w:highlight w:val="none"/>
                        <w:lang w:val="en-US" w:eastAsia="zh-CN" w:bidi="ar-SA"/>
                      </w:rPr>
                      <m:t>H</m:t>
                    </m:r>
                    <m:ctrlPr>
                      <w:rPr>
                        <w:rFonts w:hint="default" w:ascii="Cambria Math" w:hAnsi="Cambria Math" w:cs="Times New Roman"/>
                        <w:i/>
                        <w:color w:val="auto"/>
                        <w:kern w:val="2"/>
                        <w:sz w:val="24"/>
                        <w:szCs w:val="24"/>
                        <w:highlight w:val="none"/>
                        <w:lang w:val="en-US" w:bidi="ar-SA"/>
                      </w:rPr>
                    </m:ctrlPr>
                  </m:e>
                  <m:sup>
                    <m:r>
                      <m:rPr/>
                      <w:rPr>
                        <w:rFonts w:hint="default" w:ascii="Cambria Math" w:hAnsi="Cambria Math" w:cs="Times New Roman"/>
                        <w:color w:val="auto"/>
                        <w:kern w:val="2"/>
                        <w:sz w:val="24"/>
                        <w:szCs w:val="24"/>
                        <w:highlight w:val="none"/>
                        <w:lang w:val="en-US" w:eastAsia="zh-CN" w:bidi="ar-SA"/>
                      </w:rPr>
                      <m:t>0.51</m:t>
                    </m:r>
                    <m:ctrlPr>
                      <w:rPr>
                        <w:rFonts w:hint="default" w:ascii="Cambria Math" w:hAnsi="Cambria Math" w:cs="Times New Roman"/>
                        <w:i/>
                        <w:color w:val="auto"/>
                        <w:kern w:val="2"/>
                        <w:sz w:val="24"/>
                        <w:szCs w:val="24"/>
                        <w:highlight w:val="none"/>
                        <w:lang w:val="en-US" w:bidi="ar-SA"/>
                      </w:rPr>
                    </m:ctrlPr>
                  </m:sup>
                </m:sSup>
                <m:r>
                  <m:rPr/>
                  <w:rPr>
                    <w:rFonts w:hint="default" w:ascii="Cambria Math" w:hAnsi="Cambria Math" w:cs="Times New Roman"/>
                    <w:color w:val="auto"/>
                    <w:kern w:val="2"/>
                    <w:sz w:val="24"/>
                    <w:szCs w:val="24"/>
                    <w:highlight w:val="none"/>
                    <w:lang w:val="en-US" w:bidi="ar-SA"/>
                  </w:rPr>
                  <m:t>×</m:t>
                </m:r>
                <m:sSup>
                  <m:sSupPr>
                    <m:ctrlPr>
                      <w:rPr>
                        <w:rFonts w:hint="default" w:ascii="Cambria Math" w:hAnsi="Cambria Math" w:cs="Times New Roman"/>
                        <w:i/>
                        <w:color w:val="auto"/>
                        <w:kern w:val="2"/>
                        <w:sz w:val="24"/>
                        <w:szCs w:val="24"/>
                        <w:highlight w:val="none"/>
                        <w:lang w:val="en-US" w:bidi="ar-SA"/>
                      </w:rPr>
                    </m:ctrlPr>
                  </m:sSupPr>
                  <m:e>
                    <m:r>
                      <m:rPr/>
                      <w:rPr>
                        <w:rFonts w:hint="default" w:ascii="Cambria Math" w:hAnsi="Cambria Math" w:cs="Times New Roman"/>
                        <w:color w:val="auto"/>
                        <w:kern w:val="2"/>
                        <w:sz w:val="24"/>
                        <w:szCs w:val="24"/>
                        <w:highlight w:val="none"/>
                        <w:lang w:val="en-US" w:eastAsia="zh-CN" w:bidi="ar-SA"/>
                      </w:rPr>
                      <m:t>T</m:t>
                    </m:r>
                    <m:ctrlPr>
                      <w:rPr>
                        <w:rFonts w:hint="default" w:ascii="Cambria Math" w:hAnsi="Cambria Math" w:cs="Times New Roman"/>
                        <w:i/>
                        <w:color w:val="auto"/>
                        <w:kern w:val="2"/>
                        <w:sz w:val="24"/>
                        <w:szCs w:val="24"/>
                        <w:highlight w:val="none"/>
                        <w:lang w:val="en-US" w:bidi="ar-SA"/>
                      </w:rPr>
                    </m:ctrlPr>
                  </m:e>
                  <m:sup>
                    <m:r>
                      <m:rPr/>
                      <w:rPr>
                        <w:rFonts w:hint="default" w:ascii="Cambria Math" w:hAnsi="Cambria Math" w:cs="Times New Roman"/>
                        <w:color w:val="auto"/>
                        <w:kern w:val="2"/>
                        <w:sz w:val="24"/>
                        <w:szCs w:val="24"/>
                        <w:highlight w:val="none"/>
                        <w:lang w:val="en-US" w:eastAsia="zh-CN" w:bidi="ar-SA"/>
                      </w:rPr>
                      <m:t>0.45</m:t>
                    </m:r>
                    <m:r>
                      <m:rPr/>
                      <w:rPr>
                        <w:rFonts w:hint="default" w:ascii="Cambria Math" w:hAnsi="Cambria Math" w:cs="Times New Roman"/>
                        <w:color w:val="auto"/>
                        <w:kern w:val="2"/>
                        <w:sz w:val="24"/>
                        <w:szCs w:val="24"/>
                        <w:highlight w:val="none"/>
                        <w:lang w:val="en-US" w:bidi="ar-SA"/>
                      </w:rPr>
                      <m:t>×</m:t>
                    </m:r>
                    <m:ctrlPr>
                      <w:rPr>
                        <w:rFonts w:hint="default" w:ascii="Cambria Math" w:hAnsi="Cambria Math" w:cs="Times New Roman"/>
                        <w:i/>
                        <w:color w:val="auto"/>
                        <w:kern w:val="2"/>
                        <w:sz w:val="24"/>
                        <w:szCs w:val="24"/>
                        <w:highlight w:val="none"/>
                        <w:lang w:val="en-US" w:bidi="ar-SA"/>
                      </w:rPr>
                    </m:ctrlPr>
                  </m:sup>
                </m:sSup>
                <m:sSub>
                  <m:sSubPr>
                    <m:ctrlPr>
                      <w:rPr>
                        <w:rFonts w:hint="default" w:ascii="Cambria Math" w:hAnsi="Cambria Math" w:cs="Times New Roman"/>
                        <w:i/>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F</m:t>
                    </m:r>
                    <m:ctrlPr>
                      <w:rPr>
                        <w:rFonts w:hint="default" w:ascii="Cambria Math" w:hAnsi="Cambria Math" w:cs="Times New Roman"/>
                        <w:i/>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P</m:t>
                    </m:r>
                    <m:ctrlPr>
                      <w:rPr>
                        <w:rFonts w:hint="default" w:ascii="Cambria Math" w:hAnsi="Cambria Math" w:cs="Times New Roman"/>
                        <w:i/>
                        <w:color w:val="auto"/>
                        <w:kern w:val="2"/>
                        <w:sz w:val="24"/>
                        <w:szCs w:val="24"/>
                        <w:highlight w:val="none"/>
                        <w:lang w:val="en-US" w:bidi="ar-SA"/>
                      </w:rPr>
                    </m:ctrlPr>
                  </m:sub>
                </m:sSub>
                <m:r>
                  <m:rPr/>
                  <w:rPr>
                    <w:rFonts w:hint="default" w:ascii="Cambria Math" w:hAnsi="Cambria Math" w:cs="Times New Roman"/>
                    <w:color w:val="auto"/>
                    <w:kern w:val="2"/>
                    <w:sz w:val="24"/>
                    <w:szCs w:val="24"/>
                    <w:highlight w:val="none"/>
                    <w:lang w:val="en-US" w:bidi="ar-SA"/>
                  </w:rPr>
                  <m:t>×</m:t>
                </m:r>
                <m:r>
                  <m:rPr/>
                  <w:rPr>
                    <w:rFonts w:hint="default" w:ascii="Cambria Math" w:hAnsi="Cambria Math" w:cs="Times New Roman"/>
                    <w:color w:val="auto"/>
                    <w:kern w:val="2"/>
                    <w:sz w:val="24"/>
                    <w:szCs w:val="24"/>
                    <w:highlight w:val="none"/>
                    <w:lang w:val="en-US" w:eastAsia="zh-CN" w:bidi="ar-SA"/>
                  </w:rPr>
                  <m:t>C</m:t>
                </m:r>
                <m:sSub>
                  <m:sSubPr>
                    <m:ctrlPr>
                      <w:rPr>
                        <w:rFonts w:hint="default" w:ascii="Cambria Math" w:hAnsi="Cambria Math" w:cs="Times New Roman"/>
                        <w:i/>
                        <w:color w:val="auto"/>
                        <w:kern w:val="2"/>
                        <w:sz w:val="24"/>
                        <w:szCs w:val="24"/>
                        <w:highlight w:val="none"/>
                        <w:lang w:val="en-US" w:eastAsia="zh-CN" w:bidi="ar-SA"/>
                      </w:rPr>
                    </m:ctrlPr>
                  </m:sSubPr>
                  <m:e>
                    <m:r>
                      <m:rPr/>
                      <w:rPr>
                        <w:rFonts w:hint="default" w:ascii="Cambria Math" w:hAnsi="Cambria Math" w:cs="Times New Roman"/>
                        <w:color w:val="auto"/>
                        <w:kern w:val="2"/>
                        <w:sz w:val="24"/>
                        <w:szCs w:val="24"/>
                        <w:highlight w:val="none"/>
                        <w:lang w:val="en-US" w:bidi="ar-SA"/>
                      </w:rPr>
                      <m:t>×</m:t>
                    </m:r>
                    <m:r>
                      <m:rPr/>
                      <w:rPr>
                        <w:rFonts w:hint="default" w:ascii="Cambria Math" w:hAnsi="Cambria Math" w:cs="Times New Roman"/>
                        <w:color w:val="auto"/>
                        <w:kern w:val="2"/>
                        <w:sz w:val="24"/>
                        <w:szCs w:val="24"/>
                        <w:highlight w:val="none"/>
                        <w:lang w:val="en-US" w:eastAsia="zh-CN" w:bidi="ar-SA"/>
                      </w:rPr>
                      <m:t>K</m:t>
                    </m:r>
                    <m:ctrlPr>
                      <w:rPr>
                        <w:rFonts w:hint="default" w:ascii="Cambria Math" w:hAnsi="Cambria Math" w:cs="Times New Roman"/>
                        <w:i/>
                        <w:color w:val="auto"/>
                        <w:kern w:val="2"/>
                        <w:sz w:val="24"/>
                        <w:szCs w:val="24"/>
                        <w:highlight w:val="none"/>
                        <w:lang w:val="en-US" w:eastAsia="zh-CN" w:bidi="ar-SA"/>
                      </w:rPr>
                    </m:ctrlPr>
                  </m:e>
                  <m:sub>
                    <m:r>
                      <m:rPr/>
                      <w:rPr>
                        <w:rFonts w:hint="default" w:ascii="Cambria Math" w:hAnsi="Cambria Math" w:cs="Times New Roman"/>
                        <w:color w:val="auto"/>
                        <w:kern w:val="2"/>
                        <w:sz w:val="24"/>
                        <w:szCs w:val="24"/>
                        <w:highlight w:val="none"/>
                        <w:lang w:val="en-US" w:eastAsia="zh-CN" w:bidi="ar-SA"/>
                      </w:rPr>
                      <m:t>C</m:t>
                    </m:r>
                    <m:ctrlPr>
                      <w:rPr>
                        <w:rFonts w:hint="default" w:ascii="Cambria Math" w:hAnsi="Cambria Math" w:cs="Times New Roman"/>
                        <w:i/>
                        <w:color w:val="auto"/>
                        <w:kern w:val="2"/>
                        <w:sz w:val="24"/>
                        <w:szCs w:val="24"/>
                        <w:highlight w:val="none"/>
                        <w:lang w:val="en-US" w:eastAsia="zh-CN" w:bidi="ar-SA"/>
                      </w:rPr>
                    </m:ctrlPr>
                  </m:sub>
                </m:sSub>
              </m:oMath>
            </m:oMathPara>
          </w:p>
          <w:p w14:paraId="54F8D39C">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B</w:t>
            </w:r>
            <w:r>
              <w:rPr>
                <w:rFonts w:hint="default" w:ascii="Times New Roman" w:hAnsi="Times New Roman" w:eastAsia="宋体" w:cs="Times New Roman"/>
                <w:color w:val="auto"/>
                <w:sz w:val="24"/>
                <w:szCs w:val="24"/>
                <w:highlight w:val="none"/>
                <w:vertAlign w:val="baseline"/>
              </w:rPr>
              <w:t>——固定顶罐的呼吸排放量，kg/a；</w:t>
            </w:r>
          </w:p>
          <w:p w14:paraId="7DF462EA">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M——储罐内蒸气的分子量；</w:t>
            </w:r>
          </w:p>
          <w:p w14:paraId="7C47FC1D">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P——在大量液体状态下，真实的蒸气压力，Pa；</w:t>
            </w:r>
          </w:p>
          <w:p w14:paraId="4C96363B">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D——罐的直径，m；</w:t>
            </w:r>
          </w:p>
          <w:p w14:paraId="71234A00">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H——平均蒸气空间高度（或罐高度），m；</w:t>
            </w:r>
          </w:p>
          <w:p w14:paraId="2B51B74C">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T——每日大气温度变化的年平均值，℃，取T=10℃；</w:t>
            </w:r>
          </w:p>
          <w:p w14:paraId="05A7F673">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vertAlign w:val="baseline"/>
              </w:rPr>
              <w:t>——涂层系数（1～1.5，铅漆1.39，油漆1.02）</w:t>
            </w:r>
            <w:r>
              <w:rPr>
                <w:rFonts w:hint="eastAsia" w:cs="Times New Roman"/>
                <w:color w:val="auto"/>
                <w:sz w:val="24"/>
                <w:szCs w:val="24"/>
                <w:highlight w:val="none"/>
                <w:vertAlign w:val="baseline"/>
                <w:lang w:eastAsia="zh-CN"/>
              </w:rPr>
              <w:t>，</w:t>
            </w:r>
            <w:r>
              <w:rPr>
                <w:rFonts w:hint="eastAsia" w:cs="Times New Roman"/>
                <w:color w:val="auto"/>
                <w:sz w:val="24"/>
                <w:szCs w:val="24"/>
                <w:highlight w:val="none"/>
                <w:vertAlign w:val="baseline"/>
                <w:lang w:val="en-US" w:eastAsia="zh-CN"/>
              </w:rPr>
              <w:t>本项目选值1.25</w:t>
            </w:r>
            <w:r>
              <w:rPr>
                <w:rFonts w:hint="default" w:ascii="Times New Roman" w:hAnsi="Times New Roman" w:eastAsia="宋体" w:cs="Times New Roman"/>
                <w:color w:val="auto"/>
                <w:sz w:val="24"/>
                <w:szCs w:val="24"/>
                <w:highlight w:val="none"/>
                <w:vertAlign w:val="baseline"/>
              </w:rPr>
              <w:t>；</w:t>
            </w:r>
          </w:p>
          <w:p w14:paraId="69579F3F">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pacing w:val="-10"/>
                <w:sz w:val="24"/>
                <w:szCs w:val="24"/>
                <w:highlight w:val="none"/>
              </w:rPr>
              <w:t>——用于小直径罐的调节因子，直径在</w:t>
            </w:r>
            <w:r>
              <w:rPr>
                <w:rFonts w:hint="default" w:ascii="Times New Roman" w:hAnsi="Times New Roman" w:eastAsia="宋体" w:cs="Times New Roman"/>
                <w:color w:val="auto"/>
                <w:sz w:val="24"/>
                <w:szCs w:val="24"/>
                <w:highlight w:val="none"/>
              </w:rPr>
              <w:t>0~9m</w:t>
            </w:r>
            <w:r>
              <w:rPr>
                <w:rFonts w:hint="default" w:ascii="Times New Roman" w:hAnsi="Times New Roman" w:eastAsia="宋体" w:cs="Times New Roman"/>
                <w:color w:val="auto"/>
                <w:spacing w:val="-1"/>
                <w:sz w:val="24"/>
                <w:szCs w:val="24"/>
                <w:highlight w:val="none"/>
              </w:rPr>
              <w:t>之间的罐体，</w:t>
            </w:r>
            <w:r>
              <w:rPr>
                <w:rFonts w:hint="default" w:ascii="Times New Roman" w:hAnsi="Times New Roman" w:eastAsia="宋体" w:cs="Times New Roman"/>
                <w:color w:val="auto"/>
                <w:spacing w:val="-5"/>
                <w:sz w:val="24"/>
                <w:szCs w:val="24"/>
                <w:highlight w:val="none"/>
              </w:rPr>
              <w:t>C=1-0.0123</w:t>
            </w:r>
            <w:r>
              <w:rPr>
                <w:rFonts w:hint="eastAsia"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D-9</w:t>
            </w:r>
            <w:r>
              <w:rPr>
                <w:rFonts w:hint="eastAsia"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vertAlign w:val="superscript"/>
              </w:rPr>
              <w:t>2</w:t>
            </w:r>
            <w:r>
              <w:rPr>
                <w:rFonts w:hint="default" w:ascii="Times New Roman" w:hAnsi="Times New Roman" w:eastAsia="宋体" w:cs="Times New Roman"/>
                <w:color w:val="auto"/>
                <w:spacing w:val="-5"/>
                <w:sz w:val="24"/>
                <w:szCs w:val="24"/>
                <w:highlight w:val="none"/>
                <w:vertAlign w:val="baseline"/>
              </w:rPr>
              <w:t>，</w:t>
            </w:r>
            <w:r>
              <w:rPr>
                <w:rFonts w:hint="default" w:ascii="Times New Roman" w:hAnsi="Times New Roman" w:eastAsia="宋体" w:cs="Times New Roman"/>
                <w:color w:val="auto"/>
                <w:spacing w:val="-7"/>
                <w:sz w:val="24"/>
                <w:szCs w:val="24"/>
                <w:highlight w:val="none"/>
                <w:vertAlign w:val="baseline"/>
              </w:rPr>
              <w:t>对于直径大于等于</w:t>
            </w:r>
            <w:r>
              <w:rPr>
                <w:rFonts w:hint="default" w:ascii="Times New Roman" w:hAnsi="Times New Roman" w:eastAsia="宋体" w:cs="Times New Roman"/>
                <w:color w:val="auto"/>
                <w:sz w:val="24"/>
                <w:szCs w:val="24"/>
                <w:highlight w:val="none"/>
                <w:vertAlign w:val="baseline"/>
              </w:rPr>
              <w:t>9m</w:t>
            </w:r>
            <w:r>
              <w:rPr>
                <w:rFonts w:hint="default" w:ascii="Times New Roman" w:hAnsi="Times New Roman" w:eastAsia="宋体" w:cs="Times New Roman"/>
                <w:color w:val="auto"/>
                <w:spacing w:val="-8"/>
                <w:sz w:val="24"/>
                <w:szCs w:val="24"/>
                <w:highlight w:val="none"/>
                <w:vertAlign w:val="baseline"/>
              </w:rPr>
              <w:t>的储罐，可取值</w:t>
            </w:r>
            <w:r>
              <w:rPr>
                <w:rFonts w:hint="default" w:ascii="Times New Roman" w:hAnsi="Times New Roman" w:eastAsia="宋体" w:cs="Times New Roman"/>
                <w:color w:val="auto"/>
                <w:sz w:val="24"/>
                <w:szCs w:val="24"/>
                <w:highlight w:val="none"/>
                <w:vertAlign w:val="baseline"/>
              </w:rPr>
              <w:t>1.0；</w:t>
            </w:r>
          </w:p>
          <w:p w14:paraId="49BA2448">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Kc—产品因子（石油原油取0.65，其他液体取1.0）；</w:t>
            </w:r>
          </w:p>
          <w:p w14:paraId="154E47A4">
            <w:pPr>
              <w:pStyle w:val="9"/>
              <w:keepNext w:val="0"/>
              <w:keepLines w:val="0"/>
              <w:pageBreakBefore w:val="0"/>
              <w:numPr>
                <w:ilvl w:val="0"/>
                <w:numId w:val="27"/>
              </w:numPr>
              <w:kinsoku/>
              <w:wordWrap/>
              <w:overflowPunct/>
              <w:topLinePunct w:val="0"/>
              <w:autoSpaceDE/>
              <w:autoSpaceDN/>
              <w:bidi w:val="0"/>
              <w:adjustRightInd/>
              <w:spacing w:before="0" w:after="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大呼吸排放量</w:t>
            </w:r>
          </w:p>
          <w:p w14:paraId="5A4D910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color w:val="auto"/>
                <w:sz w:val="24"/>
                <w:szCs w:val="24"/>
                <w:highlight w:val="none"/>
              </w:rPr>
            </w:pPr>
            <m:oMathPara>
              <m:oMath>
                <m:sSub>
                  <m:sSubPr>
                    <m:ctrlPr>
                      <w:rPr>
                        <w:rFonts w:ascii="Cambria Math" w:hAnsi="Cambria Math" w:cs="Times New Roman"/>
                        <w:i/>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L</m:t>
                    </m:r>
                    <m:ctrlPr>
                      <w:rPr>
                        <w:rFonts w:ascii="Cambria Math" w:hAnsi="Cambria Math" w:cs="Times New Roman"/>
                        <w:i/>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W</m:t>
                    </m:r>
                    <m:ctrlPr>
                      <w:rPr>
                        <w:rFonts w:ascii="Cambria Math" w:hAnsi="Cambria Math" w:cs="Times New Roman"/>
                        <w:i/>
                        <w:color w:val="auto"/>
                        <w:kern w:val="2"/>
                        <w:sz w:val="24"/>
                        <w:szCs w:val="24"/>
                        <w:highlight w:val="none"/>
                        <w:lang w:val="en-US" w:bidi="ar-SA"/>
                      </w:rPr>
                    </m:ctrlPr>
                  </m:sub>
                </m:sSub>
                <m:r>
                  <m:rPr/>
                  <w:rPr>
                    <w:rFonts w:hint="default" w:ascii="Cambria Math" w:hAnsi="Cambria Math" w:cs="Times New Roman"/>
                    <w:color w:val="auto"/>
                    <w:kern w:val="2"/>
                    <w:sz w:val="24"/>
                    <w:szCs w:val="24"/>
                    <w:highlight w:val="none"/>
                    <w:lang w:val="en-US" w:eastAsia="zh-CN" w:bidi="ar-SA"/>
                  </w:rPr>
                  <m:t>=4.188</m:t>
                </m:r>
                <m:sSup>
                  <m:sSupPr>
                    <m:ctrlPr>
                      <w:rPr>
                        <w:rFonts w:ascii="Cambria Math" w:hAnsi="Cambria Math" w:cs="Times New Roman"/>
                        <w:i/>
                        <w:color w:val="auto"/>
                        <w:kern w:val="2"/>
                        <w:sz w:val="24"/>
                        <w:szCs w:val="24"/>
                        <w:highlight w:val="none"/>
                        <w:lang w:val="en-US" w:bidi="ar-SA"/>
                      </w:rPr>
                    </m:ctrlPr>
                  </m:sSupPr>
                  <m:e>
                    <m:r>
                      <m:rPr/>
                      <w:rPr>
                        <w:rFonts w:ascii="Cambria Math" w:hAnsi="Cambria Math" w:cs="Times New Roman"/>
                        <w:color w:val="auto"/>
                        <w:kern w:val="2"/>
                        <w:sz w:val="24"/>
                        <w:szCs w:val="24"/>
                        <w:highlight w:val="none"/>
                        <w:lang w:val="en-US" w:bidi="ar-SA"/>
                      </w:rPr>
                      <m:t>×</m:t>
                    </m:r>
                    <m:r>
                      <m:rPr/>
                      <w:rPr>
                        <w:rFonts w:hint="default" w:ascii="Cambria Math" w:hAnsi="Cambria Math" w:cs="Times New Roman"/>
                        <w:color w:val="auto"/>
                        <w:kern w:val="2"/>
                        <w:sz w:val="24"/>
                        <w:szCs w:val="24"/>
                        <w:highlight w:val="none"/>
                        <w:lang w:val="en-US" w:eastAsia="zh-CN" w:bidi="ar-SA"/>
                      </w:rPr>
                      <m:t>10</m:t>
                    </m:r>
                    <m:ctrlPr>
                      <w:rPr>
                        <w:rFonts w:ascii="Cambria Math" w:hAnsi="Cambria Math" w:cs="Times New Roman"/>
                        <w:i/>
                        <w:color w:val="auto"/>
                        <w:kern w:val="2"/>
                        <w:sz w:val="24"/>
                        <w:szCs w:val="24"/>
                        <w:highlight w:val="none"/>
                        <w:lang w:val="en-US" w:bidi="ar-SA"/>
                      </w:rPr>
                    </m:ctrlPr>
                  </m:e>
                  <m:sup>
                    <m:r>
                      <m:rPr/>
                      <w:rPr>
                        <w:rFonts w:hint="default" w:ascii="Cambria Math" w:hAnsi="Cambria Math" w:cs="Times New Roman"/>
                        <w:color w:val="auto"/>
                        <w:kern w:val="2"/>
                        <w:sz w:val="24"/>
                        <w:szCs w:val="24"/>
                        <w:highlight w:val="none"/>
                        <w:lang w:val="en-US" w:eastAsia="zh-CN" w:bidi="ar-SA"/>
                      </w:rPr>
                      <m:t>−7</m:t>
                    </m:r>
                    <m:ctrlPr>
                      <w:rPr>
                        <w:rFonts w:ascii="Cambria Math" w:hAnsi="Cambria Math" w:cs="Times New Roman"/>
                        <w:i/>
                        <w:color w:val="auto"/>
                        <w:kern w:val="2"/>
                        <w:sz w:val="24"/>
                        <w:szCs w:val="24"/>
                        <w:highlight w:val="none"/>
                        <w:lang w:val="en-US" w:bidi="ar-SA"/>
                      </w:rPr>
                    </m:ctrlPr>
                  </m:sup>
                </m:sSup>
                <m:r>
                  <m:rPr/>
                  <w:rPr>
                    <w:rFonts w:ascii="Cambria Math" w:hAnsi="Cambria Math" w:cs="Times New Roman"/>
                    <w:color w:val="auto"/>
                    <w:kern w:val="2"/>
                    <w:sz w:val="24"/>
                    <w:szCs w:val="24"/>
                    <w:highlight w:val="none"/>
                    <w:lang w:val="en-US" w:bidi="ar-SA"/>
                  </w:rPr>
                  <m:t>×</m:t>
                </m:r>
                <m:r>
                  <m:rPr/>
                  <w:rPr>
                    <w:rFonts w:hint="default" w:ascii="Cambria Math" w:hAnsi="Cambria Math" w:cs="Times New Roman"/>
                    <w:color w:val="auto"/>
                    <w:kern w:val="2"/>
                    <w:sz w:val="24"/>
                    <w:szCs w:val="24"/>
                    <w:highlight w:val="none"/>
                    <w:lang w:val="en-US" w:eastAsia="zh-CN" w:bidi="ar-SA"/>
                  </w:rPr>
                  <m:t>M</m:t>
                </m:r>
                <m:r>
                  <m:rPr/>
                  <w:rPr>
                    <w:rFonts w:ascii="Cambria Math" w:hAnsi="Cambria Math" w:cs="Times New Roman"/>
                    <w:color w:val="auto"/>
                    <w:kern w:val="2"/>
                    <w:sz w:val="24"/>
                    <w:szCs w:val="24"/>
                    <w:highlight w:val="none"/>
                    <w:lang w:val="en-US" w:bidi="ar-SA"/>
                  </w:rPr>
                  <m:t>×</m:t>
                </m:r>
                <m:r>
                  <m:rPr/>
                  <w:rPr>
                    <w:rFonts w:hint="default" w:ascii="Cambria Math" w:hAnsi="Cambria Math" w:cs="Times New Roman"/>
                    <w:color w:val="auto"/>
                    <w:kern w:val="2"/>
                    <w:sz w:val="24"/>
                    <w:szCs w:val="24"/>
                    <w:highlight w:val="none"/>
                    <w:lang w:val="en-US" w:eastAsia="zh-CN" w:bidi="ar-SA"/>
                  </w:rPr>
                  <m:t>P</m:t>
                </m:r>
                <m:r>
                  <m:rPr/>
                  <w:rPr>
                    <w:rFonts w:ascii="Cambria Math" w:hAnsi="Cambria Math" w:cs="Times New Roman"/>
                    <w:color w:val="auto"/>
                    <w:kern w:val="2"/>
                    <w:sz w:val="24"/>
                    <w:szCs w:val="24"/>
                    <w:highlight w:val="none"/>
                    <w:lang w:val="en-US" w:bidi="ar-SA"/>
                  </w:rPr>
                  <m:t>×</m:t>
                </m:r>
                <m:sSub>
                  <m:sSubPr>
                    <m:ctrlPr>
                      <w:rPr>
                        <w:rFonts w:ascii="Cambria Math" w:hAnsi="Cambria Math" w:cs="Times New Roman"/>
                        <w:i/>
                        <w:color w:val="auto"/>
                        <w:kern w:val="2"/>
                        <w:sz w:val="24"/>
                        <w:szCs w:val="24"/>
                        <w:highlight w:val="none"/>
                        <w:lang w:val="en-US" w:bidi="ar-SA"/>
                      </w:rPr>
                    </m:ctrlPr>
                  </m:sSubPr>
                  <m:e>
                    <m:r>
                      <m:rPr/>
                      <w:rPr>
                        <w:rFonts w:hint="default" w:ascii="Cambria Math" w:hAnsi="Cambria Math" w:cs="Times New Roman"/>
                        <w:color w:val="auto"/>
                        <w:kern w:val="2"/>
                        <w:sz w:val="24"/>
                        <w:szCs w:val="24"/>
                        <w:highlight w:val="none"/>
                        <w:lang w:val="en-US" w:eastAsia="zh-CN" w:bidi="ar-SA"/>
                      </w:rPr>
                      <m:t>K</m:t>
                    </m:r>
                    <m:ctrlPr>
                      <w:rPr>
                        <w:rFonts w:ascii="Cambria Math" w:hAnsi="Cambria Math" w:cs="Times New Roman"/>
                        <w:i/>
                        <w:color w:val="auto"/>
                        <w:kern w:val="2"/>
                        <w:sz w:val="24"/>
                        <w:szCs w:val="24"/>
                        <w:highlight w:val="none"/>
                        <w:lang w:val="en-US" w:bidi="ar-SA"/>
                      </w:rPr>
                    </m:ctrlPr>
                  </m:e>
                  <m:sub>
                    <m:r>
                      <m:rPr/>
                      <w:rPr>
                        <w:rFonts w:hint="default" w:ascii="Cambria Math" w:hAnsi="Cambria Math" w:cs="Times New Roman"/>
                        <w:color w:val="auto"/>
                        <w:kern w:val="2"/>
                        <w:sz w:val="24"/>
                        <w:szCs w:val="24"/>
                        <w:highlight w:val="none"/>
                        <w:lang w:val="en-US" w:eastAsia="zh-CN" w:bidi="ar-SA"/>
                      </w:rPr>
                      <m:t>N</m:t>
                    </m:r>
                    <m:ctrlPr>
                      <w:rPr>
                        <w:rFonts w:ascii="Cambria Math" w:hAnsi="Cambria Math" w:cs="Times New Roman"/>
                        <w:i/>
                        <w:color w:val="auto"/>
                        <w:kern w:val="2"/>
                        <w:sz w:val="24"/>
                        <w:szCs w:val="24"/>
                        <w:highlight w:val="none"/>
                        <w:lang w:val="en-US" w:bidi="ar-SA"/>
                      </w:rPr>
                    </m:ctrlPr>
                  </m:sub>
                </m:sSub>
                <m:sSub>
                  <m:sSubPr>
                    <m:ctrlPr>
                      <w:rPr>
                        <w:rFonts w:hint="default" w:ascii="Cambria Math" w:hAnsi="Cambria Math" w:cs="Times New Roman"/>
                        <w:i/>
                        <w:color w:val="auto"/>
                        <w:kern w:val="2"/>
                        <w:sz w:val="24"/>
                        <w:szCs w:val="24"/>
                        <w:highlight w:val="none"/>
                        <w:lang w:val="en-US" w:eastAsia="zh-CN" w:bidi="ar-SA"/>
                      </w:rPr>
                    </m:ctrlPr>
                  </m:sSubPr>
                  <m:e>
                    <m:r>
                      <m:rPr/>
                      <w:rPr>
                        <w:rFonts w:ascii="Cambria Math" w:hAnsi="Cambria Math" w:cs="Times New Roman"/>
                        <w:color w:val="auto"/>
                        <w:kern w:val="2"/>
                        <w:sz w:val="24"/>
                        <w:szCs w:val="24"/>
                        <w:highlight w:val="none"/>
                        <w:lang w:val="en-US" w:bidi="ar-SA"/>
                      </w:rPr>
                      <m:t>×</m:t>
                    </m:r>
                    <m:r>
                      <m:rPr/>
                      <w:rPr>
                        <w:rFonts w:hint="default" w:ascii="Cambria Math" w:hAnsi="Cambria Math" w:cs="Times New Roman"/>
                        <w:color w:val="auto"/>
                        <w:kern w:val="2"/>
                        <w:sz w:val="24"/>
                        <w:szCs w:val="24"/>
                        <w:highlight w:val="none"/>
                        <w:lang w:val="en-US" w:eastAsia="zh-CN" w:bidi="ar-SA"/>
                      </w:rPr>
                      <m:t>K</m:t>
                    </m:r>
                    <m:ctrlPr>
                      <w:rPr>
                        <w:rFonts w:hint="default" w:ascii="Cambria Math" w:hAnsi="Cambria Math" w:cs="Times New Roman"/>
                        <w:i/>
                        <w:color w:val="auto"/>
                        <w:kern w:val="2"/>
                        <w:sz w:val="24"/>
                        <w:szCs w:val="24"/>
                        <w:highlight w:val="none"/>
                        <w:lang w:val="en-US" w:eastAsia="zh-CN" w:bidi="ar-SA"/>
                      </w:rPr>
                    </m:ctrlPr>
                  </m:e>
                  <m:sub>
                    <m:r>
                      <m:rPr/>
                      <w:rPr>
                        <w:rFonts w:hint="default" w:ascii="Cambria Math" w:hAnsi="Cambria Math" w:cs="Times New Roman"/>
                        <w:color w:val="auto"/>
                        <w:kern w:val="2"/>
                        <w:sz w:val="24"/>
                        <w:szCs w:val="24"/>
                        <w:highlight w:val="none"/>
                        <w:lang w:val="en-US" w:eastAsia="zh-CN" w:bidi="ar-SA"/>
                      </w:rPr>
                      <m:t>C</m:t>
                    </m:r>
                    <m:ctrlPr>
                      <w:rPr>
                        <w:rFonts w:hint="default" w:ascii="Cambria Math" w:hAnsi="Cambria Math" w:cs="Times New Roman"/>
                        <w:i/>
                        <w:color w:val="auto"/>
                        <w:kern w:val="2"/>
                        <w:sz w:val="24"/>
                        <w:szCs w:val="24"/>
                        <w:highlight w:val="none"/>
                        <w:lang w:val="en-US" w:eastAsia="zh-CN" w:bidi="ar-SA"/>
                      </w:rPr>
                    </m:ctrlPr>
                  </m:sub>
                </m:sSub>
                <m:sSub>
                  <m:sSubPr>
                    <m:ctrlPr>
                      <w:rPr>
                        <w:rFonts w:hint="default" w:ascii="Cambria Math" w:hAnsi="Cambria Math" w:cs="Times New Roman"/>
                        <w:i/>
                        <w:color w:val="auto"/>
                        <w:kern w:val="2"/>
                        <w:sz w:val="24"/>
                        <w:szCs w:val="24"/>
                        <w:highlight w:val="none"/>
                        <w:lang w:val="en-US" w:eastAsia="zh-CN" w:bidi="ar-SA"/>
                      </w:rPr>
                    </m:ctrlPr>
                  </m:sSubPr>
                  <m:e>
                    <m:r>
                      <m:rPr/>
                      <w:rPr>
                        <w:rFonts w:ascii="Cambria Math" w:hAnsi="Cambria Math" w:cs="Times New Roman"/>
                        <w:color w:val="auto"/>
                        <w:kern w:val="2"/>
                        <w:sz w:val="24"/>
                        <w:szCs w:val="24"/>
                        <w:highlight w:val="none"/>
                        <w:lang w:val="en-US" w:bidi="ar-SA"/>
                      </w:rPr>
                      <m:t>×</m:t>
                    </m:r>
                    <m:r>
                      <m:rPr/>
                      <w:rPr>
                        <w:rFonts w:hint="default" w:ascii="Cambria Math" w:hAnsi="Cambria Math" w:cs="Times New Roman"/>
                        <w:color w:val="auto"/>
                        <w:kern w:val="2"/>
                        <w:sz w:val="24"/>
                        <w:szCs w:val="24"/>
                        <w:highlight w:val="none"/>
                        <w:lang w:val="en-US" w:eastAsia="zh-CN" w:bidi="ar-SA"/>
                      </w:rPr>
                      <m:t>V</m:t>
                    </m:r>
                    <m:ctrlPr>
                      <w:rPr>
                        <w:rFonts w:hint="default" w:ascii="Cambria Math" w:hAnsi="Cambria Math" w:cs="Times New Roman"/>
                        <w:i/>
                        <w:color w:val="auto"/>
                        <w:kern w:val="2"/>
                        <w:sz w:val="24"/>
                        <w:szCs w:val="24"/>
                        <w:highlight w:val="none"/>
                        <w:lang w:val="en-US" w:eastAsia="zh-CN" w:bidi="ar-SA"/>
                      </w:rPr>
                    </m:ctrlPr>
                  </m:e>
                  <m:sub>
                    <m:r>
                      <m:rPr/>
                      <w:rPr>
                        <w:rFonts w:hint="default" w:ascii="Cambria Math" w:hAnsi="Cambria Math" w:cs="Times New Roman"/>
                        <w:color w:val="auto"/>
                        <w:kern w:val="2"/>
                        <w:sz w:val="24"/>
                        <w:szCs w:val="24"/>
                        <w:highlight w:val="none"/>
                        <w:lang w:val="en-US" w:eastAsia="zh-CN" w:bidi="ar-SA"/>
                      </w:rPr>
                      <m:t>L</m:t>
                    </m:r>
                    <m:ctrlPr>
                      <w:rPr>
                        <w:rFonts w:hint="default" w:ascii="Cambria Math" w:hAnsi="Cambria Math" w:cs="Times New Roman"/>
                        <w:i/>
                        <w:color w:val="auto"/>
                        <w:kern w:val="2"/>
                        <w:sz w:val="24"/>
                        <w:szCs w:val="24"/>
                        <w:highlight w:val="none"/>
                        <w:lang w:val="en-US" w:eastAsia="zh-CN" w:bidi="ar-SA"/>
                      </w:rPr>
                    </m:ctrlPr>
                  </m:sub>
                </m:sSub>
              </m:oMath>
            </m:oMathPara>
          </w:p>
          <w:p w14:paraId="48D4FEAA">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vertAlign w:val="baseline"/>
              </w:rPr>
              <w:t>——固定顶罐的工作损失，kg/a；</w:t>
            </w:r>
          </w:p>
          <w:p w14:paraId="4367DDD9">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K</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vertAlign w:val="baseline"/>
              </w:rPr>
              <w:t>—周转因子，取值按年周转次数K确定（K≤36，K</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vertAlign w:val="baseline"/>
              </w:rPr>
              <w:t>=1；36&lt;K≤220，</w:t>
            </w:r>
          </w:p>
          <w:p w14:paraId="4D008EE2">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K</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vertAlign w:val="baseline"/>
              </w:rPr>
              <w:t>=11.467*K-0.7026；K&gt;220，K</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vertAlign w:val="baseline"/>
              </w:rPr>
              <w:t>=0.26）；</w:t>
            </w:r>
          </w:p>
          <w:p w14:paraId="7ECB5F67">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L</w:t>
            </w:r>
            <w:r>
              <w:rPr>
                <w:rFonts w:hint="default" w:ascii="Times New Roman" w:hAnsi="Times New Roman" w:eastAsia="宋体" w:cs="Times New Roman"/>
                <w:color w:val="auto"/>
                <w:sz w:val="24"/>
                <w:szCs w:val="24"/>
                <w:highlight w:val="none"/>
                <w:vertAlign w:val="baseline"/>
              </w:rPr>
              <w:t>——液体年泵送入罐量，m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rPr>
              <w:t>/a；其他参数的同小呼吸公式。</w:t>
            </w:r>
          </w:p>
          <w:p w14:paraId="36046B3B">
            <w:pPr>
              <w:pStyle w:val="9"/>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vertAlign w:val="baseline"/>
              </w:rPr>
            </w:pPr>
            <w:r>
              <w:rPr>
                <w:rFonts w:hint="eastAsia" w:ascii="Times New Roman" w:hAnsi="Times New Roman" w:eastAsia="宋体" w:cs="Times New Roman"/>
                <w:color w:val="auto"/>
                <w:sz w:val="24"/>
                <w:szCs w:val="24"/>
                <w:highlight w:val="none"/>
                <w:vertAlign w:val="baseline"/>
                <w:lang w:val="en-US" w:eastAsia="zh-CN"/>
              </w:rPr>
              <w:t>经</w:t>
            </w:r>
            <w:r>
              <w:rPr>
                <w:rFonts w:hint="default" w:ascii="Times New Roman" w:hAnsi="Times New Roman" w:eastAsia="宋体" w:cs="Times New Roman"/>
                <w:color w:val="auto"/>
                <w:sz w:val="24"/>
                <w:szCs w:val="24"/>
                <w:highlight w:val="none"/>
                <w:vertAlign w:val="baseline"/>
              </w:rPr>
              <w:t>计算，项目</w:t>
            </w:r>
            <w:r>
              <w:rPr>
                <w:rFonts w:hint="eastAsia" w:ascii="Times New Roman" w:hAnsi="Times New Roman" w:eastAsia="宋体" w:cs="Times New Roman"/>
                <w:color w:val="auto"/>
                <w:sz w:val="24"/>
                <w:szCs w:val="24"/>
                <w:highlight w:val="none"/>
                <w:vertAlign w:val="baseline"/>
                <w:lang w:val="en-US" w:eastAsia="zh-CN"/>
              </w:rPr>
              <w:t>生产装置</w:t>
            </w:r>
            <w:r>
              <w:rPr>
                <w:rFonts w:hint="default" w:ascii="Times New Roman" w:hAnsi="Times New Roman" w:eastAsia="宋体" w:cs="Times New Roman"/>
                <w:color w:val="auto"/>
                <w:sz w:val="24"/>
                <w:szCs w:val="24"/>
                <w:highlight w:val="none"/>
                <w:vertAlign w:val="baseline"/>
              </w:rPr>
              <w:t>罐区</w:t>
            </w:r>
            <w:r>
              <w:rPr>
                <w:rFonts w:hint="eastAsia" w:cs="Times New Roman"/>
                <w:color w:val="auto"/>
                <w:sz w:val="24"/>
                <w:szCs w:val="24"/>
                <w:highlight w:val="none"/>
                <w:vertAlign w:val="baseline"/>
                <w:lang w:val="en-US" w:eastAsia="zh-CN"/>
              </w:rPr>
              <w:t>呼吸废气总产生</w:t>
            </w:r>
            <w:r>
              <w:rPr>
                <w:rFonts w:hint="default" w:ascii="Times New Roman" w:hAnsi="Times New Roman" w:eastAsia="宋体" w:cs="Times New Roman"/>
                <w:color w:val="auto"/>
                <w:sz w:val="24"/>
                <w:szCs w:val="24"/>
                <w:highlight w:val="none"/>
                <w:vertAlign w:val="baseline"/>
              </w:rPr>
              <w:t>情况如下表所示：</w:t>
            </w:r>
          </w:p>
          <w:p w14:paraId="66235E82">
            <w:pPr>
              <w:pStyle w:val="41"/>
              <w:rPr>
                <w:b/>
                <w:color w:val="auto"/>
                <w:highlight w:val="none"/>
              </w:rPr>
            </w:pPr>
            <w:r>
              <w:rPr>
                <w:rFonts w:hint="eastAsia"/>
                <w:color w:val="auto"/>
                <w:highlight w:val="none"/>
                <w:lang w:val="en-US" w:eastAsia="zh-CN"/>
              </w:rPr>
              <w:t>新增生产装置</w:t>
            </w:r>
            <w:r>
              <w:rPr>
                <w:color w:val="auto"/>
                <w:highlight w:val="none"/>
              </w:rPr>
              <w:t>储罐</w:t>
            </w:r>
            <w:r>
              <w:rPr>
                <w:rFonts w:hint="eastAsia"/>
                <w:color w:val="auto"/>
                <w:highlight w:val="none"/>
                <w:lang w:val="en-US" w:eastAsia="zh-CN"/>
              </w:rPr>
              <w:t>产生</w:t>
            </w:r>
            <w:r>
              <w:rPr>
                <w:color w:val="auto"/>
                <w:highlight w:val="none"/>
              </w:rPr>
              <w:t>情况表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13"/>
              <w:gridCol w:w="947"/>
              <w:gridCol w:w="1042"/>
              <w:gridCol w:w="979"/>
              <w:gridCol w:w="1200"/>
              <w:gridCol w:w="955"/>
            </w:tblGrid>
            <w:tr w14:paraId="57E3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1812" w:type="pct"/>
                  <w:vAlign w:val="center"/>
                </w:tcPr>
                <w:p w14:paraId="6EE9A69D">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储罐名称</w:t>
                  </w:r>
                </w:p>
              </w:tc>
              <w:tc>
                <w:tcPr>
                  <w:tcW w:w="589" w:type="pct"/>
                  <w:vAlign w:val="center"/>
                </w:tcPr>
                <w:p w14:paraId="310645C3">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p w14:paraId="19BBBD66">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648" w:type="pct"/>
                  <w:vAlign w:val="center"/>
                </w:tcPr>
                <w:p w14:paraId="752A2350">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小呼吸t/a</w:t>
                  </w:r>
                </w:p>
              </w:tc>
              <w:tc>
                <w:tcPr>
                  <w:tcW w:w="609" w:type="pct"/>
                  <w:vAlign w:val="center"/>
                </w:tcPr>
                <w:p w14:paraId="18E6C108">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大呼吸t/a</w:t>
                  </w:r>
                </w:p>
              </w:tc>
              <w:tc>
                <w:tcPr>
                  <w:tcW w:w="746" w:type="pct"/>
                  <w:vAlign w:val="center"/>
                </w:tcPr>
                <w:p w14:paraId="0F65BBA7">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4"/>
                      <w:sz w:val="21"/>
                      <w:szCs w:val="21"/>
                      <w:highlight w:val="none"/>
                      <w:lang w:val="en-US" w:eastAsia="zh-CN"/>
                    </w:rPr>
                    <w:t>总产生</w:t>
                  </w:r>
                  <w:r>
                    <w:rPr>
                      <w:rFonts w:hint="default" w:ascii="Times New Roman" w:hAnsi="Times New Roman" w:eastAsia="宋体" w:cs="Times New Roman"/>
                      <w:b/>
                      <w:bCs/>
                      <w:color w:val="auto"/>
                      <w:spacing w:val="8"/>
                      <w:sz w:val="21"/>
                      <w:szCs w:val="21"/>
                      <w:highlight w:val="none"/>
                    </w:rPr>
                    <w:t>量</w:t>
                  </w:r>
                  <w:r>
                    <w:rPr>
                      <w:rFonts w:hint="default" w:ascii="Times New Roman" w:hAnsi="Times New Roman" w:eastAsia="宋体" w:cs="Times New Roman"/>
                      <w:b/>
                      <w:bCs/>
                      <w:color w:val="auto"/>
                      <w:sz w:val="21"/>
                      <w:szCs w:val="21"/>
                      <w:highlight w:val="none"/>
                    </w:rPr>
                    <w:t>t/a</w:t>
                  </w:r>
                </w:p>
              </w:tc>
              <w:tc>
                <w:tcPr>
                  <w:tcW w:w="594" w:type="pct"/>
                  <w:vAlign w:val="center"/>
                </w:tcPr>
                <w:p w14:paraId="5DE0474A">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产生</w:t>
                  </w:r>
                  <w:r>
                    <w:rPr>
                      <w:rFonts w:hint="default" w:ascii="Times New Roman" w:hAnsi="Times New Roman" w:eastAsia="宋体" w:cs="Times New Roman"/>
                      <w:b/>
                      <w:bCs/>
                      <w:color w:val="auto"/>
                      <w:sz w:val="21"/>
                      <w:szCs w:val="21"/>
                      <w:highlight w:val="none"/>
                    </w:rPr>
                    <w:t>速率kg/h</w:t>
                  </w:r>
                </w:p>
              </w:tc>
            </w:tr>
            <w:tr w14:paraId="3F73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12" w:type="pct"/>
                  <w:vAlign w:val="center"/>
                </w:tcPr>
                <w:p w14:paraId="2651DF2A">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原料</w:t>
                  </w:r>
                  <w:r>
                    <w:rPr>
                      <w:rFonts w:hint="default" w:ascii="Times New Roman" w:hAnsi="Times New Roman" w:eastAsia="宋体" w:cs="Times New Roman"/>
                      <w:color w:val="auto"/>
                      <w:sz w:val="21"/>
                      <w:szCs w:val="21"/>
                      <w:highlight w:val="none"/>
                    </w:rPr>
                    <w:t>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纯度≥99.5%三乙醇胺或纯度≥99.3%</w:t>
                  </w:r>
                  <w:r>
                    <w:rPr>
                      <w:rFonts w:hint="default" w:ascii="Times New Roman" w:hAnsi="Times New Roman" w:eastAsia="宋体" w:cs="Times New Roman"/>
                      <w:color w:val="auto"/>
                      <w:sz w:val="21"/>
                      <w:szCs w:val="21"/>
                      <w:highlight w:val="none"/>
                    </w:rPr>
                    <w:t>N-甲基一乙醇胺</w:t>
                  </w:r>
                  <w:r>
                    <w:rPr>
                      <w:rFonts w:hint="default" w:ascii="Times New Roman" w:hAnsi="Times New Roman" w:eastAsia="宋体" w:cs="Times New Roman"/>
                      <w:color w:val="auto"/>
                      <w:sz w:val="21"/>
                      <w:szCs w:val="21"/>
                      <w:highlight w:val="none"/>
                      <w:lang w:eastAsia="zh-CN"/>
                    </w:rPr>
                    <w:t>）</w:t>
                  </w:r>
                </w:p>
              </w:tc>
              <w:tc>
                <w:tcPr>
                  <w:tcW w:w="589" w:type="pct"/>
                  <w:vAlign w:val="center"/>
                </w:tcPr>
                <w:p w14:paraId="1790DCDB">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VOCs</w:t>
                  </w:r>
                </w:p>
              </w:tc>
              <w:tc>
                <w:tcPr>
                  <w:tcW w:w="648" w:type="pct"/>
                  <w:vAlign w:val="center"/>
                </w:tcPr>
                <w:p w14:paraId="1BDFC8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0.0276</w:t>
                  </w:r>
                </w:p>
              </w:tc>
              <w:tc>
                <w:tcPr>
                  <w:tcW w:w="609" w:type="pct"/>
                  <w:vAlign w:val="center"/>
                </w:tcPr>
                <w:p w14:paraId="3C73565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0.0162</w:t>
                  </w:r>
                </w:p>
              </w:tc>
              <w:tc>
                <w:tcPr>
                  <w:tcW w:w="746" w:type="pct"/>
                  <w:vAlign w:val="center"/>
                </w:tcPr>
                <w:p w14:paraId="5D1D03F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0.0438</w:t>
                  </w:r>
                </w:p>
              </w:tc>
              <w:tc>
                <w:tcPr>
                  <w:tcW w:w="594" w:type="pct"/>
                  <w:vAlign w:val="center"/>
                </w:tcPr>
                <w:p w14:paraId="263FAB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r>
            <w:tr w14:paraId="3DE9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812" w:type="pct"/>
                  <w:vAlign w:val="center"/>
                </w:tcPr>
                <w:p w14:paraId="66B56058">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高沸物</w:t>
                  </w:r>
                  <w:r>
                    <w:rPr>
                      <w:rFonts w:hint="default" w:ascii="Times New Roman" w:hAnsi="Times New Roman" w:eastAsia="宋体" w:cs="Times New Roman"/>
                      <w:color w:val="auto"/>
                      <w:sz w:val="21"/>
                      <w:szCs w:val="21"/>
                      <w:highlight w:val="none"/>
                    </w:rPr>
                    <w:t>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纯度≥99%三乙醇胺或</w:t>
                  </w:r>
                  <w:r>
                    <w:rPr>
                      <w:rFonts w:hint="default" w:ascii="Times New Roman" w:hAnsi="Times New Roman" w:eastAsia="宋体" w:cs="Times New Roman"/>
                      <w:color w:val="auto"/>
                      <w:sz w:val="21"/>
                      <w:szCs w:val="21"/>
                      <w:highlight w:val="none"/>
                    </w:rPr>
                    <w:t>N-甲基一乙醇胺</w:t>
                  </w:r>
                  <w:r>
                    <w:rPr>
                      <w:rFonts w:hint="default" w:ascii="Times New Roman" w:hAnsi="Times New Roman" w:eastAsia="宋体" w:cs="Times New Roman"/>
                      <w:color w:val="auto"/>
                      <w:sz w:val="21"/>
                      <w:szCs w:val="21"/>
                      <w:highlight w:val="none"/>
                      <w:lang w:eastAsia="zh-CN"/>
                    </w:rPr>
                    <w:t>）</w:t>
                  </w:r>
                </w:p>
              </w:tc>
              <w:tc>
                <w:tcPr>
                  <w:tcW w:w="589" w:type="pct"/>
                  <w:vAlign w:val="center"/>
                </w:tcPr>
                <w:p w14:paraId="150E76B9">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VOCs</w:t>
                  </w:r>
                </w:p>
              </w:tc>
              <w:tc>
                <w:tcPr>
                  <w:tcW w:w="648" w:type="pct"/>
                  <w:vAlign w:val="center"/>
                </w:tcPr>
                <w:p w14:paraId="0499BE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0.086</w:t>
                  </w:r>
                </w:p>
              </w:tc>
              <w:tc>
                <w:tcPr>
                  <w:tcW w:w="609" w:type="pct"/>
                  <w:vAlign w:val="center"/>
                </w:tcPr>
                <w:p w14:paraId="22F5A6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0.0021</w:t>
                  </w:r>
                </w:p>
              </w:tc>
              <w:tc>
                <w:tcPr>
                  <w:tcW w:w="746" w:type="pct"/>
                  <w:vAlign w:val="center"/>
                </w:tcPr>
                <w:p w14:paraId="617B1F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0.0881</w:t>
                  </w:r>
                </w:p>
              </w:tc>
              <w:tc>
                <w:tcPr>
                  <w:tcW w:w="594" w:type="pct"/>
                  <w:vAlign w:val="center"/>
                </w:tcPr>
                <w:p w14:paraId="70F20A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0.012 </w:t>
                  </w:r>
                </w:p>
              </w:tc>
            </w:tr>
            <w:tr w14:paraId="06C0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812" w:type="pct"/>
                  <w:vAlign w:val="center"/>
                </w:tcPr>
                <w:p w14:paraId="7AFA3EEB">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w:t>
                  </w:r>
                  <w:r>
                    <w:rPr>
                      <w:rFonts w:hint="default" w:ascii="Times New Roman" w:hAnsi="Times New Roman" w:eastAsia="宋体" w:cs="Times New Roman"/>
                      <w:color w:val="auto"/>
                      <w:sz w:val="21"/>
                      <w:szCs w:val="21"/>
                      <w:highlight w:val="none"/>
                    </w:rPr>
                    <w:t>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纯度≥99.9%三乙醇胺或</w:t>
                  </w:r>
                  <w:r>
                    <w:rPr>
                      <w:rFonts w:hint="default" w:ascii="Times New Roman" w:hAnsi="Times New Roman" w:eastAsia="宋体" w:cs="Times New Roman"/>
                      <w:color w:val="auto"/>
                      <w:sz w:val="21"/>
                      <w:szCs w:val="21"/>
                      <w:highlight w:val="none"/>
                    </w:rPr>
                    <w:t>N-甲基一乙醇胺</w:t>
                  </w:r>
                  <w:r>
                    <w:rPr>
                      <w:rFonts w:hint="default" w:ascii="Times New Roman" w:hAnsi="Times New Roman" w:eastAsia="宋体" w:cs="Times New Roman"/>
                      <w:color w:val="auto"/>
                      <w:sz w:val="21"/>
                      <w:szCs w:val="21"/>
                      <w:highlight w:val="none"/>
                      <w:lang w:eastAsia="zh-CN"/>
                    </w:rPr>
                    <w:t>）</w:t>
                  </w:r>
                </w:p>
              </w:tc>
              <w:tc>
                <w:tcPr>
                  <w:tcW w:w="589" w:type="pct"/>
                  <w:vAlign w:val="center"/>
                </w:tcPr>
                <w:p w14:paraId="3B1CE88F">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VOCs</w:t>
                  </w:r>
                </w:p>
              </w:tc>
              <w:tc>
                <w:tcPr>
                  <w:tcW w:w="648" w:type="pct"/>
                  <w:vAlign w:val="center"/>
                </w:tcPr>
                <w:p w14:paraId="67BAFF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0.051</w:t>
                  </w:r>
                </w:p>
              </w:tc>
              <w:tc>
                <w:tcPr>
                  <w:tcW w:w="609" w:type="pct"/>
                  <w:vAlign w:val="center"/>
                </w:tcPr>
                <w:p w14:paraId="21BE79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0.0142</w:t>
                  </w:r>
                </w:p>
              </w:tc>
              <w:tc>
                <w:tcPr>
                  <w:tcW w:w="746" w:type="pct"/>
                  <w:vAlign w:val="center"/>
                </w:tcPr>
                <w:p w14:paraId="396FAB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0.0652</w:t>
                  </w:r>
                </w:p>
              </w:tc>
              <w:tc>
                <w:tcPr>
                  <w:tcW w:w="594" w:type="pct"/>
                  <w:vAlign w:val="center"/>
                </w:tcPr>
                <w:p w14:paraId="55F9DD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 </w:t>
                  </w:r>
                </w:p>
              </w:tc>
            </w:tr>
            <w:tr w14:paraId="7633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1812" w:type="pct"/>
                  <w:vAlign w:val="center"/>
                </w:tcPr>
                <w:p w14:paraId="2E1997E4">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总</w:t>
                  </w:r>
                  <w:r>
                    <w:rPr>
                      <w:rFonts w:hint="default" w:ascii="Times New Roman" w:hAnsi="Times New Roman" w:eastAsia="宋体" w:cs="Times New Roman"/>
                      <w:b/>
                      <w:bCs/>
                      <w:color w:val="auto"/>
                      <w:sz w:val="21"/>
                      <w:szCs w:val="21"/>
                      <w:highlight w:val="none"/>
                    </w:rPr>
                    <w:t>计</w:t>
                  </w:r>
                </w:p>
              </w:tc>
              <w:tc>
                <w:tcPr>
                  <w:tcW w:w="589" w:type="pct"/>
                  <w:vAlign w:val="center"/>
                </w:tcPr>
                <w:p w14:paraId="409A402B">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VOCs</w:t>
                  </w:r>
                </w:p>
              </w:tc>
              <w:tc>
                <w:tcPr>
                  <w:tcW w:w="648" w:type="pct"/>
                  <w:vAlign w:val="center"/>
                </w:tcPr>
                <w:p w14:paraId="1386665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0.1646</w:t>
                  </w:r>
                </w:p>
              </w:tc>
              <w:tc>
                <w:tcPr>
                  <w:tcW w:w="609" w:type="pct"/>
                  <w:vAlign w:val="center"/>
                </w:tcPr>
                <w:p w14:paraId="015D16F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0.0325</w:t>
                  </w:r>
                </w:p>
              </w:tc>
              <w:tc>
                <w:tcPr>
                  <w:tcW w:w="746" w:type="pct"/>
                  <w:vAlign w:val="center"/>
                </w:tcPr>
                <w:p w14:paraId="4466F9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0.1971</w:t>
                  </w:r>
                </w:p>
              </w:tc>
              <w:tc>
                <w:tcPr>
                  <w:tcW w:w="594" w:type="pct"/>
                  <w:vAlign w:val="center"/>
                </w:tcPr>
                <w:p w14:paraId="0C8B11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0.027 </w:t>
                  </w:r>
                </w:p>
              </w:tc>
            </w:tr>
          </w:tbl>
          <w:p w14:paraId="0742EE8B">
            <w:pPr>
              <w:spacing w:line="360" w:lineRule="auto"/>
              <w:ind w:firstLine="482" w:firstLineChars="200"/>
              <w:rPr>
                <w:rFonts w:hint="eastAsia"/>
                <w:b w:val="0"/>
                <w:bCs/>
                <w:color w:val="auto"/>
                <w:sz w:val="24"/>
                <w:highlight w:val="none"/>
                <w:lang w:val="en-US" w:eastAsia="zh-CN"/>
              </w:rPr>
            </w:pPr>
            <w:r>
              <w:rPr>
                <w:rFonts w:hint="eastAsia"/>
                <w:b/>
                <w:color w:val="auto"/>
                <w:sz w:val="24"/>
                <w:highlight w:val="none"/>
                <w:lang w:val="en-US" w:eastAsia="zh-CN"/>
              </w:rPr>
              <w:t>治理措施：</w:t>
            </w:r>
            <w:r>
              <w:rPr>
                <w:rFonts w:hint="eastAsia"/>
                <w:b w:val="0"/>
                <w:bCs/>
                <w:color w:val="auto"/>
                <w:sz w:val="24"/>
                <w:highlight w:val="none"/>
                <w:lang w:val="en-US" w:eastAsia="zh-CN"/>
              </w:rPr>
              <w:t>本次通过将储罐呼吸废气从呼吸阀门管道收集抽至新建的水洗塔，与蒸馏尾气一并水洗处理后依托现有工艺废气DA001排气筒（28m）有组织排放。因此，经水洗处理后，项目新增储罐呼吸废气最终排向大气的情况见下表：</w:t>
            </w:r>
          </w:p>
          <w:p w14:paraId="516B36DA">
            <w:pPr>
              <w:pStyle w:val="41"/>
              <w:bidi w:val="0"/>
              <w:rPr>
                <w:rFonts w:hint="default" w:eastAsia="宋体"/>
                <w:color w:val="auto"/>
                <w:sz w:val="24"/>
                <w:highlight w:val="none"/>
                <w:lang w:val="en-US" w:eastAsia="zh-CN"/>
              </w:rPr>
            </w:pPr>
            <w:r>
              <w:rPr>
                <w:b/>
                <w:color w:val="auto"/>
                <w:spacing w:val="-1"/>
                <w:sz w:val="21"/>
                <w:highlight w:val="none"/>
              </w:rPr>
              <w:t>项目</w:t>
            </w:r>
            <w:r>
              <w:rPr>
                <w:rFonts w:hint="eastAsia"/>
                <w:b/>
                <w:color w:val="auto"/>
                <w:spacing w:val="-1"/>
                <w:sz w:val="21"/>
                <w:highlight w:val="none"/>
                <w:lang w:val="en-US" w:eastAsia="zh-CN"/>
              </w:rPr>
              <w:t>新增储罐呼吸废气</w:t>
            </w:r>
            <w:r>
              <w:rPr>
                <w:b/>
                <w:color w:val="auto"/>
                <w:spacing w:val="-1"/>
                <w:sz w:val="21"/>
                <w:highlight w:val="none"/>
              </w:rPr>
              <w:t>排放</w:t>
            </w:r>
            <w:r>
              <w:rPr>
                <w:rFonts w:hint="eastAsia"/>
                <w:b/>
                <w:color w:val="auto"/>
                <w:spacing w:val="-1"/>
                <w:sz w:val="21"/>
                <w:highlight w:val="none"/>
                <w:lang w:val="en-US" w:eastAsia="zh-CN"/>
              </w:rPr>
              <w:t>情况一览表</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2"/>
              <w:gridCol w:w="523"/>
              <w:gridCol w:w="589"/>
              <w:gridCol w:w="584"/>
              <w:gridCol w:w="698"/>
              <w:gridCol w:w="626"/>
              <w:gridCol w:w="719"/>
              <w:gridCol w:w="925"/>
              <w:gridCol w:w="664"/>
              <w:gridCol w:w="666"/>
              <w:gridCol w:w="700"/>
              <w:gridCol w:w="810"/>
            </w:tblGrid>
            <w:tr w14:paraId="1F04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31" w:type="pct"/>
                  <w:vMerge w:val="restart"/>
                  <w:vAlign w:val="center"/>
                </w:tcPr>
                <w:p w14:paraId="44E1953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产生源</w:t>
                  </w:r>
                </w:p>
              </w:tc>
              <w:tc>
                <w:tcPr>
                  <w:tcW w:w="325" w:type="pct"/>
                  <w:vMerge w:val="restart"/>
                  <w:vAlign w:val="center"/>
                </w:tcPr>
                <w:p w14:paraId="1D8D9E0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废气种类</w:t>
                  </w:r>
                </w:p>
              </w:tc>
              <w:tc>
                <w:tcPr>
                  <w:tcW w:w="366" w:type="pct"/>
                  <w:vMerge w:val="restart"/>
                  <w:vAlign w:val="center"/>
                </w:tcPr>
                <w:p w14:paraId="765FF76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363" w:type="pct"/>
                  <w:vMerge w:val="restart"/>
                  <w:vAlign w:val="center"/>
                </w:tcPr>
                <w:p w14:paraId="431B7FC3">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污染物产生量</w:t>
                  </w:r>
                </w:p>
                <w:p w14:paraId="41740A0F">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434" w:type="pct"/>
                  <w:vMerge w:val="restart"/>
                  <w:vAlign w:val="center"/>
                </w:tcPr>
                <w:p w14:paraId="0490F1C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处理</w:t>
                  </w:r>
                  <w:r>
                    <w:rPr>
                      <w:rFonts w:hint="default" w:ascii="Times New Roman" w:hAnsi="Times New Roman" w:cs="Times New Roman"/>
                      <w:b/>
                      <w:bCs/>
                      <w:color w:val="auto"/>
                      <w:sz w:val="21"/>
                      <w:szCs w:val="21"/>
                      <w:highlight w:val="none"/>
                      <w:lang w:val="en-US" w:eastAsia="zh-CN"/>
                    </w:rPr>
                    <w:t>措施</w:t>
                  </w:r>
                </w:p>
              </w:tc>
              <w:tc>
                <w:tcPr>
                  <w:tcW w:w="389" w:type="pct"/>
                  <w:vMerge w:val="restart"/>
                  <w:vAlign w:val="center"/>
                </w:tcPr>
                <w:p w14:paraId="480FA6B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处理效率%</w:t>
                  </w:r>
                </w:p>
              </w:tc>
              <w:tc>
                <w:tcPr>
                  <w:tcW w:w="447" w:type="pct"/>
                  <w:vMerge w:val="restart"/>
                  <w:vAlign w:val="center"/>
                </w:tcPr>
                <w:p w14:paraId="50D1EEC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水洗塔排风</w:t>
                  </w:r>
                  <w:r>
                    <w:rPr>
                      <w:rFonts w:hint="default" w:ascii="Times New Roman" w:hAnsi="Times New Roman" w:eastAsia="宋体" w:cs="Times New Roman"/>
                      <w:b/>
                      <w:bCs/>
                      <w:color w:val="auto"/>
                      <w:sz w:val="21"/>
                      <w:szCs w:val="21"/>
                      <w:highlight w:val="none"/>
                    </w:rPr>
                    <w:t>量m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/h</w:t>
                  </w:r>
                </w:p>
              </w:tc>
              <w:tc>
                <w:tcPr>
                  <w:tcW w:w="575" w:type="pct"/>
                  <w:vMerge w:val="restart"/>
                  <w:vAlign w:val="center"/>
                </w:tcPr>
                <w:p w14:paraId="67A321D9">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排放浓度mg/Nm</w:t>
                  </w:r>
                  <w:r>
                    <w:rPr>
                      <w:rFonts w:hint="default" w:ascii="Times New Roman" w:hAnsi="Times New Roman" w:eastAsia="宋体" w:cs="Times New Roman"/>
                      <w:b/>
                      <w:bCs/>
                      <w:color w:val="auto"/>
                      <w:sz w:val="21"/>
                      <w:szCs w:val="21"/>
                      <w:highlight w:val="none"/>
                      <w:vertAlign w:val="superscript"/>
                    </w:rPr>
                    <w:t>3</w:t>
                  </w:r>
                </w:p>
              </w:tc>
              <w:tc>
                <w:tcPr>
                  <w:tcW w:w="413" w:type="pct"/>
                  <w:vMerge w:val="restart"/>
                  <w:vAlign w:val="center"/>
                </w:tcPr>
                <w:p w14:paraId="2EF8E6C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r>
                    <w:rPr>
                      <w:rFonts w:hint="default" w:ascii="Times New Roman" w:hAnsi="Times New Roman" w:cs="Times New Roman"/>
                      <w:b/>
                      <w:bCs/>
                      <w:color w:val="auto"/>
                      <w:sz w:val="21"/>
                      <w:szCs w:val="21"/>
                      <w:highlight w:val="none"/>
                      <w:lang w:val="en-US" w:eastAsia="zh-CN"/>
                    </w:rPr>
                    <w:t>速率</w:t>
                  </w:r>
                  <w:r>
                    <w:rPr>
                      <w:rFonts w:hint="default" w:ascii="Times New Roman" w:hAnsi="Times New Roman" w:eastAsia="宋体" w:cs="Times New Roman"/>
                      <w:b/>
                      <w:bCs/>
                      <w:i w:val="0"/>
                      <w:iCs w:val="0"/>
                      <w:color w:val="auto"/>
                      <w:kern w:val="0"/>
                      <w:sz w:val="21"/>
                      <w:szCs w:val="21"/>
                      <w:highlight w:val="none"/>
                      <w:u w:val="none"/>
                      <w:lang w:val="en-US" w:eastAsia="zh-CN" w:bidi="ar"/>
                    </w:rPr>
                    <w:t>kg/h</w:t>
                  </w:r>
                </w:p>
              </w:tc>
              <w:tc>
                <w:tcPr>
                  <w:tcW w:w="414" w:type="pct"/>
                  <w:vMerge w:val="restart"/>
                  <w:vAlign w:val="center"/>
                </w:tcPr>
                <w:p w14:paraId="538E122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p>
                <w:p w14:paraId="611283D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rPr>
                    <w:t>t/a</w:t>
                  </w:r>
                </w:p>
              </w:tc>
              <w:tc>
                <w:tcPr>
                  <w:tcW w:w="939" w:type="pct"/>
                  <w:gridSpan w:val="2"/>
                  <w:vAlign w:val="center"/>
                </w:tcPr>
                <w:p w14:paraId="4FDDD854">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排放标准</w:t>
                  </w:r>
                </w:p>
              </w:tc>
            </w:tr>
            <w:tr w14:paraId="1E77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331" w:type="pct"/>
                  <w:vMerge w:val="continue"/>
                  <w:vAlign w:val="center"/>
                </w:tcPr>
                <w:p w14:paraId="43B54B4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325" w:type="pct"/>
                  <w:vMerge w:val="continue"/>
                  <w:vAlign w:val="center"/>
                </w:tcPr>
                <w:p w14:paraId="4CE693E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366" w:type="pct"/>
                  <w:vMerge w:val="continue"/>
                  <w:vAlign w:val="center"/>
                </w:tcPr>
                <w:p w14:paraId="16C0607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363" w:type="pct"/>
                  <w:vMerge w:val="continue"/>
                  <w:vAlign w:val="center"/>
                </w:tcPr>
                <w:p w14:paraId="2444213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34" w:type="pct"/>
                  <w:vMerge w:val="continue"/>
                  <w:vAlign w:val="center"/>
                </w:tcPr>
                <w:p w14:paraId="3E488B30">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389" w:type="pct"/>
                  <w:vMerge w:val="continue"/>
                  <w:vAlign w:val="center"/>
                </w:tcPr>
                <w:p w14:paraId="4F3E8807">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47" w:type="pct"/>
                  <w:vMerge w:val="continue"/>
                  <w:vAlign w:val="center"/>
                </w:tcPr>
                <w:p w14:paraId="24F31B7B">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575" w:type="pct"/>
                  <w:vMerge w:val="continue"/>
                  <w:vAlign w:val="center"/>
                </w:tcPr>
                <w:p w14:paraId="02D5BB4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13" w:type="pct"/>
                  <w:vMerge w:val="continue"/>
                  <w:vAlign w:val="center"/>
                </w:tcPr>
                <w:p w14:paraId="6865572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14" w:type="pct"/>
                  <w:vMerge w:val="continue"/>
                  <w:vAlign w:val="center"/>
                </w:tcPr>
                <w:p w14:paraId="1E13AEE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p>
              </w:tc>
              <w:tc>
                <w:tcPr>
                  <w:tcW w:w="435" w:type="pct"/>
                  <w:vAlign w:val="center"/>
                </w:tcPr>
                <w:p w14:paraId="0CA17FEE">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速率kg/h</w:t>
                  </w:r>
                </w:p>
              </w:tc>
              <w:tc>
                <w:tcPr>
                  <w:tcW w:w="503" w:type="pct"/>
                  <w:vAlign w:val="center"/>
                </w:tcPr>
                <w:p w14:paraId="7A1992E6">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p>
              </w:tc>
            </w:tr>
            <w:tr w14:paraId="212C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4" w:hRule="atLeast"/>
              </w:trPr>
              <w:tc>
                <w:tcPr>
                  <w:tcW w:w="331" w:type="pct"/>
                  <w:vAlign w:val="center"/>
                </w:tcPr>
                <w:p w14:paraId="71B13341">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生产车间</w:t>
                  </w:r>
                </w:p>
              </w:tc>
              <w:tc>
                <w:tcPr>
                  <w:tcW w:w="325" w:type="pct"/>
                  <w:vAlign w:val="center"/>
                </w:tcPr>
                <w:p w14:paraId="070DB69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呼吸废气</w:t>
                  </w:r>
                </w:p>
              </w:tc>
              <w:tc>
                <w:tcPr>
                  <w:tcW w:w="366" w:type="pct"/>
                  <w:vAlign w:val="center"/>
                </w:tcPr>
                <w:p w14:paraId="74931C28">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VOCs</w:t>
                  </w:r>
                </w:p>
              </w:tc>
              <w:tc>
                <w:tcPr>
                  <w:tcW w:w="363" w:type="pct"/>
                  <w:vAlign w:val="center"/>
                </w:tcPr>
                <w:p w14:paraId="5B43D00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0.1971</w:t>
                  </w:r>
                </w:p>
              </w:tc>
              <w:tc>
                <w:tcPr>
                  <w:tcW w:w="434" w:type="pct"/>
                  <w:vAlign w:val="center"/>
                </w:tcPr>
                <w:p w14:paraId="691BBF5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水洗塔（四段式）+</w:t>
                  </w:r>
                  <w:r>
                    <w:rPr>
                      <w:rFonts w:hint="default" w:ascii="Times New Roman" w:hAnsi="Times New Roman" w:cs="Times New Roman"/>
                      <w:b w:val="0"/>
                      <w:bCs w:val="0"/>
                      <w:color w:val="auto"/>
                      <w:sz w:val="21"/>
                      <w:szCs w:val="21"/>
                      <w:highlight w:val="none"/>
                      <w:lang w:val="en-US" w:eastAsia="zh-CN"/>
                    </w:rPr>
                    <w:t>28</w:t>
                  </w:r>
                  <w:r>
                    <w:rPr>
                      <w:rFonts w:hint="default" w:ascii="Times New Roman" w:hAnsi="Times New Roman" w:eastAsia="宋体" w:cs="Times New Roman"/>
                      <w:b w:val="0"/>
                      <w:bCs w:val="0"/>
                      <w:color w:val="auto"/>
                      <w:sz w:val="21"/>
                      <w:szCs w:val="21"/>
                      <w:highlight w:val="none"/>
                    </w:rPr>
                    <w:t>m排气筒</w:t>
                  </w:r>
                </w:p>
              </w:tc>
              <w:tc>
                <w:tcPr>
                  <w:tcW w:w="389" w:type="pct"/>
                  <w:vAlign w:val="center"/>
                </w:tcPr>
                <w:p w14:paraId="30D13302">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80</w:t>
                  </w:r>
                </w:p>
              </w:tc>
              <w:tc>
                <w:tcPr>
                  <w:tcW w:w="719" w:type="dxa"/>
                  <w:vAlign w:val="center"/>
                </w:tcPr>
                <w:p w14:paraId="460E58F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441</w:t>
                  </w: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25" w:type="dxa"/>
                  <w:vAlign w:val="center"/>
                </w:tcPr>
                <w:p w14:paraId="7DBD14B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cs="Times New Roman"/>
                      <w:i w:val="0"/>
                      <w:iCs w:val="0"/>
                      <w:color w:val="auto"/>
                      <w:kern w:val="0"/>
                      <w:sz w:val="21"/>
                      <w:szCs w:val="21"/>
                      <w:highlight w:val="none"/>
                      <w:u w:val="none"/>
                      <w:lang w:val="en-US" w:eastAsia="zh-CN" w:bidi="ar"/>
                    </w:rPr>
                    <w:t>1.241</w:t>
                  </w:r>
                </w:p>
              </w:tc>
              <w:tc>
                <w:tcPr>
                  <w:tcW w:w="664" w:type="dxa"/>
                  <w:vAlign w:val="center"/>
                </w:tcPr>
                <w:p w14:paraId="5AA06B9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0.005 </w:t>
                  </w:r>
                </w:p>
              </w:tc>
              <w:tc>
                <w:tcPr>
                  <w:tcW w:w="666" w:type="dxa"/>
                  <w:vAlign w:val="center"/>
                </w:tcPr>
                <w:p w14:paraId="2F98197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 </w:t>
                  </w:r>
                </w:p>
              </w:tc>
              <w:tc>
                <w:tcPr>
                  <w:tcW w:w="435" w:type="pct"/>
                  <w:vAlign w:val="center"/>
                </w:tcPr>
                <w:p w14:paraId="7DF24297">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17.36</w:t>
                  </w:r>
                </w:p>
              </w:tc>
              <w:tc>
                <w:tcPr>
                  <w:tcW w:w="503" w:type="pct"/>
                  <w:vAlign w:val="center"/>
                </w:tcPr>
                <w:p w14:paraId="406EDBA5">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60</w:t>
                  </w:r>
                </w:p>
              </w:tc>
            </w:tr>
          </w:tbl>
          <w:p w14:paraId="165217D9">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因此，在单独处理本项目生产车间储罐呼吸废气的情况下，呼吸废气经水洗塔处理后VOCs排放速率及排放浓度均能满足《四川省固定污染源大气挥发性有机物排放标准》（DB51/2377-2017）涉及有机溶剂生产和使用的其它行业标准限值。</w:t>
            </w:r>
          </w:p>
          <w:p w14:paraId="1342F3A1">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综上所述，现有工程的工艺废气及本次技改新增的蒸馏尾气、呼吸废气均通过项目现有工艺废气DA001排气筒排放，根据厂区现有工程环评工程分析内容，工艺废气排气筒排放速率为0.314kg/h，验收监测最大排放速率为4.49</w:t>
            </w:r>
            <w:r>
              <w:rPr>
                <w:rFonts w:hint="default" w:ascii="Arial" w:hAnsi="Arial" w:cs="Arial"/>
                <w:color w:val="auto"/>
                <w:sz w:val="24"/>
                <w:highlight w:val="none"/>
                <w:lang w:val="en-US" w:eastAsia="zh-CN"/>
              </w:rPr>
              <w:t>×</w:t>
            </w:r>
            <w:r>
              <w:rPr>
                <w:rFonts w:hint="eastAsia"/>
                <w:color w:val="auto"/>
                <w:sz w:val="24"/>
                <w:highlight w:val="none"/>
                <w:lang w:val="en-US" w:eastAsia="zh-CN"/>
              </w:rPr>
              <w:t>10</w:t>
            </w:r>
            <w:r>
              <w:rPr>
                <w:rFonts w:hint="eastAsia"/>
                <w:color w:val="auto"/>
                <w:sz w:val="24"/>
                <w:highlight w:val="none"/>
                <w:vertAlign w:val="superscript"/>
                <w:lang w:val="en-US" w:eastAsia="zh-CN"/>
              </w:rPr>
              <w:t>-4</w:t>
            </w:r>
            <w:r>
              <w:rPr>
                <w:rFonts w:hint="eastAsia"/>
                <w:color w:val="auto"/>
                <w:sz w:val="24"/>
                <w:highlight w:val="none"/>
                <w:lang w:val="en-US" w:eastAsia="zh-CN"/>
              </w:rPr>
              <w:t>kg/h，本次以最不利情况考虑，以现有工程排放速率为0.314kg/h作为最大排放速率计，则本项目建成后全厂工艺废气DA001排气筒VOCs排放速率及排放浓度如下表所示：</w:t>
            </w:r>
          </w:p>
          <w:p w14:paraId="2AB878F8">
            <w:pPr>
              <w:pStyle w:val="41"/>
              <w:bidi w:val="0"/>
              <w:rPr>
                <w:rFonts w:hint="default"/>
                <w:color w:val="auto"/>
                <w:highlight w:val="none"/>
                <w:lang w:val="en-US" w:eastAsia="zh-CN"/>
              </w:rPr>
            </w:pPr>
            <w:r>
              <w:rPr>
                <w:rFonts w:hint="eastAsia"/>
                <w:color w:val="auto"/>
                <w:sz w:val="24"/>
                <w:highlight w:val="none"/>
                <w:lang w:val="en-US" w:eastAsia="zh-CN"/>
              </w:rPr>
              <w:t>DA001排放情况一览表</w:t>
            </w:r>
          </w:p>
          <w:tbl>
            <w:tblPr>
              <w:tblStyle w:val="27"/>
              <w:tblW w:w="804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1"/>
              <w:gridCol w:w="966"/>
              <w:gridCol w:w="1378"/>
              <w:gridCol w:w="823"/>
              <w:gridCol w:w="1158"/>
              <w:gridCol w:w="876"/>
              <w:gridCol w:w="881"/>
              <w:gridCol w:w="886"/>
            </w:tblGrid>
            <w:tr w14:paraId="1D11B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 w:hRule="atLeast"/>
                <w:jc w:val="center"/>
              </w:trPr>
              <w:tc>
                <w:tcPr>
                  <w:tcW w:w="671" w:type="pct"/>
                  <w:vMerge w:val="restart"/>
                  <w:tcBorders>
                    <w:top w:val="single" w:color="000000" w:sz="8" w:space="0"/>
                    <w:left w:val="single" w:color="000000" w:sz="4" w:space="0"/>
                    <w:right w:val="single" w:color="000000" w:sz="4" w:space="0"/>
                  </w:tcBorders>
                  <w:shd w:val="clear" w:color="auto" w:fill="auto"/>
                  <w:vAlign w:val="center"/>
                </w:tcPr>
                <w:p w14:paraId="6FE0D1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现有工程最大排放速率kg/h</w:t>
                  </w:r>
                </w:p>
              </w:tc>
              <w:tc>
                <w:tcPr>
                  <w:tcW w:w="1456" w:type="pct"/>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6DAD73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本项目</w:t>
                  </w:r>
                  <w:r>
                    <w:rPr>
                      <w:rFonts w:hint="default" w:ascii="Times New Roman" w:hAnsi="Times New Roman" w:eastAsia="宋体" w:cs="Times New Roman"/>
                      <w:b/>
                      <w:bCs/>
                      <w:i w:val="0"/>
                      <w:iCs w:val="0"/>
                      <w:color w:val="auto"/>
                      <w:kern w:val="0"/>
                      <w:sz w:val="21"/>
                      <w:szCs w:val="21"/>
                      <w:highlight w:val="none"/>
                      <w:u w:val="none"/>
                      <w:lang w:val="en-US" w:eastAsia="zh-CN" w:bidi="ar"/>
                    </w:rPr>
                    <w:t>排放速率kg/h</w:t>
                  </w:r>
                </w:p>
              </w:tc>
              <w:tc>
                <w:tcPr>
                  <w:tcW w:w="511"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E0FE8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叠加速率kg/h</w:t>
                  </w:r>
                </w:p>
              </w:tc>
              <w:tc>
                <w:tcPr>
                  <w:tcW w:w="719"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64745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叠加后排放浓度</w:t>
                  </w:r>
                  <w:r>
                    <w:rPr>
                      <w:rFonts w:hint="eastAsia" w:cs="Times New Roman"/>
                      <w:b/>
                      <w:bCs/>
                      <w:i w:val="0"/>
                      <w:iCs w:val="0"/>
                      <w:color w:val="auto"/>
                      <w:kern w:val="0"/>
                      <w:sz w:val="21"/>
                      <w:szCs w:val="21"/>
                      <w:highlight w:val="none"/>
                      <w:u w:val="none"/>
                      <w:lang w:val="en-US" w:eastAsia="zh-CN" w:bidi="ar"/>
                    </w:rPr>
                    <w:t>m</w:t>
                  </w:r>
                  <w:r>
                    <w:rPr>
                      <w:rFonts w:hint="default" w:ascii="Times New Roman" w:hAnsi="Times New Roman" w:eastAsia="宋体" w:cs="Times New Roman"/>
                      <w:b/>
                      <w:bCs/>
                      <w:i w:val="0"/>
                      <w:iCs w:val="0"/>
                      <w:color w:val="auto"/>
                      <w:kern w:val="0"/>
                      <w:sz w:val="21"/>
                      <w:szCs w:val="21"/>
                      <w:highlight w:val="none"/>
                      <w:u w:val="none"/>
                      <w:lang w:val="en-US" w:eastAsia="zh-CN" w:bidi="ar"/>
                    </w:rPr>
                    <w:t>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544"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0C073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总排风量m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/h</w:t>
                  </w:r>
                </w:p>
              </w:tc>
              <w:tc>
                <w:tcPr>
                  <w:tcW w:w="1097" w:type="pct"/>
                  <w:gridSpan w:val="2"/>
                  <w:tcBorders>
                    <w:top w:val="single" w:color="000000" w:sz="8" w:space="0"/>
                    <w:left w:val="single" w:color="000000" w:sz="4" w:space="0"/>
                    <w:bottom w:val="single" w:color="000000" w:sz="4" w:space="0"/>
                    <w:right w:val="single" w:color="000000" w:sz="8" w:space="0"/>
                  </w:tcBorders>
                  <w:shd w:val="clear" w:color="auto" w:fill="auto"/>
                  <w:vAlign w:val="center"/>
                </w:tcPr>
                <w:p w14:paraId="129676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排放标准</w:t>
                  </w:r>
                </w:p>
              </w:tc>
            </w:tr>
            <w:tr w14:paraId="6AC69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71" w:type="pct"/>
                  <w:vMerge w:val="continue"/>
                  <w:tcBorders>
                    <w:left w:val="single" w:color="000000" w:sz="4" w:space="0"/>
                    <w:bottom w:val="single" w:color="000000" w:sz="4" w:space="0"/>
                    <w:right w:val="single" w:color="000000" w:sz="4" w:space="0"/>
                  </w:tcBorders>
                  <w:shd w:val="clear" w:color="auto" w:fill="auto"/>
                  <w:vAlign w:val="center"/>
                </w:tcPr>
                <w:p w14:paraId="302845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lang w:val="en-US"/>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410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本项目蒸馏尾气</w:t>
                  </w: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EF2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本项目</w:t>
                  </w:r>
                  <w:r>
                    <w:rPr>
                      <w:rFonts w:hint="eastAsia" w:cs="Times New Roman"/>
                      <w:b/>
                      <w:bCs/>
                      <w:i w:val="0"/>
                      <w:iCs w:val="0"/>
                      <w:color w:val="auto"/>
                      <w:kern w:val="0"/>
                      <w:sz w:val="21"/>
                      <w:szCs w:val="21"/>
                      <w:highlight w:val="none"/>
                      <w:u w:val="none"/>
                      <w:lang w:val="en-US" w:eastAsia="zh-CN" w:bidi="ar"/>
                    </w:rPr>
                    <w:t>储罐</w:t>
                  </w:r>
                  <w:r>
                    <w:rPr>
                      <w:rFonts w:hint="default" w:ascii="Times New Roman" w:hAnsi="Times New Roman" w:eastAsia="宋体" w:cs="Times New Roman"/>
                      <w:b/>
                      <w:bCs/>
                      <w:i w:val="0"/>
                      <w:iCs w:val="0"/>
                      <w:color w:val="auto"/>
                      <w:kern w:val="0"/>
                      <w:sz w:val="21"/>
                      <w:szCs w:val="21"/>
                      <w:highlight w:val="none"/>
                      <w:u w:val="none"/>
                      <w:lang w:val="en-US" w:eastAsia="zh-CN" w:bidi="ar"/>
                    </w:rPr>
                    <w:t>呼吸废气</w:t>
                  </w:r>
                </w:p>
              </w:tc>
              <w:tc>
                <w:tcPr>
                  <w:tcW w:w="511"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D9A1CF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c>
                <w:tcPr>
                  <w:tcW w:w="719"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2C5BD2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c>
                <w:tcPr>
                  <w:tcW w:w="544"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100DCF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83A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速率kg/h</w:t>
                  </w:r>
                </w:p>
              </w:tc>
              <w:tc>
                <w:tcPr>
                  <w:tcW w:w="550" w:type="pct"/>
                  <w:tcBorders>
                    <w:top w:val="single" w:color="000000" w:sz="4" w:space="0"/>
                    <w:left w:val="single" w:color="000000" w:sz="4" w:space="0"/>
                    <w:bottom w:val="single" w:color="000000" w:sz="4" w:space="0"/>
                    <w:right w:val="single" w:color="000000" w:sz="8" w:space="0"/>
                  </w:tcBorders>
                  <w:shd w:val="clear" w:color="auto" w:fill="auto"/>
                  <w:vAlign w:val="center"/>
                </w:tcPr>
                <w:p w14:paraId="0E62D2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浓度mg/m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r>
            <w:tr w14:paraId="613D0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7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A5EB5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0.314</w:t>
                  </w:r>
                </w:p>
              </w:tc>
              <w:tc>
                <w:tcPr>
                  <w:tcW w:w="600"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455E6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17</w:t>
                  </w:r>
                </w:p>
              </w:tc>
              <w:tc>
                <w:tcPr>
                  <w:tcW w:w="85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5300E6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05</w:t>
                  </w:r>
                </w:p>
              </w:tc>
              <w:tc>
                <w:tcPr>
                  <w:tcW w:w="51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4EAEE1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w:t>
                  </w:r>
                  <w:r>
                    <w:rPr>
                      <w:rFonts w:hint="eastAsia" w:cs="Times New Roman"/>
                      <w:i w:val="0"/>
                      <w:iCs w:val="0"/>
                      <w:color w:val="auto"/>
                      <w:kern w:val="0"/>
                      <w:sz w:val="21"/>
                      <w:szCs w:val="21"/>
                      <w:highlight w:val="none"/>
                      <w:u w:val="none"/>
                      <w:lang w:val="en-US" w:eastAsia="zh-CN" w:bidi="ar"/>
                    </w:rPr>
                    <w:t>36</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71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43526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6.803</w:t>
                  </w:r>
                </w:p>
              </w:tc>
              <w:tc>
                <w:tcPr>
                  <w:tcW w:w="544"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60FB42D">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4941</w:t>
                  </w: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4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34CBFE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17.36</w:t>
                  </w:r>
                </w:p>
              </w:tc>
              <w:tc>
                <w:tcPr>
                  <w:tcW w:w="550" w:type="pct"/>
                  <w:tcBorders>
                    <w:top w:val="single" w:color="000000" w:sz="4" w:space="0"/>
                    <w:left w:val="single" w:color="000000" w:sz="4" w:space="0"/>
                    <w:bottom w:val="single" w:color="000000" w:sz="8" w:space="0"/>
                    <w:right w:val="single" w:color="000000" w:sz="8" w:space="0"/>
                  </w:tcBorders>
                  <w:shd w:val="clear" w:color="auto" w:fill="auto"/>
                  <w:vAlign w:val="center"/>
                </w:tcPr>
                <w:p w14:paraId="78F0F6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bl>
          <w:p w14:paraId="59994BEF">
            <w:pPr>
              <w:adjustRightInd w:val="0"/>
              <w:snapToGrid w:val="0"/>
              <w:spacing w:line="360" w:lineRule="auto"/>
              <w:ind w:firstLine="480" w:firstLineChars="200"/>
              <w:rPr>
                <w:rFonts w:hint="eastAsia"/>
                <w:b w:val="0"/>
                <w:bCs w:val="0"/>
                <w:color w:val="auto"/>
                <w:sz w:val="24"/>
                <w:highlight w:val="none"/>
                <w:lang w:val="en-US" w:eastAsia="zh-CN"/>
              </w:rPr>
            </w:pPr>
            <w:r>
              <w:rPr>
                <w:rFonts w:hint="eastAsia"/>
                <w:b w:val="0"/>
                <w:bCs w:val="0"/>
                <w:color w:val="auto"/>
                <w:sz w:val="24"/>
                <w:highlight w:val="none"/>
                <w:lang w:val="en-US" w:eastAsia="zh-CN" w:bidi="ar"/>
              </w:rPr>
              <w:t>因此，本项目建成后在同时处理环氧乙烷胺基化生产线、蒸馏提纯生产线以及蒸馏生产车间储罐呼吸产生的VOCs的情况下，现有DA001排气筒VOCs排放速率及排放浓度仍能满足</w:t>
            </w:r>
            <w:r>
              <w:rPr>
                <w:rFonts w:hint="eastAsia"/>
                <w:b w:val="0"/>
                <w:bCs w:val="0"/>
                <w:color w:val="auto"/>
                <w:sz w:val="24"/>
                <w:highlight w:val="none"/>
                <w:lang w:val="en-US" w:eastAsia="zh-CN"/>
              </w:rPr>
              <w:t>《四川省固定污染源大气挥发性有机物排放标准》（DB51/2377-2017）涉及有机溶剂生产和使用的其它行业标准限值。</w:t>
            </w:r>
          </w:p>
          <w:p w14:paraId="7A27B18B">
            <w:pPr>
              <w:adjustRightInd w:val="0"/>
              <w:snapToGrid w:val="0"/>
              <w:spacing w:line="360" w:lineRule="auto"/>
              <w:ind w:firstLine="482" w:firstLineChars="200"/>
              <w:rPr>
                <w:b/>
                <w:bCs/>
                <w:color w:val="auto"/>
                <w:sz w:val="24"/>
                <w:highlight w:val="none"/>
              </w:rPr>
            </w:pPr>
            <w:r>
              <w:rPr>
                <w:b/>
                <w:bCs/>
                <w:color w:val="auto"/>
                <w:sz w:val="24"/>
                <w:highlight w:val="none"/>
                <w:lang w:bidi="ar"/>
              </w:rPr>
              <w:t>（</w:t>
            </w:r>
            <w:r>
              <w:rPr>
                <w:rFonts w:hint="eastAsia"/>
                <w:b/>
                <w:bCs/>
                <w:color w:val="auto"/>
                <w:sz w:val="24"/>
                <w:highlight w:val="none"/>
                <w:lang w:val="en-US" w:eastAsia="zh-CN" w:bidi="ar"/>
              </w:rPr>
              <w:t>3</w:t>
            </w:r>
            <w:r>
              <w:rPr>
                <w:b/>
                <w:bCs/>
                <w:color w:val="auto"/>
                <w:sz w:val="24"/>
                <w:highlight w:val="none"/>
                <w:lang w:bidi="ar"/>
              </w:rPr>
              <w:t>）锅炉燃烧废气</w:t>
            </w:r>
          </w:p>
          <w:p w14:paraId="6F1A07E9">
            <w:pPr>
              <w:autoSpaceDE w:val="0"/>
              <w:autoSpaceDN w:val="0"/>
              <w:adjustRightInd w:val="0"/>
              <w:spacing w:line="360" w:lineRule="auto"/>
              <w:ind w:firstLine="480" w:firstLineChars="200"/>
              <w:textAlignment w:val="baseline"/>
              <w:rPr>
                <w:rFonts w:hint="default"/>
                <w:color w:val="auto"/>
                <w:kern w:val="0"/>
                <w:sz w:val="24"/>
                <w:highlight w:val="none"/>
                <w:lang w:val="en-US" w:eastAsia="zh-CN"/>
              </w:rPr>
            </w:pPr>
            <w:r>
              <w:rPr>
                <w:color w:val="auto"/>
                <w:kern w:val="0"/>
                <w:sz w:val="24"/>
                <w:highlight w:val="none"/>
              </w:rPr>
              <w:t>本项目所用蒸汽依托</w:t>
            </w:r>
            <w:r>
              <w:rPr>
                <w:rFonts w:hint="eastAsia"/>
                <w:color w:val="auto"/>
                <w:sz w:val="24"/>
                <w:highlight w:val="none"/>
              </w:rPr>
              <w:t>现有工程</w:t>
            </w:r>
            <w:r>
              <w:rPr>
                <w:color w:val="auto"/>
                <w:kern w:val="0"/>
                <w:sz w:val="24"/>
                <w:highlight w:val="none"/>
              </w:rPr>
              <w:t>锅炉提供，</w:t>
            </w:r>
            <w:r>
              <w:rPr>
                <w:rFonts w:hint="eastAsia"/>
                <w:color w:val="auto"/>
                <w:kern w:val="0"/>
                <w:sz w:val="24"/>
                <w:highlight w:val="none"/>
                <w:lang w:val="en-US" w:eastAsia="zh-CN"/>
              </w:rPr>
              <w:t>企业现有工程已建成1台10t/h的燃气蒸汽锅炉，原环评报告书已按锅炉满负荷计算锅炉燃烧废气产排污并进行达标可行分析，本次技改依托现有锅炉，不新增锅炉燃烧废气排污，</w:t>
            </w:r>
            <w:r>
              <w:rPr>
                <w:rFonts w:hint="eastAsia"/>
                <w:color w:val="auto"/>
                <w:kern w:val="0"/>
                <w:sz w:val="24"/>
                <w:highlight w:val="none"/>
                <w:u w:val="none"/>
                <w:lang w:val="en-US" w:eastAsia="zh-CN"/>
              </w:rPr>
              <w:t>因此，</w:t>
            </w:r>
            <w:r>
              <w:rPr>
                <w:rFonts w:hint="eastAsia"/>
                <w:color w:val="auto"/>
                <w:kern w:val="0"/>
                <w:sz w:val="24"/>
                <w:highlight w:val="none"/>
                <w:lang w:val="en-US" w:eastAsia="zh-CN"/>
              </w:rPr>
              <w:t>污染物本次不再计算该项污染物。</w:t>
            </w:r>
          </w:p>
          <w:p w14:paraId="13BA53CF">
            <w:pPr>
              <w:autoSpaceDE w:val="0"/>
              <w:autoSpaceDN w:val="0"/>
              <w:adjustRightInd w:val="0"/>
              <w:spacing w:line="360" w:lineRule="auto"/>
              <w:ind w:firstLine="482" w:firstLineChars="200"/>
              <w:textAlignment w:val="baseline"/>
              <w:rPr>
                <w:rFonts w:hint="eastAsia"/>
                <w:color w:val="auto"/>
                <w:kern w:val="0"/>
                <w:sz w:val="24"/>
                <w:highlight w:val="none"/>
                <w:lang w:eastAsia="zh-CN"/>
              </w:rPr>
            </w:pPr>
            <w:r>
              <w:rPr>
                <w:rFonts w:hint="eastAsia"/>
                <w:b/>
                <w:bCs/>
                <w:i w:val="0"/>
                <w:iCs w:val="0"/>
                <w:color w:val="auto"/>
                <w:kern w:val="0"/>
                <w:sz w:val="24"/>
                <w:highlight w:val="none"/>
                <w:lang w:val="en-US" w:eastAsia="zh-CN"/>
              </w:rPr>
              <w:t>依托可行性：</w:t>
            </w:r>
            <w:r>
              <w:rPr>
                <w:rFonts w:hint="eastAsia"/>
                <w:color w:val="auto"/>
                <w:kern w:val="0"/>
                <w:sz w:val="24"/>
                <w:highlight w:val="none"/>
                <w:lang w:val="en-US" w:eastAsia="zh-CN"/>
              </w:rPr>
              <w:t>根据厂区实际运营情况，现有锅炉24h运行，目前现有工程平均蒸汽耗量约6.5t/h，富余3.5t/h蒸汽量，根据设计工艺资料，本次技改新增蒸馏提纯装置需新增蒸汽耗量约1.5t/h，因此现有锅炉剩余蒸汽涵盖本项目需求量，能够满足技改需求，依托可行</w:t>
            </w:r>
            <w:r>
              <w:rPr>
                <w:rFonts w:hint="eastAsia"/>
                <w:color w:val="auto"/>
                <w:kern w:val="0"/>
                <w:sz w:val="24"/>
                <w:highlight w:val="none"/>
                <w:lang w:eastAsia="zh-CN"/>
              </w:rPr>
              <w:t>。</w:t>
            </w:r>
          </w:p>
          <w:p w14:paraId="5358B265">
            <w:pPr>
              <w:autoSpaceDE w:val="0"/>
              <w:autoSpaceDN w:val="0"/>
              <w:adjustRightInd w:val="0"/>
              <w:spacing w:line="360" w:lineRule="auto"/>
              <w:ind w:firstLine="480" w:firstLineChars="200"/>
              <w:textAlignment w:val="baseline"/>
              <w:rPr>
                <w:rFonts w:hint="default" w:eastAsia="宋体"/>
                <w:color w:val="auto"/>
                <w:kern w:val="0"/>
                <w:sz w:val="24"/>
                <w:highlight w:val="none"/>
                <w:u w:val="none"/>
                <w:lang w:val="en-US" w:eastAsia="zh-CN"/>
              </w:rPr>
            </w:pPr>
            <w:r>
              <w:rPr>
                <w:rFonts w:hint="eastAsia"/>
                <w:color w:val="auto"/>
                <w:kern w:val="0"/>
                <w:sz w:val="24"/>
                <w:highlight w:val="none"/>
                <w:lang w:val="en-US" w:eastAsia="zh-CN"/>
              </w:rPr>
              <w:t>根据厂区例行检测报告可知，厂区锅炉排气筒污染物排放浓度</w:t>
            </w:r>
            <w:r>
              <w:rPr>
                <w:color w:val="auto"/>
                <w:kern w:val="0"/>
                <w:sz w:val="24"/>
                <w:highlight w:val="none"/>
                <w:u w:val="none"/>
              </w:rPr>
              <w:t>满足</w:t>
            </w:r>
            <w:r>
              <w:rPr>
                <w:rFonts w:hint="eastAsia"/>
                <w:color w:val="auto"/>
                <w:kern w:val="0"/>
                <w:sz w:val="24"/>
                <w:highlight w:val="none"/>
                <w:u w:val="none"/>
                <w:lang w:val="en-US" w:eastAsia="zh-CN"/>
              </w:rPr>
              <w:t>《锅炉大气污染物排放标准》（GB13271-2014）表3中燃气锅炉标准限值</w:t>
            </w:r>
            <w:r>
              <w:rPr>
                <w:color w:val="auto"/>
                <w:kern w:val="0"/>
                <w:sz w:val="24"/>
                <w:highlight w:val="none"/>
                <w:u w:val="none"/>
              </w:rPr>
              <w:t>。</w:t>
            </w:r>
            <w:r>
              <w:rPr>
                <w:rFonts w:hint="eastAsia"/>
                <w:color w:val="auto"/>
                <w:kern w:val="0"/>
                <w:sz w:val="24"/>
                <w:highlight w:val="none"/>
                <w:u w:val="none"/>
                <w:lang w:val="en-US" w:eastAsia="zh-CN"/>
              </w:rPr>
              <w:t>因此，厂区锅炉燃烧污染物对周边环境空气的影响较小。</w:t>
            </w:r>
          </w:p>
          <w:p w14:paraId="4E7A6FCA">
            <w:pPr>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lang w:val="en-US" w:eastAsia="zh-CN"/>
              </w:rPr>
              <w:t>4</w:t>
            </w:r>
            <w:r>
              <w:rPr>
                <w:b/>
                <w:color w:val="auto"/>
                <w:sz w:val="24"/>
                <w:highlight w:val="none"/>
              </w:rPr>
              <w:t>）项目依托厂区污水处理站恶臭分析</w:t>
            </w:r>
          </w:p>
          <w:p w14:paraId="4A0EDC96">
            <w:pPr>
              <w:widowControl/>
              <w:spacing w:line="360" w:lineRule="auto"/>
              <w:ind w:firstLine="482" w:firstLineChars="200"/>
              <w:jc w:val="left"/>
              <w:rPr>
                <w:color w:val="auto"/>
                <w:sz w:val="24"/>
                <w:highlight w:val="none"/>
              </w:rPr>
            </w:pPr>
            <w:r>
              <w:rPr>
                <w:rFonts w:hint="eastAsia"/>
                <w:b/>
                <w:color w:val="auto"/>
                <w:kern w:val="0"/>
                <w:sz w:val="24"/>
                <w:highlight w:val="none"/>
                <w:lang w:val="en-US" w:eastAsia="zh-CN" w:bidi="ar"/>
              </w:rPr>
              <w:t>源强</w:t>
            </w:r>
            <w:r>
              <w:rPr>
                <w:rFonts w:hint="eastAsia"/>
                <w:b/>
                <w:color w:val="auto"/>
                <w:kern w:val="0"/>
                <w:sz w:val="24"/>
                <w:highlight w:val="none"/>
                <w:lang w:bidi="ar"/>
              </w:rPr>
              <w:t>：</w:t>
            </w:r>
            <w:r>
              <w:rPr>
                <w:color w:val="auto"/>
                <w:sz w:val="24"/>
                <w:highlight w:val="none"/>
              </w:rPr>
              <w:t>本项目进入污水站处理废水量为</w:t>
            </w:r>
            <w:r>
              <w:rPr>
                <w:rFonts w:hint="eastAsia"/>
                <w:color w:val="auto"/>
                <w:sz w:val="24"/>
                <w:highlight w:val="none"/>
                <w:lang w:val="en-US" w:eastAsia="zh-CN"/>
              </w:rPr>
              <w:t>54.428</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建成后</w:t>
            </w:r>
            <w:r>
              <w:rPr>
                <w:rFonts w:hint="eastAsia"/>
                <w:color w:val="auto"/>
                <w:sz w:val="24"/>
                <w:highlight w:val="none"/>
              </w:rPr>
              <w:t>全厂废水量为</w:t>
            </w:r>
            <w:r>
              <w:rPr>
                <w:rFonts w:hint="eastAsia"/>
                <w:color w:val="auto"/>
                <w:sz w:val="24"/>
                <w:highlight w:val="none"/>
                <w:lang w:val="en-US" w:eastAsia="zh-CN"/>
              </w:rPr>
              <w:t>76.728</w:t>
            </w:r>
            <w:r>
              <w:rPr>
                <w:color w:val="auto"/>
                <w:sz w:val="24"/>
                <w:highlight w:val="none"/>
              </w:rPr>
              <w:t>m</w:t>
            </w:r>
            <w:r>
              <w:rPr>
                <w:color w:val="auto"/>
                <w:sz w:val="24"/>
                <w:highlight w:val="none"/>
                <w:vertAlign w:val="superscript"/>
              </w:rPr>
              <w:t>3</w:t>
            </w:r>
            <w:r>
              <w:rPr>
                <w:color w:val="auto"/>
                <w:sz w:val="24"/>
                <w:highlight w:val="none"/>
              </w:rPr>
              <w:t>/d。</w:t>
            </w:r>
          </w:p>
          <w:p w14:paraId="04C4F1D3">
            <w:pPr>
              <w:spacing w:line="360" w:lineRule="auto"/>
              <w:ind w:firstLine="480" w:firstLineChars="200"/>
              <w:jc w:val="left"/>
              <w:rPr>
                <w:rFonts w:eastAsia="黑体"/>
                <w:color w:val="auto"/>
                <w:sz w:val="24"/>
                <w:szCs w:val="21"/>
                <w:highlight w:val="none"/>
              </w:rPr>
            </w:pPr>
            <w:r>
              <w:rPr>
                <w:color w:val="auto"/>
                <w:sz w:val="24"/>
                <w:highlight w:val="none"/>
              </w:rPr>
              <w:t>项目恶臭污染源源强类比美国EPA对城市污水处理厂恶臭污染物产生情况的研究，每处理1g的BOD</w:t>
            </w:r>
            <w:r>
              <w:rPr>
                <w:color w:val="auto"/>
                <w:sz w:val="24"/>
                <w:highlight w:val="none"/>
                <w:vertAlign w:val="subscript"/>
              </w:rPr>
              <w:t>5</w:t>
            </w:r>
            <w:r>
              <w:rPr>
                <w:color w:val="auto"/>
                <w:sz w:val="24"/>
                <w:highlight w:val="none"/>
              </w:rPr>
              <w:t>，可产生0.0031g的NH</w:t>
            </w:r>
            <w:r>
              <w:rPr>
                <w:color w:val="auto"/>
                <w:sz w:val="24"/>
                <w:highlight w:val="none"/>
                <w:vertAlign w:val="subscript"/>
              </w:rPr>
              <w:t>3</w:t>
            </w:r>
            <w:r>
              <w:rPr>
                <w:color w:val="auto"/>
                <w:sz w:val="24"/>
                <w:highlight w:val="none"/>
              </w:rPr>
              <w:t>和0.00012g的H</w:t>
            </w:r>
            <w:r>
              <w:rPr>
                <w:color w:val="auto"/>
                <w:sz w:val="24"/>
                <w:highlight w:val="none"/>
                <w:vertAlign w:val="subscript"/>
              </w:rPr>
              <w:t>2</w:t>
            </w:r>
            <w:r>
              <w:rPr>
                <w:color w:val="auto"/>
                <w:sz w:val="24"/>
                <w:highlight w:val="none"/>
              </w:rPr>
              <w:t>S。</w:t>
            </w:r>
            <w:r>
              <w:rPr>
                <w:rFonts w:hint="eastAsia"/>
                <w:color w:val="auto"/>
                <w:sz w:val="24"/>
                <w:highlight w:val="none"/>
              </w:rPr>
              <w:t>根据废水分析部分，全厂废水中</w:t>
            </w:r>
            <w:r>
              <w:rPr>
                <w:color w:val="auto"/>
                <w:sz w:val="24"/>
                <w:highlight w:val="none"/>
              </w:rPr>
              <w:t>BOD</w:t>
            </w:r>
            <w:r>
              <w:rPr>
                <w:color w:val="auto"/>
                <w:sz w:val="24"/>
                <w:highlight w:val="none"/>
                <w:vertAlign w:val="subscript"/>
              </w:rPr>
              <w:t>5</w:t>
            </w:r>
            <w:r>
              <w:rPr>
                <w:rFonts w:hint="eastAsia"/>
                <w:color w:val="auto"/>
                <w:sz w:val="24"/>
                <w:highlight w:val="none"/>
              </w:rPr>
              <w:t>的去除量为</w:t>
            </w:r>
            <w:r>
              <w:rPr>
                <w:rFonts w:hint="eastAsia"/>
                <w:color w:val="auto"/>
                <w:sz w:val="24"/>
                <w:highlight w:val="none"/>
                <w:lang w:val="en-US" w:eastAsia="zh-CN"/>
              </w:rPr>
              <w:t>10.416</w:t>
            </w:r>
            <w:r>
              <w:rPr>
                <w:rFonts w:hint="eastAsia"/>
                <w:color w:val="auto"/>
                <w:sz w:val="24"/>
                <w:highlight w:val="none"/>
              </w:rPr>
              <w:t>t/a（其中本</w:t>
            </w:r>
            <w:r>
              <w:rPr>
                <w:rFonts w:hint="eastAsia"/>
                <w:color w:val="auto"/>
                <w:sz w:val="24"/>
                <w:highlight w:val="none"/>
                <w:lang w:val="en-US" w:eastAsia="zh-CN"/>
              </w:rPr>
              <w:t>项目</w:t>
            </w:r>
            <w:r>
              <w:rPr>
                <w:rFonts w:hint="eastAsia"/>
                <w:color w:val="auto"/>
                <w:sz w:val="24"/>
                <w:highlight w:val="none"/>
              </w:rPr>
              <w:t>占</w:t>
            </w:r>
            <w:r>
              <w:rPr>
                <w:rFonts w:hint="eastAsia"/>
                <w:color w:val="auto"/>
                <w:sz w:val="24"/>
                <w:highlight w:val="none"/>
                <w:lang w:val="en-US" w:eastAsia="zh-CN"/>
              </w:rPr>
              <w:t>7.389</w:t>
            </w:r>
            <w:r>
              <w:rPr>
                <w:rFonts w:hint="eastAsia"/>
                <w:color w:val="auto"/>
                <w:sz w:val="24"/>
                <w:highlight w:val="none"/>
              </w:rPr>
              <w:t>t/a），</w:t>
            </w:r>
            <w:r>
              <w:rPr>
                <w:color w:val="auto"/>
                <w:sz w:val="24"/>
                <w:highlight w:val="none"/>
              </w:rPr>
              <w:t>则</w:t>
            </w:r>
            <w:r>
              <w:rPr>
                <w:rFonts w:hint="eastAsia"/>
                <w:color w:val="auto"/>
                <w:sz w:val="24"/>
                <w:highlight w:val="none"/>
              </w:rPr>
              <w:t>厂区</w:t>
            </w:r>
            <w:r>
              <w:rPr>
                <w:color w:val="auto"/>
                <w:sz w:val="24"/>
                <w:highlight w:val="none"/>
              </w:rPr>
              <w:t>污水站臭气中氨气、硫化氢产生量约为</w:t>
            </w:r>
            <w:r>
              <w:rPr>
                <w:rFonts w:hint="eastAsia"/>
                <w:color w:val="auto"/>
                <w:sz w:val="24"/>
                <w:highlight w:val="none"/>
                <w:lang w:val="en-US" w:eastAsia="zh-CN"/>
              </w:rPr>
              <w:t>32.29</w:t>
            </w:r>
            <w:r>
              <w:rPr>
                <w:rFonts w:hint="eastAsia"/>
                <w:color w:val="auto"/>
                <w:sz w:val="24"/>
                <w:highlight w:val="none"/>
              </w:rPr>
              <w:t>kg</w:t>
            </w:r>
            <w:r>
              <w:rPr>
                <w:rFonts w:eastAsia="黑体"/>
                <w:b/>
                <w:color w:val="auto"/>
                <w:sz w:val="24"/>
                <w:szCs w:val="21"/>
                <w:highlight w:val="none"/>
              </w:rPr>
              <w:t>/</w:t>
            </w:r>
            <w:r>
              <w:rPr>
                <w:rFonts w:eastAsia="黑体"/>
                <w:color w:val="auto"/>
                <w:sz w:val="24"/>
                <w:szCs w:val="21"/>
                <w:highlight w:val="none"/>
              </w:rPr>
              <w:t>a</w:t>
            </w:r>
            <w:r>
              <w:rPr>
                <w:color w:val="auto"/>
                <w:sz w:val="24"/>
                <w:highlight w:val="none"/>
              </w:rPr>
              <w:t>、</w:t>
            </w:r>
            <w:r>
              <w:rPr>
                <w:rFonts w:hint="eastAsia"/>
                <w:color w:val="auto"/>
                <w:sz w:val="24"/>
                <w:highlight w:val="none"/>
                <w:lang w:val="en-US" w:eastAsia="zh-CN"/>
              </w:rPr>
              <w:t>1.25</w:t>
            </w:r>
            <w:r>
              <w:rPr>
                <w:color w:val="auto"/>
                <w:sz w:val="24"/>
                <w:highlight w:val="none"/>
              </w:rPr>
              <w:t>kg</w:t>
            </w:r>
            <w:r>
              <w:rPr>
                <w:rFonts w:eastAsia="黑体"/>
                <w:b/>
                <w:color w:val="auto"/>
                <w:sz w:val="24"/>
                <w:szCs w:val="21"/>
                <w:highlight w:val="none"/>
              </w:rPr>
              <w:t>/</w:t>
            </w:r>
            <w:r>
              <w:rPr>
                <w:rFonts w:eastAsia="黑体"/>
                <w:color w:val="auto"/>
                <w:sz w:val="24"/>
                <w:szCs w:val="21"/>
                <w:highlight w:val="none"/>
              </w:rPr>
              <w:t>a</w:t>
            </w:r>
            <w:r>
              <w:rPr>
                <w:rFonts w:hint="eastAsia"/>
                <w:color w:val="auto"/>
                <w:sz w:val="24"/>
                <w:highlight w:val="none"/>
              </w:rPr>
              <w:t>；其中本项目增加的</w:t>
            </w:r>
            <w:r>
              <w:rPr>
                <w:color w:val="auto"/>
                <w:sz w:val="24"/>
                <w:highlight w:val="none"/>
              </w:rPr>
              <w:t>氨气、硫化氢产生量约为</w:t>
            </w:r>
            <w:r>
              <w:rPr>
                <w:rFonts w:hint="eastAsia"/>
                <w:color w:val="auto"/>
                <w:sz w:val="24"/>
                <w:highlight w:val="none"/>
                <w:lang w:val="en-US" w:eastAsia="zh-CN"/>
              </w:rPr>
              <w:t>22.906</w:t>
            </w:r>
            <w:r>
              <w:rPr>
                <w:rFonts w:hint="eastAsia"/>
                <w:color w:val="auto"/>
                <w:sz w:val="24"/>
                <w:highlight w:val="none"/>
              </w:rPr>
              <w:t>kg</w:t>
            </w:r>
            <w:r>
              <w:rPr>
                <w:rFonts w:eastAsia="黑体"/>
                <w:b/>
                <w:color w:val="auto"/>
                <w:sz w:val="24"/>
                <w:szCs w:val="21"/>
                <w:highlight w:val="none"/>
              </w:rPr>
              <w:t>/</w:t>
            </w:r>
            <w:r>
              <w:rPr>
                <w:rFonts w:eastAsia="黑体"/>
                <w:color w:val="auto"/>
                <w:sz w:val="24"/>
                <w:szCs w:val="21"/>
                <w:highlight w:val="none"/>
              </w:rPr>
              <w:t>a</w:t>
            </w:r>
            <w:r>
              <w:rPr>
                <w:rFonts w:hint="eastAsia" w:eastAsia="黑体"/>
                <w:color w:val="auto"/>
                <w:sz w:val="24"/>
                <w:szCs w:val="21"/>
                <w:highlight w:val="none"/>
              </w:rPr>
              <w:t>、</w:t>
            </w:r>
            <w:r>
              <w:rPr>
                <w:rFonts w:hint="eastAsia"/>
                <w:color w:val="auto"/>
                <w:sz w:val="24"/>
                <w:highlight w:val="none"/>
                <w:lang w:val="en-US" w:eastAsia="zh-CN"/>
              </w:rPr>
              <w:t>0.887</w:t>
            </w:r>
            <w:r>
              <w:rPr>
                <w:rFonts w:hint="eastAsia"/>
                <w:color w:val="auto"/>
                <w:sz w:val="24"/>
                <w:highlight w:val="none"/>
              </w:rPr>
              <w:t>kg/a</w:t>
            </w:r>
            <w:r>
              <w:rPr>
                <w:rFonts w:hint="eastAsia" w:eastAsia="黑体"/>
                <w:color w:val="auto"/>
                <w:sz w:val="24"/>
                <w:szCs w:val="21"/>
                <w:highlight w:val="none"/>
              </w:rPr>
              <w:t>。</w:t>
            </w:r>
          </w:p>
          <w:p w14:paraId="45236874">
            <w:pPr>
              <w:widowControl/>
              <w:spacing w:line="360" w:lineRule="auto"/>
              <w:ind w:firstLine="482" w:firstLineChars="200"/>
              <w:jc w:val="left"/>
              <w:rPr>
                <w:b/>
                <w:color w:val="auto"/>
                <w:highlight w:val="none"/>
              </w:rPr>
            </w:pPr>
            <w:r>
              <w:rPr>
                <w:b/>
                <w:color w:val="auto"/>
                <w:kern w:val="0"/>
                <w:sz w:val="24"/>
                <w:highlight w:val="none"/>
                <w:lang w:bidi="ar"/>
              </w:rPr>
              <w:t>治理措施</w:t>
            </w:r>
            <w:r>
              <w:rPr>
                <w:rFonts w:hint="eastAsia"/>
                <w:b/>
                <w:color w:val="auto"/>
                <w:kern w:val="0"/>
                <w:sz w:val="24"/>
                <w:highlight w:val="none"/>
                <w:lang w:bidi="ar"/>
              </w:rPr>
              <w:t>：</w:t>
            </w:r>
          </w:p>
          <w:p w14:paraId="17DEAA7F">
            <w:pPr>
              <w:spacing w:line="360" w:lineRule="auto"/>
              <w:ind w:firstLine="480" w:firstLineChars="200"/>
              <w:jc w:val="left"/>
              <w:rPr>
                <w:color w:val="auto"/>
                <w:sz w:val="24"/>
                <w:highlight w:val="none"/>
                <w:lang w:val="en-US" w:eastAsia="zh-CN"/>
              </w:rPr>
            </w:pPr>
            <w:r>
              <w:rPr>
                <w:rFonts w:hint="eastAsia" w:cs="Times New Roman"/>
                <w:color w:val="auto"/>
                <w:kern w:val="2"/>
                <w:sz w:val="24"/>
                <w:szCs w:val="24"/>
                <w:highlight w:val="none"/>
                <w:lang w:val="en-US" w:eastAsia="zh-CN" w:bidi="ar-SA"/>
              </w:rPr>
              <w:t>厂区已建成一座污水处理站，</w:t>
            </w:r>
            <w:r>
              <w:rPr>
                <w:rFonts w:ascii="Times New Roman" w:hAnsi="Times New Roman" w:eastAsia="宋体" w:cs="Times New Roman"/>
                <w:color w:val="auto"/>
                <w:kern w:val="2"/>
                <w:sz w:val="24"/>
                <w:szCs w:val="24"/>
                <w:highlight w:val="none"/>
                <w:lang w:val="en-US" w:eastAsia="zh-CN" w:bidi="ar-SA"/>
              </w:rPr>
              <w:t>污水处理站所有构筑物</w:t>
            </w:r>
            <w:r>
              <w:rPr>
                <w:rFonts w:hint="eastAsia" w:cs="Times New Roman"/>
                <w:color w:val="auto"/>
                <w:kern w:val="2"/>
                <w:sz w:val="24"/>
                <w:szCs w:val="24"/>
                <w:highlight w:val="none"/>
                <w:lang w:val="en-US" w:eastAsia="zh-CN" w:bidi="ar-SA"/>
              </w:rPr>
              <w:t>均</w:t>
            </w:r>
            <w:r>
              <w:rPr>
                <w:rFonts w:ascii="Times New Roman" w:hAnsi="Times New Roman" w:eastAsia="宋体" w:cs="Times New Roman"/>
                <w:color w:val="auto"/>
                <w:kern w:val="2"/>
                <w:sz w:val="24"/>
                <w:szCs w:val="24"/>
                <w:highlight w:val="none"/>
                <w:lang w:val="en-US" w:eastAsia="zh-CN" w:bidi="ar-SA"/>
              </w:rPr>
              <w:t>采取钢筋混凝土池盖封顶，池盖上预留臭气收集口，通过“吸气罩+引风机”集中收集废气（收集率≥90%），统一汇入排气量为3000Nm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/h的</w:t>
            </w:r>
            <w:r>
              <w:rPr>
                <w:color w:val="auto"/>
                <w:sz w:val="24"/>
                <w:highlight w:val="none"/>
                <w:lang w:val="en-US" w:eastAsia="zh-CN"/>
              </w:rPr>
              <w:t>“稀碱液循环洗涤+活性炭吸附”系统净化后（净化效率≥80%），经1根15m排气筒</w:t>
            </w:r>
            <w:r>
              <w:rPr>
                <w:rFonts w:hint="eastAsia"/>
                <w:color w:val="auto"/>
                <w:sz w:val="24"/>
                <w:highlight w:val="none"/>
                <w:lang w:val="en-US" w:eastAsia="zh-CN"/>
              </w:rPr>
              <w:t>（</w:t>
            </w:r>
            <w:r>
              <w:rPr>
                <w:color w:val="auto"/>
                <w:kern w:val="0"/>
                <w:sz w:val="24"/>
                <w:szCs w:val="20"/>
                <w:highlight w:val="none"/>
              </w:rPr>
              <w:t>DA00</w:t>
            </w:r>
            <w:r>
              <w:rPr>
                <w:rFonts w:hint="eastAsia"/>
                <w:color w:val="auto"/>
                <w:kern w:val="0"/>
                <w:sz w:val="24"/>
                <w:szCs w:val="20"/>
                <w:highlight w:val="none"/>
                <w:lang w:val="en-US" w:eastAsia="zh-CN"/>
              </w:rPr>
              <w:t>3</w:t>
            </w:r>
            <w:r>
              <w:rPr>
                <w:rFonts w:hint="eastAsia"/>
                <w:color w:val="auto"/>
                <w:sz w:val="24"/>
                <w:highlight w:val="none"/>
                <w:lang w:val="en-US" w:eastAsia="zh-CN"/>
              </w:rPr>
              <w:t>）</w:t>
            </w:r>
            <w:r>
              <w:rPr>
                <w:color w:val="auto"/>
                <w:sz w:val="24"/>
                <w:highlight w:val="none"/>
                <w:lang w:val="en-US" w:eastAsia="zh-CN"/>
              </w:rPr>
              <w:t>排放。</w:t>
            </w:r>
          </w:p>
          <w:p w14:paraId="17B11B0A">
            <w:pPr>
              <w:spacing w:line="360" w:lineRule="auto"/>
              <w:ind w:firstLine="480" w:firstLineChars="200"/>
              <w:jc w:val="left"/>
              <w:rPr>
                <w:rFonts w:hint="default"/>
                <w:color w:val="auto"/>
                <w:sz w:val="24"/>
                <w:highlight w:val="none"/>
                <w:lang w:val="en-US" w:eastAsia="zh-CN"/>
              </w:rPr>
            </w:pPr>
            <w:r>
              <w:rPr>
                <w:rFonts w:hint="eastAsia"/>
                <w:color w:val="auto"/>
                <w:sz w:val="24"/>
                <w:highlight w:val="none"/>
                <w:lang w:val="en-US" w:eastAsia="zh-CN"/>
              </w:rPr>
              <w:t>本项目产生的综合废水均依托现有污水处理站处理，污水处理产生的</w:t>
            </w:r>
            <w:r>
              <w:rPr>
                <w:rFonts w:hint="eastAsia" w:cs="Times New Roman"/>
                <w:color w:val="auto"/>
                <w:kern w:val="2"/>
                <w:sz w:val="24"/>
                <w:szCs w:val="24"/>
                <w:highlight w:val="none"/>
                <w:lang w:val="en-US" w:eastAsia="zh-CN" w:bidi="ar-SA"/>
              </w:rPr>
              <w:t>废气依托现有废气处理系统处理后排放。</w:t>
            </w:r>
          </w:p>
          <w:p w14:paraId="77C3BCFC">
            <w:pPr>
              <w:spacing w:line="360" w:lineRule="auto"/>
              <w:ind w:firstLine="480" w:firstLineChars="200"/>
              <w:jc w:val="left"/>
              <w:rPr>
                <w:color w:val="auto"/>
                <w:kern w:val="0"/>
                <w:sz w:val="24"/>
                <w:szCs w:val="20"/>
                <w:highlight w:val="none"/>
              </w:rPr>
            </w:pPr>
            <w:r>
              <w:rPr>
                <w:rFonts w:hint="eastAsia"/>
                <w:color w:val="auto"/>
                <w:kern w:val="0"/>
                <w:sz w:val="24"/>
                <w:szCs w:val="20"/>
                <w:highlight w:val="none"/>
                <w:lang w:val="en-US" w:eastAsia="zh-CN"/>
              </w:rPr>
              <w:t>因此，</w:t>
            </w:r>
            <w:r>
              <w:rPr>
                <w:rFonts w:hint="eastAsia"/>
                <w:color w:val="auto"/>
                <w:kern w:val="0"/>
                <w:sz w:val="24"/>
                <w:szCs w:val="20"/>
                <w:highlight w:val="none"/>
              </w:rPr>
              <w:t>全厂废水处理过程产生的恶臭气体</w:t>
            </w:r>
            <w:r>
              <w:rPr>
                <w:color w:val="auto"/>
                <w:kern w:val="0"/>
                <w:sz w:val="24"/>
                <w:szCs w:val="20"/>
                <w:highlight w:val="none"/>
              </w:rPr>
              <w:t>经处理后氨气、硫化氢有组织排放量分别为</w:t>
            </w:r>
            <w:r>
              <w:rPr>
                <w:rFonts w:hint="eastAsia"/>
                <w:color w:val="auto"/>
                <w:kern w:val="0"/>
                <w:sz w:val="24"/>
                <w:szCs w:val="20"/>
                <w:highlight w:val="none"/>
                <w:lang w:val="en-US" w:eastAsia="zh-CN"/>
              </w:rPr>
              <w:t>5.812</w:t>
            </w:r>
            <w:r>
              <w:rPr>
                <w:color w:val="auto"/>
                <w:kern w:val="0"/>
                <w:sz w:val="24"/>
                <w:szCs w:val="20"/>
                <w:highlight w:val="none"/>
              </w:rPr>
              <w:t>kg/a、</w:t>
            </w:r>
            <w:r>
              <w:rPr>
                <w:rFonts w:hint="eastAsia"/>
                <w:color w:val="auto"/>
                <w:kern w:val="0"/>
                <w:sz w:val="24"/>
                <w:szCs w:val="20"/>
                <w:highlight w:val="none"/>
                <w:lang w:val="en-US" w:eastAsia="zh-CN"/>
              </w:rPr>
              <w:t>0.225</w:t>
            </w:r>
            <w:r>
              <w:rPr>
                <w:color w:val="auto"/>
                <w:kern w:val="0"/>
                <w:sz w:val="24"/>
                <w:szCs w:val="20"/>
                <w:highlight w:val="none"/>
              </w:rPr>
              <w:t>kg/a，排放速率为</w:t>
            </w:r>
            <w:r>
              <w:rPr>
                <w:rFonts w:hint="eastAsia"/>
                <w:color w:val="auto"/>
                <w:kern w:val="0"/>
                <w:sz w:val="24"/>
                <w:szCs w:val="20"/>
                <w:highlight w:val="none"/>
                <w:lang w:val="en-US" w:eastAsia="zh-CN"/>
              </w:rPr>
              <w:t>8.07</w:t>
            </w:r>
            <w:r>
              <w:rPr>
                <w:color w:val="auto"/>
                <w:kern w:val="0"/>
                <w:sz w:val="24"/>
                <w:szCs w:val="20"/>
                <w:highlight w:val="none"/>
              </w:rPr>
              <w:t>×10</w:t>
            </w:r>
            <w:r>
              <w:rPr>
                <w:color w:val="auto"/>
                <w:kern w:val="0"/>
                <w:sz w:val="24"/>
                <w:szCs w:val="20"/>
                <w:highlight w:val="none"/>
                <w:vertAlign w:val="superscript"/>
              </w:rPr>
              <w:t>-</w:t>
            </w:r>
            <w:r>
              <w:rPr>
                <w:rFonts w:hint="eastAsia"/>
                <w:color w:val="auto"/>
                <w:kern w:val="0"/>
                <w:sz w:val="24"/>
                <w:szCs w:val="20"/>
                <w:highlight w:val="none"/>
                <w:vertAlign w:val="superscript"/>
                <w:lang w:val="en-US" w:eastAsia="zh-CN"/>
              </w:rPr>
              <w:t>4</w:t>
            </w:r>
            <w:r>
              <w:rPr>
                <w:rFonts w:hint="eastAsia"/>
                <w:color w:val="auto"/>
                <w:kern w:val="0"/>
                <w:sz w:val="24"/>
                <w:szCs w:val="20"/>
                <w:highlight w:val="none"/>
              </w:rPr>
              <w:t>k</w:t>
            </w:r>
            <w:r>
              <w:rPr>
                <w:color w:val="auto"/>
                <w:kern w:val="0"/>
                <w:sz w:val="24"/>
                <w:szCs w:val="20"/>
                <w:highlight w:val="none"/>
              </w:rPr>
              <w:t>g/h、</w:t>
            </w:r>
            <w:r>
              <w:rPr>
                <w:rFonts w:hint="eastAsia"/>
                <w:color w:val="auto"/>
                <w:kern w:val="0"/>
                <w:sz w:val="24"/>
                <w:szCs w:val="20"/>
                <w:highlight w:val="none"/>
                <w:lang w:val="en-US" w:eastAsia="zh-CN"/>
              </w:rPr>
              <w:t>3.12</w:t>
            </w:r>
            <w:r>
              <w:rPr>
                <w:color w:val="auto"/>
                <w:kern w:val="0"/>
                <w:sz w:val="24"/>
                <w:szCs w:val="20"/>
                <w:highlight w:val="none"/>
              </w:rPr>
              <w:t>×10</w:t>
            </w:r>
            <w:r>
              <w:rPr>
                <w:color w:val="auto"/>
                <w:kern w:val="0"/>
                <w:sz w:val="24"/>
                <w:szCs w:val="20"/>
                <w:highlight w:val="none"/>
                <w:vertAlign w:val="superscript"/>
              </w:rPr>
              <w:t>-</w:t>
            </w:r>
            <w:r>
              <w:rPr>
                <w:rFonts w:hint="eastAsia"/>
                <w:color w:val="auto"/>
                <w:kern w:val="0"/>
                <w:sz w:val="24"/>
                <w:szCs w:val="20"/>
                <w:highlight w:val="none"/>
                <w:vertAlign w:val="superscript"/>
                <w:lang w:val="en-US" w:eastAsia="zh-CN"/>
              </w:rPr>
              <w:t>5</w:t>
            </w:r>
            <w:r>
              <w:rPr>
                <w:rFonts w:hint="eastAsia"/>
                <w:color w:val="auto"/>
                <w:kern w:val="0"/>
                <w:sz w:val="24"/>
                <w:szCs w:val="20"/>
                <w:highlight w:val="none"/>
              </w:rPr>
              <w:t>k</w:t>
            </w:r>
            <w:r>
              <w:rPr>
                <w:color w:val="auto"/>
                <w:kern w:val="0"/>
                <w:sz w:val="24"/>
                <w:szCs w:val="20"/>
                <w:highlight w:val="none"/>
              </w:rPr>
              <w:t>g/h，排放浓度为</w:t>
            </w:r>
            <w:r>
              <w:rPr>
                <w:rFonts w:hint="eastAsia"/>
                <w:color w:val="auto"/>
                <w:kern w:val="0"/>
                <w:sz w:val="24"/>
                <w:szCs w:val="20"/>
                <w:highlight w:val="none"/>
                <w:lang w:val="en-US" w:eastAsia="zh-CN"/>
              </w:rPr>
              <w:t>0.269</w:t>
            </w:r>
            <w:r>
              <w:rPr>
                <w:color w:val="auto"/>
                <w:kern w:val="0"/>
                <w:sz w:val="24"/>
                <w:szCs w:val="20"/>
                <w:highlight w:val="none"/>
              </w:rPr>
              <w:t>mg/</w:t>
            </w:r>
            <w:r>
              <w:rPr>
                <w:rFonts w:hint="eastAsia"/>
                <w:color w:val="auto"/>
                <w:sz w:val="24"/>
                <w:highlight w:val="none"/>
              </w:rPr>
              <w:t>m</w:t>
            </w:r>
            <w:r>
              <w:rPr>
                <w:rFonts w:hint="eastAsia"/>
                <w:color w:val="auto"/>
                <w:sz w:val="24"/>
                <w:highlight w:val="none"/>
                <w:vertAlign w:val="superscript"/>
                <w:lang w:val="en-US" w:eastAsia="zh-CN"/>
              </w:rPr>
              <w:t>3</w:t>
            </w:r>
            <w:r>
              <w:rPr>
                <w:color w:val="auto"/>
                <w:kern w:val="0"/>
                <w:sz w:val="24"/>
                <w:szCs w:val="20"/>
                <w:highlight w:val="none"/>
              </w:rPr>
              <w:t>、</w:t>
            </w:r>
            <w:r>
              <w:rPr>
                <w:rFonts w:hint="eastAsia"/>
                <w:color w:val="auto"/>
                <w:kern w:val="0"/>
                <w:sz w:val="24"/>
                <w:szCs w:val="20"/>
                <w:highlight w:val="none"/>
                <w:lang w:val="en-US" w:eastAsia="zh-CN"/>
              </w:rPr>
              <w:t>0.010</w:t>
            </w:r>
            <w:r>
              <w:rPr>
                <w:color w:val="auto"/>
                <w:kern w:val="0"/>
                <w:sz w:val="24"/>
                <w:szCs w:val="20"/>
                <w:highlight w:val="none"/>
              </w:rPr>
              <w:t>mg/</w:t>
            </w:r>
            <w:r>
              <w:rPr>
                <w:rFonts w:hint="eastAsia"/>
                <w:color w:val="auto"/>
                <w:sz w:val="24"/>
                <w:highlight w:val="none"/>
              </w:rPr>
              <w:t>m</w:t>
            </w:r>
            <w:r>
              <w:rPr>
                <w:rFonts w:hint="eastAsia"/>
                <w:color w:val="auto"/>
                <w:sz w:val="24"/>
                <w:highlight w:val="none"/>
                <w:vertAlign w:val="superscript"/>
                <w:lang w:val="en-US" w:eastAsia="zh-CN"/>
              </w:rPr>
              <w:t>3</w:t>
            </w:r>
            <w:r>
              <w:rPr>
                <w:rFonts w:hint="eastAsia"/>
                <w:color w:val="auto"/>
                <w:kern w:val="0"/>
                <w:sz w:val="24"/>
                <w:szCs w:val="20"/>
                <w:highlight w:val="none"/>
              </w:rPr>
              <w:t>；其中本项目增加的</w:t>
            </w:r>
            <w:r>
              <w:rPr>
                <w:color w:val="auto"/>
                <w:kern w:val="0"/>
                <w:sz w:val="24"/>
                <w:szCs w:val="20"/>
                <w:highlight w:val="none"/>
              </w:rPr>
              <w:t>氨气、硫化氢有组织排放量分别为</w:t>
            </w:r>
            <w:r>
              <w:rPr>
                <w:rFonts w:hint="eastAsia"/>
                <w:color w:val="auto"/>
                <w:kern w:val="0"/>
                <w:sz w:val="24"/>
                <w:szCs w:val="20"/>
                <w:highlight w:val="none"/>
                <w:lang w:val="en-US" w:eastAsia="zh-CN"/>
              </w:rPr>
              <w:t>4.123</w:t>
            </w:r>
            <w:r>
              <w:rPr>
                <w:color w:val="auto"/>
                <w:kern w:val="0"/>
                <w:sz w:val="24"/>
                <w:szCs w:val="20"/>
                <w:highlight w:val="none"/>
              </w:rPr>
              <w:t>kg/a、</w:t>
            </w:r>
            <w:r>
              <w:rPr>
                <w:rFonts w:hint="eastAsia"/>
                <w:color w:val="auto"/>
                <w:kern w:val="0"/>
                <w:sz w:val="24"/>
                <w:szCs w:val="20"/>
                <w:highlight w:val="none"/>
                <w:lang w:val="en-US" w:eastAsia="zh-CN"/>
              </w:rPr>
              <w:t>0.160</w:t>
            </w:r>
            <w:r>
              <w:rPr>
                <w:color w:val="auto"/>
                <w:kern w:val="0"/>
                <w:sz w:val="24"/>
                <w:szCs w:val="20"/>
                <w:highlight w:val="none"/>
              </w:rPr>
              <w:t>kg/a，排放速率为</w:t>
            </w:r>
            <w:r>
              <w:rPr>
                <w:rFonts w:hint="eastAsia"/>
                <w:color w:val="auto"/>
                <w:kern w:val="0"/>
                <w:sz w:val="24"/>
                <w:szCs w:val="20"/>
                <w:highlight w:val="none"/>
                <w:lang w:val="en-US" w:eastAsia="zh-CN"/>
              </w:rPr>
              <w:t>5.73</w:t>
            </w:r>
            <w:r>
              <w:rPr>
                <w:color w:val="auto"/>
                <w:kern w:val="0"/>
                <w:sz w:val="24"/>
                <w:szCs w:val="20"/>
                <w:highlight w:val="none"/>
              </w:rPr>
              <w:t>×10</w:t>
            </w:r>
            <w:r>
              <w:rPr>
                <w:color w:val="auto"/>
                <w:kern w:val="0"/>
                <w:sz w:val="24"/>
                <w:szCs w:val="20"/>
                <w:highlight w:val="none"/>
                <w:vertAlign w:val="superscript"/>
              </w:rPr>
              <w:t>-</w:t>
            </w:r>
            <w:r>
              <w:rPr>
                <w:rFonts w:hint="eastAsia"/>
                <w:color w:val="auto"/>
                <w:kern w:val="0"/>
                <w:sz w:val="24"/>
                <w:szCs w:val="20"/>
                <w:highlight w:val="none"/>
                <w:vertAlign w:val="superscript"/>
                <w:lang w:val="en-US" w:eastAsia="zh-CN"/>
              </w:rPr>
              <w:t>4</w:t>
            </w:r>
            <w:r>
              <w:rPr>
                <w:rFonts w:hint="eastAsia"/>
                <w:color w:val="auto"/>
                <w:kern w:val="0"/>
                <w:sz w:val="24"/>
                <w:szCs w:val="20"/>
                <w:highlight w:val="none"/>
              </w:rPr>
              <w:t>k</w:t>
            </w:r>
            <w:r>
              <w:rPr>
                <w:color w:val="auto"/>
                <w:kern w:val="0"/>
                <w:sz w:val="24"/>
                <w:szCs w:val="20"/>
                <w:highlight w:val="none"/>
              </w:rPr>
              <w:t>g/h、</w:t>
            </w:r>
            <w:r>
              <w:rPr>
                <w:rFonts w:hint="eastAsia"/>
                <w:color w:val="auto"/>
                <w:kern w:val="0"/>
                <w:sz w:val="24"/>
                <w:szCs w:val="20"/>
                <w:highlight w:val="none"/>
                <w:lang w:val="en-US" w:eastAsia="zh-CN"/>
              </w:rPr>
              <w:t>2.22</w:t>
            </w:r>
            <w:r>
              <w:rPr>
                <w:color w:val="auto"/>
                <w:kern w:val="0"/>
                <w:sz w:val="24"/>
                <w:szCs w:val="20"/>
                <w:highlight w:val="none"/>
              </w:rPr>
              <w:t>×10</w:t>
            </w:r>
            <w:r>
              <w:rPr>
                <w:color w:val="auto"/>
                <w:kern w:val="0"/>
                <w:sz w:val="24"/>
                <w:szCs w:val="20"/>
                <w:highlight w:val="none"/>
                <w:vertAlign w:val="superscript"/>
              </w:rPr>
              <w:t>-</w:t>
            </w:r>
            <w:r>
              <w:rPr>
                <w:rFonts w:hint="eastAsia"/>
                <w:color w:val="auto"/>
                <w:kern w:val="0"/>
                <w:sz w:val="24"/>
                <w:szCs w:val="20"/>
                <w:highlight w:val="none"/>
                <w:vertAlign w:val="superscript"/>
                <w:lang w:val="en-US" w:eastAsia="zh-CN"/>
              </w:rPr>
              <w:t>5</w:t>
            </w:r>
            <w:r>
              <w:rPr>
                <w:rFonts w:hint="eastAsia"/>
                <w:color w:val="auto"/>
                <w:kern w:val="0"/>
                <w:sz w:val="24"/>
                <w:szCs w:val="20"/>
                <w:highlight w:val="none"/>
              </w:rPr>
              <w:t>k</w:t>
            </w:r>
            <w:r>
              <w:rPr>
                <w:color w:val="auto"/>
                <w:kern w:val="0"/>
                <w:sz w:val="24"/>
                <w:szCs w:val="20"/>
                <w:highlight w:val="none"/>
              </w:rPr>
              <w:t>g/h，排放浓度为</w:t>
            </w:r>
            <w:r>
              <w:rPr>
                <w:rFonts w:hint="eastAsia"/>
                <w:color w:val="auto"/>
                <w:kern w:val="0"/>
                <w:sz w:val="24"/>
                <w:szCs w:val="20"/>
                <w:highlight w:val="none"/>
                <w:lang w:val="en-US" w:eastAsia="zh-CN"/>
              </w:rPr>
              <w:t>0.191</w:t>
            </w:r>
            <w:r>
              <w:rPr>
                <w:color w:val="auto"/>
                <w:kern w:val="0"/>
                <w:sz w:val="24"/>
                <w:szCs w:val="20"/>
                <w:highlight w:val="none"/>
              </w:rPr>
              <w:t>mg/</w:t>
            </w:r>
            <w:r>
              <w:rPr>
                <w:rFonts w:hint="eastAsia"/>
                <w:color w:val="auto"/>
                <w:sz w:val="24"/>
                <w:highlight w:val="none"/>
              </w:rPr>
              <w:t>m</w:t>
            </w:r>
            <w:r>
              <w:rPr>
                <w:rFonts w:hint="eastAsia"/>
                <w:color w:val="auto"/>
                <w:sz w:val="24"/>
                <w:highlight w:val="none"/>
                <w:vertAlign w:val="superscript"/>
                <w:lang w:val="en-US" w:eastAsia="zh-CN"/>
              </w:rPr>
              <w:t>3</w:t>
            </w:r>
            <w:r>
              <w:rPr>
                <w:color w:val="auto"/>
                <w:kern w:val="0"/>
                <w:sz w:val="24"/>
                <w:szCs w:val="20"/>
                <w:highlight w:val="none"/>
              </w:rPr>
              <w:t>、</w:t>
            </w:r>
            <w:r>
              <w:rPr>
                <w:rFonts w:hint="eastAsia"/>
                <w:color w:val="auto"/>
                <w:kern w:val="0"/>
                <w:sz w:val="24"/>
                <w:szCs w:val="20"/>
                <w:highlight w:val="none"/>
                <w:lang w:val="en-US" w:eastAsia="zh-CN"/>
              </w:rPr>
              <w:t>0.007</w:t>
            </w:r>
            <w:r>
              <w:rPr>
                <w:color w:val="auto"/>
                <w:kern w:val="0"/>
                <w:sz w:val="24"/>
                <w:szCs w:val="20"/>
                <w:highlight w:val="none"/>
              </w:rPr>
              <w:t>mg/</w:t>
            </w:r>
            <w:r>
              <w:rPr>
                <w:rFonts w:hint="eastAsia"/>
                <w:color w:val="auto"/>
                <w:sz w:val="24"/>
                <w:highlight w:val="none"/>
              </w:rPr>
              <w:t>m</w:t>
            </w:r>
            <w:r>
              <w:rPr>
                <w:rFonts w:hint="eastAsia"/>
                <w:color w:val="auto"/>
                <w:sz w:val="24"/>
                <w:highlight w:val="none"/>
                <w:vertAlign w:val="superscript"/>
                <w:lang w:val="en-US" w:eastAsia="zh-CN"/>
              </w:rPr>
              <w:t>3</w:t>
            </w:r>
            <w:r>
              <w:rPr>
                <w:rFonts w:hint="eastAsia" w:eastAsia="黑体"/>
                <w:color w:val="auto"/>
                <w:sz w:val="24"/>
                <w:szCs w:val="21"/>
                <w:highlight w:val="none"/>
              </w:rPr>
              <w:t>。</w:t>
            </w:r>
          </w:p>
          <w:p w14:paraId="62EBDF92">
            <w:pPr>
              <w:autoSpaceDE w:val="0"/>
              <w:autoSpaceDN w:val="0"/>
              <w:adjustRightInd w:val="0"/>
              <w:spacing w:line="360" w:lineRule="auto"/>
              <w:ind w:firstLine="480" w:firstLineChars="200"/>
              <w:textAlignment w:val="baseline"/>
              <w:rPr>
                <w:rFonts w:hint="eastAsia"/>
                <w:color w:val="auto"/>
                <w:kern w:val="0"/>
                <w:sz w:val="24"/>
                <w:szCs w:val="20"/>
                <w:highlight w:val="none"/>
              </w:rPr>
            </w:pPr>
            <w:r>
              <w:rPr>
                <w:rFonts w:hint="eastAsia"/>
                <w:color w:val="auto"/>
                <w:kern w:val="0"/>
                <w:sz w:val="24"/>
                <w:szCs w:val="20"/>
                <w:highlight w:val="none"/>
              </w:rPr>
              <w:t>综上，污水处理站恶臭</w:t>
            </w:r>
            <w:r>
              <w:rPr>
                <w:color w:val="auto"/>
                <w:kern w:val="0"/>
                <w:sz w:val="24"/>
                <w:szCs w:val="20"/>
                <w:highlight w:val="none"/>
                <w:u w:val="none"/>
              </w:rPr>
              <w:t>能够</w:t>
            </w:r>
            <w:r>
              <w:rPr>
                <w:rFonts w:hint="eastAsia"/>
                <w:color w:val="auto"/>
                <w:kern w:val="0"/>
                <w:sz w:val="24"/>
                <w:szCs w:val="20"/>
                <w:highlight w:val="none"/>
              </w:rPr>
              <w:t>满足《恶臭污染物排放标准》（GB14554-93）中表2限值要求。</w:t>
            </w:r>
          </w:p>
          <w:p w14:paraId="3021F540">
            <w:pPr>
              <w:spacing w:line="360" w:lineRule="auto"/>
              <w:ind w:firstLine="475" w:firstLineChars="197"/>
              <w:rPr>
                <w:rFonts w:hint="eastAsia"/>
                <w:b/>
                <w:color w:val="auto"/>
                <w:sz w:val="24"/>
                <w:highlight w:val="none"/>
                <w:lang w:val="en-US" w:eastAsia="zh-CN"/>
              </w:rPr>
            </w:pPr>
            <w:r>
              <w:rPr>
                <w:rFonts w:hint="eastAsia"/>
                <w:b/>
                <w:color w:val="auto"/>
                <w:sz w:val="24"/>
                <w:highlight w:val="none"/>
                <w:lang w:val="en-US" w:eastAsia="zh-CN"/>
              </w:rPr>
              <w:t>（5）食堂油烟废气</w:t>
            </w:r>
          </w:p>
          <w:p w14:paraId="3C6B2132">
            <w:pPr>
              <w:autoSpaceDE w:val="0"/>
              <w:autoSpaceDN w:val="0"/>
              <w:adjustRightInd w:val="0"/>
              <w:spacing w:line="360" w:lineRule="auto"/>
              <w:ind w:firstLine="482" w:firstLineChars="200"/>
              <w:textAlignment w:val="baseline"/>
              <w:rPr>
                <w:rFonts w:hint="default" w:eastAsia="宋体"/>
                <w:color w:val="auto"/>
                <w:kern w:val="0"/>
                <w:sz w:val="24"/>
                <w:szCs w:val="20"/>
                <w:highlight w:val="none"/>
                <w:lang w:val="en-US" w:eastAsia="zh-CN"/>
              </w:rPr>
            </w:pPr>
            <w:r>
              <w:rPr>
                <w:rFonts w:hint="eastAsia"/>
                <w:b/>
                <w:bCs/>
                <w:color w:val="auto"/>
                <w:kern w:val="0"/>
                <w:sz w:val="24"/>
                <w:szCs w:val="20"/>
                <w:highlight w:val="none"/>
                <w:lang w:val="en-US" w:eastAsia="zh-CN"/>
              </w:rPr>
              <w:t>源强：</w:t>
            </w:r>
            <w:r>
              <w:rPr>
                <w:rFonts w:hint="eastAsia"/>
                <w:color w:val="auto"/>
                <w:kern w:val="0"/>
                <w:sz w:val="24"/>
                <w:szCs w:val="20"/>
                <w:highlight w:val="none"/>
                <w:lang w:val="en-US" w:eastAsia="zh-CN"/>
              </w:rPr>
              <w:t>厂区已设一个职工食堂，为</w:t>
            </w:r>
            <w:r>
              <w:rPr>
                <w:rFonts w:hint="eastAsia"/>
                <w:color w:val="auto"/>
                <w:kern w:val="0"/>
                <w:sz w:val="24"/>
                <w:szCs w:val="20"/>
                <w:highlight w:val="none"/>
              </w:rPr>
              <w:t>职工提供午餐，食堂使用天然气作为能源，</w:t>
            </w:r>
            <w:r>
              <w:rPr>
                <w:rFonts w:hint="eastAsia"/>
                <w:color w:val="auto"/>
                <w:kern w:val="0"/>
                <w:sz w:val="24"/>
                <w:szCs w:val="20"/>
                <w:highlight w:val="none"/>
                <w:lang w:val="en-US" w:eastAsia="zh-CN"/>
              </w:rPr>
              <w:t>技改项目建成后新增24名员工，</w:t>
            </w:r>
            <w:r>
              <w:rPr>
                <w:rFonts w:hint="eastAsia"/>
                <w:color w:val="auto"/>
                <w:kern w:val="0"/>
                <w:sz w:val="24"/>
                <w:szCs w:val="20"/>
                <w:highlight w:val="none"/>
              </w:rPr>
              <w:t>按人均产生饮食油烟0.3g/人•d计，</w:t>
            </w:r>
            <w:r>
              <w:rPr>
                <w:rFonts w:hint="eastAsia"/>
                <w:color w:val="auto"/>
                <w:kern w:val="0"/>
                <w:sz w:val="24"/>
                <w:szCs w:val="20"/>
                <w:highlight w:val="none"/>
                <w:lang w:val="en-US" w:eastAsia="zh-CN"/>
              </w:rPr>
              <w:t>则本次最大新增</w:t>
            </w:r>
            <w:r>
              <w:rPr>
                <w:rFonts w:hint="eastAsia"/>
                <w:color w:val="auto"/>
                <w:kern w:val="0"/>
                <w:sz w:val="24"/>
                <w:szCs w:val="20"/>
                <w:highlight w:val="none"/>
              </w:rPr>
              <w:t>饮食油烟产生量为</w:t>
            </w:r>
            <w:r>
              <w:rPr>
                <w:rFonts w:hint="eastAsia"/>
                <w:color w:val="auto"/>
                <w:kern w:val="0"/>
                <w:sz w:val="24"/>
                <w:szCs w:val="20"/>
                <w:highlight w:val="none"/>
                <w:lang w:val="en-US" w:eastAsia="zh-CN"/>
              </w:rPr>
              <w:t>7.2</w:t>
            </w:r>
            <w:r>
              <w:rPr>
                <w:rFonts w:hint="eastAsia"/>
                <w:color w:val="auto"/>
                <w:kern w:val="0"/>
                <w:sz w:val="24"/>
                <w:szCs w:val="20"/>
                <w:highlight w:val="none"/>
              </w:rPr>
              <w:t>g/d。</w:t>
            </w:r>
            <w:r>
              <w:rPr>
                <w:rFonts w:hint="eastAsia"/>
                <w:color w:val="auto"/>
                <w:kern w:val="0"/>
                <w:sz w:val="24"/>
                <w:szCs w:val="20"/>
                <w:highlight w:val="none"/>
                <w:lang w:val="en-US" w:eastAsia="zh-CN"/>
              </w:rPr>
              <w:t>技改项目建成后全厂员工为89人，则全厂最大饮食油烟产生量为26.7g/d。</w:t>
            </w:r>
          </w:p>
          <w:p w14:paraId="1CD50779">
            <w:pPr>
              <w:autoSpaceDE w:val="0"/>
              <w:autoSpaceDN w:val="0"/>
              <w:adjustRightInd w:val="0"/>
              <w:spacing w:line="360" w:lineRule="auto"/>
              <w:ind w:firstLine="482" w:firstLineChars="200"/>
              <w:textAlignment w:val="baseline"/>
              <w:rPr>
                <w:rFonts w:hint="eastAsia"/>
                <w:color w:val="auto"/>
                <w:kern w:val="0"/>
                <w:sz w:val="24"/>
                <w:szCs w:val="20"/>
                <w:highlight w:val="none"/>
              </w:rPr>
            </w:pPr>
            <w:r>
              <w:rPr>
                <w:rFonts w:hint="eastAsia"/>
                <w:b/>
                <w:bCs/>
                <w:color w:val="auto"/>
                <w:kern w:val="0"/>
                <w:sz w:val="24"/>
                <w:szCs w:val="20"/>
                <w:highlight w:val="none"/>
                <w:lang w:val="en-US" w:eastAsia="zh-CN"/>
              </w:rPr>
              <w:t>治理措施：</w:t>
            </w:r>
            <w:r>
              <w:rPr>
                <w:rFonts w:hint="eastAsia"/>
                <w:color w:val="auto"/>
                <w:kern w:val="0"/>
                <w:sz w:val="24"/>
                <w:szCs w:val="20"/>
                <w:highlight w:val="none"/>
                <w:lang w:val="en-US" w:eastAsia="zh-CN"/>
              </w:rPr>
              <w:t>食堂已安装油烟净化器</w:t>
            </w:r>
            <w:r>
              <w:rPr>
                <w:rFonts w:hint="eastAsia"/>
                <w:color w:val="auto"/>
                <w:kern w:val="0"/>
                <w:sz w:val="24"/>
                <w:szCs w:val="20"/>
                <w:highlight w:val="none"/>
              </w:rPr>
              <w:t>，</w:t>
            </w:r>
            <w:r>
              <w:rPr>
                <w:rFonts w:hint="eastAsia"/>
                <w:color w:val="auto"/>
                <w:kern w:val="0"/>
                <w:sz w:val="24"/>
                <w:szCs w:val="20"/>
                <w:highlight w:val="none"/>
                <w:lang w:val="en-US" w:eastAsia="zh-CN"/>
              </w:rPr>
              <w:t>本项目新增员工导致增加的食堂油烟废气依托现有食堂抽油烟机（风量2000m</w:t>
            </w:r>
            <w:r>
              <w:rPr>
                <w:rFonts w:hint="eastAsia"/>
                <w:color w:val="auto"/>
                <w:kern w:val="0"/>
                <w:sz w:val="24"/>
                <w:szCs w:val="20"/>
                <w:highlight w:val="none"/>
                <w:vertAlign w:val="superscript"/>
                <w:lang w:val="en-US" w:eastAsia="zh-CN"/>
              </w:rPr>
              <w:t>3</w:t>
            </w:r>
            <w:r>
              <w:rPr>
                <w:rFonts w:hint="eastAsia"/>
                <w:color w:val="auto"/>
                <w:kern w:val="0"/>
                <w:sz w:val="24"/>
                <w:szCs w:val="20"/>
                <w:highlight w:val="none"/>
                <w:lang w:val="en-US" w:eastAsia="zh-CN"/>
              </w:rPr>
              <w:t>/h、收集率85%）+油烟净化器（去除率</w:t>
            </w:r>
            <w:r>
              <w:rPr>
                <w:rFonts w:hint="eastAsia"/>
                <w:color w:val="auto"/>
                <w:kern w:val="0"/>
                <w:sz w:val="24"/>
                <w:szCs w:val="20"/>
                <w:highlight w:val="none"/>
              </w:rPr>
              <w:t>&gt;</w:t>
            </w:r>
            <w:r>
              <w:rPr>
                <w:rFonts w:hint="eastAsia"/>
                <w:color w:val="auto"/>
                <w:kern w:val="0"/>
                <w:sz w:val="24"/>
                <w:szCs w:val="20"/>
                <w:highlight w:val="none"/>
                <w:lang w:val="en-US" w:eastAsia="zh-CN"/>
              </w:rPr>
              <w:t>7</w:t>
            </w:r>
            <w:r>
              <w:rPr>
                <w:rFonts w:hint="eastAsia"/>
                <w:color w:val="auto"/>
                <w:kern w:val="0"/>
                <w:sz w:val="24"/>
                <w:szCs w:val="20"/>
                <w:highlight w:val="none"/>
              </w:rPr>
              <w:t>5%</w:t>
            </w:r>
            <w:r>
              <w:rPr>
                <w:rFonts w:hint="eastAsia"/>
                <w:color w:val="auto"/>
                <w:kern w:val="0"/>
                <w:sz w:val="24"/>
                <w:szCs w:val="20"/>
                <w:highlight w:val="none"/>
                <w:lang w:val="en-US" w:eastAsia="zh-CN"/>
              </w:rPr>
              <w:t>）处理后通过墙体内烟道排放。食堂年供应300d，每天4h，由此计算，厂区食堂油</w:t>
            </w:r>
            <w:r>
              <w:rPr>
                <w:rFonts w:hint="eastAsia"/>
                <w:color w:val="auto"/>
                <w:kern w:val="0"/>
                <w:sz w:val="24"/>
                <w:szCs w:val="24"/>
                <w:highlight w:val="none"/>
                <w:lang w:val="en-US" w:eastAsia="zh-CN"/>
              </w:rPr>
              <w:t>烟废气排放量为5.67</w:t>
            </w:r>
            <w:r>
              <w:rPr>
                <w:rFonts w:hint="default" w:ascii="Arial" w:hAnsi="Arial" w:cs="Arial"/>
                <w:color w:val="auto"/>
                <w:kern w:val="0"/>
                <w:sz w:val="24"/>
                <w:szCs w:val="24"/>
                <w:highlight w:val="none"/>
                <w:lang w:val="en-US" w:eastAsia="zh-CN"/>
              </w:rPr>
              <w:t>×</w:t>
            </w:r>
            <w:r>
              <w:rPr>
                <w:rFonts w:hint="eastAsia"/>
                <w:color w:val="auto"/>
                <w:kern w:val="0"/>
                <w:sz w:val="24"/>
                <w:szCs w:val="24"/>
                <w:highlight w:val="none"/>
                <w:lang w:val="en-US" w:eastAsia="zh-CN"/>
              </w:rPr>
              <w:t>10</w:t>
            </w:r>
            <w:r>
              <w:rPr>
                <w:rFonts w:hint="eastAsia"/>
                <w:color w:val="auto"/>
                <w:kern w:val="0"/>
                <w:sz w:val="24"/>
                <w:szCs w:val="24"/>
                <w:highlight w:val="none"/>
                <w:vertAlign w:val="superscript"/>
                <w:lang w:val="en-US" w:eastAsia="zh-CN"/>
              </w:rPr>
              <w:t>-3</w:t>
            </w:r>
            <w:r>
              <w:rPr>
                <w:rFonts w:hint="eastAsia"/>
                <w:color w:val="auto"/>
                <w:kern w:val="0"/>
                <w:sz w:val="24"/>
                <w:szCs w:val="24"/>
                <w:highlight w:val="none"/>
                <w:lang w:val="en-US" w:eastAsia="zh-CN"/>
              </w:rPr>
              <w:t>kg/a、排放速率为</w:t>
            </w:r>
            <w:r>
              <w:rPr>
                <w:rFonts w:hint="default" w:ascii="Times New Roman" w:hAnsi="Times New Roman" w:eastAsia="宋体" w:cs="Times New Roman"/>
                <w:i w:val="0"/>
                <w:iCs w:val="0"/>
                <w:color w:val="auto"/>
                <w:kern w:val="0"/>
                <w:sz w:val="24"/>
                <w:szCs w:val="24"/>
                <w:highlight w:val="none"/>
                <w:u w:val="none"/>
                <w:lang w:val="en-US" w:eastAsia="zh-CN" w:bidi="ar"/>
              </w:rPr>
              <w:t>4.73</w:t>
            </w:r>
            <w:r>
              <w:rPr>
                <w:rFonts w:hint="default" w:ascii="Arial" w:hAnsi="Arial" w:cs="Arial"/>
                <w:color w:val="auto"/>
                <w:kern w:val="0"/>
                <w:sz w:val="24"/>
                <w:szCs w:val="24"/>
                <w:highlight w:val="none"/>
                <w:lang w:val="en-US" w:eastAsia="zh-CN"/>
              </w:rPr>
              <w:t>×</w:t>
            </w:r>
            <w:r>
              <w:rPr>
                <w:rFonts w:hint="eastAsia"/>
                <w:color w:val="auto"/>
                <w:kern w:val="0"/>
                <w:sz w:val="24"/>
                <w:szCs w:val="24"/>
                <w:highlight w:val="none"/>
                <w:lang w:val="en-US" w:eastAsia="zh-CN"/>
              </w:rPr>
              <w:t>10</w:t>
            </w:r>
            <w:r>
              <w:rPr>
                <w:rFonts w:hint="eastAsia"/>
                <w:color w:val="auto"/>
                <w:kern w:val="0"/>
                <w:sz w:val="24"/>
                <w:szCs w:val="24"/>
                <w:highlight w:val="none"/>
                <w:vertAlign w:val="superscript"/>
                <w:lang w:val="en-US" w:eastAsia="zh-CN"/>
              </w:rPr>
              <w:t>-6</w:t>
            </w:r>
            <w:r>
              <w:rPr>
                <w:rFonts w:hint="eastAsia"/>
                <w:color w:val="auto"/>
                <w:kern w:val="0"/>
                <w:sz w:val="24"/>
                <w:szCs w:val="24"/>
                <w:highlight w:val="none"/>
                <w:vertAlign w:val="baseline"/>
                <w:lang w:val="en-US" w:eastAsia="zh-CN"/>
              </w:rPr>
              <w:t>kg/h、排放浓度为</w:t>
            </w:r>
            <w:r>
              <w:rPr>
                <w:rFonts w:hint="default" w:ascii="Times New Roman" w:hAnsi="Times New Roman" w:eastAsia="宋体" w:cs="Times New Roman"/>
                <w:i w:val="0"/>
                <w:iCs w:val="0"/>
                <w:color w:val="auto"/>
                <w:kern w:val="0"/>
                <w:sz w:val="24"/>
                <w:szCs w:val="24"/>
                <w:highlight w:val="none"/>
                <w:u w:val="none"/>
                <w:lang w:val="en-US" w:eastAsia="zh-CN" w:bidi="ar"/>
              </w:rPr>
              <w:t>2.36</w:t>
            </w:r>
            <w:r>
              <w:rPr>
                <w:rFonts w:hint="default" w:ascii="Arial" w:hAnsi="Arial" w:cs="Arial"/>
                <w:color w:val="auto"/>
                <w:kern w:val="0"/>
                <w:sz w:val="24"/>
                <w:szCs w:val="24"/>
                <w:highlight w:val="none"/>
                <w:lang w:val="en-US" w:eastAsia="zh-CN"/>
              </w:rPr>
              <w:t>×</w:t>
            </w:r>
            <w:r>
              <w:rPr>
                <w:rFonts w:hint="eastAsia"/>
                <w:color w:val="auto"/>
                <w:kern w:val="0"/>
                <w:sz w:val="24"/>
                <w:szCs w:val="24"/>
                <w:highlight w:val="none"/>
                <w:lang w:val="en-US" w:eastAsia="zh-CN"/>
              </w:rPr>
              <w:t>10</w:t>
            </w:r>
            <w:r>
              <w:rPr>
                <w:rFonts w:hint="eastAsia"/>
                <w:color w:val="auto"/>
                <w:kern w:val="0"/>
                <w:sz w:val="24"/>
                <w:szCs w:val="24"/>
                <w:highlight w:val="none"/>
                <w:vertAlign w:val="superscript"/>
                <w:lang w:val="en-US" w:eastAsia="zh-CN"/>
              </w:rPr>
              <w:t>-3</w:t>
            </w:r>
            <w:r>
              <w:rPr>
                <w:rFonts w:hint="eastAsia"/>
                <w:color w:val="auto"/>
                <w:kern w:val="0"/>
                <w:sz w:val="24"/>
                <w:szCs w:val="24"/>
                <w:highlight w:val="none"/>
                <w:vertAlign w:val="baseline"/>
                <w:lang w:val="en-US" w:eastAsia="zh-CN"/>
              </w:rPr>
              <w:t>mg/m</w:t>
            </w:r>
            <w:r>
              <w:rPr>
                <w:rFonts w:hint="eastAsia"/>
                <w:color w:val="auto"/>
                <w:kern w:val="0"/>
                <w:sz w:val="24"/>
                <w:szCs w:val="24"/>
                <w:highlight w:val="none"/>
                <w:vertAlign w:val="superscript"/>
                <w:lang w:val="en-US" w:eastAsia="zh-CN"/>
              </w:rPr>
              <w:t>3</w:t>
            </w:r>
            <w:r>
              <w:rPr>
                <w:rFonts w:hint="eastAsia"/>
                <w:color w:val="auto"/>
                <w:kern w:val="0"/>
                <w:sz w:val="24"/>
                <w:szCs w:val="24"/>
                <w:highlight w:val="none"/>
                <w:vertAlign w:val="baseline"/>
                <w:lang w:val="en-US" w:eastAsia="zh-CN"/>
              </w:rPr>
              <w:t>，其中本次技改新增排放量为</w:t>
            </w:r>
            <w:r>
              <w:rPr>
                <w:rFonts w:hint="default" w:ascii="Times New Roman" w:hAnsi="Times New Roman" w:eastAsia="宋体" w:cs="Times New Roman"/>
                <w:i w:val="0"/>
                <w:iCs w:val="0"/>
                <w:color w:val="auto"/>
                <w:kern w:val="0"/>
                <w:sz w:val="24"/>
                <w:szCs w:val="24"/>
                <w:highlight w:val="none"/>
                <w:u w:val="none"/>
                <w:lang w:val="en-US" w:eastAsia="zh-CN" w:bidi="ar"/>
              </w:rPr>
              <w:t>1.53</w:t>
            </w:r>
            <w:r>
              <w:rPr>
                <w:rFonts w:hint="default" w:ascii="Arial" w:hAnsi="Arial" w:cs="Arial"/>
                <w:color w:val="auto"/>
                <w:kern w:val="0"/>
                <w:sz w:val="24"/>
                <w:szCs w:val="24"/>
                <w:highlight w:val="none"/>
                <w:lang w:val="en-US" w:eastAsia="zh-CN"/>
              </w:rPr>
              <w:t>×</w:t>
            </w:r>
            <w:r>
              <w:rPr>
                <w:rFonts w:hint="eastAsia"/>
                <w:color w:val="auto"/>
                <w:kern w:val="0"/>
                <w:sz w:val="24"/>
                <w:szCs w:val="24"/>
                <w:highlight w:val="none"/>
                <w:lang w:val="en-US" w:eastAsia="zh-CN"/>
              </w:rPr>
              <w:t>10</w:t>
            </w:r>
            <w:r>
              <w:rPr>
                <w:rFonts w:hint="eastAsia"/>
                <w:color w:val="auto"/>
                <w:kern w:val="0"/>
                <w:sz w:val="24"/>
                <w:szCs w:val="24"/>
                <w:highlight w:val="none"/>
                <w:vertAlign w:val="superscript"/>
                <w:lang w:val="en-US" w:eastAsia="zh-CN"/>
              </w:rPr>
              <w:t>-3</w:t>
            </w:r>
            <w:r>
              <w:rPr>
                <w:rFonts w:hint="eastAsia"/>
                <w:color w:val="auto"/>
                <w:kern w:val="0"/>
                <w:sz w:val="24"/>
                <w:szCs w:val="24"/>
                <w:highlight w:val="none"/>
                <w:lang w:val="en-US" w:eastAsia="zh-CN"/>
              </w:rPr>
              <w:t>kg/a、排放速率为</w:t>
            </w:r>
            <w:r>
              <w:rPr>
                <w:rFonts w:hint="default" w:ascii="Times New Roman" w:hAnsi="Times New Roman" w:eastAsia="宋体" w:cs="Times New Roman"/>
                <w:i w:val="0"/>
                <w:iCs w:val="0"/>
                <w:color w:val="auto"/>
                <w:kern w:val="0"/>
                <w:sz w:val="24"/>
                <w:szCs w:val="24"/>
                <w:highlight w:val="none"/>
                <w:u w:val="none"/>
                <w:lang w:val="en-US" w:eastAsia="zh-CN" w:bidi="ar"/>
              </w:rPr>
              <w:t>1.28</w:t>
            </w:r>
            <w:r>
              <w:rPr>
                <w:rFonts w:hint="default" w:ascii="Arial" w:hAnsi="Arial" w:cs="Arial"/>
                <w:color w:val="auto"/>
                <w:kern w:val="0"/>
                <w:sz w:val="24"/>
                <w:szCs w:val="24"/>
                <w:highlight w:val="none"/>
                <w:lang w:val="en-US" w:eastAsia="zh-CN"/>
              </w:rPr>
              <w:t>×</w:t>
            </w:r>
            <w:r>
              <w:rPr>
                <w:rFonts w:hint="eastAsia"/>
                <w:color w:val="auto"/>
                <w:kern w:val="0"/>
                <w:sz w:val="24"/>
                <w:szCs w:val="24"/>
                <w:highlight w:val="none"/>
                <w:lang w:val="en-US" w:eastAsia="zh-CN"/>
              </w:rPr>
              <w:t>10</w:t>
            </w:r>
            <w:r>
              <w:rPr>
                <w:rFonts w:hint="eastAsia"/>
                <w:color w:val="auto"/>
                <w:kern w:val="0"/>
                <w:sz w:val="24"/>
                <w:szCs w:val="24"/>
                <w:highlight w:val="none"/>
                <w:vertAlign w:val="superscript"/>
                <w:lang w:val="en-US" w:eastAsia="zh-CN"/>
              </w:rPr>
              <w:t>-6</w:t>
            </w:r>
            <w:r>
              <w:rPr>
                <w:rFonts w:hint="eastAsia"/>
                <w:color w:val="auto"/>
                <w:kern w:val="0"/>
                <w:sz w:val="24"/>
                <w:szCs w:val="24"/>
                <w:highlight w:val="none"/>
                <w:vertAlign w:val="baseline"/>
                <w:lang w:val="en-US" w:eastAsia="zh-CN"/>
              </w:rPr>
              <w:t>kg/h、排放浓度为</w:t>
            </w:r>
            <w:r>
              <w:rPr>
                <w:rFonts w:hint="default" w:ascii="Times New Roman" w:hAnsi="Times New Roman" w:eastAsia="宋体" w:cs="Times New Roman"/>
                <w:i w:val="0"/>
                <w:iCs w:val="0"/>
                <w:color w:val="auto"/>
                <w:kern w:val="0"/>
                <w:sz w:val="24"/>
                <w:szCs w:val="24"/>
                <w:highlight w:val="none"/>
                <w:u w:val="none"/>
                <w:lang w:val="en-US" w:eastAsia="zh-CN" w:bidi="ar"/>
              </w:rPr>
              <w:t>6.38</w:t>
            </w:r>
            <w:r>
              <w:rPr>
                <w:rFonts w:hint="default" w:ascii="Arial" w:hAnsi="Arial" w:cs="Arial"/>
                <w:color w:val="auto"/>
                <w:kern w:val="0"/>
                <w:sz w:val="24"/>
                <w:szCs w:val="24"/>
                <w:highlight w:val="none"/>
                <w:lang w:val="en-US" w:eastAsia="zh-CN"/>
              </w:rPr>
              <w:t>×</w:t>
            </w:r>
            <w:r>
              <w:rPr>
                <w:rFonts w:hint="eastAsia"/>
                <w:color w:val="auto"/>
                <w:kern w:val="0"/>
                <w:sz w:val="24"/>
                <w:szCs w:val="24"/>
                <w:highlight w:val="none"/>
                <w:lang w:val="en-US" w:eastAsia="zh-CN"/>
              </w:rPr>
              <w:t>10</w:t>
            </w:r>
            <w:r>
              <w:rPr>
                <w:rFonts w:hint="eastAsia"/>
                <w:color w:val="auto"/>
                <w:kern w:val="0"/>
                <w:sz w:val="24"/>
                <w:szCs w:val="24"/>
                <w:highlight w:val="none"/>
                <w:vertAlign w:val="superscript"/>
                <w:lang w:val="en-US" w:eastAsia="zh-CN"/>
              </w:rPr>
              <w:t>-4</w:t>
            </w:r>
            <w:r>
              <w:rPr>
                <w:rFonts w:hint="eastAsia"/>
                <w:color w:val="auto"/>
                <w:kern w:val="0"/>
                <w:sz w:val="24"/>
                <w:szCs w:val="24"/>
                <w:highlight w:val="none"/>
                <w:vertAlign w:val="baseline"/>
                <w:lang w:val="en-US" w:eastAsia="zh-CN"/>
              </w:rPr>
              <w:t>mg/m</w:t>
            </w:r>
            <w:r>
              <w:rPr>
                <w:rFonts w:hint="eastAsia"/>
                <w:color w:val="auto"/>
                <w:kern w:val="0"/>
                <w:sz w:val="24"/>
                <w:szCs w:val="24"/>
                <w:highlight w:val="none"/>
                <w:vertAlign w:val="superscript"/>
                <w:lang w:val="en-US" w:eastAsia="zh-CN"/>
              </w:rPr>
              <w:t>3</w:t>
            </w:r>
            <w:r>
              <w:rPr>
                <w:rFonts w:hint="eastAsia"/>
                <w:color w:val="auto"/>
                <w:kern w:val="0"/>
                <w:sz w:val="24"/>
                <w:szCs w:val="24"/>
                <w:highlight w:val="none"/>
                <w:vertAlign w:val="baseline"/>
                <w:lang w:val="en-US" w:eastAsia="zh-CN"/>
              </w:rPr>
              <w:t>。</w:t>
            </w:r>
            <w:r>
              <w:rPr>
                <w:rFonts w:hint="eastAsia"/>
                <w:color w:val="auto"/>
                <w:kern w:val="0"/>
                <w:sz w:val="24"/>
                <w:szCs w:val="20"/>
                <w:highlight w:val="none"/>
                <w:lang w:val="en-US" w:eastAsia="zh-CN"/>
              </w:rPr>
              <w:t>排放浓度能满足</w:t>
            </w:r>
            <w:bookmarkStart w:id="28" w:name="OLE_LINK13"/>
            <w:r>
              <w:rPr>
                <w:rFonts w:hint="eastAsia"/>
                <w:color w:val="auto"/>
                <w:kern w:val="0"/>
                <w:sz w:val="24"/>
                <w:szCs w:val="20"/>
                <w:highlight w:val="none"/>
                <w:lang w:val="en-US" w:eastAsia="zh-CN"/>
              </w:rPr>
              <w:t>《饮食业油烟排放标准（试行）》</w:t>
            </w:r>
            <w:bookmarkEnd w:id="28"/>
            <w:r>
              <w:rPr>
                <w:rFonts w:hint="eastAsia"/>
                <w:color w:val="auto"/>
                <w:kern w:val="0"/>
                <w:sz w:val="24"/>
                <w:szCs w:val="20"/>
                <w:highlight w:val="none"/>
                <w:lang w:val="en-US" w:eastAsia="zh-CN"/>
              </w:rPr>
              <w:t>（GB18483-2001）标准限值要求（油烟排放浓度≤2mg/m</w:t>
            </w:r>
            <w:r>
              <w:rPr>
                <w:rFonts w:hint="eastAsia"/>
                <w:color w:val="auto"/>
                <w:kern w:val="0"/>
                <w:sz w:val="24"/>
                <w:szCs w:val="20"/>
                <w:highlight w:val="none"/>
                <w:vertAlign w:val="superscript"/>
              </w:rPr>
              <w:t>3</w:t>
            </w:r>
            <w:r>
              <w:rPr>
                <w:rFonts w:hint="eastAsia"/>
                <w:color w:val="auto"/>
                <w:highlight w:val="none"/>
                <w:lang w:val="en-US" w:eastAsia="zh-CN"/>
              </w:rPr>
              <w:t>）</w:t>
            </w:r>
            <w:r>
              <w:rPr>
                <w:rFonts w:hint="eastAsia"/>
                <w:color w:val="auto"/>
                <w:kern w:val="0"/>
                <w:sz w:val="24"/>
                <w:szCs w:val="20"/>
                <w:highlight w:val="none"/>
                <w:lang w:val="en-US" w:eastAsia="zh-CN"/>
              </w:rPr>
              <w:t>。</w:t>
            </w:r>
          </w:p>
          <w:p w14:paraId="204411D0">
            <w:pPr>
              <w:numPr>
                <w:ilvl w:val="0"/>
                <w:numId w:val="0"/>
              </w:numPr>
              <w:spacing w:line="360" w:lineRule="auto"/>
              <w:ind w:leftChars="196"/>
              <w:rPr>
                <w:rFonts w:hint="eastAsia"/>
                <w:b/>
                <w:color w:val="auto"/>
                <w:sz w:val="24"/>
                <w:highlight w:val="none"/>
                <w:lang w:val="en-US" w:eastAsia="zh-CN"/>
              </w:rPr>
            </w:pPr>
            <w:r>
              <w:rPr>
                <w:rFonts w:hint="eastAsia"/>
                <w:b/>
                <w:color w:val="auto"/>
                <w:sz w:val="24"/>
                <w:highlight w:val="none"/>
                <w:lang w:eastAsia="zh-CN"/>
              </w:rPr>
              <w:t>（</w:t>
            </w:r>
            <w:r>
              <w:rPr>
                <w:rFonts w:hint="eastAsia"/>
                <w:b/>
                <w:color w:val="auto"/>
                <w:sz w:val="24"/>
                <w:highlight w:val="none"/>
                <w:lang w:val="en-US" w:eastAsia="zh-CN"/>
              </w:rPr>
              <w:t>6</w:t>
            </w:r>
            <w:r>
              <w:rPr>
                <w:rFonts w:hint="eastAsia"/>
                <w:b/>
                <w:color w:val="auto"/>
                <w:sz w:val="24"/>
                <w:highlight w:val="none"/>
                <w:lang w:eastAsia="zh-CN"/>
              </w:rPr>
              <w:t>）</w:t>
            </w:r>
            <w:r>
              <w:rPr>
                <w:b/>
                <w:color w:val="auto"/>
                <w:sz w:val="24"/>
                <w:highlight w:val="none"/>
              </w:rPr>
              <w:t>生产作业区</w:t>
            </w:r>
            <w:r>
              <w:rPr>
                <w:rFonts w:hint="eastAsia"/>
                <w:b/>
                <w:color w:val="auto"/>
                <w:sz w:val="24"/>
                <w:highlight w:val="none"/>
                <w:lang w:val="en-US" w:eastAsia="zh-CN"/>
              </w:rPr>
              <w:t>密封点泄漏废气（以VOCs计）</w:t>
            </w:r>
          </w:p>
          <w:p w14:paraId="47B2C838">
            <w:pPr>
              <w:autoSpaceDE w:val="0"/>
              <w:autoSpaceDN w:val="0"/>
              <w:adjustRightInd w:val="0"/>
              <w:spacing w:line="360" w:lineRule="auto"/>
              <w:ind w:firstLine="480" w:firstLineChars="200"/>
              <w:textAlignment w:val="baseline"/>
              <w:rPr>
                <w:rFonts w:hint="eastAsia"/>
                <w:color w:val="auto"/>
                <w:kern w:val="0"/>
                <w:sz w:val="24"/>
                <w:szCs w:val="20"/>
                <w:highlight w:val="none"/>
                <w:lang w:val="en-US" w:eastAsia="zh-CN"/>
              </w:rPr>
            </w:pPr>
            <w:r>
              <w:rPr>
                <w:rFonts w:hint="eastAsia"/>
                <w:color w:val="auto"/>
                <w:kern w:val="0"/>
                <w:sz w:val="24"/>
                <w:szCs w:val="20"/>
                <w:highlight w:val="none"/>
                <w:lang w:val="en-US" w:eastAsia="zh-CN"/>
              </w:rPr>
              <w:t>项目产品生产线正常工艺过程中物料转运和反应过程均在密闭设备和管道中，与外界环境隔绝，不会形成弥散型无组织排放，因此，从本项目实际情况分析，装置区无组织排放主要为跑冒滴漏型（密封点泄漏），主要污染物类型为VOCs。装置区各密封点因跑冒滴漏产生的无组织排放主要与企业工艺装置水平和操作管理水平有关，企业选择生科（江苏）化工科技有限公司成熟稳定的短程分子蒸馏技术（厂家成套），该装置依托现有DCS控制系统（仅增设机柜），自动化程度高，可对进料流量、蒸馏温度等各项参数进行实时监控，气体检测系统（简称“GDS系统”）对装置内可能泄漏或聚集可燃性气体的地方进行实时监控，技术先进、管理高效、控制自动化，可有效减少装置区污染物无组织排放。根据化工部〔90〕化生字第213号文《化工系统“无泄漏工厂”管理办法》（1990年4月5日）中相关规定：“无泄漏工厂标准：保持静密封点泄漏率在万分之五以下…”，项目工艺装置水平均属于国内领先水平，并利用自动化过程控制、实时监控技术，密封点无组织排放量以物料密封泄漏率的一半</w:t>
            </w:r>
            <w:r>
              <w:rPr>
                <w:rFonts w:hint="default" w:ascii="Times New Roman" w:hAnsi="Times New Roman" w:cs="Times New Roman"/>
                <w:color w:val="auto"/>
                <w:kern w:val="0"/>
                <w:sz w:val="24"/>
                <w:szCs w:val="20"/>
                <w:highlight w:val="none"/>
                <w:lang w:val="en-US" w:eastAsia="zh-CN"/>
              </w:rPr>
              <w:t>0.25‰</w:t>
            </w:r>
            <w:r>
              <w:rPr>
                <w:rFonts w:hint="eastAsia"/>
                <w:color w:val="auto"/>
                <w:kern w:val="0"/>
                <w:sz w:val="24"/>
                <w:szCs w:val="20"/>
                <w:highlight w:val="none"/>
                <w:lang w:val="en-US" w:eastAsia="zh-CN"/>
              </w:rPr>
              <w:t>进行估算，因此生产作业区无组织排放情况见下表：</w:t>
            </w:r>
          </w:p>
          <w:p w14:paraId="1430F170">
            <w:pPr>
              <w:pStyle w:val="41"/>
              <w:rPr>
                <w:rFonts w:hint="eastAsia"/>
                <w:color w:val="auto"/>
                <w:szCs w:val="21"/>
                <w:highlight w:val="none"/>
                <w:lang w:val="en-US" w:eastAsia="zh-CN"/>
              </w:rPr>
            </w:pPr>
            <w:r>
              <w:rPr>
                <w:rFonts w:hint="eastAsia"/>
                <w:color w:val="auto"/>
                <w:szCs w:val="21"/>
                <w:highlight w:val="none"/>
                <w:lang w:val="en-US" w:eastAsia="zh-CN"/>
              </w:rPr>
              <w:t>生产装置区无组织排放情况一览表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8"/>
              <w:gridCol w:w="1244"/>
              <w:gridCol w:w="1131"/>
              <w:gridCol w:w="1432"/>
              <w:gridCol w:w="1268"/>
              <w:gridCol w:w="1536"/>
            </w:tblGrid>
            <w:tr w14:paraId="58DC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888" w:type="pct"/>
                  <w:vAlign w:val="center"/>
                </w:tcPr>
                <w:p w14:paraId="1E5D71FD">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z w:val="21"/>
                      <w:highlight w:val="none"/>
                    </w:rPr>
                  </w:pPr>
                  <w:r>
                    <w:rPr>
                      <w:b/>
                      <w:bCs/>
                      <w:color w:val="auto"/>
                      <w:sz w:val="21"/>
                      <w:highlight w:val="none"/>
                    </w:rPr>
                    <w:t>污染源</w:t>
                  </w:r>
                </w:p>
              </w:tc>
              <w:tc>
                <w:tcPr>
                  <w:tcW w:w="773" w:type="pct"/>
                  <w:vAlign w:val="center"/>
                </w:tcPr>
                <w:p w14:paraId="3BAAC617">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z w:val="21"/>
                      <w:highlight w:val="none"/>
                    </w:rPr>
                  </w:pPr>
                  <w:r>
                    <w:rPr>
                      <w:b/>
                      <w:bCs/>
                      <w:color w:val="auto"/>
                      <w:sz w:val="21"/>
                      <w:highlight w:val="none"/>
                    </w:rPr>
                    <w:t>污染物名称</w:t>
                  </w:r>
                </w:p>
              </w:tc>
              <w:tc>
                <w:tcPr>
                  <w:tcW w:w="703" w:type="pct"/>
                  <w:vAlign w:val="center"/>
                </w:tcPr>
                <w:p w14:paraId="14FF1193">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eastAsia="Times New Roman"/>
                      <w:b/>
                      <w:bCs/>
                      <w:color w:val="auto"/>
                      <w:sz w:val="21"/>
                      <w:highlight w:val="none"/>
                    </w:rPr>
                  </w:pPr>
                  <w:r>
                    <w:rPr>
                      <w:rFonts w:hint="eastAsia"/>
                      <w:b/>
                      <w:bCs/>
                      <w:color w:val="auto"/>
                      <w:sz w:val="21"/>
                      <w:highlight w:val="none"/>
                      <w:lang w:val="en-US" w:eastAsia="zh-CN"/>
                    </w:rPr>
                    <w:t>物料</w:t>
                  </w:r>
                  <w:r>
                    <w:rPr>
                      <w:b/>
                      <w:bCs/>
                      <w:color w:val="auto"/>
                      <w:sz w:val="21"/>
                      <w:highlight w:val="none"/>
                    </w:rPr>
                    <w:t>量</w:t>
                  </w:r>
                  <w:r>
                    <w:rPr>
                      <w:rFonts w:ascii="Times New Roman" w:eastAsia="Times New Roman"/>
                      <w:b/>
                      <w:bCs/>
                      <w:color w:val="auto"/>
                      <w:sz w:val="21"/>
                      <w:highlight w:val="none"/>
                    </w:rPr>
                    <w:t>t/a</w:t>
                  </w:r>
                </w:p>
              </w:tc>
              <w:tc>
                <w:tcPr>
                  <w:tcW w:w="890" w:type="pct"/>
                  <w:vAlign w:val="center"/>
                </w:tcPr>
                <w:p w14:paraId="440EBE7B">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b/>
                      <w:bCs/>
                      <w:color w:val="auto"/>
                      <w:sz w:val="21"/>
                      <w:highlight w:val="none"/>
                      <w:lang w:val="en-US" w:eastAsia="zh-CN"/>
                    </w:rPr>
                  </w:pPr>
                  <w:r>
                    <w:rPr>
                      <w:rFonts w:hint="eastAsia"/>
                      <w:b/>
                      <w:bCs/>
                      <w:color w:val="auto"/>
                      <w:sz w:val="21"/>
                      <w:highlight w:val="none"/>
                      <w:lang w:val="en-US" w:eastAsia="zh-CN"/>
                    </w:rPr>
                    <w:t>年运行时间h</w:t>
                  </w:r>
                </w:p>
              </w:tc>
              <w:tc>
                <w:tcPr>
                  <w:tcW w:w="788" w:type="pct"/>
                  <w:vAlign w:val="center"/>
                </w:tcPr>
                <w:p w14:paraId="56A9D631">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color w:val="auto"/>
                      <w:sz w:val="21"/>
                      <w:highlight w:val="none"/>
                    </w:rPr>
                  </w:pPr>
                  <w:r>
                    <w:rPr>
                      <w:b/>
                      <w:bCs/>
                      <w:color w:val="auto"/>
                      <w:sz w:val="21"/>
                      <w:highlight w:val="none"/>
                    </w:rPr>
                    <w:t>排放量</w:t>
                  </w:r>
                  <w:r>
                    <w:rPr>
                      <w:rFonts w:ascii="Times New Roman" w:eastAsia="Times New Roman"/>
                      <w:b/>
                      <w:bCs/>
                      <w:color w:val="auto"/>
                      <w:sz w:val="21"/>
                      <w:highlight w:val="none"/>
                    </w:rPr>
                    <w:t>t/a</w:t>
                  </w:r>
                </w:p>
              </w:tc>
              <w:tc>
                <w:tcPr>
                  <w:tcW w:w="955" w:type="pct"/>
                  <w:vAlign w:val="center"/>
                </w:tcPr>
                <w:p w14:paraId="0F4F0521">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eastAsia="Times New Roman"/>
                      <w:b/>
                      <w:bCs/>
                      <w:color w:val="auto"/>
                      <w:sz w:val="21"/>
                      <w:highlight w:val="none"/>
                    </w:rPr>
                  </w:pPr>
                  <w:r>
                    <w:rPr>
                      <w:b/>
                      <w:bCs/>
                      <w:color w:val="auto"/>
                      <w:sz w:val="21"/>
                      <w:highlight w:val="none"/>
                    </w:rPr>
                    <w:t>排放速率</w:t>
                  </w:r>
                  <w:r>
                    <w:rPr>
                      <w:rFonts w:ascii="Times New Roman" w:eastAsia="Times New Roman"/>
                      <w:b/>
                      <w:bCs/>
                      <w:color w:val="auto"/>
                      <w:sz w:val="21"/>
                      <w:highlight w:val="none"/>
                    </w:rPr>
                    <w:t>kg/h</w:t>
                  </w:r>
                </w:p>
              </w:tc>
            </w:tr>
            <w:tr w14:paraId="70E1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888" w:type="pct"/>
                  <w:vAlign w:val="center"/>
                </w:tcPr>
                <w:p w14:paraId="5A7743E3">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highlight w:val="none"/>
                    </w:rPr>
                  </w:pPr>
                  <w:r>
                    <w:rPr>
                      <w:color w:val="auto"/>
                      <w:sz w:val="21"/>
                      <w:highlight w:val="none"/>
                    </w:rPr>
                    <w:t>生产装置区</w:t>
                  </w:r>
                </w:p>
              </w:tc>
              <w:tc>
                <w:tcPr>
                  <w:tcW w:w="773" w:type="pct"/>
                  <w:vAlign w:val="center"/>
                </w:tcPr>
                <w:p w14:paraId="4D85B036">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highlight w:val="none"/>
                    </w:rPr>
                  </w:pPr>
                  <w:r>
                    <w:rPr>
                      <w:rFonts w:ascii="Times New Roman"/>
                      <w:color w:val="auto"/>
                      <w:sz w:val="21"/>
                      <w:highlight w:val="none"/>
                    </w:rPr>
                    <w:t>VOCs</w:t>
                  </w:r>
                </w:p>
              </w:tc>
              <w:tc>
                <w:tcPr>
                  <w:tcW w:w="703" w:type="pct"/>
                  <w:vAlign w:val="center"/>
                </w:tcPr>
                <w:p w14:paraId="54AA72FB">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eastAsia="宋体"/>
                      <w:color w:val="auto"/>
                      <w:sz w:val="21"/>
                      <w:highlight w:val="none"/>
                      <w:lang w:val="en-US" w:eastAsia="zh-CN"/>
                    </w:rPr>
                  </w:pPr>
                  <w:r>
                    <w:rPr>
                      <w:rFonts w:hint="eastAsia"/>
                      <w:color w:val="auto"/>
                      <w:sz w:val="21"/>
                      <w:highlight w:val="none"/>
                      <w:lang w:val="en-US" w:eastAsia="zh-CN"/>
                    </w:rPr>
                    <w:t>30</w:t>
                  </w:r>
                  <w:r>
                    <w:rPr>
                      <w:rFonts w:hint="eastAsia" w:ascii="Times New Roman"/>
                      <w:color w:val="auto"/>
                      <w:sz w:val="21"/>
                      <w:highlight w:val="none"/>
                      <w:lang w:val="en-US" w:eastAsia="zh-CN"/>
                    </w:rPr>
                    <w:t>00</w:t>
                  </w:r>
                </w:p>
              </w:tc>
              <w:tc>
                <w:tcPr>
                  <w:tcW w:w="890" w:type="pct"/>
                  <w:vAlign w:val="center"/>
                </w:tcPr>
                <w:p w14:paraId="1B6151EC">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color w:val="auto"/>
                      <w:sz w:val="21"/>
                      <w:highlight w:val="none"/>
                      <w:lang w:val="en-US" w:eastAsia="zh-CN"/>
                    </w:rPr>
                  </w:pPr>
                  <w:r>
                    <w:rPr>
                      <w:rFonts w:hint="eastAsia"/>
                      <w:color w:val="auto"/>
                      <w:sz w:val="21"/>
                      <w:highlight w:val="none"/>
                      <w:lang w:val="en-US" w:eastAsia="zh-CN"/>
                    </w:rPr>
                    <w:t>2160</w:t>
                  </w:r>
                </w:p>
              </w:tc>
              <w:tc>
                <w:tcPr>
                  <w:tcW w:w="1268" w:type="dxa"/>
                  <w:vAlign w:val="center"/>
                </w:tcPr>
                <w:p w14:paraId="57B35799">
                  <w:pPr>
                    <w:keepNext w:val="0"/>
                    <w:keepLines w:val="0"/>
                    <w:widowControl/>
                    <w:suppressLineNumbers w:val="0"/>
                    <w:jc w:val="center"/>
                    <w:textAlignment w:val="center"/>
                    <w:rPr>
                      <w:rFonts w:hint="eastAsia" w:ascii="Times New Roman" w:eastAsia="宋体"/>
                      <w:color w:val="auto"/>
                      <w:sz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0.75</w:t>
                  </w:r>
                </w:p>
              </w:tc>
              <w:tc>
                <w:tcPr>
                  <w:tcW w:w="1536" w:type="dxa"/>
                  <w:vAlign w:val="center"/>
                </w:tcPr>
                <w:p w14:paraId="216F85CF">
                  <w:pPr>
                    <w:keepNext w:val="0"/>
                    <w:keepLines w:val="0"/>
                    <w:widowControl/>
                    <w:suppressLineNumbers w:val="0"/>
                    <w:jc w:val="center"/>
                    <w:textAlignment w:val="center"/>
                    <w:rPr>
                      <w:rFonts w:hint="default" w:ascii="Times New Roman" w:eastAsia="宋体"/>
                      <w:color w:val="auto"/>
                      <w:sz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104</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bl>
          <w:p w14:paraId="3A47954B">
            <w:pPr>
              <w:spacing w:line="360" w:lineRule="auto"/>
              <w:ind w:firstLine="482" w:firstLineChars="200"/>
              <w:rPr>
                <w:rFonts w:hint="eastAsia" w:eastAsia="宋体"/>
                <w:b/>
                <w:color w:val="auto"/>
                <w:sz w:val="24"/>
                <w:highlight w:val="none"/>
                <w:lang w:eastAsia="zh-CN"/>
              </w:rPr>
            </w:pPr>
            <w:r>
              <w:rPr>
                <w:b/>
                <w:color w:val="auto"/>
                <w:sz w:val="24"/>
                <w:highlight w:val="none"/>
              </w:rPr>
              <w:t>（</w:t>
            </w:r>
            <w:r>
              <w:rPr>
                <w:rFonts w:hint="eastAsia"/>
                <w:b/>
                <w:color w:val="auto"/>
                <w:sz w:val="24"/>
                <w:highlight w:val="none"/>
                <w:lang w:val="en-US" w:eastAsia="zh-CN"/>
              </w:rPr>
              <w:t>7</w:t>
            </w:r>
            <w:r>
              <w:rPr>
                <w:b/>
                <w:color w:val="auto"/>
                <w:sz w:val="24"/>
                <w:highlight w:val="none"/>
              </w:rPr>
              <w:t>）</w:t>
            </w:r>
            <w:r>
              <w:rPr>
                <w:rFonts w:hint="eastAsia"/>
                <w:b/>
                <w:color w:val="auto"/>
                <w:sz w:val="24"/>
                <w:highlight w:val="none"/>
                <w:lang w:eastAsia="zh-CN"/>
              </w:rPr>
              <w:t>危废贮存库</w:t>
            </w:r>
            <w:r>
              <w:rPr>
                <w:rFonts w:hint="eastAsia"/>
                <w:b/>
                <w:color w:val="auto"/>
                <w:sz w:val="24"/>
                <w:highlight w:val="none"/>
                <w:lang w:val="en-US" w:eastAsia="zh-CN"/>
              </w:rPr>
              <w:t>异味</w:t>
            </w:r>
          </w:p>
          <w:p w14:paraId="6E3DD87D">
            <w:pPr>
              <w:autoSpaceDE w:val="0"/>
              <w:autoSpaceDN w:val="0"/>
              <w:adjustRightInd w:val="0"/>
              <w:spacing w:line="360" w:lineRule="auto"/>
              <w:ind w:firstLine="480" w:firstLineChars="200"/>
              <w:textAlignment w:val="baseline"/>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现有厂区已建1个危废贮存库，占地面积约</w:t>
            </w:r>
            <w:r>
              <w:rPr>
                <w:rFonts w:hint="eastAsia" w:cs="Times New Roman"/>
                <w:color w:val="auto"/>
                <w:sz w:val="24"/>
                <w:szCs w:val="24"/>
                <w:highlight w:val="none"/>
                <w:lang w:val="en-US" w:eastAsia="zh-CN"/>
              </w:rPr>
              <w:t>3m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，位于厂区污水处理站内部风机泵房旁，该贮存库内部贮存空间狭小，不便分区贮存全厂危废。本次技改</w:t>
            </w:r>
            <w:r>
              <w:rPr>
                <w:rFonts w:hint="default" w:ascii="Times New Roman" w:hAnsi="Times New Roman" w:eastAsia="宋体" w:cs="Times New Roman"/>
                <w:color w:val="auto"/>
                <w:kern w:val="0"/>
                <w:sz w:val="24"/>
                <w:szCs w:val="24"/>
                <w:highlight w:val="none"/>
                <w:lang w:val="en-US" w:eastAsia="zh-CN" w:bidi="ar"/>
              </w:rPr>
              <w:t>新建</w:t>
            </w:r>
            <w:r>
              <w:rPr>
                <w:rFonts w:hint="eastAsia" w:cs="Times New Roman"/>
                <w:color w:val="auto"/>
                <w:kern w:val="0"/>
                <w:sz w:val="24"/>
                <w:szCs w:val="24"/>
                <w:highlight w:val="none"/>
                <w:lang w:val="en-US" w:eastAsia="zh-CN" w:bidi="ar"/>
              </w:rPr>
              <w:t>1个危废贮存库，</w:t>
            </w:r>
            <w:r>
              <w:rPr>
                <w:rFonts w:hint="default" w:ascii="Times New Roman" w:hAnsi="Times New Roman" w:eastAsia="宋体" w:cs="Times New Roman"/>
                <w:color w:val="auto"/>
                <w:kern w:val="0"/>
                <w:sz w:val="24"/>
                <w:szCs w:val="24"/>
                <w:highlight w:val="none"/>
                <w:lang w:bidi="ar"/>
              </w:rPr>
              <w:t>位于</w:t>
            </w:r>
            <w:r>
              <w:rPr>
                <w:rFonts w:hint="default" w:ascii="Times New Roman" w:hAnsi="Times New Roman" w:eastAsia="宋体" w:cs="Times New Roman"/>
                <w:color w:val="auto"/>
                <w:kern w:val="0"/>
                <w:sz w:val="24"/>
                <w:szCs w:val="24"/>
                <w:highlight w:val="none"/>
                <w:lang w:val="en-US" w:eastAsia="zh-CN" w:bidi="ar"/>
              </w:rPr>
              <w:t>厂区</w:t>
            </w:r>
            <w:r>
              <w:rPr>
                <w:rFonts w:hint="default" w:ascii="Times New Roman" w:hAnsi="Times New Roman" w:eastAsia="宋体" w:cs="Times New Roman"/>
                <w:color w:val="auto"/>
                <w:kern w:val="0"/>
                <w:sz w:val="24"/>
                <w:szCs w:val="24"/>
                <w:highlight w:val="none"/>
                <w:lang w:bidi="ar"/>
              </w:rPr>
              <w:t>污水处理站东侧，</w:t>
            </w:r>
            <w:r>
              <w:rPr>
                <w:rFonts w:hint="eastAsia" w:cs="Times New Roman"/>
                <w:color w:val="auto"/>
                <w:kern w:val="0"/>
                <w:sz w:val="24"/>
                <w:szCs w:val="24"/>
                <w:highlight w:val="none"/>
                <w:lang w:val="en-US" w:eastAsia="zh-CN" w:bidi="ar"/>
              </w:rPr>
              <w:t>占地20</w:t>
            </w:r>
            <w:r>
              <w:rPr>
                <w:rFonts w:hint="default" w:ascii="Times New Roman" w:hAnsi="Times New Roman" w:eastAsia="宋体" w:cs="Times New Roman"/>
                <w:color w:val="auto"/>
                <w:kern w:val="0"/>
                <w:sz w:val="24"/>
                <w:szCs w:val="24"/>
                <w:highlight w:val="none"/>
                <w:lang w:bidi="ar"/>
              </w:rPr>
              <w:t>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容量50</w:t>
            </w:r>
            <w:r>
              <w:rPr>
                <w:rFonts w:hint="default" w:ascii="Times New Roman" w:hAnsi="Times New Roman" w:eastAsia="宋体" w:cs="Times New Roman"/>
                <w:color w:val="auto"/>
                <w:kern w:val="0"/>
                <w:sz w:val="24"/>
                <w:szCs w:val="24"/>
                <w:highlight w:val="none"/>
                <w:lang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更利于分区贮存全厂危险废物，新危废贮存库建成后现有危废贮存库弃用。</w:t>
            </w:r>
          </w:p>
          <w:p w14:paraId="4384B27C">
            <w:pPr>
              <w:autoSpaceDE w:val="0"/>
              <w:autoSpaceDN w:val="0"/>
              <w:adjustRightInd w:val="0"/>
              <w:spacing w:line="360" w:lineRule="auto"/>
              <w:ind w:firstLine="480" w:firstLineChars="200"/>
              <w:textAlignment w:val="baseline"/>
              <w:rPr>
                <w:rFonts w:hint="default"/>
                <w:color w:val="auto"/>
                <w:kern w:val="0"/>
                <w:sz w:val="24"/>
                <w:szCs w:val="20"/>
                <w:highlight w:val="none"/>
                <w:lang w:val="en-US" w:eastAsia="zh-CN"/>
              </w:rPr>
            </w:pPr>
            <w:r>
              <w:rPr>
                <w:rFonts w:hint="eastAsia"/>
                <w:color w:val="auto"/>
                <w:kern w:val="0"/>
                <w:sz w:val="24"/>
                <w:szCs w:val="20"/>
                <w:highlight w:val="none"/>
                <w:lang w:val="en-US" w:eastAsia="zh-CN"/>
              </w:rPr>
              <w:t>本项目产生的危险废物包括废润滑油、化验废液、污水处理站污泥以及废活性炭等，危废暂存期间会散发异味。</w:t>
            </w:r>
          </w:p>
          <w:p w14:paraId="4E7AFC33">
            <w:pPr>
              <w:keepNext w:val="0"/>
              <w:keepLines w:val="0"/>
              <w:pageBreakBefore w:val="0"/>
              <w:widowControl w:val="0"/>
              <w:kinsoku/>
              <w:wordWrap/>
              <w:overflowPunct/>
              <w:topLinePunct w:val="0"/>
              <w:autoSpaceDE w:val="0"/>
              <w:autoSpaceDN w:val="0"/>
              <w:bidi w:val="0"/>
              <w:adjustRightInd w:val="0"/>
              <w:snapToGrid/>
              <w:spacing w:line="360" w:lineRule="auto"/>
              <w:ind w:firstLine="442" w:firstLineChars="200"/>
              <w:textAlignment w:val="baseline"/>
              <w:rPr>
                <w:b/>
                <w:color w:val="auto"/>
                <w:spacing w:val="-10"/>
                <w:sz w:val="24"/>
                <w:highlight w:val="none"/>
              </w:rPr>
            </w:pPr>
            <w:r>
              <w:rPr>
                <w:rFonts w:hint="eastAsia"/>
                <w:b/>
                <w:color w:val="auto"/>
                <w:spacing w:val="-10"/>
                <w:sz w:val="24"/>
                <w:highlight w:val="none"/>
              </w:rPr>
              <w:t>治理措施：</w:t>
            </w:r>
            <w:bookmarkStart w:id="29" w:name="_Hlk111498043"/>
          </w:p>
          <w:bookmarkEnd w:id="29"/>
          <w:p w14:paraId="0DBD0DCD">
            <w:pPr>
              <w:autoSpaceDE w:val="0"/>
              <w:autoSpaceDN w:val="0"/>
              <w:adjustRightInd w:val="0"/>
              <w:spacing w:line="360" w:lineRule="auto"/>
              <w:ind w:firstLine="480" w:firstLineChars="200"/>
              <w:textAlignment w:val="baseline"/>
              <w:rPr>
                <w:rFonts w:hint="eastAsia"/>
                <w:color w:val="auto"/>
                <w:kern w:val="0"/>
                <w:sz w:val="24"/>
                <w:szCs w:val="20"/>
                <w:highlight w:val="none"/>
                <w:lang w:val="en-US" w:eastAsia="zh-CN"/>
              </w:rPr>
            </w:pPr>
            <w:r>
              <w:rPr>
                <w:rFonts w:hint="eastAsia"/>
                <w:color w:val="auto"/>
                <w:kern w:val="0"/>
                <w:sz w:val="24"/>
                <w:szCs w:val="20"/>
                <w:highlight w:val="none"/>
                <w:lang w:val="en-US" w:eastAsia="zh-CN"/>
              </w:rPr>
              <w:t>危废贮存库内部设置机械通风装置，污泥采用袋装，其余危废均采用带盖密封桶分类存放，喷洒生物除臭剂，定期交由危废处置单位处置，避免长时间堆放，异味不明显，对周边环境影响在可接受范围内。</w:t>
            </w:r>
          </w:p>
          <w:p w14:paraId="0B3A1DAF">
            <w:pPr>
              <w:autoSpaceDE w:val="0"/>
              <w:autoSpaceDN w:val="0"/>
              <w:adjustRightInd w:val="0"/>
              <w:spacing w:line="360" w:lineRule="auto"/>
              <w:ind w:firstLine="480" w:firstLineChars="200"/>
              <w:textAlignment w:val="baseline"/>
              <w:rPr>
                <w:rFonts w:hint="eastAsia"/>
                <w:color w:val="auto"/>
                <w:kern w:val="0"/>
                <w:sz w:val="24"/>
                <w:szCs w:val="20"/>
                <w:highlight w:val="none"/>
                <w:lang w:val="en-US" w:eastAsia="zh-CN"/>
              </w:rPr>
            </w:pPr>
          </w:p>
          <w:p w14:paraId="05A1568E">
            <w:pPr>
              <w:autoSpaceDE w:val="0"/>
              <w:autoSpaceDN w:val="0"/>
              <w:adjustRightInd w:val="0"/>
              <w:spacing w:line="360" w:lineRule="auto"/>
              <w:ind w:firstLine="480" w:firstLineChars="200"/>
              <w:textAlignment w:val="baseline"/>
              <w:rPr>
                <w:rFonts w:hint="eastAsia"/>
                <w:color w:val="auto"/>
                <w:kern w:val="0"/>
                <w:sz w:val="24"/>
                <w:szCs w:val="20"/>
                <w:highlight w:val="none"/>
                <w:lang w:val="en-US" w:eastAsia="zh-CN"/>
              </w:rPr>
            </w:pPr>
          </w:p>
        </w:tc>
      </w:tr>
    </w:tbl>
    <w:p w14:paraId="04721C9E">
      <w:pPr>
        <w:adjustRightInd w:val="0"/>
        <w:snapToGrid w:val="0"/>
        <w:spacing w:line="360" w:lineRule="auto"/>
        <w:ind w:right="-693" w:rightChars="-330"/>
        <w:rPr>
          <w:b/>
          <w:color w:val="auto"/>
          <w:kern w:val="0"/>
          <w:sz w:val="28"/>
          <w:szCs w:val="28"/>
          <w:highlight w:val="none"/>
        </w:rPr>
        <w:sectPr>
          <w:footerReference r:id="rId9" w:type="default"/>
          <w:pgSz w:w="11907" w:h="16840"/>
          <w:pgMar w:top="1701" w:right="1531" w:bottom="2127" w:left="1531" w:header="851" w:footer="851" w:gutter="0"/>
          <w:pgNumType w:fmt="decimal"/>
          <w:cols w:space="720" w:num="1"/>
          <w:docGrid w:linePitch="312" w:charSpace="0"/>
        </w:sectPr>
      </w:pPr>
    </w:p>
    <w:tbl>
      <w:tblPr>
        <w:tblStyle w:val="27"/>
        <w:tblW w:w="502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72"/>
      </w:tblGrid>
      <w:tr w14:paraId="359CD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4" w:hRule="atLeast"/>
          <w:jc w:val="center"/>
        </w:trPr>
        <w:tc>
          <w:tcPr>
            <w:tcW w:w="5000" w:type="pct"/>
            <w:tcMar>
              <w:left w:w="28" w:type="dxa"/>
              <w:right w:w="28" w:type="dxa"/>
            </w:tcMar>
            <w:vAlign w:val="center"/>
          </w:tcPr>
          <w:p w14:paraId="3041AD7A">
            <w:pPr>
              <w:autoSpaceDE w:val="0"/>
              <w:autoSpaceDN w:val="0"/>
              <w:adjustRightInd w:val="0"/>
              <w:snapToGrid w:val="0"/>
              <w:spacing w:line="360" w:lineRule="auto"/>
              <w:ind w:firstLine="482" w:firstLineChars="200"/>
              <w:textAlignment w:val="baseline"/>
              <w:rPr>
                <w:b/>
                <w:color w:val="auto"/>
                <w:kern w:val="0"/>
                <w:szCs w:val="21"/>
                <w:highlight w:val="none"/>
              </w:rPr>
            </w:pPr>
            <w:r>
              <w:rPr>
                <w:rFonts w:hint="eastAsia"/>
                <w:b/>
                <w:bCs/>
                <w:color w:val="auto"/>
                <w:sz w:val="24"/>
                <w:highlight w:val="none"/>
              </w:rPr>
              <w:t>（6）</w:t>
            </w:r>
            <w:r>
              <w:rPr>
                <w:b/>
                <w:bCs/>
                <w:color w:val="auto"/>
                <w:sz w:val="24"/>
                <w:highlight w:val="none"/>
              </w:rPr>
              <w:t>废气污染物排放汇总</w:t>
            </w:r>
          </w:p>
          <w:p w14:paraId="5A794E50">
            <w:pPr>
              <w:pStyle w:val="41"/>
              <w:rPr>
                <w:color w:val="auto"/>
                <w:szCs w:val="21"/>
                <w:highlight w:val="none"/>
              </w:rPr>
            </w:pPr>
            <w:r>
              <w:rPr>
                <w:rFonts w:hint="eastAsia"/>
                <w:color w:val="auto"/>
                <w:szCs w:val="21"/>
                <w:highlight w:val="none"/>
              </w:rPr>
              <w:t>本项目</w:t>
            </w:r>
            <w:r>
              <w:rPr>
                <w:color w:val="auto"/>
                <w:szCs w:val="21"/>
                <w:highlight w:val="none"/>
              </w:rPr>
              <w:t>营运期废气污染物产排统计一览表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89"/>
              <w:gridCol w:w="932"/>
              <w:gridCol w:w="852"/>
              <w:gridCol w:w="916"/>
              <w:gridCol w:w="1200"/>
              <w:gridCol w:w="727"/>
              <w:gridCol w:w="514"/>
              <w:gridCol w:w="444"/>
              <w:gridCol w:w="488"/>
              <w:gridCol w:w="590"/>
              <w:gridCol w:w="1082"/>
              <w:gridCol w:w="1074"/>
              <w:gridCol w:w="1058"/>
              <w:gridCol w:w="726"/>
              <w:gridCol w:w="774"/>
              <w:gridCol w:w="685"/>
            </w:tblGrid>
            <w:tr w14:paraId="2C6A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5" w:type="dxa"/>
                  <w:vMerge w:val="restart"/>
                  <w:vAlign w:val="center"/>
                </w:tcPr>
                <w:p w14:paraId="0379425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对应产污环节名称</w:t>
                  </w:r>
                </w:p>
              </w:tc>
              <w:tc>
                <w:tcPr>
                  <w:tcW w:w="789" w:type="dxa"/>
                  <w:vMerge w:val="restart"/>
                  <w:vAlign w:val="center"/>
                </w:tcPr>
                <w:p w14:paraId="15938CE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2700" w:type="dxa"/>
                  <w:gridSpan w:val="3"/>
                  <w:vAlign w:val="center"/>
                </w:tcPr>
                <w:p w14:paraId="455DE1B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污染物产生情况</w:t>
                  </w:r>
                </w:p>
              </w:tc>
              <w:tc>
                <w:tcPr>
                  <w:tcW w:w="3373" w:type="dxa"/>
                  <w:gridSpan w:val="5"/>
                  <w:vAlign w:val="center"/>
                </w:tcPr>
                <w:p w14:paraId="72B5B9A7">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污染治理设施</w:t>
                  </w:r>
                </w:p>
              </w:tc>
              <w:tc>
                <w:tcPr>
                  <w:tcW w:w="590" w:type="dxa"/>
                  <w:vMerge w:val="restart"/>
                  <w:vAlign w:val="center"/>
                </w:tcPr>
                <w:p w14:paraId="65A3D333">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排放形式</w:t>
                  </w:r>
                </w:p>
              </w:tc>
              <w:tc>
                <w:tcPr>
                  <w:tcW w:w="3214" w:type="dxa"/>
                  <w:gridSpan w:val="3"/>
                  <w:vAlign w:val="center"/>
                </w:tcPr>
                <w:p w14:paraId="251AD4E7">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污染物排放情况</w:t>
                  </w:r>
                </w:p>
              </w:tc>
              <w:tc>
                <w:tcPr>
                  <w:tcW w:w="1500" w:type="dxa"/>
                  <w:gridSpan w:val="2"/>
                  <w:vAlign w:val="center"/>
                </w:tcPr>
                <w:p w14:paraId="48481760">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排放标准</w:t>
                  </w:r>
                </w:p>
              </w:tc>
              <w:tc>
                <w:tcPr>
                  <w:tcW w:w="685" w:type="dxa"/>
                  <w:vMerge w:val="restart"/>
                  <w:vAlign w:val="center"/>
                </w:tcPr>
                <w:p w14:paraId="37812FFA">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排放口编号及名称</w:t>
                  </w:r>
                </w:p>
              </w:tc>
            </w:tr>
            <w:tr w14:paraId="24D7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5" w:type="dxa"/>
                  <w:vMerge w:val="continue"/>
                  <w:vAlign w:val="center"/>
                </w:tcPr>
                <w:p w14:paraId="5E127F74">
                  <w:pPr>
                    <w:jc w:val="center"/>
                    <w:rPr>
                      <w:rFonts w:hint="default" w:ascii="Times New Roman" w:hAnsi="Times New Roman" w:cs="Times New Roman"/>
                      <w:b/>
                      <w:bCs/>
                      <w:color w:val="auto"/>
                      <w:sz w:val="21"/>
                      <w:szCs w:val="21"/>
                      <w:highlight w:val="none"/>
                    </w:rPr>
                  </w:pPr>
                </w:p>
              </w:tc>
              <w:tc>
                <w:tcPr>
                  <w:tcW w:w="789" w:type="dxa"/>
                  <w:vMerge w:val="continue"/>
                  <w:vAlign w:val="center"/>
                </w:tcPr>
                <w:p w14:paraId="742FA86E">
                  <w:pPr>
                    <w:jc w:val="center"/>
                    <w:rPr>
                      <w:rFonts w:hint="default" w:ascii="Times New Roman" w:hAnsi="Times New Roman" w:cs="Times New Roman"/>
                      <w:b/>
                      <w:bCs/>
                      <w:color w:val="auto"/>
                      <w:sz w:val="21"/>
                      <w:szCs w:val="21"/>
                      <w:highlight w:val="none"/>
                    </w:rPr>
                  </w:pPr>
                </w:p>
              </w:tc>
              <w:tc>
                <w:tcPr>
                  <w:tcW w:w="932" w:type="dxa"/>
                  <w:vAlign w:val="center"/>
                </w:tcPr>
                <w:p w14:paraId="489F64AA">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产生速率kg/h</w:t>
                  </w:r>
                </w:p>
              </w:tc>
              <w:tc>
                <w:tcPr>
                  <w:tcW w:w="852" w:type="dxa"/>
                  <w:vAlign w:val="center"/>
                </w:tcPr>
                <w:p w14:paraId="364FFE60">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产生浓度mg/m</w:t>
                  </w:r>
                  <w:r>
                    <w:rPr>
                      <w:rFonts w:hint="default" w:ascii="Times New Roman" w:hAnsi="Times New Roman" w:cs="Times New Roman"/>
                      <w:b/>
                      <w:bCs/>
                      <w:color w:val="auto"/>
                      <w:sz w:val="21"/>
                      <w:szCs w:val="21"/>
                      <w:highlight w:val="none"/>
                      <w:vertAlign w:val="superscript"/>
                    </w:rPr>
                    <w:t>3</w:t>
                  </w:r>
                </w:p>
              </w:tc>
              <w:tc>
                <w:tcPr>
                  <w:tcW w:w="916" w:type="dxa"/>
                  <w:vAlign w:val="center"/>
                </w:tcPr>
                <w:p w14:paraId="3A5BD801">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r>
                    <w:rPr>
                      <w:rFonts w:hint="default" w:ascii="Times New Roman" w:hAnsi="Times New Roman" w:cs="Times New Roman"/>
                      <w:color w:val="auto"/>
                      <w:sz w:val="21"/>
                      <w:szCs w:val="21"/>
                      <w:highlight w:val="none"/>
                    </w:rPr>
                    <w:t>kg/a</w:t>
                  </w:r>
                </w:p>
              </w:tc>
              <w:tc>
                <w:tcPr>
                  <w:tcW w:w="1200" w:type="dxa"/>
                  <w:vAlign w:val="center"/>
                </w:tcPr>
                <w:p w14:paraId="01F7BADC">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727" w:type="dxa"/>
                  <w:vAlign w:val="center"/>
                </w:tcPr>
                <w:p w14:paraId="0556A5ED">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收集效率</w:t>
                  </w:r>
                </w:p>
              </w:tc>
              <w:tc>
                <w:tcPr>
                  <w:tcW w:w="514" w:type="dxa"/>
                  <w:vAlign w:val="center"/>
                </w:tcPr>
                <w:p w14:paraId="7D747863">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处理效率</w:t>
                  </w:r>
                </w:p>
              </w:tc>
              <w:tc>
                <w:tcPr>
                  <w:tcW w:w="444" w:type="dxa"/>
                  <w:vAlign w:val="center"/>
                </w:tcPr>
                <w:p w14:paraId="5F1161C9">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是否为可行技术</w:t>
                  </w:r>
                </w:p>
              </w:tc>
              <w:tc>
                <w:tcPr>
                  <w:tcW w:w="488" w:type="dxa"/>
                  <w:vAlign w:val="center"/>
                </w:tcPr>
                <w:p w14:paraId="7E74D33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其他污染治理信息</w:t>
                  </w:r>
                </w:p>
              </w:tc>
              <w:tc>
                <w:tcPr>
                  <w:tcW w:w="590" w:type="dxa"/>
                  <w:vMerge w:val="continue"/>
                  <w:vAlign w:val="center"/>
                </w:tcPr>
                <w:p w14:paraId="4247028D">
                  <w:pPr>
                    <w:jc w:val="center"/>
                    <w:rPr>
                      <w:rFonts w:hint="default" w:ascii="Times New Roman" w:hAnsi="Times New Roman" w:cs="Times New Roman"/>
                      <w:b/>
                      <w:bCs/>
                      <w:color w:val="auto"/>
                      <w:sz w:val="21"/>
                      <w:szCs w:val="21"/>
                      <w:highlight w:val="none"/>
                    </w:rPr>
                  </w:pPr>
                </w:p>
              </w:tc>
              <w:tc>
                <w:tcPr>
                  <w:tcW w:w="1082" w:type="dxa"/>
                  <w:vAlign w:val="center"/>
                </w:tcPr>
                <w:p w14:paraId="5FD6A64A">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排放速率kg/h</w:t>
                  </w:r>
                </w:p>
              </w:tc>
              <w:tc>
                <w:tcPr>
                  <w:tcW w:w="1074" w:type="dxa"/>
                  <w:vAlign w:val="center"/>
                </w:tcPr>
                <w:p w14:paraId="1FDB0A4B">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排放浓度mg/m</w:t>
                  </w:r>
                  <w:r>
                    <w:rPr>
                      <w:rFonts w:hint="default" w:ascii="Times New Roman" w:hAnsi="Times New Roman" w:cs="Times New Roman"/>
                      <w:b/>
                      <w:bCs/>
                      <w:color w:val="auto"/>
                      <w:sz w:val="21"/>
                      <w:szCs w:val="21"/>
                      <w:highlight w:val="none"/>
                      <w:vertAlign w:val="superscript"/>
                    </w:rPr>
                    <w:t>3</w:t>
                  </w:r>
                </w:p>
              </w:tc>
              <w:tc>
                <w:tcPr>
                  <w:tcW w:w="1058" w:type="dxa"/>
                  <w:vAlign w:val="center"/>
                </w:tcPr>
                <w:p w14:paraId="5034176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排放量kg/a</w:t>
                  </w:r>
                </w:p>
              </w:tc>
              <w:tc>
                <w:tcPr>
                  <w:tcW w:w="726" w:type="dxa"/>
                  <w:vAlign w:val="center"/>
                </w:tcPr>
                <w:p w14:paraId="65BCFAB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最高允许排放浓度</w:t>
                  </w:r>
                </w:p>
                <w:p w14:paraId="22F7DD58">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p>
              </w:tc>
              <w:tc>
                <w:tcPr>
                  <w:tcW w:w="774" w:type="dxa"/>
                  <w:vAlign w:val="center"/>
                </w:tcPr>
                <w:p w14:paraId="21C63CF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最高允许排放速率</w:t>
                  </w:r>
                </w:p>
                <w:p w14:paraId="39A0EE9F">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kg/h</w:t>
                  </w:r>
                </w:p>
              </w:tc>
              <w:tc>
                <w:tcPr>
                  <w:tcW w:w="685" w:type="dxa"/>
                  <w:vMerge w:val="continue"/>
                  <w:vAlign w:val="center"/>
                </w:tcPr>
                <w:p w14:paraId="47167E24">
                  <w:pPr>
                    <w:jc w:val="center"/>
                    <w:rPr>
                      <w:rFonts w:hint="default" w:ascii="Times New Roman" w:hAnsi="Times New Roman" w:cs="Times New Roman"/>
                      <w:b/>
                      <w:bCs/>
                      <w:color w:val="auto"/>
                      <w:sz w:val="21"/>
                      <w:szCs w:val="21"/>
                      <w:highlight w:val="none"/>
                    </w:rPr>
                  </w:pPr>
                </w:p>
              </w:tc>
            </w:tr>
            <w:tr w14:paraId="4B09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655" w:type="dxa"/>
                  <w:vAlign w:val="center"/>
                </w:tcPr>
                <w:p w14:paraId="638A34F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生产车间蒸馏</w:t>
                  </w:r>
                </w:p>
              </w:tc>
              <w:tc>
                <w:tcPr>
                  <w:tcW w:w="789" w:type="dxa"/>
                  <w:vAlign w:val="center"/>
                </w:tcPr>
                <w:p w14:paraId="0EC8DC6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VOCs</w:t>
                  </w:r>
                </w:p>
              </w:tc>
              <w:tc>
                <w:tcPr>
                  <w:tcW w:w="932" w:type="dxa"/>
                  <w:vAlign w:val="center"/>
                </w:tcPr>
                <w:p w14:paraId="0C0952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w:t>
                  </w: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852" w:type="dxa"/>
                  <w:vAlign w:val="center"/>
                </w:tcPr>
                <w:p w14:paraId="2EDD8BC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eastAsia" w:cs="Times New Roman"/>
                      <w:i w:val="0"/>
                      <w:iCs w:val="0"/>
                      <w:color w:val="auto"/>
                      <w:kern w:val="0"/>
                      <w:sz w:val="21"/>
                      <w:szCs w:val="21"/>
                      <w:highlight w:val="none"/>
                      <w:u w:val="none"/>
                      <w:lang w:val="en-US" w:eastAsia="zh-CN" w:bidi="ar"/>
                    </w:rPr>
                    <w:t>90</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16" w:type="dxa"/>
                  <w:vAlign w:val="center"/>
                </w:tcPr>
                <w:p w14:paraId="3285B6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600</w:t>
                  </w:r>
                </w:p>
              </w:tc>
              <w:tc>
                <w:tcPr>
                  <w:tcW w:w="1200" w:type="dxa"/>
                  <w:vMerge w:val="restart"/>
                  <w:vAlign w:val="center"/>
                </w:tcPr>
                <w:p w14:paraId="274684A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新建水洗塔（四段式）+现有28m高工艺废气排气筒，风量14700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727" w:type="dxa"/>
                  <w:vAlign w:val="center"/>
                </w:tcPr>
                <w:p w14:paraId="1BFB80B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514" w:type="dxa"/>
                  <w:vAlign w:val="center"/>
                </w:tcPr>
                <w:p w14:paraId="29FBABD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444" w:type="dxa"/>
                  <w:vAlign w:val="center"/>
                </w:tcPr>
                <w:p w14:paraId="1350CDA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88" w:type="dxa"/>
                  <w:vAlign w:val="center"/>
                </w:tcPr>
                <w:p w14:paraId="5C68B43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90" w:type="dxa"/>
                  <w:vAlign w:val="center"/>
                </w:tcPr>
                <w:p w14:paraId="64C8F13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1082" w:type="dxa"/>
                  <w:vAlign w:val="center"/>
                </w:tcPr>
                <w:p w14:paraId="690DC7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17</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074" w:type="dxa"/>
                  <w:vAlign w:val="center"/>
                </w:tcPr>
                <w:p w14:paraId="3C6289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3.779</w:t>
                  </w:r>
                </w:p>
              </w:tc>
              <w:tc>
                <w:tcPr>
                  <w:tcW w:w="1058" w:type="dxa"/>
                  <w:vAlign w:val="center"/>
                </w:tcPr>
                <w:p w14:paraId="0BD01E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120</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726" w:type="dxa"/>
                  <w:vAlign w:val="center"/>
                </w:tcPr>
                <w:p w14:paraId="4BEEEBE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60</w:t>
                  </w:r>
                </w:p>
              </w:tc>
              <w:tc>
                <w:tcPr>
                  <w:tcW w:w="774" w:type="dxa"/>
                  <w:vAlign w:val="center"/>
                </w:tcPr>
                <w:p w14:paraId="3F0D082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7.36</w:t>
                  </w:r>
                </w:p>
              </w:tc>
              <w:tc>
                <w:tcPr>
                  <w:tcW w:w="685" w:type="dxa"/>
                  <w:vMerge w:val="restart"/>
                  <w:vAlign w:val="center"/>
                </w:tcPr>
                <w:p w14:paraId="3345403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DA0</w:t>
                  </w:r>
                  <w:r>
                    <w:rPr>
                      <w:rFonts w:hint="default" w:ascii="Times New Roman" w:hAnsi="Times New Roman" w:cs="Times New Roman"/>
                      <w:color w:val="auto"/>
                      <w:sz w:val="21"/>
                      <w:szCs w:val="21"/>
                      <w:highlight w:val="none"/>
                      <w:lang w:val="en-US" w:eastAsia="zh-CN"/>
                    </w:rPr>
                    <w:t>01</w:t>
                  </w:r>
                </w:p>
              </w:tc>
            </w:tr>
            <w:tr w14:paraId="27FB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655" w:type="dxa"/>
                  <w:vAlign w:val="center"/>
                </w:tcPr>
                <w:p w14:paraId="61FF6CA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生产车间储罐呼吸</w:t>
                  </w:r>
                </w:p>
              </w:tc>
              <w:tc>
                <w:tcPr>
                  <w:tcW w:w="789" w:type="dxa"/>
                  <w:vAlign w:val="center"/>
                </w:tcPr>
                <w:p w14:paraId="1EB8CA1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VOCs</w:t>
                  </w:r>
                </w:p>
              </w:tc>
              <w:tc>
                <w:tcPr>
                  <w:tcW w:w="932" w:type="dxa"/>
                  <w:vAlign w:val="center"/>
                </w:tcPr>
                <w:p w14:paraId="1B78F340">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0.027</w:t>
                  </w:r>
                </w:p>
              </w:tc>
              <w:tc>
                <w:tcPr>
                  <w:tcW w:w="852" w:type="dxa"/>
                  <w:vAlign w:val="center"/>
                </w:tcPr>
                <w:p w14:paraId="11652E09">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w:t>
                  </w:r>
                </w:p>
              </w:tc>
              <w:tc>
                <w:tcPr>
                  <w:tcW w:w="916" w:type="dxa"/>
                  <w:vAlign w:val="center"/>
                </w:tcPr>
                <w:p w14:paraId="3D645D22">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197.1</w:t>
                  </w:r>
                </w:p>
              </w:tc>
              <w:tc>
                <w:tcPr>
                  <w:tcW w:w="1200" w:type="dxa"/>
                  <w:vMerge w:val="continue"/>
                  <w:vAlign w:val="center"/>
                </w:tcPr>
                <w:p w14:paraId="25B38F19">
                  <w:pPr>
                    <w:jc w:val="center"/>
                    <w:rPr>
                      <w:rFonts w:hint="default" w:ascii="Times New Roman" w:hAnsi="Times New Roman" w:cs="Times New Roman"/>
                      <w:color w:val="auto"/>
                      <w:sz w:val="21"/>
                      <w:szCs w:val="21"/>
                      <w:highlight w:val="none"/>
                      <w:lang w:val="en-US" w:eastAsia="zh-CN"/>
                    </w:rPr>
                  </w:pPr>
                </w:p>
              </w:tc>
              <w:tc>
                <w:tcPr>
                  <w:tcW w:w="727" w:type="dxa"/>
                  <w:vAlign w:val="center"/>
                </w:tcPr>
                <w:p w14:paraId="1D9F3DAA">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514" w:type="dxa"/>
                  <w:vAlign w:val="center"/>
                </w:tcPr>
                <w:p w14:paraId="6A070ED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444" w:type="dxa"/>
                  <w:vAlign w:val="center"/>
                </w:tcPr>
                <w:p w14:paraId="291C373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88" w:type="dxa"/>
                  <w:vAlign w:val="center"/>
                </w:tcPr>
                <w:p w14:paraId="15E9BD1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90" w:type="dxa"/>
                  <w:vAlign w:val="center"/>
                </w:tcPr>
                <w:p w14:paraId="0E7FA18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1082" w:type="dxa"/>
                  <w:vAlign w:val="center"/>
                </w:tcPr>
                <w:p w14:paraId="3FBB9F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0.005 </w:t>
                  </w:r>
                </w:p>
              </w:tc>
              <w:tc>
                <w:tcPr>
                  <w:tcW w:w="1074" w:type="dxa"/>
                  <w:vAlign w:val="center"/>
                </w:tcPr>
                <w:p w14:paraId="32256D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1.241 </w:t>
                  </w:r>
                </w:p>
              </w:tc>
              <w:tc>
                <w:tcPr>
                  <w:tcW w:w="1058" w:type="dxa"/>
                  <w:vAlign w:val="center"/>
                </w:tcPr>
                <w:p w14:paraId="421168B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40</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726" w:type="dxa"/>
                  <w:vAlign w:val="center"/>
                </w:tcPr>
                <w:p w14:paraId="14DF7A1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774" w:type="dxa"/>
                  <w:vAlign w:val="center"/>
                </w:tcPr>
                <w:p w14:paraId="191E6C9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7.36</w:t>
                  </w:r>
                </w:p>
              </w:tc>
              <w:tc>
                <w:tcPr>
                  <w:tcW w:w="685" w:type="dxa"/>
                  <w:vMerge w:val="continue"/>
                  <w:shd w:val="clear" w:color="auto" w:fill="auto"/>
                  <w:vAlign w:val="center"/>
                </w:tcPr>
                <w:p w14:paraId="5EBA5418">
                  <w:pPr>
                    <w:jc w:val="center"/>
                    <w:rPr>
                      <w:rFonts w:hint="default" w:ascii="Times New Roman" w:hAnsi="Times New Roman" w:eastAsia="宋体" w:cs="Times New Roman"/>
                      <w:color w:val="auto"/>
                      <w:kern w:val="2"/>
                      <w:sz w:val="21"/>
                      <w:szCs w:val="21"/>
                      <w:highlight w:val="none"/>
                      <w:lang w:val="en-US" w:eastAsia="zh-CN" w:bidi="ar-SA"/>
                    </w:rPr>
                  </w:pPr>
                </w:p>
              </w:tc>
            </w:tr>
            <w:tr w14:paraId="0F0B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restart"/>
                  <w:vAlign w:val="center"/>
                </w:tcPr>
                <w:p w14:paraId="51C213B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污水处理站</w:t>
                  </w:r>
                  <w:r>
                    <w:rPr>
                      <w:rFonts w:hint="default" w:ascii="Times New Roman" w:hAnsi="Times New Roman" w:cs="Times New Roman"/>
                      <w:color w:val="auto"/>
                      <w:sz w:val="21"/>
                      <w:szCs w:val="21"/>
                      <w:highlight w:val="none"/>
                      <w:lang w:val="en-US" w:eastAsia="zh-CN"/>
                    </w:rPr>
                    <w:t>废水处理</w:t>
                  </w:r>
                </w:p>
              </w:tc>
              <w:tc>
                <w:tcPr>
                  <w:tcW w:w="789" w:type="dxa"/>
                  <w:vMerge w:val="restart"/>
                  <w:vAlign w:val="center"/>
                </w:tcPr>
                <w:p w14:paraId="289F87A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932" w:type="dxa"/>
                  <w:vMerge w:val="restart"/>
                  <w:vAlign w:val="center"/>
                </w:tcPr>
                <w:p w14:paraId="4AB0E9E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c>
                <w:tcPr>
                  <w:tcW w:w="852" w:type="dxa"/>
                  <w:vMerge w:val="restart"/>
                  <w:vAlign w:val="center"/>
                </w:tcPr>
                <w:p w14:paraId="2DEC226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916" w:type="dxa"/>
                  <w:vMerge w:val="restart"/>
                  <w:vAlign w:val="center"/>
                </w:tcPr>
                <w:p w14:paraId="53177C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cs="Times New Roman"/>
                      <w:i w:val="0"/>
                      <w:iCs w:val="0"/>
                      <w:color w:val="auto"/>
                      <w:kern w:val="0"/>
                      <w:sz w:val="21"/>
                      <w:szCs w:val="21"/>
                      <w:highlight w:val="none"/>
                      <w:u w:val="none"/>
                      <w:lang w:val="en-US" w:eastAsia="zh-CN" w:bidi="ar"/>
                    </w:rPr>
                    <w:t>2.906</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200" w:type="dxa"/>
                  <w:vMerge w:val="restart"/>
                  <w:vAlign w:val="center"/>
                </w:tcPr>
                <w:p w14:paraId="2DFD8E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加盖密闭后，集气罩收集送“稀碱液循环洗涤+活性炭吸附”+15m排气筒</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风量3000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i w:val="0"/>
                      <w:iCs w:val="0"/>
                      <w:color w:val="auto"/>
                      <w:kern w:val="0"/>
                      <w:sz w:val="21"/>
                      <w:szCs w:val="21"/>
                      <w:highlight w:val="none"/>
                      <w:u w:val="none"/>
                      <w:lang w:val="en-US" w:eastAsia="zh-CN" w:bidi="ar"/>
                    </w:rPr>
                    <w:t>/h（依托）</w:t>
                  </w:r>
                </w:p>
              </w:tc>
              <w:tc>
                <w:tcPr>
                  <w:tcW w:w="727" w:type="dxa"/>
                  <w:vMerge w:val="restart"/>
                  <w:vAlign w:val="center"/>
                </w:tcPr>
                <w:p w14:paraId="0DEC7AF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w:t>
                  </w:r>
                </w:p>
              </w:tc>
              <w:tc>
                <w:tcPr>
                  <w:tcW w:w="514" w:type="dxa"/>
                  <w:vMerge w:val="restart"/>
                  <w:vAlign w:val="center"/>
                </w:tcPr>
                <w:p w14:paraId="230B8A9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0%</w:t>
                  </w:r>
                </w:p>
              </w:tc>
              <w:tc>
                <w:tcPr>
                  <w:tcW w:w="444" w:type="dxa"/>
                  <w:vMerge w:val="restart"/>
                  <w:vAlign w:val="center"/>
                </w:tcPr>
                <w:p w14:paraId="6E451FB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88" w:type="dxa"/>
                  <w:vMerge w:val="restart"/>
                  <w:vAlign w:val="center"/>
                </w:tcPr>
                <w:p w14:paraId="0E2EBDC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90" w:type="dxa"/>
                  <w:vAlign w:val="center"/>
                </w:tcPr>
                <w:p w14:paraId="720A7BA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1082" w:type="dxa"/>
                  <w:vAlign w:val="center"/>
                </w:tcPr>
                <w:p w14:paraId="38A8D25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vertAlign w:val="superscript"/>
                      <w:lang w:val="en-US" w:eastAsia="zh-CN" w:bidi="ar"/>
                    </w:rPr>
                    <w:t>-4</w:t>
                  </w:r>
                </w:p>
              </w:tc>
              <w:tc>
                <w:tcPr>
                  <w:tcW w:w="1074" w:type="dxa"/>
                  <w:vAlign w:val="center"/>
                </w:tcPr>
                <w:p w14:paraId="239EFC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058" w:type="dxa"/>
                  <w:vAlign w:val="center"/>
                </w:tcPr>
                <w:p w14:paraId="0F9164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w:t>
                  </w:r>
                  <w:r>
                    <w:rPr>
                      <w:rFonts w:hint="eastAsia" w:cs="Times New Roman"/>
                      <w:i w:val="0"/>
                      <w:iCs w:val="0"/>
                      <w:color w:val="auto"/>
                      <w:kern w:val="0"/>
                      <w:sz w:val="21"/>
                      <w:szCs w:val="21"/>
                      <w:highlight w:val="none"/>
                      <w:u w:val="none"/>
                      <w:lang w:val="en-US" w:eastAsia="zh-CN" w:bidi="ar"/>
                    </w:rPr>
                    <w:t>23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726" w:type="dxa"/>
                  <w:vAlign w:val="center"/>
                </w:tcPr>
                <w:p w14:paraId="29624DDF">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w:t>
                  </w:r>
                </w:p>
              </w:tc>
              <w:tc>
                <w:tcPr>
                  <w:tcW w:w="774" w:type="dxa"/>
                  <w:shd w:val="clear" w:color="auto" w:fill="auto"/>
                  <w:vAlign w:val="center"/>
                </w:tcPr>
                <w:p w14:paraId="4E7479A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4.9</w:t>
                  </w:r>
                </w:p>
              </w:tc>
              <w:tc>
                <w:tcPr>
                  <w:tcW w:w="685" w:type="dxa"/>
                  <w:vMerge w:val="restart"/>
                  <w:vAlign w:val="center"/>
                </w:tcPr>
                <w:p w14:paraId="6802DAA8">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DA00</w:t>
                  </w:r>
                  <w:r>
                    <w:rPr>
                      <w:rFonts w:hint="default" w:ascii="Times New Roman" w:hAnsi="Times New Roman" w:cs="Times New Roman"/>
                      <w:color w:val="auto"/>
                      <w:sz w:val="21"/>
                      <w:szCs w:val="21"/>
                      <w:highlight w:val="none"/>
                      <w:lang w:val="en-US" w:eastAsia="zh-CN"/>
                    </w:rPr>
                    <w:t>3</w:t>
                  </w:r>
                </w:p>
              </w:tc>
            </w:tr>
            <w:tr w14:paraId="0F75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14:paraId="305E3A6F">
                  <w:pPr>
                    <w:jc w:val="center"/>
                    <w:rPr>
                      <w:rFonts w:hint="default" w:ascii="Times New Roman" w:hAnsi="Times New Roman" w:cs="Times New Roman"/>
                      <w:color w:val="auto"/>
                      <w:sz w:val="21"/>
                      <w:szCs w:val="21"/>
                      <w:highlight w:val="none"/>
                    </w:rPr>
                  </w:pPr>
                </w:p>
              </w:tc>
              <w:tc>
                <w:tcPr>
                  <w:tcW w:w="789" w:type="dxa"/>
                  <w:vMerge w:val="continue"/>
                  <w:vAlign w:val="center"/>
                </w:tcPr>
                <w:p w14:paraId="5E87045B">
                  <w:pPr>
                    <w:jc w:val="center"/>
                    <w:rPr>
                      <w:rFonts w:hint="default" w:ascii="Times New Roman" w:hAnsi="Times New Roman" w:cs="Times New Roman"/>
                      <w:color w:val="auto"/>
                      <w:sz w:val="21"/>
                      <w:szCs w:val="21"/>
                      <w:highlight w:val="none"/>
                    </w:rPr>
                  </w:pPr>
                </w:p>
              </w:tc>
              <w:tc>
                <w:tcPr>
                  <w:tcW w:w="932" w:type="dxa"/>
                  <w:vMerge w:val="continue"/>
                  <w:vAlign w:val="center"/>
                </w:tcPr>
                <w:p w14:paraId="217DE013">
                  <w:pPr>
                    <w:jc w:val="center"/>
                    <w:rPr>
                      <w:rFonts w:hint="default" w:ascii="Times New Roman" w:hAnsi="Times New Roman" w:cs="Times New Roman"/>
                      <w:color w:val="auto"/>
                      <w:sz w:val="21"/>
                      <w:szCs w:val="21"/>
                      <w:highlight w:val="none"/>
                    </w:rPr>
                  </w:pPr>
                </w:p>
              </w:tc>
              <w:tc>
                <w:tcPr>
                  <w:tcW w:w="852" w:type="dxa"/>
                  <w:vMerge w:val="continue"/>
                  <w:vAlign w:val="center"/>
                </w:tcPr>
                <w:p w14:paraId="0551CFE3">
                  <w:pPr>
                    <w:jc w:val="center"/>
                    <w:rPr>
                      <w:rFonts w:hint="default" w:ascii="Times New Roman" w:hAnsi="Times New Roman" w:cs="Times New Roman"/>
                      <w:color w:val="auto"/>
                      <w:sz w:val="21"/>
                      <w:szCs w:val="21"/>
                      <w:highlight w:val="none"/>
                    </w:rPr>
                  </w:pPr>
                </w:p>
              </w:tc>
              <w:tc>
                <w:tcPr>
                  <w:tcW w:w="916" w:type="dxa"/>
                  <w:vMerge w:val="continue"/>
                  <w:vAlign w:val="center"/>
                </w:tcPr>
                <w:p w14:paraId="493E4761">
                  <w:pPr>
                    <w:jc w:val="center"/>
                    <w:rPr>
                      <w:rFonts w:hint="default" w:ascii="Times New Roman" w:hAnsi="Times New Roman" w:cs="Times New Roman"/>
                      <w:color w:val="auto"/>
                      <w:sz w:val="21"/>
                      <w:szCs w:val="21"/>
                      <w:highlight w:val="none"/>
                    </w:rPr>
                  </w:pPr>
                </w:p>
              </w:tc>
              <w:tc>
                <w:tcPr>
                  <w:tcW w:w="1200" w:type="dxa"/>
                  <w:vMerge w:val="continue"/>
                  <w:vAlign w:val="center"/>
                </w:tcPr>
                <w:p w14:paraId="10FDA340">
                  <w:pPr>
                    <w:jc w:val="center"/>
                    <w:rPr>
                      <w:rFonts w:hint="default" w:ascii="Times New Roman" w:hAnsi="Times New Roman" w:cs="Times New Roman"/>
                      <w:color w:val="auto"/>
                      <w:sz w:val="21"/>
                      <w:szCs w:val="21"/>
                      <w:highlight w:val="none"/>
                    </w:rPr>
                  </w:pPr>
                </w:p>
              </w:tc>
              <w:tc>
                <w:tcPr>
                  <w:tcW w:w="727" w:type="dxa"/>
                  <w:vMerge w:val="continue"/>
                  <w:vAlign w:val="center"/>
                </w:tcPr>
                <w:p w14:paraId="744B0221">
                  <w:pPr>
                    <w:jc w:val="center"/>
                    <w:rPr>
                      <w:rFonts w:hint="default" w:ascii="Times New Roman" w:hAnsi="Times New Roman" w:cs="Times New Roman"/>
                      <w:color w:val="auto"/>
                      <w:sz w:val="21"/>
                      <w:szCs w:val="21"/>
                      <w:highlight w:val="none"/>
                    </w:rPr>
                  </w:pPr>
                </w:p>
              </w:tc>
              <w:tc>
                <w:tcPr>
                  <w:tcW w:w="514" w:type="dxa"/>
                  <w:vMerge w:val="continue"/>
                  <w:vAlign w:val="center"/>
                </w:tcPr>
                <w:p w14:paraId="43A3708F">
                  <w:pPr>
                    <w:jc w:val="center"/>
                    <w:rPr>
                      <w:rFonts w:hint="default" w:ascii="Times New Roman" w:hAnsi="Times New Roman" w:cs="Times New Roman"/>
                      <w:color w:val="auto"/>
                      <w:sz w:val="21"/>
                      <w:szCs w:val="21"/>
                      <w:highlight w:val="none"/>
                    </w:rPr>
                  </w:pPr>
                </w:p>
              </w:tc>
              <w:tc>
                <w:tcPr>
                  <w:tcW w:w="444" w:type="dxa"/>
                  <w:vMerge w:val="continue"/>
                  <w:vAlign w:val="center"/>
                </w:tcPr>
                <w:p w14:paraId="3F4620AA">
                  <w:pPr>
                    <w:jc w:val="center"/>
                    <w:rPr>
                      <w:rFonts w:hint="default" w:ascii="Times New Roman" w:hAnsi="Times New Roman" w:cs="Times New Roman"/>
                      <w:color w:val="auto"/>
                      <w:sz w:val="21"/>
                      <w:szCs w:val="21"/>
                      <w:highlight w:val="none"/>
                    </w:rPr>
                  </w:pPr>
                </w:p>
              </w:tc>
              <w:tc>
                <w:tcPr>
                  <w:tcW w:w="488" w:type="dxa"/>
                  <w:vMerge w:val="continue"/>
                  <w:vAlign w:val="center"/>
                </w:tcPr>
                <w:p w14:paraId="63FA81F3">
                  <w:pPr>
                    <w:jc w:val="center"/>
                    <w:rPr>
                      <w:rFonts w:hint="default" w:ascii="Times New Roman" w:hAnsi="Times New Roman" w:cs="Times New Roman"/>
                      <w:color w:val="auto"/>
                      <w:sz w:val="21"/>
                      <w:szCs w:val="21"/>
                      <w:highlight w:val="none"/>
                    </w:rPr>
                  </w:pPr>
                </w:p>
              </w:tc>
              <w:tc>
                <w:tcPr>
                  <w:tcW w:w="590" w:type="dxa"/>
                  <w:vAlign w:val="center"/>
                </w:tcPr>
                <w:p w14:paraId="60701AD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1082" w:type="dxa"/>
                  <w:vAlign w:val="center"/>
                </w:tcPr>
                <w:p w14:paraId="5E90A30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vertAlign w:val="superscript"/>
                      <w:lang w:val="en-US" w:eastAsia="zh-CN" w:bidi="ar"/>
                    </w:rPr>
                    <w:t>-4</w:t>
                  </w:r>
                </w:p>
              </w:tc>
              <w:tc>
                <w:tcPr>
                  <w:tcW w:w="1074" w:type="dxa"/>
                  <w:vAlign w:val="center"/>
                </w:tcPr>
                <w:p w14:paraId="64050C2F">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8" w:type="dxa"/>
                  <w:vAlign w:val="center"/>
                </w:tcPr>
                <w:p w14:paraId="01D524F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cs="Times New Roman"/>
                      <w:i w:val="0"/>
                      <w:iCs w:val="0"/>
                      <w:color w:val="auto"/>
                      <w:kern w:val="0"/>
                      <w:sz w:val="21"/>
                      <w:szCs w:val="21"/>
                      <w:highlight w:val="none"/>
                      <w:u w:val="none"/>
                      <w:lang w:val="en-US" w:eastAsia="zh-CN" w:bidi="ar"/>
                    </w:rPr>
                    <w:t>291</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726" w:type="dxa"/>
                  <w:vAlign w:val="center"/>
                </w:tcPr>
                <w:p w14:paraId="72AEC52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774" w:type="dxa"/>
                  <w:shd w:val="clear" w:color="auto" w:fill="auto"/>
                  <w:vAlign w:val="center"/>
                </w:tcPr>
                <w:p w14:paraId="4B0F931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685" w:type="dxa"/>
                  <w:vMerge w:val="continue"/>
                  <w:vAlign w:val="center"/>
                </w:tcPr>
                <w:p w14:paraId="4EB965FE">
                  <w:pPr>
                    <w:jc w:val="center"/>
                    <w:rPr>
                      <w:rFonts w:hint="default" w:ascii="Times New Roman" w:hAnsi="Times New Roman" w:cs="Times New Roman"/>
                      <w:color w:val="auto"/>
                      <w:sz w:val="21"/>
                      <w:szCs w:val="21"/>
                      <w:highlight w:val="none"/>
                    </w:rPr>
                  </w:pPr>
                </w:p>
              </w:tc>
            </w:tr>
            <w:tr w14:paraId="60F6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5" w:type="dxa"/>
                  <w:vMerge w:val="continue"/>
                  <w:vAlign w:val="center"/>
                </w:tcPr>
                <w:p w14:paraId="77BCF021">
                  <w:pPr>
                    <w:jc w:val="center"/>
                    <w:rPr>
                      <w:rFonts w:hint="default" w:ascii="Times New Roman" w:hAnsi="Times New Roman" w:cs="Times New Roman"/>
                      <w:color w:val="auto"/>
                      <w:sz w:val="21"/>
                      <w:szCs w:val="21"/>
                      <w:highlight w:val="none"/>
                    </w:rPr>
                  </w:pPr>
                </w:p>
              </w:tc>
              <w:tc>
                <w:tcPr>
                  <w:tcW w:w="789" w:type="dxa"/>
                  <w:vMerge w:val="restart"/>
                  <w:vAlign w:val="center"/>
                </w:tcPr>
                <w:p w14:paraId="3396356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932" w:type="dxa"/>
                  <w:vMerge w:val="restart"/>
                  <w:vAlign w:val="center"/>
                </w:tcPr>
                <w:p w14:paraId="4EFEB2B2">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1.2×10</w:t>
                  </w:r>
                  <w:r>
                    <w:rPr>
                      <w:rFonts w:hint="default" w:ascii="Times New Roman" w:hAnsi="Times New Roman" w:cs="Times New Roman"/>
                      <w:i w:val="0"/>
                      <w:iCs w:val="0"/>
                      <w:color w:val="auto"/>
                      <w:kern w:val="0"/>
                      <w:sz w:val="21"/>
                      <w:szCs w:val="21"/>
                      <w:highlight w:val="none"/>
                      <w:u w:val="none"/>
                      <w:vertAlign w:val="superscript"/>
                      <w:lang w:val="en-US" w:eastAsia="zh-CN" w:bidi="ar"/>
                    </w:rPr>
                    <w:t>-4</w:t>
                  </w:r>
                </w:p>
              </w:tc>
              <w:tc>
                <w:tcPr>
                  <w:tcW w:w="852" w:type="dxa"/>
                  <w:vMerge w:val="restart"/>
                  <w:vAlign w:val="center"/>
                </w:tcPr>
                <w:p w14:paraId="24390E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916" w:type="dxa"/>
                  <w:vMerge w:val="restart"/>
                  <w:vAlign w:val="center"/>
                </w:tcPr>
                <w:p w14:paraId="5C22C76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0.8</w:t>
                  </w:r>
                  <w:r>
                    <w:rPr>
                      <w:rFonts w:hint="eastAsia" w:cs="Times New Roman"/>
                      <w:i w:val="0"/>
                      <w:iCs w:val="0"/>
                      <w:color w:val="auto"/>
                      <w:kern w:val="0"/>
                      <w:sz w:val="21"/>
                      <w:szCs w:val="21"/>
                      <w:highlight w:val="none"/>
                      <w:u w:val="none"/>
                      <w:lang w:val="en-US" w:eastAsia="zh-CN" w:bidi="ar"/>
                    </w:rPr>
                    <w:t>87</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200" w:type="dxa"/>
                  <w:vMerge w:val="continue"/>
                  <w:vAlign w:val="center"/>
                </w:tcPr>
                <w:p w14:paraId="69627F94">
                  <w:pPr>
                    <w:jc w:val="center"/>
                    <w:rPr>
                      <w:rFonts w:hint="default" w:ascii="Times New Roman" w:hAnsi="Times New Roman" w:cs="Times New Roman"/>
                      <w:color w:val="auto"/>
                      <w:sz w:val="21"/>
                      <w:szCs w:val="21"/>
                      <w:highlight w:val="none"/>
                    </w:rPr>
                  </w:pPr>
                </w:p>
              </w:tc>
              <w:tc>
                <w:tcPr>
                  <w:tcW w:w="727" w:type="dxa"/>
                  <w:vMerge w:val="continue"/>
                  <w:vAlign w:val="center"/>
                </w:tcPr>
                <w:p w14:paraId="5AB3DD1A">
                  <w:pPr>
                    <w:jc w:val="center"/>
                    <w:rPr>
                      <w:rFonts w:hint="default" w:ascii="Times New Roman" w:hAnsi="Times New Roman" w:cs="Times New Roman"/>
                      <w:color w:val="auto"/>
                      <w:sz w:val="21"/>
                      <w:szCs w:val="21"/>
                      <w:highlight w:val="none"/>
                    </w:rPr>
                  </w:pPr>
                </w:p>
              </w:tc>
              <w:tc>
                <w:tcPr>
                  <w:tcW w:w="514" w:type="dxa"/>
                  <w:vMerge w:val="continue"/>
                  <w:vAlign w:val="center"/>
                </w:tcPr>
                <w:p w14:paraId="57422BA0">
                  <w:pPr>
                    <w:jc w:val="center"/>
                    <w:rPr>
                      <w:rFonts w:hint="default" w:ascii="Times New Roman" w:hAnsi="Times New Roman" w:cs="Times New Roman"/>
                      <w:color w:val="auto"/>
                      <w:sz w:val="21"/>
                      <w:szCs w:val="21"/>
                      <w:highlight w:val="none"/>
                    </w:rPr>
                  </w:pPr>
                </w:p>
              </w:tc>
              <w:tc>
                <w:tcPr>
                  <w:tcW w:w="444" w:type="dxa"/>
                  <w:vMerge w:val="continue"/>
                  <w:vAlign w:val="center"/>
                </w:tcPr>
                <w:p w14:paraId="5ECD9E3B">
                  <w:pPr>
                    <w:jc w:val="center"/>
                    <w:rPr>
                      <w:rFonts w:hint="default" w:ascii="Times New Roman" w:hAnsi="Times New Roman" w:cs="Times New Roman"/>
                      <w:color w:val="auto"/>
                      <w:sz w:val="21"/>
                      <w:szCs w:val="21"/>
                      <w:highlight w:val="none"/>
                    </w:rPr>
                  </w:pPr>
                </w:p>
              </w:tc>
              <w:tc>
                <w:tcPr>
                  <w:tcW w:w="488" w:type="dxa"/>
                  <w:vMerge w:val="continue"/>
                  <w:vAlign w:val="center"/>
                </w:tcPr>
                <w:p w14:paraId="2A9BEF44">
                  <w:pPr>
                    <w:jc w:val="center"/>
                    <w:rPr>
                      <w:rFonts w:hint="default" w:ascii="Times New Roman" w:hAnsi="Times New Roman" w:cs="Times New Roman"/>
                      <w:color w:val="auto"/>
                      <w:sz w:val="21"/>
                      <w:szCs w:val="21"/>
                      <w:highlight w:val="none"/>
                    </w:rPr>
                  </w:pPr>
                </w:p>
              </w:tc>
              <w:tc>
                <w:tcPr>
                  <w:tcW w:w="590" w:type="dxa"/>
                  <w:vAlign w:val="center"/>
                </w:tcPr>
                <w:p w14:paraId="66A519F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1082" w:type="dxa"/>
                  <w:vAlign w:val="center"/>
                </w:tcPr>
                <w:p w14:paraId="1E5B086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1074" w:type="dxa"/>
                  <w:vAlign w:val="center"/>
                </w:tcPr>
                <w:p w14:paraId="1704EC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 </w:t>
                  </w:r>
                </w:p>
              </w:tc>
              <w:tc>
                <w:tcPr>
                  <w:tcW w:w="1058" w:type="dxa"/>
                  <w:vAlign w:val="center"/>
                </w:tcPr>
                <w:p w14:paraId="67ABD6C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0.161</w:t>
                  </w:r>
                  <w:r>
                    <w:rPr>
                      <w:rFonts w:hint="eastAsia" w:cs="Times New Roman"/>
                      <w:i w:val="0"/>
                      <w:iCs w:val="0"/>
                      <w:color w:val="auto"/>
                      <w:kern w:val="0"/>
                      <w:sz w:val="21"/>
                      <w:szCs w:val="21"/>
                      <w:highlight w:val="none"/>
                      <w:u w:val="none"/>
                      <w:lang w:val="en-US" w:eastAsia="zh-CN" w:bidi="ar"/>
                    </w:rPr>
                    <w:t>0</w:t>
                  </w:r>
                </w:p>
              </w:tc>
              <w:tc>
                <w:tcPr>
                  <w:tcW w:w="726" w:type="dxa"/>
                  <w:vAlign w:val="center"/>
                </w:tcPr>
                <w:p w14:paraId="1FBD3D0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74" w:type="dxa"/>
                  <w:vAlign w:val="center"/>
                </w:tcPr>
                <w:p w14:paraId="514385C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0.33</w:t>
                  </w:r>
                </w:p>
              </w:tc>
              <w:tc>
                <w:tcPr>
                  <w:tcW w:w="685" w:type="dxa"/>
                  <w:vMerge w:val="continue"/>
                  <w:vAlign w:val="center"/>
                </w:tcPr>
                <w:p w14:paraId="7BA386FB">
                  <w:pPr>
                    <w:jc w:val="center"/>
                    <w:rPr>
                      <w:rFonts w:hint="default" w:ascii="Times New Roman" w:hAnsi="Times New Roman" w:cs="Times New Roman"/>
                      <w:color w:val="auto"/>
                      <w:sz w:val="21"/>
                      <w:szCs w:val="21"/>
                      <w:highlight w:val="none"/>
                    </w:rPr>
                  </w:pPr>
                </w:p>
              </w:tc>
            </w:tr>
            <w:tr w14:paraId="69AC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14:paraId="6CFF4938">
                  <w:pPr>
                    <w:jc w:val="center"/>
                    <w:rPr>
                      <w:rFonts w:hint="default" w:ascii="Times New Roman" w:hAnsi="Times New Roman" w:cs="Times New Roman"/>
                      <w:color w:val="auto"/>
                      <w:sz w:val="21"/>
                      <w:szCs w:val="21"/>
                      <w:highlight w:val="none"/>
                    </w:rPr>
                  </w:pPr>
                </w:p>
              </w:tc>
              <w:tc>
                <w:tcPr>
                  <w:tcW w:w="789" w:type="dxa"/>
                  <w:vMerge w:val="continue"/>
                  <w:vAlign w:val="center"/>
                </w:tcPr>
                <w:p w14:paraId="742B51E3">
                  <w:pPr>
                    <w:jc w:val="center"/>
                    <w:rPr>
                      <w:rFonts w:hint="default" w:ascii="Times New Roman" w:hAnsi="Times New Roman" w:cs="Times New Roman"/>
                      <w:color w:val="auto"/>
                      <w:sz w:val="21"/>
                      <w:szCs w:val="21"/>
                      <w:highlight w:val="none"/>
                    </w:rPr>
                  </w:pPr>
                </w:p>
              </w:tc>
              <w:tc>
                <w:tcPr>
                  <w:tcW w:w="932" w:type="dxa"/>
                  <w:vMerge w:val="continue"/>
                  <w:vAlign w:val="center"/>
                </w:tcPr>
                <w:p w14:paraId="0E58DF15">
                  <w:pPr>
                    <w:jc w:val="center"/>
                    <w:rPr>
                      <w:rFonts w:hint="default" w:ascii="Times New Roman" w:hAnsi="Times New Roman" w:cs="Times New Roman"/>
                      <w:color w:val="auto"/>
                      <w:sz w:val="21"/>
                      <w:szCs w:val="21"/>
                      <w:highlight w:val="none"/>
                    </w:rPr>
                  </w:pPr>
                </w:p>
              </w:tc>
              <w:tc>
                <w:tcPr>
                  <w:tcW w:w="852" w:type="dxa"/>
                  <w:vMerge w:val="continue"/>
                  <w:vAlign w:val="center"/>
                </w:tcPr>
                <w:p w14:paraId="1FDE8DF6">
                  <w:pPr>
                    <w:jc w:val="center"/>
                    <w:rPr>
                      <w:rFonts w:hint="default" w:ascii="Times New Roman" w:hAnsi="Times New Roman" w:cs="Times New Roman"/>
                      <w:color w:val="auto"/>
                      <w:sz w:val="21"/>
                      <w:szCs w:val="21"/>
                      <w:highlight w:val="none"/>
                    </w:rPr>
                  </w:pPr>
                </w:p>
              </w:tc>
              <w:tc>
                <w:tcPr>
                  <w:tcW w:w="916" w:type="dxa"/>
                  <w:vMerge w:val="continue"/>
                  <w:vAlign w:val="center"/>
                </w:tcPr>
                <w:p w14:paraId="11D51C2C">
                  <w:pPr>
                    <w:jc w:val="center"/>
                    <w:rPr>
                      <w:rFonts w:hint="default" w:ascii="Times New Roman" w:hAnsi="Times New Roman" w:cs="Times New Roman"/>
                      <w:color w:val="auto"/>
                      <w:sz w:val="21"/>
                      <w:szCs w:val="21"/>
                      <w:highlight w:val="none"/>
                    </w:rPr>
                  </w:pPr>
                </w:p>
              </w:tc>
              <w:tc>
                <w:tcPr>
                  <w:tcW w:w="1200" w:type="dxa"/>
                  <w:vMerge w:val="continue"/>
                  <w:vAlign w:val="center"/>
                </w:tcPr>
                <w:p w14:paraId="6204FF08">
                  <w:pPr>
                    <w:jc w:val="center"/>
                    <w:rPr>
                      <w:rFonts w:hint="default" w:ascii="Times New Roman" w:hAnsi="Times New Roman" w:cs="Times New Roman"/>
                      <w:color w:val="auto"/>
                      <w:sz w:val="21"/>
                      <w:szCs w:val="21"/>
                      <w:highlight w:val="none"/>
                    </w:rPr>
                  </w:pPr>
                </w:p>
              </w:tc>
              <w:tc>
                <w:tcPr>
                  <w:tcW w:w="727" w:type="dxa"/>
                  <w:vMerge w:val="continue"/>
                  <w:vAlign w:val="center"/>
                </w:tcPr>
                <w:p w14:paraId="36E66AB0">
                  <w:pPr>
                    <w:jc w:val="center"/>
                    <w:rPr>
                      <w:rFonts w:hint="default" w:ascii="Times New Roman" w:hAnsi="Times New Roman" w:cs="Times New Roman"/>
                      <w:color w:val="auto"/>
                      <w:sz w:val="21"/>
                      <w:szCs w:val="21"/>
                      <w:highlight w:val="none"/>
                    </w:rPr>
                  </w:pPr>
                </w:p>
              </w:tc>
              <w:tc>
                <w:tcPr>
                  <w:tcW w:w="514" w:type="dxa"/>
                  <w:vMerge w:val="continue"/>
                  <w:vAlign w:val="center"/>
                </w:tcPr>
                <w:p w14:paraId="59915102">
                  <w:pPr>
                    <w:jc w:val="center"/>
                    <w:rPr>
                      <w:rFonts w:hint="default" w:ascii="Times New Roman" w:hAnsi="Times New Roman" w:cs="Times New Roman"/>
                      <w:color w:val="auto"/>
                      <w:sz w:val="21"/>
                      <w:szCs w:val="21"/>
                      <w:highlight w:val="none"/>
                    </w:rPr>
                  </w:pPr>
                </w:p>
              </w:tc>
              <w:tc>
                <w:tcPr>
                  <w:tcW w:w="444" w:type="dxa"/>
                  <w:vMerge w:val="continue"/>
                  <w:vAlign w:val="center"/>
                </w:tcPr>
                <w:p w14:paraId="395829A6">
                  <w:pPr>
                    <w:jc w:val="center"/>
                    <w:rPr>
                      <w:rFonts w:hint="default" w:ascii="Times New Roman" w:hAnsi="Times New Roman" w:cs="Times New Roman"/>
                      <w:color w:val="auto"/>
                      <w:sz w:val="21"/>
                      <w:szCs w:val="21"/>
                      <w:highlight w:val="none"/>
                    </w:rPr>
                  </w:pPr>
                </w:p>
              </w:tc>
              <w:tc>
                <w:tcPr>
                  <w:tcW w:w="488" w:type="dxa"/>
                  <w:vMerge w:val="continue"/>
                  <w:vAlign w:val="center"/>
                </w:tcPr>
                <w:p w14:paraId="42778B3C">
                  <w:pPr>
                    <w:jc w:val="center"/>
                    <w:rPr>
                      <w:rFonts w:hint="default" w:ascii="Times New Roman" w:hAnsi="Times New Roman" w:cs="Times New Roman"/>
                      <w:color w:val="auto"/>
                      <w:sz w:val="21"/>
                      <w:szCs w:val="21"/>
                      <w:highlight w:val="none"/>
                    </w:rPr>
                  </w:pPr>
                </w:p>
              </w:tc>
              <w:tc>
                <w:tcPr>
                  <w:tcW w:w="590" w:type="dxa"/>
                  <w:vAlign w:val="center"/>
                </w:tcPr>
                <w:p w14:paraId="76FFBE4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1082" w:type="dxa"/>
                  <w:vAlign w:val="center"/>
                </w:tcPr>
                <w:p w14:paraId="5B248F5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1074" w:type="dxa"/>
                  <w:vAlign w:val="center"/>
                </w:tcPr>
                <w:p w14:paraId="1576468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8" w:type="dxa"/>
                  <w:vAlign w:val="center"/>
                </w:tcPr>
                <w:p w14:paraId="487C6BE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89</w:t>
                  </w:r>
                </w:p>
              </w:tc>
              <w:tc>
                <w:tcPr>
                  <w:tcW w:w="726" w:type="dxa"/>
                  <w:vAlign w:val="center"/>
                </w:tcPr>
                <w:p w14:paraId="6DD7015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0.06</w:t>
                  </w:r>
                </w:p>
              </w:tc>
              <w:tc>
                <w:tcPr>
                  <w:tcW w:w="774" w:type="dxa"/>
                  <w:vAlign w:val="center"/>
                </w:tcPr>
                <w:p w14:paraId="5631108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85" w:type="dxa"/>
                  <w:vMerge w:val="continue"/>
                  <w:vAlign w:val="center"/>
                </w:tcPr>
                <w:p w14:paraId="1D3161BE">
                  <w:pPr>
                    <w:jc w:val="center"/>
                    <w:rPr>
                      <w:rFonts w:hint="default" w:ascii="Times New Roman" w:hAnsi="Times New Roman" w:cs="Times New Roman"/>
                      <w:color w:val="auto"/>
                      <w:sz w:val="21"/>
                      <w:szCs w:val="21"/>
                      <w:highlight w:val="none"/>
                    </w:rPr>
                  </w:pPr>
                </w:p>
              </w:tc>
            </w:tr>
            <w:tr w14:paraId="53EA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Align w:val="center"/>
                </w:tcPr>
                <w:p w14:paraId="3721991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w:t>
                  </w:r>
                  <w:r>
                    <w:rPr>
                      <w:rFonts w:hint="eastAsia" w:cs="Times New Roman"/>
                      <w:color w:val="auto"/>
                      <w:sz w:val="21"/>
                      <w:szCs w:val="21"/>
                      <w:highlight w:val="none"/>
                      <w:lang w:val="en-US" w:eastAsia="zh-CN"/>
                    </w:rPr>
                    <w:t>烹饪</w:t>
                  </w:r>
                </w:p>
              </w:tc>
              <w:tc>
                <w:tcPr>
                  <w:tcW w:w="789" w:type="dxa"/>
                  <w:vAlign w:val="center"/>
                </w:tcPr>
                <w:p w14:paraId="2B207B7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油烟</w:t>
                  </w:r>
                </w:p>
              </w:tc>
              <w:tc>
                <w:tcPr>
                  <w:tcW w:w="932" w:type="dxa"/>
                  <w:vAlign w:val="center"/>
                </w:tcPr>
                <w:p w14:paraId="6F309C8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6.00</w:t>
                  </w:r>
                  <w:r>
                    <w:rPr>
                      <w:rFonts w:hint="default" w:ascii="Times New Roman" w:hAnsi="Times New Roman" w:cs="Times New Roman"/>
                      <w:color w:val="auto"/>
                      <w:kern w:val="0"/>
                      <w:sz w:val="21"/>
                      <w:szCs w:val="21"/>
                      <w:highlight w:val="none"/>
                      <w:lang w:val="en-US" w:eastAsia="zh-CN"/>
                    </w:rPr>
                    <w:t>×10</w:t>
                  </w:r>
                  <w:r>
                    <w:rPr>
                      <w:rFonts w:hint="default" w:ascii="Times New Roman" w:hAnsi="Times New Roman" w:cs="Times New Roman"/>
                      <w:color w:val="auto"/>
                      <w:kern w:val="0"/>
                      <w:sz w:val="21"/>
                      <w:szCs w:val="21"/>
                      <w:highlight w:val="none"/>
                      <w:vertAlign w:val="superscript"/>
                      <w:lang w:val="en-US" w:eastAsia="zh-CN"/>
                    </w:rPr>
                    <w:t>-6</w:t>
                  </w:r>
                </w:p>
              </w:tc>
              <w:tc>
                <w:tcPr>
                  <w:tcW w:w="852" w:type="dxa"/>
                  <w:vAlign w:val="center"/>
                </w:tcPr>
                <w:p w14:paraId="6B23EC7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916" w:type="dxa"/>
                  <w:vAlign w:val="center"/>
                </w:tcPr>
                <w:p w14:paraId="57190A2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0.0072</w:t>
                  </w:r>
                </w:p>
              </w:tc>
              <w:tc>
                <w:tcPr>
                  <w:tcW w:w="1200" w:type="dxa"/>
                  <w:vAlign w:val="center"/>
                </w:tcPr>
                <w:p w14:paraId="0143108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油烟净化器</w:t>
                  </w:r>
                </w:p>
              </w:tc>
              <w:tc>
                <w:tcPr>
                  <w:tcW w:w="727" w:type="dxa"/>
                  <w:vAlign w:val="center"/>
                </w:tcPr>
                <w:p w14:paraId="18A10CD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w:t>
                  </w:r>
                </w:p>
              </w:tc>
              <w:tc>
                <w:tcPr>
                  <w:tcW w:w="514" w:type="dxa"/>
                  <w:vAlign w:val="center"/>
                </w:tcPr>
                <w:p w14:paraId="258C59F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c>
                <w:tcPr>
                  <w:tcW w:w="444" w:type="dxa"/>
                  <w:vAlign w:val="center"/>
                </w:tcPr>
                <w:p w14:paraId="1B934E1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88" w:type="dxa"/>
                  <w:vAlign w:val="center"/>
                </w:tcPr>
                <w:p w14:paraId="1F48CEB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90" w:type="dxa"/>
                  <w:vAlign w:val="center"/>
                </w:tcPr>
                <w:p w14:paraId="481C4E7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1082" w:type="dxa"/>
                  <w:vAlign w:val="center"/>
                </w:tcPr>
                <w:p w14:paraId="4E3F9FC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1.28</w:t>
                  </w:r>
                  <w:r>
                    <w:rPr>
                      <w:rFonts w:hint="default" w:ascii="Times New Roman" w:hAnsi="Times New Roman" w:cs="Times New Roman"/>
                      <w:color w:val="auto"/>
                      <w:kern w:val="0"/>
                      <w:sz w:val="21"/>
                      <w:szCs w:val="21"/>
                      <w:highlight w:val="none"/>
                      <w:lang w:val="en-US" w:eastAsia="zh-CN"/>
                    </w:rPr>
                    <w:t>×10</w:t>
                  </w:r>
                  <w:r>
                    <w:rPr>
                      <w:rFonts w:hint="default" w:ascii="Times New Roman" w:hAnsi="Times New Roman" w:cs="Times New Roman"/>
                      <w:color w:val="auto"/>
                      <w:kern w:val="0"/>
                      <w:sz w:val="21"/>
                      <w:szCs w:val="21"/>
                      <w:highlight w:val="none"/>
                      <w:vertAlign w:val="superscript"/>
                      <w:lang w:val="en-US" w:eastAsia="zh-CN"/>
                    </w:rPr>
                    <w:t>-6</w:t>
                  </w:r>
                </w:p>
              </w:tc>
              <w:tc>
                <w:tcPr>
                  <w:tcW w:w="1074" w:type="dxa"/>
                  <w:vAlign w:val="center"/>
                </w:tcPr>
                <w:p w14:paraId="7A333E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6.38</w:t>
                  </w:r>
                  <w:r>
                    <w:rPr>
                      <w:rFonts w:hint="default" w:ascii="Times New Roman" w:hAnsi="Times New Roman" w:cs="Times New Roman"/>
                      <w:color w:val="auto"/>
                      <w:kern w:val="0"/>
                      <w:sz w:val="21"/>
                      <w:szCs w:val="21"/>
                      <w:highlight w:val="none"/>
                      <w:lang w:val="en-US" w:eastAsia="zh-CN"/>
                    </w:rPr>
                    <w:t>×10</w:t>
                  </w:r>
                  <w:r>
                    <w:rPr>
                      <w:rFonts w:hint="default" w:ascii="Times New Roman" w:hAnsi="Times New Roman" w:cs="Times New Roman"/>
                      <w:color w:val="auto"/>
                      <w:kern w:val="0"/>
                      <w:sz w:val="21"/>
                      <w:szCs w:val="21"/>
                      <w:highlight w:val="none"/>
                      <w:vertAlign w:val="superscript"/>
                      <w:lang w:val="en-US" w:eastAsia="zh-CN"/>
                    </w:rPr>
                    <w:t>-4</w:t>
                  </w:r>
                </w:p>
              </w:tc>
              <w:tc>
                <w:tcPr>
                  <w:tcW w:w="1058" w:type="dxa"/>
                  <w:vAlign w:val="center"/>
                </w:tcPr>
                <w:p w14:paraId="4DB2F48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1.53</w:t>
                  </w:r>
                  <w:r>
                    <w:rPr>
                      <w:rFonts w:hint="default" w:ascii="Times New Roman" w:hAnsi="Times New Roman" w:cs="Times New Roman"/>
                      <w:color w:val="auto"/>
                      <w:kern w:val="0"/>
                      <w:sz w:val="21"/>
                      <w:szCs w:val="21"/>
                      <w:highlight w:val="none"/>
                      <w:lang w:val="en-US" w:eastAsia="zh-CN"/>
                    </w:rPr>
                    <w:t>×10</w:t>
                  </w:r>
                  <w:r>
                    <w:rPr>
                      <w:rFonts w:hint="default" w:ascii="Times New Roman" w:hAnsi="Times New Roman" w:cs="Times New Roman"/>
                      <w:color w:val="auto"/>
                      <w:kern w:val="0"/>
                      <w:sz w:val="21"/>
                      <w:szCs w:val="21"/>
                      <w:highlight w:val="none"/>
                      <w:vertAlign w:val="superscript"/>
                      <w:lang w:val="en-US" w:eastAsia="zh-CN"/>
                    </w:rPr>
                    <w:t>-3</w:t>
                  </w:r>
                </w:p>
              </w:tc>
              <w:tc>
                <w:tcPr>
                  <w:tcW w:w="726" w:type="dxa"/>
                  <w:vAlign w:val="center"/>
                </w:tcPr>
                <w:p w14:paraId="37D6302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774" w:type="dxa"/>
                  <w:vAlign w:val="center"/>
                </w:tcPr>
                <w:p w14:paraId="256F633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85" w:type="dxa"/>
                  <w:vAlign w:val="center"/>
                </w:tcPr>
                <w:p w14:paraId="616B9E6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14:paraId="0C30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Align w:val="center"/>
                </w:tcPr>
                <w:p w14:paraId="3ED8474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生产装置逸散</w:t>
                  </w:r>
                </w:p>
              </w:tc>
              <w:tc>
                <w:tcPr>
                  <w:tcW w:w="789" w:type="dxa"/>
                  <w:vAlign w:val="center"/>
                </w:tcPr>
                <w:p w14:paraId="0E2EAA8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VOCs</w:t>
                  </w:r>
                </w:p>
              </w:tc>
              <w:tc>
                <w:tcPr>
                  <w:tcW w:w="932" w:type="dxa"/>
                  <w:vAlign w:val="center"/>
                </w:tcPr>
                <w:p w14:paraId="00849CF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104</w:t>
                  </w:r>
                </w:p>
              </w:tc>
              <w:tc>
                <w:tcPr>
                  <w:tcW w:w="852" w:type="dxa"/>
                  <w:vAlign w:val="center"/>
                </w:tcPr>
                <w:p w14:paraId="38E0DFB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916" w:type="dxa"/>
                  <w:vAlign w:val="center"/>
                </w:tcPr>
                <w:p w14:paraId="36E1763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750</w:t>
                  </w:r>
                </w:p>
              </w:tc>
              <w:tc>
                <w:tcPr>
                  <w:tcW w:w="1200" w:type="dxa"/>
                  <w:vAlign w:val="center"/>
                </w:tcPr>
                <w:p w14:paraId="0D35AFE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管理高效、控制自动化</w:t>
                  </w:r>
                </w:p>
              </w:tc>
              <w:tc>
                <w:tcPr>
                  <w:tcW w:w="727" w:type="dxa"/>
                  <w:vAlign w:val="center"/>
                </w:tcPr>
                <w:p w14:paraId="684BA7E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14" w:type="dxa"/>
                  <w:vAlign w:val="center"/>
                </w:tcPr>
                <w:p w14:paraId="4B6AEA7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44" w:type="dxa"/>
                  <w:vAlign w:val="center"/>
                </w:tcPr>
                <w:p w14:paraId="24647B2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8" w:type="dxa"/>
                  <w:vAlign w:val="center"/>
                </w:tcPr>
                <w:p w14:paraId="62FC01E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590" w:type="dxa"/>
                  <w:vAlign w:val="center"/>
                </w:tcPr>
                <w:p w14:paraId="1D731C0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w:t>
                  </w:r>
                </w:p>
              </w:tc>
              <w:tc>
                <w:tcPr>
                  <w:tcW w:w="1082" w:type="dxa"/>
                  <w:vAlign w:val="center"/>
                </w:tcPr>
                <w:p w14:paraId="7F62B0CF">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074" w:type="dxa"/>
                  <w:vAlign w:val="center"/>
                </w:tcPr>
                <w:p w14:paraId="66D0B9AC">
                  <w:pPr>
                    <w:jc w:val="center"/>
                    <w:rPr>
                      <w:rFonts w:hint="default" w:ascii="Times New Roman" w:hAnsi="Times New Roman" w:cs="Times New Roman"/>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1058" w:type="dxa"/>
                  <w:vAlign w:val="center"/>
                </w:tcPr>
                <w:p w14:paraId="3356D266">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750</w:t>
                  </w:r>
                </w:p>
              </w:tc>
              <w:tc>
                <w:tcPr>
                  <w:tcW w:w="726" w:type="dxa"/>
                  <w:vAlign w:val="center"/>
                </w:tcPr>
                <w:p w14:paraId="64F32D9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w:t>
                  </w:r>
                </w:p>
              </w:tc>
              <w:tc>
                <w:tcPr>
                  <w:tcW w:w="774" w:type="dxa"/>
                  <w:vAlign w:val="center"/>
                </w:tcPr>
                <w:p w14:paraId="50B0FD2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85" w:type="dxa"/>
                  <w:vAlign w:val="center"/>
                </w:tcPr>
                <w:p w14:paraId="7A79EF3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14:paraId="2E6B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655" w:type="dxa"/>
                  <w:vAlign w:val="center"/>
                </w:tcPr>
                <w:p w14:paraId="5158B73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危废贮存库</w:t>
                  </w:r>
                  <w:r>
                    <w:rPr>
                      <w:rFonts w:hint="default" w:ascii="Times New Roman" w:hAnsi="Times New Roman" w:cs="Times New Roman"/>
                      <w:color w:val="auto"/>
                      <w:sz w:val="21"/>
                      <w:szCs w:val="21"/>
                      <w:highlight w:val="none"/>
                      <w:lang w:val="en-US" w:eastAsia="zh-CN"/>
                    </w:rPr>
                    <w:t>危废逸散</w:t>
                  </w:r>
                </w:p>
              </w:tc>
              <w:tc>
                <w:tcPr>
                  <w:tcW w:w="789" w:type="dxa"/>
                  <w:vAlign w:val="center"/>
                </w:tcPr>
                <w:p w14:paraId="537D0A0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臭气浓度</w:t>
                  </w:r>
                </w:p>
              </w:tc>
              <w:tc>
                <w:tcPr>
                  <w:tcW w:w="932" w:type="dxa"/>
                  <w:vAlign w:val="center"/>
                </w:tcPr>
                <w:p w14:paraId="5973C13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52" w:type="dxa"/>
                  <w:vAlign w:val="center"/>
                </w:tcPr>
                <w:p w14:paraId="6A5709A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16" w:type="dxa"/>
                  <w:vAlign w:val="center"/>
                </w:tcPr>
                <w:p w14:paraId="0EEDBF2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微量</w:t>
                  </w:r>
                </w:p>
              </w:tc>
              <w:tc>
                <w:tcPr>
                  <w:tcW w:w="1200" w:type="dxa"/>
                  <w:vAlign w:val="center"/>
                </w:tcPr>
                <w:p w14:paraId="12F18ED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机械通风，带盖密封分类存放，喷洒生物除臭剂，定期清运处置</w:t>
                  </w:r>
                </w:p>
              </w:tc>
              <w:tc>
                <w:tcPr>
                  <w:tcW w:w="727" w:type="dxa"/>
                  <w:vAlign w:val="center"/>
                </w:tcPr>
                <w:p w14:paraId="088F14A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14" w:type="dxa"/>
                  <w:vAlign w:val="center"/>
                </w:tcPr>
                <w:p w14:paraId="23D9C2B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44" w:type="dxa"/>
                  <w:vAlign w:val="center"/>
                </w:tcPr>
                <w:p w14:paraId="5EF643F5">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488" w:type="dxa"/>
                  <w:vAlign w:val="center"/>
                </w:tcPr>
                <w:p w14:paraId="1F5975E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90" w:type="dxa"/>
                  <w:vAlign w:val="center"/>
                </w:tcPr>
                <w:p w14:paraId="62BAD8E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1082" w:type="dxa"/>
                  <w:vAlign w:val="center"/>
                </w:tcPr>
                <w:p w14:paraId="08B979E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074" w:type="dxa"/>
                  <w:vAlign w:val="center"/>
                </w:tcPr>
                <w:p w14:paraId="2965F5A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058" w:type="dxa"/>
                  <w:vAlign w:val="center"/>
                </w:tcPr>
                <w:p w14:paraId="155F2FA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微量</w:t>
                  </w:r>
                </w:p>
                <w:p w14:paraId="5208AF76">
                  <w:pPr>
                    <w:jc w:val="center"/>
                    <w:rPr>
                      <w:rFonts w:hint="default" w:ascii="Times New Roman" w:hAnsi="Times New Roman" w:cs="Times New Roman"/>
                      <w:color w:val="auto"/>
                      <w:sz w:val="21"/>
                      <w:szCs w:val="21"/>
                      <w:highlight w:val="none"/>
                    </w:rPr>
                  </w:pPr>
                </w:p>
              </w:tc>
              <w:tc>
                <w:tcPr>
                  <w:tcW w:w="726" w:type="dxa"/>
                  <w:vAlign w:val="center"/>
                </w:tcPr>
                <w:p w14:paraId="6AC71AC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20（无量纲）</w:t>
                  </w:r>
                </w:p>
              </w:tc>
              <w:tc>
                <w:tcPr>
                  <w:tcW w:w="774" w:type="dxa"/>
                  <w:vAlign w:val="center"/>
                </w:tcPr>
                <w:p w14:paraId="2CB080D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85" w:type="dxa"/>
                  <w:vAlign w:val="center"/>
                </w:tcPr>
                <w:p w14:paraId="5DCBBCC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14:paraId="3CCF992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b/>
                <w:color w:val="auto"/>
                <w:szCs w:val="21"/>
                <w:highlight w:val="none"/>
              </w:rPr>
            </w:pPr>
            <w:r>
              <w:rPr>
                <w:rFonts w:hint="eastAsia"/>
                <w:bCs/>
                <w:color w:val="auto"/>
                <w:sz w:val="24"/>
                <w:highlight w:val="none"/>
                <w:lang w:val="en-US" w:eastAsia="zh-CN"/>
              </w:rPr>
              <w:t>本项目不新增废气排放口，均依托现有工程废气排放口。本项目依托的废气排放口情况如下：</w:t>
            </w:r>
          </w:p>
          <w:p w14:paraId="03765DD2">
            <w:pPr>
              <w:pStyle w:val="41"/>
              <w:rPr>
                <w:color w:val="auto"/>
                <w:szCs w:val="21"/>
                <w:highlight w:val="none"/>
              </w:rPr>
            </w:pPr>
            <w:r>
              <w:rPr>
                <w:rFonts w:hint="eastAsia"/>
                <w:color w:val="auto"/>
                <w:szCs w:val="21"/>
                <w:highlight w:val="none"/>
              </w:rPr>
              <w:t>本项目</w:t>
            </w:r>
            <w:r>
              <w:rPr>
                <w:rFonts w:hint="eastAsia"/>
                <w:color w:val="auto"/>
                <w:szCs w:val="21"/>
                <w:highlight w:val="none"/>
                <w:lang w:val="en-US" w:eastAsia="zh-CN"/>
              </w:rPr>
              <w:t>依托</w:t>
            </w:r>
            <w:r>
              <w:rPr>
                <w:color w:val="auto"/>
                <w:szCs w:val="21"/>
                <w:highlight w:val="none"/>
              </w:rPr>
              <w:t>废气排放口情况</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774"/>
              <w:gridCol w:w="1152"/>
              <w:gridCol w:w="1358"/>
              <w:gridCol w:w="1301"/>
              <w:gridCol w:w="2533"/>
              <w:gridCol w:w="3722"/>
            </w:tblGrid>
            <w:tr w14:paraId="3B7F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 w:hRule="atLeast"/>
                <w:tblHeader/>
                <w:jc w:val="center"/>
              </w:trPr>
              <w:tc>
                <w:tcPr>
                  <w:tcW w:w="241" w:type="pct"/>
                  <w:vAlign w:val="center"/>
                </w:tcPr>
                <w:p w14:paraId="06633C3D">
                  <w:pPr>
                    <w:pStyle w:val="100"/>
                    <w:adjustRightInd w:val="0"/>
                    <w:snapToGrid w:val="0"/>
                    <w:jc w:val="center"/>
                    <w:rPr>
                      <w:rFonts w:ascii="Times New Roman" w:hAnsi="Times New Roman"/>
                      <w:b/>
                      <w:color w:val="auto"/>
                      <w:szCs w:val="21"/>
                      <w:highlight w:val="none"/>
                    </w:rPr>
                  </w:pPr>
                  <w:r>
                    <w:rPr>
                      <w:rFonts w:hint="eastAsia" w:ascii="Times New Roman" w:hAnsi="Times New Roman"/>
                      <w:b/>
                      <w:color w:val="auto"/>
                      <w:szCs w:val="21"/>
                      <w:highlight w:val="none"/>
                      <w:lang w:val="en-US" w:eastAsia="zh-CN"/>
                    </w:rPr>
                    <w:t>序</w:t>
                  </w:r>
                  <w:r>
                    <w:rPr>
                      <w:rFonts w:ascii="Times New Roman" w:hAnsi="Times New Roman"/>
                      <w:b/>
                      <w:color w:val="auto"/>
                      <w:szCs w:val="21"/>
                      <w:highlight w:val="none"/>
                    </w:rPr>
                    <w:t>号</w:t>
                  </w:r>
                </w:p>
              </w:tc>
              <w:tc>
                <w:tcPr>
                  <w:tcW w:w="1028" w:type="pct"/>
                  <w:vAlign w:val="center"/>
                </w:tcPr>
                <w:p w14:paraId="7A6A144E">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编号及名称</w:t>
                  </w:r>
                </w:p>
              </w:tc>
              <w:tc>
                <w:tcPr>
                  <w:tcW w:w="426" w:type="pct"/>
                  <w:vAlign w:val="center"/>
                </w:tcPr>
                <w:p w14:paraId="1DD99055">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高度m</w:t>
                  </w:r>
                </w:p>
              </w:tc>
              <w:tc>
                <w:tcPr>
                  <w:tcW w:w="503" w:type="pct"/>
                  <w:vAlign w:val="center"/>
                </w:tcPr>
                <w:p w14:paraId="16C5A560">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温度</w:t>
                  </w:r>
                  <w:r>
                    <w:rPr>
                      <w:rFonts w:hint="eastAsia" w:ascii="宋体" w:hAnsi="宋体" w:cs="宋体"/>
                      <w:b/>
                      <w:color w:val="auto"/>
                      <w:szCs w:val="21"/>
                      <w:highlight w:val="none"/>
                    </w:rPr>
                    <w:t>℃</w:t>
                  </w:r>
                </w:p>
              </w:tc>
              <w:tc>
                <w:tcPr>
                  <w:tcW w:w="482" w:type="pct"/>
                  <w:vAlign w:val="center"/>
                </w:tcPr>
                <w:p w14:paraId="3B69CA35">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类型</w:t>
                  </w:r>
                </w:p>
              </w:tc>
              <w:tc>
                <w:tcPr>
                  <w:tcW w:w="938" w:type="pct"/>
                  <w:vAlign w:val="center"/>
                </w:tcPr>
                <w:p w14:paraId="516E2955">
                  <w:pPr>
                    <w:pStyle w:val="100"/>
                    <w:adjustRightInd w:val="0"/>
                    <w:snapToGrid w:val="0"/>
                    <w:jc w:val="center"/>
                    <w:rPr>
                      <w:rFonts w:ascii="Times New Roman" w:hAnsi="Times New Roman"/>
                      <w:b/>
                      <w:color w:val="auto"/>
                      <w:szCs w:val="21"/>
                      <w:highlight w:val="none"/>
                    </w:rPr>
                  </w:pPr>
                  <w:r>
                    <w:rPr>
                      <w:rFonts w:hint="eastAsia" w:ascii="Times New Roman" w:hAnsi="Times New Roman"/>
                      <w:b/>
                      <w:color w:val="auto"/>
                      <w:szCs w:val="21"/>
                      <w:highlight w:val="none"/>
                      <w:lang w:val="en-US" w:eastAsia="zh-CN"/>
                    </w:rPr>
                    <w:t>地理</w:t>
                  </w:r>
                  <w:r>
                    <w:rPr>
                      <w:rFonts w:ascii="Times New Roman" w:hAnsi="Times New Roman"/>
                      <w:b/>
                      <w:color w:val="auto"/>
                      <w:szCs w:val="21"/>
                      <w:highlight w:val="none"/>
                    </w:rPr>
                    <w:t>坐标</w:t>
                  </w:r>
                </w:p>
              </w:tc>
              <w:tc>
                <w:tcPr>
                  <w:tcW w:w="1379" w:type="pct"/>
                  <w:vAlign w:val="center"/>
                </w:tcPr>
                <w:p w14:paraId="01A76DBA">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排放标准</w:t>
                  </w:r>
                </w:p>
              </w:tc>
            </w:tr>
            <w:tr w14:paraId="29ED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241" w:type="pct"/>
                  <w:vAlign w:val="center"/>
                </w:tcPr>
                <w:p w14:paraId="7764D610">
                  <w:pPr>
                    <w:pStyle w:val="100"/>
                    <w:adjustRightInd w:val="0"/>
                    <w:snapToGrid w:val="0"/>
                    <w:jc w:val="center"/>
                    <w:rPr>
                      <w:rFonts w:hint="default" w:ascii="Times New Roman" w:hAnsi="Times New Roman"/>
                      <w:b/>
                      <w:color w:val="auto"/>
                      <w:szCs w:val="21"/>
                      <w:highlight w:val="none"/>
                      <w:lang w:val="en-US" w:eastAsia="zh-CN"/>
                    </w:rPr>
                  </w:pPr>
                  <w:r>
                    <w:rPr>
                      <w:rFonts w:hint="eastAsia" w:ascii="Times New Roman" w:hAnsi="Times New Roman"/>
                      <w:b w:val="0"/>
                      <w:bCs/>
                      <w:color w:val="auto"/>
                      <w:szCs w:val="21"/>
                      <w:highlight w:val="none"/>
                      <w:lang w:val="en-US" w:eastAsia="zh-CN"/>
                    </w:rPr>
                    <w:t>1</w:t>
                  </w:r>
                </w:p>
              </w:tc>
              <w:tc>
                <w:tcPr>
                  <w:tcW w:w="1028" w:type="pct"/>
                  <w:vAlign w:val="center"/>
                </w:tcPr>
                <w:p w14:paraId="7B5577F4">
                  <w:pPr>
                    <w:keepNext w:val="0"/>
                    <w:keepLines w:val="0"/>
                    <w:widowControl/>
                    <w:suppressLineNumbers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工艺废气排</w:t>
                  </w:r>
                  <w:r>
                    <w:rPr>
                      <w:rFonts w:hint="eastAsia" w:cs="Times New Roman"/>
                      <w:color w:val="auto"/>
                      <w:kern w:val="2"/>
                      <w:sz w:val="21"/>
                      <w:szCs w:val="21"/>
                      <w:highlight w:val="none"/>
                      <w:lang w:val="en-US" w:eastAsia="zh-CN" w:bidi="ar-SA"/>
                    </w:rPr>
                    <w:t>口</w:t>
                  </w:r>
                  <w:r>
                    <w:rPr>
                      <w:rFonts w:hint="eastAsia" w:ascii="Times New Roman" w:hAnsi="Times New Roman"/>
                      <w:color w:val="auto"/>
                      <w:szCs w:val="21"/>
                      <w:highlight w:val="none"/>
                    </w:rPr>
                    <w:t>（依托）</w:t>
                  </w:r>
                </w:p>
              </w:tc>
              <w:tc>
                <w:tcPr>
                  <w:tcW w:w="426" w:type="pct"/>
                  <w:vAlign w:val="center"/>
                </w:tcPr>
                <w:p w14:paraId="1D8BF938">
                  <w:pPr>
                    <w:pStyle w:val="100"/>
                    <w:adjustRightInd w:val="0"/>
                    <w:snapToGrid w:val="0"/>
                    <w:jc w:val="center"/>
                    <w:rPr>
                      <w:rFonts w:hint="default" w:ascii="Times New Roman" w:hAnsi="Times New Roman"/>
                      <w:b w:val="0"/>
                      <w:bCs/>
                      <w:color w:val="auto"/>
                      <w:szCs w:val="21"/>
                      <w:highlight w:val="none"/>
                      <w:lang w:val="en-US" w:eastAsia="zh-CN"/>
                    </w:rPr>
                  </w:pPr>
                  <w:r>
                    <w:rPr>
                      <w:rFonts w:hint="eastAsia" w:ascii="Times New Roman" w:hAnsi="Times New Roman"/>
                      <w:b w:val="0"/>
                      <w:bCs/>
                      <w:color w:val="auto"/>
                      <w:szCs w:val="21"/>
                      <w:highlight w:val="none"/>
                      <w:lang w:val="en-US" w:eastAsia="zh-CN"/>
                    </w:rPr>
                    <w:t>28</w:t>
                  </w:r>
                </w:p>
              </w:tc>
              <w:tc>
                <w:tcPr>
                  <w:tcW w:w="503" w:type="pct"/>
                  <w:vAlign w:val="center"/>
                </w:tcPr>
                <w:p w14:paraId="44426CB2">
                  <w:pPr>
                    <w:pStyle w:val="100"/>
                    <w:adjustRightInd w:val="0"/>
                    <w:snapToGrid w:val="0"/>
                    <w:jc w:val="center"/>
                    <w:rPr>
                      <w:rFonts w:hint="default" w:ascii="Times New Roman" w:hAnsi="Times New Roman"/>
                      <w:b w:val="0"/>
                      <w:bCs/>
                      <w:color w:val="auto"/>
                      <w:szCs w:val="21"/>
                      <w:highlight w:val="none"/>
                      <w:lang w:val="en-US" w:eastAsia="zh-CN"/>
                    </w:rPr>
                  </w:pPr>
                  <w:r>
                    <w:rPr>
                      <w:rFonts w:hint="eastAsia" w:ascii="Times New Roman" w:hAnsi="Times New Roman"/>
                      <w:b w:val="0"/>
                      <w:bCs/>
                      <w:color w:val="auto"/>
                      <w:szCs w:val="21"/>
                      <w:highlight w:val="none"/>
                      <w:lang w:val="en-US" w:eastAsia="zh-CN"/>
                    </w:rPr>
                    <w:t>常温</w:t>
                  </w:r>
                </w:p>
              </w:tc>
              <w:tc>
                <w:tcPr>
                  <w:tcW w:w="482" w:type="pct"/>
                  <w:vAlign w:val="center"/>
                </w:tcPr>
                <w:p w14:paraId="65484633">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主要</w:t>
                  </w:r>
                  <w:r>
                    <w:rPr>
                      <w:rFonts w:hint="eastAsia" w:ascii="Times New Roman" w:hAnsi="Times New Roman" w:eastAsia="宋体" w:cs="Times New Roman"/>
                      <w:color w:val="auto"/>
                      <w:kern w:val="2"/>
                      <w:sz w:val="21"/>
                      <w:szCs w:val="21"/>
                      <w:highlight w:val="none"/>
                      <w:lang w:val="en-US" w:eastAsia="zh-CN" w:bidi="ar-SA"/>
                    </w:rPr>
                    <w:t>排</w:t>
                  </w:r>
                </w:p>
                <w:p w14:paraId="7DC59BDC">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放口</w:t>
                  </w:r>
                </w:p>
              </w:tc>
              <w:tc>
                <w:tcPr>
                  <w:tcW w:w="938" w:type="pct"/>
                  <w:vAlign w:val="center"/>
                </w:tcPr>
                <w:p w14:paraId="1FAA975E">
                  <w:pPr>
                    <w:keepNext w:val="0"/>
                    <w:keepLines w:val="0"/>
                    <w:widowControl/>
                    <w:suppressLineNumbers w:val="0"/>
                    <w:jc w:val="center"/>
                    <w:rPr>
                      <w:rFonts w:hint="default" w:ascii="Times New Roman" w:hAnsi="Times New Roman"/>
                      <w:color w:val="auto"/>
                      <w:szCs w:val="21"/>
                      <w:highlight w:val="none"/>
                      <w:lang w:val="en-US" w:eastAsia="zh-CN"/>
                    </w:rPr>
                  </w:pPr>
                  <w:r>
                    <w:rPr>
                      <w:rFonts w:hint="eastAsia"/>
                      <w:color w:val="auto"/>
                      <w:szCs w:val="21"/>
                      <w:highlight w:val="none"/>
                      <w:lang w:val="en-US" w:eastAsia="zh-CN"/>
                    </w:rPr>
                    <w:t>E</w:t>
                  </w:r>
                  <w:r>
                    <w:rPr>
                      <w:rFonts w:hint="default" w:ascii="Times New Roman" w:hAnsi="Times New Roman"/>
                      <w:color w:val="auto"/>
                      <w:szCs w:val="21"/>
                      <w:highlight w:val="none"/>
                      <w:lang w:val="en-US" w:eastAsia="zh-CN"/>
                    </w:rPr>
                    <w:t>105°18</w:t>
                  </w:r>
                  <w:r>
                    <w:rPr>
                      <w:rFonts w:hint="default"/>
                      <w:color w:val="auto"/>
                      <w:szCs w:val="21"/>
                      <w:highlight w:val="none"/>
                      <w:lang w:val="en-US" w:eastAsia="zh-CN"/>
                    </w:rPr>
                    <w:t>'</w:t>
                  </w:r>
                  <w:r>
                    <w:rPr>
                      <w:rFonts w:hint="default" w:ascii="Times New Roman" w:hAnsi="Times New Roman"/>
                      <w:color w:val="auto"/>
                      <w:szCs w:val="21"/>
                      <w:highlight w:val="none"/>
                      <w:lang w:val="en-US" w:eastAsia="zh-CN"/>
                    </w:rPr>
                    <w:t>36.50"</w:t>
                  </w:r>
                  <w:r>
                    <w:rPr>
                      <w:rFonts w:hint="eastAsia"/>
                      <w:color w:val="auto"/>
                      <w:szCs w:val="21"/>
                      <w:highlight w:val="none"/>
                      <w:lang w:val="en-US" w:eastAsia="zh-CN"/>
                    </w:rPr>
                    <w:t>，N</w:t>
                  </w:r>
                  <w:r>
                    <w:rPr>
                      <w:rFonts w:hint="default" w:ascii="Times New Roman" w:hAnsi="Times New Roman"/>
                      <w:color w:val="auto"/>
                      <w:szCs w:val="21"/>
                      <w:highlight w:val="none"/>
                      <w:lang w:val="en-US" w:eastAsia="zh-CN"/>
                    </w:rPr>
                    <w:t>30°35'53.99"</w:t>
                  </w:r>
                </w:p>
              </w:tc>
              <w:tc>
                <w:tcPr>
                  <w:tcW w:w="1379" w:type="pct"/>
                  <w:vAlign w:val="center"/>
                </w:tcPr>
                <w:p w14:paraId="655D4D1D">
                  <w:pPr>
                    <w:pStyle w:val="100"/>
                    <w:adjustRightInd w:val="0"/>
                    <w:snapToGrid w:val="0"/>
                    <w:jc w:val="center"/>
                    <w:rPr>
                      <w:rFonts w:hint="eastAsia" w:ascii="Times New Roman" w:hAnsi="Times New Roman"/>
                      <w:color w:val="auto"/>
                      <w:szCs w:val="21"/>
                      <w:highlight w:val="none"/>
                    </w:rPr>
                  </w:pPr>
                  <w:r>
                    <w:rPr>
                      <w:rFonts w:ascii="Times New Roman" w:hAnsi="Times New Roman"/>
                      <w:color w:val="auto"/>
                      <w:szCs w:val="21"/>
                      <w:highlight w:val="none"/>
                    </w:rPr>
                    <w:t>《四川省</w:t>
                  </w:r>
                  <w:r>
                    <w:rPr>
                      <w:rFonts w:hint="eastAsia" w:ascii="Times New Roman" w:hAnsi="Times New Roman"/>
                      <w:color w:val="auto"/>
                      <w:szCs w:val="21"/>
                      <w:highlight w:val="none"/>
                    </w:rPr>
                    <w:t>固</w:t>
                  </w:r>
                  <w:r>
                    <w:rPr>
                      <w:rFonts w:ascii="Times New Roman" w:hAnsi="Times New Roman"/>
                      <w:color w:val="auto"/>
                      <w:szCs w:val="21"/>
                      <w:highlight w:val="none"/>
                    </w:rPr>
                    <w:t>定污染源大气挥发性有机物排放标准》（</w:t>
                  </w:r>
                  <w:r>
                    <w:rPr>
                      <w:rFonts w:hint="eastAsia" w:ascii="Times New Roman" w:hAnsi="Times New Roman"/>
                      <w:color w:val="auto"/>
                      <w:szCs w:val="21"/>
                      <w:highlight w:val="none"/>
                      <w:lang w:eastAsia="zh-CN"/>
                    </w:rPr>
                    <w:t>DB51/2377-2017</w:t>
                  </w:r>
                  <w:r>
                    <w:rPr>
                      <w:rFonts w:ascii="Times New Roman" w:hAnsi="Times New Roman"/>
                      <w:color w:val="auto"/>
                      <w:szCs w:val="21"/>
                      <w:highlight w:val="none"/>
                    </w:rPr>
                    <w:t>）</w:t>
                  </w:r>
                </w:p>
              </w:tc>
            </w:tr>
            <w:tr w14:paraId="7CCA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241" w:type="pct"/>
                  <w:vAlign w:val="center"/>
                </w:tcPr>
                <w:p w14:paraId="26EFC6FC">
                  <w:pPr>
                    <w:pStyle w:val="100"/>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2</w:t>
                  </w:r>
                </w:p>
              </w:tc>
              <w:tc>
                <w:tcPr>
                  <w:tcW w:w="1028" w:type="pct"/>
                  <w:vAlign w:val="center"/>
                </w:tcPr>
                <w:p w14:paraId="429D8905">
                  <w:pPr>
                    <w:pStyle w:val="100"/>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DA00</w:t>
                  </w:r>
                  <w:r>
                    <w:rPr>
                      <w:rFonts w:hint="eastAsia" w:ascii="Times New Roman" w:hAnsi="Times New Roman"/>
                      <w:color w:val="auto"/>
                      <w:szCs w:val="21"/>
                      <w:highlight w:val="none"/>
                      <w:lang w:val="en-US" w:eastAsia="zh-CN"/>
                    </w:rPr>
                    <w:t>3</w:t>
                  </w:r>
                  <w:r>
                    <w:rPr>
                      <w:rFonts w:hint="eastAsia" w:ascii="Times New Roman" w:hAnsi="Times New Roman"/>
                      <w:color w:val="auto"/>
                      <w:szCs w:val="21"/>
                      <w:highlight w:val="none"/>
                    </w:rPr>
                    <w:t>污水处理站废气排</w:t>
                  </w:r>
                  <w:r>
                    <w:rPr>
                      <w:rFonts w:hint="eastAsia" w:ascii="Times New Roman" w:hAnsi="Times New Roman"/>
                      <w:color w:val="auto"/>
                      <w:szCs w:val="21"/>
                      <w:highlight w:val="none"/>
                      <w:lang w:val="en-US" w:eastAsia="zh-CN"/>
                    </w:rPr>
                    <w:t>口</w:t>
                  </w:r>
                  <w:r>
                    <w:rPr>
                      <w:rFonts w:hint="eastAsia" w:ascii="Times New Roman" w:hAnsi="Times New Roman"/>
                      <w:color w:val="auto"/>
                      <w:szCs w:val="21"/>
                      <w:highlight w:val="none"/>
                    </w:rPr>
                    <w:t>（依托）</w:t>
                  </w:r>
                </w:p>
              </w:tc>
              <w:tc>
                <w:tcPr>
                  <w:tcW w:w="426" w:type="pct"/>
                  <w:vAlign w:val="center"/>
                </w:tcPr>
                <w:p w14:paraId="0E0BEA4D">
                  <w:pPr>
                    <w:pStyle w:val="100"/>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15</w:t>
                  </w:r>
                </w:p>
              </w:tc>
              <w:tc>
                <w:tcPr>
                  <w:tcW w:w="503" w:type="pct"/>
                  <w:vAlign w:val="center"/>
                </w:tcPr>
                <w:p w14:paraId="2FE0D91B">
                  <w:pPr>
                    <w:pStyle w:val="100"/>
                    <w:adjustRightInd w:val="0"/>
                    <w:snapToGrid w:val="0"/>
                    <w:jc w:val="center"/>
                    <w:rPr>
                      <w:rFonts w:ascii="Times New Roman" w:hAnsi="Times New Roman"/>
                      <w:color w:val="auto"/>
                      <w:szCs w:val="21"/>
                      <w:highlight w:val="none"/>
                    </w:rPr>
                  </w:pPr>
                  <w:r>
                    <w:rPr>
                      <w:rFonts w:hint="eastAsia" w:ascii="Times New Roman" w:hAnsi="Times New Roman"/>
                      <w:b w:val="0"/>
                      <w:bCs/>
                      <w:color w:val="auto"/>
                      <w:szCs w:val="21"/>
                      <w:highlight w:val="none"/>
                      <w:lang w:val="en-US" w:eastAsia="zh-CN"/>
                    </w:rPr>
                    <w:t>常温</w:t>
                  </w:r>
                </w:p>
              </w:tc>
              <w:tc>
                <w:tcPr>
                  <w:tcW w:w="482" w:type="pct"/>
                  <w:vAlign w:val="center"/>
                </w:tcPr>
                <w:p w14:paraId="69EFFD82">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一般排放口</w:t>
                  </w:r>
                </w:p>
              </w:tc>
              <w:tc>
                <w:tcPr>
                  <w:tcW w:w="938" w:type="pct"/>
                  <w:vAlign w:val="center"/>
                </w:tcPr>
                <w:p w14:paraId="6E2C05D4">
                  <w:pPr>
                    <w:keepNext w:val="0"/>
                    <w:keepLines w:val="0"/>
                    <w:widowControl/>
                    <w:suppressLineNumbers w:val="0"/>
                    <w:jc w:val="center"/>
                    <w:rPr>
                      <w:rFonts w:hint="eastAsia"/>
                      <w:color w:val="auto"/>
                      <w:szCs w:val="21"/>
                      <w:highlight w:val="none"/>
                      <w:lang w:val="en-US" w:eastAsia="zh-CN"/>
                    </w:rPr>
                  </w:pPr>
                  <w:r>
                    <w:rPr>
                      <w:rFonts w:hint="eastAsia"/>
                      <w:color w:val="auto"/>
                      <w:szCs w:val="21"/>
                      <w:highlight w:val="none"/>
                      <w:lang w:val="en-US" w:eastAsia="zh-CN"/>
                    </w:rPr>
                    <w:t>E</w:t>
                  </w:r>
                  <w:r>
                    <w:rPr>
                      <w:rFonts w:hint="default"/>
                      <w:color w:val="auto"/>
                      <w:szCs w:val="21"/>
                      <w:highlight w:val="none"/>
                      <w:lang w:val="en-US" w:eastAsia="zh-CN"/>
                    </w:rPr>
                    <w:t>105°18'19.62"</w:t>
                  </w:r>
                  <w:r>
                    <w:rPr>
                      <w:rFonts w:hint="eastAsia"/>
                      <w:color w:val="auto"/>
                      <w:szCs w:val="21"/>
                      <w:highlight w:val="none"/>
                      <w:lang w:val="en-US" w:eastAsia="zh-CN"/>
                    </w:rPr>
                    <w:t>，N</w:t>
                  </w:r>
                  <w:r>
                    <w:rPr>
                      <w:rFonts w:hint="default"/>
                      <w:color w:val="auto"/>
                      <w:szCs w:val="21"/>
                      <w:highlight w:val="none"/>
                      <w:lang w:val="en-US" w:eastAsia="zh-CN"/>
                    </w:rPr>
                    <w:t>30°35'55.72"</w:t>
                  </w:r>
                </w:p>
              </w:tc>
              <w:tc>
                <w:tcPr>
                  <w:tcW w:w="1379" w:type="pct"/>
                  <w:vAlign w:val="center"/>
                </w:tcPr>
                <w:p w14:paraId="56C74E38">
                  <w:pPr>
                    <w:pStyle w:val="100"/>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《恶臭污染物排放标准》（GB14554-93）</w:t>
                  </w:r>
                </w:p>
              </w:tc>
            </w:tr>
          </w:tbl>
          <w:p w14:paraId="478DDD16">
            <w:pPr>
              <w:pStyle w:val="41"/>
              <w:rPr>
                <w:color w:val="auto"/>
                <w:szCs w:val="21"/>
                <w:highlight w:val="none"/>
              </w:rPr>
            </w:pPr>
            <w:r>
              <w:rPr>
                <w:rFonts w:hint="eastAsia"/>
                <w:color w:val="auto"/>
                <w:szCs w:val="21"/>
                <w:highlight w:val="none"/>
                <w:lang w:val="en-US" w:eastAsia="zh-CN"/>
              </w:rPr>
              <w:t>技改后依托排气筒废气排放情况汇总表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7"/>
              <w:gridCol w:w="1826"/>
              <w:gridCol w:w="2401"/>
              <w:gridCol w:w="2334"/>
              <w:gridCol w:w="2358"/>
              <w:gridCol w:w="2075"/>
            </w:tblGrid>
            <w:tr w14:paraId="7727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8" w:type="pct"/>
                  <w:vMerge w:val="restart"/>
                  <w:vAlign w:val="center"/>
                </w:tcPr>
                <w:p w14:paraId="45ABC47A">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排放口编号及名称</w:t>
                  </w:r>
                </w:p>
              </w:tc>
              <w:tc>
                <w:tcPr>
                  <w:tcW w:w="676" w:type="pct"/>
                  <w:vMerge w:val="restart"/>
                  <w:vAlign w:val="center"/>
                </w:tcPr>
                <w:p w14:paraId="5C3D7837">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1753" w:type="pct"/>
                  <w:gridSpan w:val="2"/>
                  <w:vAlign w:val="center"/>
                </w:tcPr>
                <w:p w14:paraId="409BFFEF">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污染物排放情况</w:t>
                  </w:r>
                </w:p>
              </w:tc>
              <w:tc>
                <w:tcPr>
                  <w:tcW w:w="1641" w:type="pct"/>
                  <w:gridSpan w:val="2"/>
                  <w:vAlign w:val="center"/>
                </w:tcPr>
                <w:p w14:paraId="73108BB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排放标准</w:t>
                  </w:r>
                </w:p>
              </w:tc>
            </w:tr>
            <w:tr w14:paraId="3B52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928" w:type="pct"/>
                  <w:vMerge w:val="continue"/>
                  <w:vAlign w:val="center"/>
                </w:tcPr>
                <w:p w14:paraId="5026149A">
                  <w:pPr>
                    <w:jc w:val="center"/>
                    <w:rPr>
                      <w:rFonts w:hint="default" w:ascii="Times New Roman" w:hAnsi="Times New Roman" w:cs="Times New Roman"/>
                      <w:b/>
                      <w:bCs/>
                      <w:color w:val="auto"/>
                      <w:sz w:val="21"/>
                      <w:szCs w:val="21"/>
                      <w:highlight w:val="none"/>
                    </w:rPr>
                  </w:pPr>
                </w:p>
              </w:tc>
              <w:tc>
                <w:tcPr>
                  <w:tcW w:w="676" w:type="pct"/>
                  <w:vMerge w:val="continue"/>
                  <w:vAlign w:val="center"/>
                </w:tcPr>
                <w:p w14:paraId="7E195C50">
                  <w:pPr>
                    <w:jc w:val="center"/>
                    <w:rPr>
                      <w:rFonts w:hint="default" w:ascii="Times New Roman" w:hAnsi="Times New Roman" w:cs="Times New Roman"/>
                      <w:b/>
                      <w:bCs/>
                      <w:color w:val="auto"/>
                      <w:sz w:val="21"/>
                      <w:szCs w:val="21"/>
                      <w:highlight w:val="none"/>
                    </w:rPr>
                  </w:pPr>
                </w:p>
              </w:tc>
              <w:tc>
                <w:tcPr>
                  <w:tcW w:w="889" w:type="pct"/>
                  <w:vAlign w:val="center"/>
                </w:tcPr>
                <w:p w14:paraId="5534F48A">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排放速率kg/h</w:t>
                  </w:r>
                </w:p>
              </w:tc>
              <w:tc>
                <w:tcPr>
                  <w:tcW w:w="864" w:type="pct"/>
                  <w:vAlign w:val="center"/>
                </w:tcPr>
                <w:p w14:paraId="441338A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排放浓度mg/m</w:t>
                  </w:r>
                  <w:r>
                    <w:rPr>
                      <w:rFonts w:hint="default" w:ascii="Times New Roman" w:hAnsi="Times New Roman" w:cs="Times New Roman"/>
                      <w:b/>
                      <w:bCs/>
                      <w:color w:val="auto"/>
                      <w:sz w:val="21"/>
                      <w:szCs w:val="21"/>
                      <w:highlight w:val="none"/>
                      <w:vertAlign w:val="superscript"/>
                    </w:rPr>
                    <w:t>3</w:t>
                  </w:r>
                </w:p>
              </w:tc>
              <w:tc>
                <w:tcPr>
                  <w:tcW w:w="873" w:type="pct"/>
                  <w:vAlign w:val="center"/>
                </w:tcPr>
                <w:p w14:paraId="088706A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最高允许排放浓度mg/m</w:t>
                  </w:r>
                  <w:r>
                    <w:rPr>
                      <w:rFonts w:hint="default" w:ascii="Times New Roman" w:hAnsi="Times New Roman" w:cs="Times New Roman"/>
                      <w:b/>
                      <w:bCs/>
                      <w:color w:val="auto"/>
                      <w:sz w:val="21"/>
                      <w:szCs w:val="21"/>
                      <w:highlight w:val="none"/>
                      <w:vertAlign w:val="superscript"/>
                    </w:rPr>
                    <w:t>3</w:t>
                  </w:r>
                </w:p>
              </w:tc>
              <w:tc>
                <w:tcPr>
                  <w:tcW w:w="768" w:type="pct"/>
                  <w:vAlign w:val="center"/>
                </w:tcPr>
                <w:p w14:paraId="1749E44C">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最高允许排放速率kg/h</w:t>
                  </w:r>
                </w:p>
              </w:tc>
            </w:tr>
            <w:tr w14:paraId="2D6E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Align w:val="center"/>
                </w:tcPr>
                <w:p w14:paraId="678DCAE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DA0</w:t>
                  </w:r>
                  <w:r>
                    <w:rPr>
                      <w:rFonts w:hint="default" w:ascii="Times New Roman" w:hAnsi="Times New Roman" w:cs="Times New Roman"/>
                      <w:color w:val="auto"/>
                      <w:sz w:val="21"/>
                      <w:szCs w:val="21"/>
                      <w:highlight w:val="none"/>
                      <w:lang w:val="en-US" w:eastAsia="zh-CN"/>
                    </w:rPr>
                    <w:t>01工艺废气排口</w:t>
                  </w:r>
                </w:p>
              </w:tc>
              <w:tc>
                <w:tcPr>
                  <w:tcW w:w="676" w:type="pct"/>
                  <w:vAlign w:val="center"/>
                </w:tcPr>
                <w:p w14:paraId="53F17F6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VOCs</w:t>
                  </w:r>
                </w:p>
              </w:tc>
              <w:tc>
                <w:tcPr>
                  <w:tcW w:w="889" w:type="pct"/>
                  <w:vAlign w:val="center"/>
                </w:tcPr>
                <w:p w14:paraId="68972D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0.336 </w:t>
                  </w:r>
                </w:p>
              </w:tc>
              <w:tc>
                <w:tcPr>
                  <w:tcW w:w="864" w:type="pct"/>
                  <w:vAlign w:val="center"/>
                </w:tcPr>
                <w:p w14:paraId="4FA9C0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eastAsia" w:cs="Times New Roman"/>
                      <w:i w:val="0"/>
                      <w:iCs w:val="0"/>
                      <w:color w:val="auto"/>
                      <w:kern w:val="0"/>
                      <w:sz w:val="21"/>
                      <w:szCs w:val="21"/>
                      <w:highlight w:val="none"/>
                      <w:u w:val="none"/>
                      <w:lang w:val="en-US" w:eastAsia="zh-CN" w:bidi="ar"/>
                    </w:rPr>
                    <w:t>803</w:t>
                  </w:r>
                </w:p>
              </w:tc>
              <w:tc>
                <w:tcPr>
                  <w:tcW w:w="873" w:type="pct"/>
                  <w:vAlign w:val="center"/>
                </w:tcPr>
                <w:p w14:paraId="7D6C22D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60</w:t>
                  </w:r>
                </w:p>
              </w:tc>
              <w:tc>
                <w:tcPr>
                  <w:tcW w:w="768" w:type="pct"/>
                  <w:vAlign w:val="center"/>
                </w:tcPr>
                <w:p w14:paraId="02B895B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7.36</w:t>
                  </w:r>
                </w:p>
              </w:tc>
            </w:tr>
            <w:tr w14:paraId="1058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928" w:type="pct"/>
                  <w:vMerge w:val="restart"/>
                  <w:vAlign w:val="center"/>
                </w:tcPr>
                <w:p w14:paraId="298C870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DA00</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污水处理站废气排</w:t>
                  </w:r>
                  <w:r>
                    <w:rPr>
                      <w:rFonts w:hint="default" w:ascii="Times New Roman" w:hAnsi="Times New Roman" w:cs="Times New Roman"/>
                      <w:color w:val="auto"/>
                      <w:sz w:val="21"/>
                      <w:szCs w:val="21"/>
                      <w:highlight w:val="none"/>
                      <w:lang w:val="en-US" w:eastAsia="zh-CN"/>
                    </w:rPr>
                    <w:t>口</w:t>
                  </w:r>
                </w:p>
              </w:tc>
              <w:tc>
                <w:tcPr>
                  <w:tcW w:w="676" w:type="pct"/>
                  <w:vAlign w:val="center"/>
                </w:tcPr>
                <w:p w14:paraId="7EC7B99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889" w:type="pct"/>
                  <w:vAlign w:val="center"/>
                </w:tcPr>
                <w:p w14:paraId="1EAD44D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8.</w:t>
                  </w:r>
                  <w:r>
                    <w:rPr>
                      <w:rFonts w:hint="eastAsia" w:cs="Times New Roman"/>
                      <w:i w:val="0"/>
                      <w:iCs w:val="0"/>
                      <w:color w:val="auto"/>
                      <w:kern w:val="0"/>
                      <w:sz w:val="21"/>
                      <w:szCs w:val="21"/>
                      <w:highlight w:val="none"/>
                      <w:u w:val="none"/>
                      <w:lang w:val="en-US" w:eastAsia="zh-CN" w:bidi="ar"/>
                    </w:rPr>
                    <w:t>07</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vertAlign w:val="superscript"/>
                      <w:lang w:val="en-US" w:eastAsia="zh-CN" w:bidi="ar"/>
                    </w:rPr>
                    <w:t>-4</w:t>
                  </w:r>
                </w:p>
              </w:tc>
              <w:tc>
                <w:tcPr>
                  <w:tcW w:w="864" w:type="pct"/>
                  <w:vAlign w:val="center"/>
                </w:tcPr>
                <w:p w14:paraId="58092F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r>
                    <w:rPr>
                      <w:rFonts w:hint="eastAsia" w:cs="Times New Roman"/>
                      <w:i w:val="0"/>
                      <w:iCs w:val="0"/>
                      <w:color w:val="auto"/>
                      <w:kern w:val="0"/>
                      <w:sz w:val="21"/>
                      <w:szCs w:val="21"/>
                      <w:highlight w:val="none"/>
                      <w:u w:val="none"/>
                      <w:lang w:val="en-US" w:eastAsia="zh-CN" w:bidi="ar"/>
                    </w:rPr>
                    <w:t>69</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873" w:type="pct"/>
                  <w:vAlign w:val="center"/>
                </w:tcPr>
                <w:p w14:paraId="1250392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68" w:type="pct"/>
                  <w:vAlign w:val="center"/>
                </w:tcPr>
                <w:p w14:paraId="28C65D3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w:t>
                  </w:r>
                </w:p>
              </w:tc>
            </w:tr>
            <w:tr w14:paraId="0852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pct"/>
                  <w:vMerge w:val="continue"/>
                  <w:vAlign w:val="center"/>
                </w:tcPr>
                <w:p w14:paraId="1E4058DA">
                  <w:pPr>
                    <w:jc w:val="center"/>
                    <w:rPr>
                      <w:rFonts w:hint="default" w:ascii="Times New Roman" w:hAnsi="Times New Roman" w:cs="Times New Roman"/>
                      <w:color w:val="auto"/>
                      <w:sz w:val="21"/>
                      <w:szCs w:val="21"/>
                      <w:highlight w:val="none"/>
                    </w:rPr>
                  </w:pPr>
                </w:p>
              </w:tc>
              <w:tc>
                <w:tcPr>
                  <w:tcW w:w="676" w:type="pct"/>
                  <w:vAlign w:val="center"/>
                </w:tcPr>
                <w:p w14:paraId="7FFB85C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889" w:type="pct"/>
                  <w:vAlign w:val="center"/>
                </w:tcPr>
                <w:p w14:paraId="3F40DF2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3.1</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864" w:type="pct"/>
                  <w:vAlign w:val="center"/>
                </w:tcPr>
                <w:p w14:paraId="185FBC6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c>
                <w:tcPr>
                  <w:tcW w:w="873" w:type="pct"/>
                  <w:vAlign w:val="center"/>
                </w:tcPr>
                <w:p w14:paraId="2571E5E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68" w:type="pct"/>
                  <w:vAlign w:val="center"/>
                </w:tcPr>
                <w:p w14:paraId="3F42448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0.33</w:t>
                  </w:r>
                </w:p>
              </w:tc>
            </w:tr>
          </w:tbl>
          <w:p w14:paraId="6946F8B5">
            <w:pPr>
              <w:adjustRightInd w:val="0"/>
              <w:snapToGrid w:val="0"/>
              <w:spacing w:line="360" w:lineRule="auto"/>
              <w:rPr>
                <w:bCs/>
                <w:color w:val="auto"/>
                <w:spacing w:val="-10"/>
                <w:sz w:val="24"/>
                <w:highlight w:val="none"/>
              </w:rPr>
            </w:pPr>
          </w:p>
        </w:tc>
      </w:tr>
    </w:tbl>
    <w:p w14:paraId="731DF0AC">
      <w:pPr>
        <w:adjustRightInd w:val="0"/>
        <w:snapToGrid w:val="0"/>
        <w:spacing w:line="360" w:lineRule="auto"/>
        <w:ind w:right="-693" w:rightChars="-330"/>
        <w:rPr>
          <w:b/>
          <w:color w:val="auto"/>
          <w:kern w:val="0"/>
          <w:sz w:val="28"/>
          <w:szCs w:val="28"/>
          <w:highlight w:val="none"/>
        </w:rPr>
        <w:sectPr>
          <w:pgSz w:w="16840" w:h="11907" w:orient="landscape"/>
          <w:pgMar w:top="1531" w:right="1701" w:bottom="1531" w:left="1701" w:header="851" w:footer="851" w:gutter="0"/>
          <w:pgNumType w:fmt="decimal"/>
          <w:cols w:space="720" w:num="1"/>
          <w:docGrid w:linePitch="312" w:charSpace="0"/>
        </w:sectPr>
      </w:pPr>
    </w:p>
    <w:tbl>
      <w:tblPr>
        <w:tblStyle w:val="27"/>
        <w:tblW w:w="508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0"/>
        <w:gridCol w:w="9432"/>
      </w:tblGrid>
      <w:tr w14:paraId="02896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99" w:hRule="atLeast"/>
          <w:jc w:val="center"/>
        </w:trPr>
        <w:tc>
          <w:tcPr>
            <w:tcW w:w="303" w:type="pct"/>
            <w:tcBorders>
              <w:top w:val="single" w:color="auto" w:sz="8" w:space="0"/>
              <w:left w:val="single" w:color="auto" w:sz="8" w:space="0"/>
              <w:right w:val="single" w:color="auto" w:sz="4" w:space="0"/>
            </w:tcBorders>
            <w:tcMar>
              <w:left w:w="28" w:type="dxa"/>
              <w:right w:w="28" w:type="dxa"/>
            </w:tcMar>
            <w:vAlign w:val="center"/>
          </w:tcPr>
          <w:p w14:paraId="152C93F9">
            <w:pPr>
              <w:adjustRightInd w:val="0"/>
              <w:snapToGrid w:val="0"/>
              <w:jc w:val="center"/>
              <w:rPr>
                <w:bCs/>
                <w:color w:val="auto"/>
                <w:szCs w:val="21"/>
                <w:highlight w:val="none"/>
              </w:rPr>
            </w:pPr>
            <w:bookmarkStart w:id="30" w:name="OLE_LINK15"/>
            <w:r>
              <w:rPr>
                <w:bCs/>
                <w:color w:val="auto"/>
                <w:sz w:val="24"/>
                <w:szCs w:val="24"/>
                <w:highlight w:val="none"/>
              </w:rPr>
              <w:t>运营期环境影响和保护措施</w:t>
            </w:r>
            <w:bookmarkEnd w:id="30"/>
          </w:p>
        </w:tc>
        <w:tc>
          <w:tcPr>
            <w:tcW w:w="4696" w:type="pct"/>
            <w:tcBorders>
              <w:top w:val="single" w:color="auto" w:sz="8" w:space="0"/>
              <w:left w:val="single" w:color="auto" w:sz="4" w:space="0"/>
              <w:right w:val="single" w:color="auto" w:sz="8" w:space="0"/>
            </w:tcBorders>
            <w:vAlign w:val="center"/>
          </w:tcPr>
          <w:p w14:paraId="1368A64E">
            <w:pPr>
              <w:spacing w:line="360" w:lineRule="auto"/>
              <w:ind w:firstLine="480" w:firstLineChars="200"/>
              <w:jc w:val="left"/>
              <w:rPr>
                <w:color w:val="auto"/>
                <w:sz w:val="24"/>
                <w:szCs w:val="22"/>
                <w:highlight w:val="none"/>
              </w:rPr>
            </w:pPr>
            <w:r>
              <w:rPr>
                <w:color w:val="auto"/>
                <w:sz w:val="24"/>
                <w:szCs w:val="22"/>
                <w:highlight w:val="none"/>
              </w:rPr>
              <w:t>综上所述，本项目产生的废气得到有效治理，能够做到达标排放，对评价范围内的大气环境影响较小，不会改变评价范围内的大气环境功能，不会对评价范围内的保护目标造成明显不利影响。</w:t>
            </w:r>
          </w:p>
          <w:p w14:paraId="40000B2F">
            <w:pPr>
              <w:spacing w:line="360" w:lineRule="auto"/>
              <w:ind w:firstLine="480" w:firstLineChars="200"/>
              <w:rPr>
                <w:color w:val="auto"/>
                <w:sz w:val="24"/>
                <w:highlight w:val="none"/>
              </w:rPr>
            </w:pPr>
            <w:r>
              <w:rPr>
                <w:rFonts w:hint="eastAsia"/>
                <w:color w:val="auto"/>
                <w:sz w:val="24"/>
                <w:highlight w:val="none"/>
              </w:rPr>
              <w:t>非正常工况下，污染物易出现超标排放情况，</w:t>
            </w:r>
            <w:r>
              <w:rPr>
                <w:color w:val="auto"/>
                <w:sz w:val="24"/>
                <w:highlight w:val="none"/>
              </w:rPr>
              <w:t>为避免出现非正常排放情况，本环评建议采取以下措施及对策：</w:t>
            </w:r>
          </w:p>
          <w:p w14:paraId="25052120">
            <w:pPr>
              <w:spacing w:line="360" w:lineRule="auto"/>
              <w:ind w:firstLine="480" w:firstLineChars="200"/>
              <w:rPr>
                <w:color w:val="auto"/>
                <w:sz w:val="24"/>
                <w:highlight w:val="none"/>
              </w:rPr>
            </w:pPr>
            <w:r>
              <w:rPr>
                <w:color w:val="auto"/>
                <w:sz w:val="24"/>
                <w:highlight w:val="none"/>
              </w:rPr>
              <w:t>（1）加强管理，制定相关责任制，确保环保设施始终处于良好的运行状态；</w:t>
            </w:r>
          </w:p>
          <w:p w14:paraId="6BB27E3C">
            <w:pPr>
              <w:spacing w:line="360" w:lineRule="auto"/>
              <w:ind w:firstLine="480" w:firstLineChars="200"/>
              <w:rPr>
                <w:color w:val="auto"/>
                <w:sz w:val="24"/>
                <w:highlight w:val="none"/>
              </w:rPr>
            </w:pPr>
            <w:r>
              <w:rPr>
                <w:color w:val="auto"/>
                <w:sz w:val="24"/>
                <w:highlight w:val="none"/>
              </w:rPr>
              <w:t>（2）制定严格的规章制度，设置严密的工程自动化监控，一旦发现尾气处理系统不正常，及时维修</w:t>
            </w:r>
            <w:r>
              <w:rPr>
                <w:rFonts w:hint="eastAsia"/>
                <w:color w:val="auto"/>
                <w:sz w:val="24"/>
                <w:highlight w:val="none"/>
              </w:rPr>
              <w:t>并暂停生产</w:t>
            </w:r>
            <w:r>
              <w:rPr>
                <w:color w:val="auto"/>
                <w:sz w:val="24"/>
                <w:highlight w:val="none"/>
              </w:rPr>
              <w:t>。</w:t>
            </w:r>
          </w:p>
          <w:p w14:paraId="5A06049A">
            <w:pPr>
              <w:spacing w:line="360" w:lineRule="auto"/>
              <w:ind w:firstLine="482" w:firstLineChars="200"/>
              <w:rPr>
                <w:b/>
                <w:bCs/>
                <w:color w:val="auto"/>
                <w:sz w:val="24"/>
                <w:highlight w:val="none"/>
              </w:rPr>
            </w:pPr>
            <w:r>
              <w:rPr>
                <w:rFonts w:hint="eastAsia"/>
                <w:b/>
                <w:bCs/>
                <w:color w:val="auto"/>
                <w:sz w:val="24"/>
                <w:highlight w:val="none"/>
              </w:rPr>
              <w:t>（7）卫生防护距离</w:t>
            </w:r>
          </w:p>
          <w:p w14:paraId="757F65A0">
            <w:pPr>
              <w:spacing w:line="360" w:lineRule="auto"/>
              <w:ind w:firstLine="480" w:firstLineChars="200"/>
              <w:rPr>
                <w:color w:val="auto"/>
                <w:sz w:val="24"/>
                <w:szCs w:val="21"/>
                <w:highlight w:val="none"/>
              </w:rPr>
            </w:pPr>
            <w:r>
              <w:rPr>
                <w:color w:val="auto"/>
                <w:sz w:val="24"/>
                <w:szCs w:val="21"/>
                <w:highlight w:val="none"/>
              </w:rPr>
              <w:t>根据《</w:t>
            </w:r>
            <w:r>
              <w:rPr>
                <w:rFonts w:hint="eastAsia"/>
                <w:color w:val="auto"/>
                <w:sz w:val="24"/>
                <w:szCs w:val="21"/>
                <w:highlight w:val="none"/>
              </w:rPr>
              <w:t>大气有害物质无组织排放卫生防护距离推导技术导则</w:t>
            </w:r>
            <w:r>
              <w:rPr>
                <w:color w:val="auto"/>
                <w:sz w:val="24"/>
                <w:szCs w:val="21"/>
                <w:highlight w:val="none"/>
              </w:rPr>
              <w:t>》（GB/T</w:t>
            </w:r>
            <w:r>
              <w:rPr>
                <w:rFonts w:hint="eastAsia"/>
                <w:color w:val="auto"/>
                <w:sz w:val="24"/>
                <w:szCs w:val="21"/>
                <w:highlight w:val="none"/>
              </w:rPr>
              <w:t>39499-2020</w:t>
            </w:r>
            <w:r>
              <w:rPr>
                <w:color w:val="auto"/>
                <w:sz w:val="24"/>
                <w:szCs w:val="21"/>
                <w:highlight w:val="none"/>
              </w:rPr>
              <w:t>），各类工业、企业卫生防护距离采用如下模式计算：</w:t>
            </w:r>
          </w:p>
          <w:p w14:paraId="158E6552">
            <w:pPr>
              <w:spacing w:line="360" w:lineRule="auto"/>
              <w:ind w:firstLine="480"/>
              <w:jc w:val="center"/>
              <w:rPr>
                <w:color w:val="auto"/>
                <w:spacing w:val="4"/>
                <w:szCs w:val="21"/>
                <w:highlight w:val="none"/>
              </w:rPr>
            </w:pPr>
            <w:r>
              <w:rPr>
                <w:color w:val="auto"/>
                <w:spacing w:val="4"/>
                <w:szCs w:val="21"/>
                <w:highlight w:val="none"/>
              </w:rPr>
              <w:drawing>
                <wp:inline distT="0" distB="0" distL="114300" distR="114300">
                  <wp:extent cx="2105025" cy="495300"/>
                  <wp:effectExtent l="0" t="0" r="9525" b="0"/>
                  <wp:docPr id="373"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88"/>
                          <pic:cNvPicPr>
                            <a:picLocks noChangeAspect="1"/>
                          </pic:cNvPicPr>
                        </pic:nvPicPr>
                        <pic:blipFill>
                          <a:blip r:embed="rId38"/>
                          <a:stretch>
                            <a:fillRect/>
                          </a:stretch>
                        </pic:blipFill>
                        <pic:spPr>
                          <a:xfrm>
                            <a:off x="0" y="0"/>
                            <a:ext cx="2105025" cy="495300"/>
                          </a:xfrm>
                          <a:prstGeom prst="rect">
                            <a:avLst/>
                          </a:prstGeom>
                          <a:noFill/>
                          <a:ln>
                            <a:noFill/>
                          </a:ln>
                        </pic:spPr>
                      </pic:pic>
                    </a:graphicData>
                  </a:graphic>
                </wp:inline>
              </w:drawing>
            </w:r>
          </w:p>
          <w:p w14:paraId="39528751">
            <w:pPr>
              <w:spacing w:line="360" w:lineRule="auto"/>
              <w:ind w:firstLine="480"/>
              <w:rPr>
                <w:color w:val="auto"/>
                <w:sz w:val="24"/>
                <w:szCs w:val="21"/>
                <w:highlight w:val="none"/>
              </w:rPr>
            </w:pPr>
            <w:r>
              <w:rPr>
                <w:color w:val="auto"/>
                <w:sz w:val="24"/>
                <w:szCs w:val="21"/>
                <w:highlight w:val="none"/>
              </w:rPr>
              <w:t>式中：Q</w:t>
            </w:r>
            <w:r>
              <w:rPr>
                <w:color w:val="auto"/>
                <w:sz w:val="24"/>
                <w:szCs w:val="21"/>
                <w:highlight w:val="none"/>
                <w:vertAlign w:val="subscript"/>
              </w:rPr>
              <w:t>c</w:t>
            </w:r>
            <w:r>
              <w:rPr>
                <w:color w:val="auto"/>
                <w:sz w:val="24"/>
                <w:szCs w:val="21"/>
                <w:highlight w:val="none"/>
              </w:rPr>
              <w:t>一大气有害物质的无组织排放量，单位为千克每小时</w:t>
            </w:r>
            <w:r>
              <w:rPr>
                <w:rFonts w:hint="eastAsia"/>
                <w:color w:val="auto"/>
                <w:sz w:val="24"/>
                <w:szCs w:val="21"/>
                <w:highlight w:val="none"/>
                <w:lang w:eastAsia="zh-CN"/>
              </w:rPr>
              <w:t>（</w:t>
            </w:r>
            <w:r>
              <w:rPr>
                <w:color w:val="auto"/>
                <w:sz w:val="24"/>
                <w:szCs w:val="21"/>
                <w:highlight w:val="none"/>
              </w:rPr>
              <w:t>kg/h</w:t>
            </w:r>
            <w:r>
              <w:rPr>
                <w:rFonts w:hint="eastAsia"/>
                <w:color w:val="auto"/>
                <w:sz w:val="24"/>
                <w:szCs w:val="21"/>
                <w:highlight w:val="none"/>
                <w:lang w:eastAsia="zh-CN"/>
              </w:rPr>
              <w:t>）</w:t>
            </w:r>
            <w:r>
              <w:rPr>
                <w:color w:val="auto"/>
                <w:sz w:val="24"/>
                <w:szCs w:val="21"/>
                <w:highlight w:val="none"/>
              </w:rPr>
              <w:t>；</w:t>
            </w:r>
          </w:p>
          <w:p w14:paraId="189E910B">
            <w:pPr>
              <w:spacing w:line="360" w:lineRule="auto"/>
              <w:ind w:firstLine="480"/>
              <w:rPr>
                <w:color w:val="auto"/>
                <w:sz w:val="24"/>
                <w:szCs w:val="21"/>
                <w:highlight w:val="none"/>
              </w:rPr>
            </w:pPr>
            <w:r>
              <w:rPr>
                <w:color w:val="auto"/>
                <w:sz w:val="24"/>
                <w:szCs w:val="21"/>
                <w:highlight w:val="none"/>
              </w:rPr>
              <w:t>C</w:t>
            </w:r>
            <w:r>
              <w:rPr>
                <w:color w:val="auto"/>
                <w:sz w:val="24"/>
                <w:szCs w:val="21"/>
                <w:highlight w:val="none"/>
                <w:vertAlign w:val="subscript"/>
              </w:rPr>
              <w:t>m</w:t>
            </w:r>
            <w:r>
              <w:rPr>
                <w:color w:val="auto"/>
                <w:sz w:val="24"/>
                <w:szCs w:val="21"/>
                <w:highlight w:val="none"/>
              </w:rPr>
              <w:t>一大气有害物质环境空气质量的标准限值，单位为毫克每立方米</w:t>
            </w:r>
            <w:r>
              <w:rPr>
                <w:rFonts w:hint="eastAsia"/>
                <w:color w:val="auto"/>
                <w:sz w:val="24"/>
                <w:szCs w:val="21"/>
                <w:highlight w:val="none"/>
                <w:lang w:eastAsia="zh-CN"/>
              </w:rPr>
              <w:t>（</w:t>
            </w:r>
            <w:r>
              <w:rPr>
                <w:color w:val="auto"/>
                <w:sz w:val="24"/>
                <w:szCs w:val="21"/>
                <w:highlight w:val="none"/>
              </w:rPr>
              <w:t>mg/m</w:t>
            </w:r>
            <w:r>
              <w:rPr>
                <w:color w:val="auto"/>
                <w:sz w:val="24"/>
                <w:szCs w:val="21"/>
                <w:highlight w:val="none"/>
                <w:vertAlign w:val="superscript"/>
              </w:rPr>
              <w:t>3</w:t>
            </w:r>
            <w:r>
              <w:rPr>
                <w:rFonts w:hint="eastAsia"/>
                <w:color w:val="auto"/>
                <w:sz w:val="24"/>
                <w:szCs w:val="21"/>
                <w:highlight w:val="none"/>
                <w:lang w:eastAsia="zh-CN"/>
              </w:rPr>
              <w:t>）</w:t>
            </w:r>
            <w:r>
              <w:rPr>
                <w:color w:val="auto"/>
                <w:sz w:val="24"/>
                <w:szCs w:val="21"/>
                <w:highlight w:val="none"/>
              </w:rPr>
              <w:t>；</w:t>
            </w:r>
          </w:p>
          <w:p w14:paraId="5777E6AB">
            <w:pPr>
              <w:spacing w:line="360" w:lineRule="auto"/>
              <w:ind w:firstLine="480"/>
              <w:rPr>
                <w:color w:val="auto"/>
                <w:sz w:val="24"/>
                <w:szCs w:val="21"/>
                <w:highlight w:val="none"/>
              </w:rPr>
            </w:pPr>
            <w:r>
              <w:rPr>
                <w:color w:val="auto"/>
                <w:sz w:val="24"/>
                <w:szCs w:val="21"/>
                <w:highlight w:val="none"/>
              </w:rPr>
              <w:t>L一大气有害物质卫生防护距离初值，单位为米</w:t>
            </w:r>
            <w:r>
              <w:rPr>
                <w:rFonts w:hint="eastAsia"/>
                <w:color w:val="auto"/>
                <w:sz w:val="24"/>
                <w:szCs w:val="21"/>
                <w:highlight w:val="none"/>
                <w:lang w:eastAsia="zh-CN"/>
              </w:rPr>
              <w:t>（</w:t>
            </w:r>
            <w:r>
              <w:rPr>
                <w:color w:val="auto"/>
                <w:sz w:val="24"/>
                <w:szCs w:val="21"/>
                <w:highlight w:val="none"/>
              </w:rPr>
              <w:t>m</w:t>
            </w:r>
            <w:r>
              <w:rPr>
                <w:rFonts w:hint="eastAsia"/>
                <w:color w:val="auto"/>
                <w:sz w:val="24"/>
                <w:szCs w:val="21"/>
                <w:highlight w:val="none"/>
                <w:lang w:eastAsia="zh-CN"/>
              </w:rPr>
              <w:t>）</w:t>
            </w:r>
            <w:r>
              <w:rPr>
                <w:color w:val="auto"/>
                <w:sz w:val="24"/>
                <w:szCs w:val="21"/>
                <w:highlight w:val="none"/>
              </w:rPr>
              <w:t>；</w:t>
            </w:r>
          </w:p>
          <w:p w14:paraId="47E4566A">
            <w:pPr>
              <w:spacing w:line="360" w:lineRule="auto"/>
              <w:ind w:firstLine="480"/>
              <w:rPr>
                <w:color w:val="auto"/>
                <w:sz w:val="24"/>
                <w:szCs w:val="21"/>
                <w:highlight w:val="none"/>
              </w:rPr>
            </w:pPr>
            <w:r>
              <w:rPr>
                <w:color w:val="auto"/>
                <w:sz w:val="24"/>
                <w:szCs w:val="21"/>
                <w:highlight w:val="none"/>
              </w:rPr>
              <w:t>R一大气有害物质无组织排放源所在生产单元的等效半径，单位为米</w:t>
            </w:r>
            <w:r>
              <w:rPr>
                <w:rFonts w:hint="eastAsia"/>
                <w:color w:val="auto"/>
                <w:sz w:val="24"/>
                <w:szCs w:val="21"/>
                <w:highlight w:val="none"/>
                <w:lang w:eastAsia="zh-CN"/>
              </w:rPr>
              <w:t>（</w:t>
            </w:r>
            <w:r>
              <w:rPr>
                <w:color w:val="auto"/>
                <w:sz w:val="24"/>
                <w:szCs w:val="21"/>
                <w:highlight w:val="none"/>
              </w:rPr>
              <w:t>m</w:t>
            </w:r>
            <w:r>
              <w:rPr>
                <w:rFonts w:hint="eastAsia"/>
                <w:color w:val="auto"/>
                <w:sz w:val="24"/>
                <w:szCs w:val="21"/>
                <w:highlight w:val="none"/>
                <w:lang w:eastAsia="zh-CN"/>
              </w:rPr>
              <w:t>）</w:t>
            </w:r>
            <w:r>
              <w:rPr>
                <w:color w:val="auto"/>
                <w:sz w:val="24"/>
                <w:szCs w:val="21"/>
                <w:highlight w:val="none"/>
              </w:rPr>
              <w:t>；</w:t>
            </w:r>
          </w:p>
          <w:p w14:paraId="49FB361F">
            <w:pPr>
              <w:spacing w:line="360" w:lineRule="auto"/>
              <w:ind w:firstLine="480"/>
              <w:rPr>
                <w:color w:val="auto"/>
                <w:sz w:val="24"/>
                <w:szCs w:val="21"/>
                <w:highlight w:val="none"/>
              </w:rPr>
            </w:pPr>
            <w:r>
              <w:rPr>
                <w:color w:val="auto"/>
                <w:sz w:val="24"/>
                <w:szCs w:val="21"/>
                <w:highlight w:val="none"/>
              </w:rPr>
              <w:t>A、B、C、D一卫生防护距离初值计算系数，无因次，根据工业企业所在地区近5年平均风速及大气污染源构成类别从下表查取。</w:t>
            </w:r>
          </w:p>
          <w:p w14:paraId="5A50500A">
            <w:pPr>
              <w:spacing w:line="360" w:lineRule="auto"/>
              <w:ind w:firstLine="480"/>
              <w:rPr>
                <w:color w:val="auto"/>
                <w:sz w:val="24"/>
                <w:szCs w:val="21"/>
                <w:highlight w:val="none"/>
              </w:rPr>
            </w:pPr>
            <w:r>
              <w:rPr>
                <w:rFonts w:hint="eastAsia"/>
                <w:color w:val="auto"/>
                <w:sz w:val="24"/>
                <w:szCs w:val="21"/>
                <w:highlight w:val="none"/>
              </w:rPr>
              <w:t>本项目</w:t>
            </w:r>
            <w:r>
              <w:rPr>
                <w:color w:val="auto"/>
                <w:sz w:val="24"/>
                <w:szCs w:val="21"/>
                <w:highlight w:val="none"/>
              </w:rPr>
              <w:t>选取的卫生防护距离计算系数见下表。</w:t>
            </w:r>
          </w:p>
          <w:p w14:paraId="17A9843E">
            <w:pPr>
              <w:pStyle w:val="41"/>
              <w:rPr>
                <w:color w:val="auto"/>
                <w:kern w:val="2"/>
                <w:szCs w:val="21"/>
                <w:highlight w:val="none"/>
              </w:rPr>
            </w:pPr>
            <w:r>
              <w:rPr>
                <w:color w:val="auto"/>
                <w:kern w:val="2"/>
                <w:szCs w:val="21"/>
                <w:highlight w:val="none"/>
              </w:rPr>
              <w:t>卫生防护距离计算系数</w:t>
            </w:r>
          </w:p>
          <w:tbl>
            <w:tblPr>
              <w:tblStyle w:val="27"/>
              <w:tblW w:w="49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29"/>
              <w:gridCol w:w="1273"/>
              <w:gridCol w:w="722"/>
              <w:gridCol w:w="787"/>
              <w:gridCol w:w="787"/>
              <w:gridCol w:w="787"/>
              <w:gridCol w:w="787"/>
              <w:gridCol w:w="787"/>
              <w:gridCol w:w="788"/>
              <w:gridCol w:w="788"/>
              <w:gridCol w:w="788"/>
            </w:tblGrid>
            <w:tr w14:paraId="507279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restart"/>
                  <w:vAlign w:val="center"/>
                </w:tcPr>
                <w:p w14:paraId="6B0EF6BE">
                  <w:pPr>
                    <w:widowControl/>
                    <w:spacing w:line="330" w:lineRule="exact"/>
                    <w:jc w:val="center"/>
                    <w:rPr>
                      <w:b/>
                      <w:color w:val="auto"/>
                      <w:kern w:val="0"/>
                      <w:szCs w:val="21"/>
                      <w:highlight w:val="none"/>
                    </w:rPr>
                  </w:pPr>
                  <w:r>
                    <w:rPr>
                      <w:b/>
                      <w:color w:val="auto"/>
                      <w:kern w:val="0"/>
                      <w:szCs w:val="21"/>
                      <w:highlight w:val="none"/>
                    </w:rPr>
                    <w:t>计算</w:t>
                  </w:r>
                </w:p>
                <w:p w14:paraId="205D35D7">
                  <w:pPr>
                    <w:widowControl/>
                    <w:spacing w:line="330" w:lineRule="exact"/>
                    <w:jc w:val="center"/>
                    <w:rPr>
                      <w:b/>
                      <w:color w:val="auto"/>
                      <w:kern w:val="0"/>
                      <w:szCs w:val="21"/>
                      <w:highlight w:val="none"/>
                    </w:rPr>
                  </w:pPr>
                  <w:r>
                    <w:rPr>
                      <w:b/>
                      <w:color w:val="auto"/>
                      <w:kern w:val="0"/>
                      <w:szCs w:val="21"/>
                      <w:highlight w:val="none"/>
                    </w:rPr>
                    <w:t>系数</w:t>
                  </w:r>
                </w:p>
              </w:tc>
              <w:tc>
                <w:tcPr>
                  <w:tcW w:w="1318" w:type="dxa"/>
                  <w:vMerge w:val="restart"/>
                  <w:vAlign w:val="center"/>
                </w:tcPr>
                <w:p w14:paraId="46EFF375">
                  <w:pPr>
                    <w:widowControl/>
                    <w:spacing w:line="330" w:lineRule="exact"/>
                    <w:jc w:val="center"/>
                    <w:rPr>
                      <w:b/>
                      <w:color w:val="auto"/>
                      <w:kern w:val="0"/>
                      <w:szCs w:val="21"/>
                      <w:highlight w:val="none"/>
                    </w:rPr>
                  </w:pPr>
                  <w:r>
                    <w:rPr>
                      <w:b/>
                      <w:color w:val="auto"/>
                      <w:kern w:val="0"/>
                      <w:szCs w:val="21"/>
                      <w:highlight w:val="none"/>
                    </w:rPr>
                    <w:t>工业企业所在地区近五年平均风速m/s</w:t>
                  </w:r>
                </w:p>
              </w:tc>
              <w:tc>
                <w:tcPr>
                  <w:tcW w:w="7221" w:type="dxa"/>
                  <w:gridSpan w:val="9"/>
                  <w:vAlign w:val="center"/>
                </w:tcPr>
                <w:p w14:paraId="45379AED">
                  <w:pPr>
                    <w:widowControl/>
                    <w:spacing w:line="330" w:lineRule="exact"/>
                    <w:jc w:val="center"/>
                    <w:rPr>
                      <w:b/>
                      <w:color w:val="auto"/>
                      <w:kern w:val="0"/>
                      <w:szCs w:val="21"/>
                      <w:highlight w:val="none"/>
                    </w:rPr>
                  </w:pPr>
                  <w:r>
                    <w:rPr>
                      <w:b/>
                      <w:color w:val="auto"/>
                      <w:kern w:val="0"/>
                      <w:szCs w:val="21"/>
                      <w:highlight w:val="none"/>
                    </w:rPr>
                    <w:t>卫生防护距离L，m</w:t>
                  </w:r>
                </w:p>
              </w:tc>
            </w:tr>
            <w:tr w14:paraId="1DF2C0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continue"/>
                  <w:vAlign w:val="center"/>
                </w:tcPr>
                <w:p w14:paraId="22C36172">
                  <w:pPr>
                    <w:widowControl/>
                    <w:spacing w:line="330" w:lineRule="exact"/>
                    <w:jc w:val="center"/>
                    <w:rPr>
                      <w:b/>
                      <w:color w:val="auto"/>
                      <w:kern w:val="0"/>
                      <w:szCs w:val="21"/>
                      <w:highlight w:val="none"/>
                    </w:rPr>
                  </w:pPr>
                </w:p>
              </w:tc>
              <w:tc>
                <w:tcPr>
                  <w:tcW w:w="1318" w:type="dxa"/>
                  <w:vMerge w:val="continue"/>
                  <w:vAlign w:val="center"/>
                </w:tcPr>
                <w:p w14:paraId="721BA28D">
                  <w:pPr>
                    <w:widowControl/>
                    <w:spacing w:line="330" w:lineRule="exact"/>
                    <w:jc w:val="center"/>
                    <w:rPr>
                      <w:b/>
                      <w:color w:val="auto"/>
                      <w:kern w:val="0"/>
                      <w:szCs w:val="21"/>
                      <w:highlight w:val="none"/>
                    </w:rPr>
                  </w:pPr>
                </w:p>
              </w:tc>
              <w:tc>
                <w:tcPr>
                  <w:tcW w:w="2361" w:type="dxa"/>
                  <w:gridSpan w:val="3"/>
                  <w:vAlign w:val="center"/>
                </w:tcPr>
                <w:p w14:paraId="76502782">
                  <w:pPr>
                    <w:widowControl/>
                    <w:spacing w:line="330" w:lineRule="exact"/>
                    <w:jc w:val="center"/>
                    <w:rPr>
                      <w:b/>
                      <w:color w:val="auto"/>
                      <w:kern w:val="0"/>
                      <w:szCs w:val="21"/>
                      <w:highlight w:val="none"/>
                    </w:rPr>
                  </w:pPr>
                  <w:r>
                    <w:rPr>
                      <w:b/>
                      <w:color w:val="auto"/>
                      <w:kern w:val="0"/>
                      <w:szCs w:val="21"/>
                      <w:highlight w:val="none"/>
                    </w:rPr>
                    <w:t>L≤1000</w:t>
                  </w:r>
                </w:p>
              </w:tc>
              <w:tc>
                <w:tcPr>
                  <w:tcW w:w="2430" w:type="dxa"/>
                  <w:gridSpan w:val="3"/>
                  <w:vAlign w:val="center"/>
                </w:tcPr>
                <w:p w14:paraId="7573B80A">
                  <w:pPr>
                    <w:widowControl/>
                    <w:spacing w:line="330" w:lineRule="exact"/>
                    <w:jc w:val="center"/>
                    <w:rPr>
                      <w:b/>
                      <w:color w:val="auto"/>
                      <w:kern w:val="0"/>
                      <w:szCs w:val="21"/>
                      <w:highlight w:val="none"/>
                    </w:rPr>
                  </w:pPr>
                  <w:r>
                    <w:rPr>
                      <w:b/>
                      <w:color w:val="auto"/>
                      <w:kern w:val="0"/>
                      <w:szCs w:val="21"/>
                      <w:highlight w:val="none"/>
                    </w:rPr>
                    <w:t>1000&lt;L≤2000</w:t>
                  </w:r>
                </w:p>
              </w:tc>
              <w:tc>
                <w:tcPr>
                  <w:tcW w:w="2430" w:type="dxa"/>
                  <w:gridSpan w:val="3"/>
                  <w:vAlign w:val="center"/>
                </w:tcPr>
                <w:p w14:paraId="360874E7">
                  <w:pPr>
                    <w:widowControl/>
                    <w:spacing w:line="330" w:lineRule="exact"/>
                    <w:jc w:val="center"/>
                    <w:rPr>
                      <w:b/>
                      <w:color w:val="auto"/>
                      <w:kern w:val="0"/>
                      <w:szCs w:val="21"/>
                      <w:highlight w:val="none"/>
                    </w:rPr>
                  </w:pPr>
                  <w:r>
                    <w:rPr>
                      <w:b/>
                      <w:color w:val="auto"/>
                      <w:kern w:val="0"/>
                      <w:szCs w:val="21"/>
                      <w:highlight w:val="none"/>
                    </w:rPr>
                    <w:t>L&gt;2000</w:t>
                  </w:r>
                </w:p>
              </w:tc>
            </w:tr>
            <w:tr w14:paraId="022C10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748" w:type="dxa"/>
                  <w:vMerge w:val="continue"/>
                  <w:vAlign w:val="center"/>
                </w:tcPr>
                <w:p w14:paraId="2C167D50">
                  <w:pPr>
                    <w:widowControl/>
                    <w:spacing w:line="330" w:lineRule="exact"/>
                    <w:jc w:val="center"/>
                    <w:rPr>
                      <w:b/>
                      <w:color w:val="auto"/>
                      <w:kern w:val="0"/>
                      <w:szCs w:val="21"/>
                      <w:highlight w:val="none"/>
                    </w:rPr>
                  </w:pPr>
                </w:p>
              </w:tc>
              <w:tc>
                <w:tcPr>
                  <w:tcW w:w="1318" w:type="dxa"/>
                  <w:vMerge w:val="continue"/>
                  <w:vAlign w:val="center"/>
                </w:tcPr>
                <w:p w14:paraId="41E851C4">
                  <w:pPr>
                    <w:widowControl/>
                    <w:spacing w:line="330" w:lineRule="exact"/>
                    <w:jc w:val="center"/>
                    <w:rPr>
                      <w:b/>
                      <w:color w:val="auto"/>
                      <w:kern w:val="0"/>
                      <w:szCs w:val="21"/>
                      <w:highlight w:val="none"/>
                    </w:rPr>
                  </w:pPr>
                </w:p>
              </w:tc>
              <w:tc>
                <w:tcPr>
                  <w:tcW w:w="7221" w:type="dxa"/>
                  <w:gridSpan w:val="9"/>
                  <w:vAlign w:val="center"/>
                </w:tcPr>
                <w:p w14:paraId="1D72CA8E">
                  <w:pPr>
                    <w:widowControl/>
                    <w:spacing w:line="330" w:lineRule="exact"/>
                    <w:jc w:val="center"/>
                    <w:rPr>
                      <w:b/>
                      <w:color w:val="auto"/>
                      <w:kern w:val="0"/>
                      <w:szCs w:val="21"/>
                      <w:highlight w:val="none"/>
                    </w:rPr>
                  </w:pPr>
                  <w:r>
                    <w:rPr>
                      <w:b/>
                      <w:color w:val="auto"/>
                      <w:kern w:val="0"/>
                      <w:szCs w:val="21"/>
                      <w:highlight w:val="none"/>
                    </w:rPr>
                    <w:t>工业企业大气污染源构成类别</w:t>
                  </w:r>
                </w:p>
              </w:tc>
            </w:tr>
            <w:tr w14:paraId="0D4105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continue"/>
                  <w:vAlign w:val="center"/>
                </w:tcPr>
                <w:p w14:paraId="1079F8EF">
                  <w:pPr>
                    <w:widowControl/>
                    <w:spacing w:line="330" w:lineRule="exact"/>
                    <w:jc w:val="center"/>
                    <w:rPr>
                      <w:b/>
                      <w:color w:val="auto"/>
                      <w:kern w:val="0"/>
                      <w:szCs w:val="21"/>
                      <w:highlight w:val="none"/>
                    </w:rPr>
                  </w:pPr>
                </w:p>
              </w:tc>
              <w:tc>
                <w:tcPr>
                  <w:tcW w:w="1318" w:type="dxa"/>
                  <w:vMerge w:val="continue"/>
                  <w:vAlign w:val="center"/>
                </w:tcPr>
                <w:p w14:paraId="2AC252DF">
                  <w:pPr>
                    <w:widowControl/>
                    <w:spacing w:line="330" w:lineRule="exact"/>
                    <w:jc w:val="center"/>
                    <w:rPr>
                      <w:b/>
                      <w:color w:val="auto"/>
                      <w:kern w:val="0"/>
                      <w:szCs w:val="21"/>
                      <w:highlight w:val="none"/>
                    </w:rPr>
                  </w:pPr>
                </w:p>
              </w:tc>
              <w:tc>
                <w:tcPr>
                  <w:tcW w:w="741" w:type="dxa"/>
                  <w:vAlign w:val="center"/>
                </w:tcPr>
                <w:p w14:paraId="2CB91A32">
                  <w:pPr>
                    <w:widowControl/>
                    <w:spacing w:line="330" w:lineRule="exact"/>
                    <w:jc w:val="center"/>
                    <w:rPr>
                      <w:b/>
                      <w:color w:val="auto"/>
                      <w:kern w:val="0"/>
                      <w:szCs w:val="21"/>
                      <w:highlight w:val="none"/>
                    </w:rPr>
                  </w:pPr>
                  <w:r>
                    <w:rPr>
                      <w:b/>
                      <w:color w:val="auto"/>
                      <w:kern w:val="0"/>
                      <w:szCs w:val="21"/>
                      <w:highlight w:val="none"/>
                    </w:rPr>
                    <w:t>Ⅰ</w:t>
                  </w:r>
                </w:p>
              </w:tc>
              <w:tc>
                <w:tcPr>
                  <w:tcW w:w="810" w:type="dxa"/>
                  <w:tcBorders>
                    <w:bottom w:val="single" w:color="auto" w:sz="2" w:space="0"/>
                  </w:tcBorders>
                  <w:vAlign w:val="center"/>
                </w:tcPr>
                <w:p w14:paraId="66680DE7">
                  <w:pPr>
                    <w:widowControl/>
                    <w:spacing w:line="330" w:lineRule="exact"/>
                    <w:jc w:val="center"/>
                    <w:rPr>
                      <w:b/>
                      <w:color w:val="auto"/>
                      <w:kern w:val="0"/>
                      <w:szCs w:val="21"/>
                      <w:highlight w:val="none"/>
                    </w:rPr>
                  </w:pPr>
                  <w:r>
                    <w:rPr>
                      <w:b/>
                      <w:color w:val="auto"/>
                      <w:kern w:val="0"/>
                      <w:szCs w:val="21"/>
                      <w:highlight w:val="none"/>
                    </w:rPr>
                    <w:t>Ⅱ</w:t>
                  </w:r>
                </w:p>
              </w:tc>
              <w:tc>
                <w:tcPr>
                  <w:tcW w:w="810" w:type="dxa"/>
                  <w:tcBorders>
                    <w:bottom w:val="single" w:color="auto" w:sz="2" w:space="0"/>
                  </w:tcBorders>
                  <w:vAlign w:val="center"/>
                </w:tcPr>
                <w:p w14:paraId="30F38148">
                  <w:pPr>
                    <w:widowControl/>
                    <w:spacing w:line="330" w:lineRule="exact"/>
                    <w:jc w:val="center"/>
                    <w:rPr>
                      <w:b/>
                      <w:color w:val="auto"/>
                      <w:kern w:val="0"/>
                      <w:szCs w:val="21"/>
                      <w:highlight w:val="none"/>
                    </w:rPr>
                  </w:pPr>
                  <w:r>
                    <w:rPr>
                      <w:b/>
                      <w:color w:val="auto"/>
                      <w:kern w:val="0"/>
                      <w:szCs w:val="21"/>
                      <w:highlight w:val="none"/>
                    </w:rPr>
                    <w:t>Ⅲ</w:t>
                  </w:r>
                </w:p>
              </w:tc>
              <w:tc>
                <w:tcPr>
                  <w:tcW w:w="810" w:type="dxa"/>
                  <w:vAlign w:val="center"/>
                </w:tcPr>
                <w:p w14:paraId="594C8528">
                  <w:pPr>
                    <w:widowControl/>
                    <w:spacing w:line="330" w:lineRule="exact"/>
                    <w:jc w:val="center"/>
                    <w:rPr>
                      <w:b/>
                      <w:color w:val="auto"/>
                      <w:kern w:val="0"/>
                      <w:szCs w:val="21"/>
                      <w:highlight w:val="none"/>
                    </w:rPr>
                  </w:pPr>
                  <w:r>
                    <w:rPr>
                      <w:b/>
                      <w:color w:val="auto"/>
                      <w:kern w:val="0"/>
                      <w:szCs w:val="21"/>
                      <w:highlight w:val="none"/>
                    </w:rPr>
                    <w:t>Ⅰ</w:t>
                  </w:r>
                </w:p>
              </w:tc>
              <w:tc>
                <w:tcPr>
                  <w:tcW w:w="810" w:type="dxa"/>
                  <w:vAlign w:val="center"/>
                </w:tcPr>
                <w:p w14:paraId="257493EE">
                  <w:pPr>
                    <w:widowControl/>
                    <w:spacing w:line="330" w:lineRule="exact"/>
                    <w:jc w:val="center"/>
                    <w:rPr>
                      <w:b/>
                      <w:color w:val="auto"/>
                      <w:kern w:val="0"/>
                      <w:szCs w:val="21"/>
                      <w:highlight w:val="none"/>
                    </w:rPr>
                  </w:pPr>
                  <w:r>
                    <w:rPr>
                      <w:b/>
                      <w:color w:val="auto"/>
                      <w:kern w:val="0"/>
                      <w:szCs w:val="21"/>
                      <w:highlight w:val="none"/>
                    </w:rPr>
                    <w:t>Ⅱ</w:t>
                  </w:r>
                </w:p>
              </w:tc>
              <w:tc>
                <w:tcPr>
                  <w:tcW w:w="810" w:type="dxa"/>
                  <w:vAlign w:val="center"/>
                </w:tcPr>
                <w:p w14:paraId="084F2BAC">
                  <w:pPr>
                    <w:widowControl/>
                    <w:spacing w:line="330" w:lineRule="exact"/>
                    <w:jc w:val="center"/>
                    <w:rPr>
                      <w:b/>
                      <w:color w:val="auto"/>
                      <w:kern w:val="0"/>
                      <w:szCs w:val="21"/>
                      <w:highlight w:val="none"/>
                    </w:rPr>
                  </w:pPr>
                  <w:r>
                    <w:rPr>
                      <w:b/>
                      <w:color w:val="auto"/>
                      <w:kern w:val="0"/>
                      <w:szCs w:val="21"/>
                      <w:highlight w:val="none"/>
                    </w:rPr>
                    <w:t>Ⅲ</w:t>
                  </w:r>
                </w:p>
              </w:tc>
              <w:tc>
                <w:tcPr>
                  <w:tcW w:w="810" w:type="dxa"/>
                  <w:vAlign w:val="center"/>
                </w:tcPr>
                <w:p w14:paraId="53996310">
                  <w:pPr>
                    <w:widowControl/>
                    <w:spacing w:line="330" w:lineRule="exact"/>
                    <w:jc w:val="center"/>
                    <w:rPr>
                      <w:b/>
                      <w:color w:val="auto"/>
                      <w:kern w:val="0"/>
                      <w:szCs w:val="21"/>
                      <w:highlight w:val="none"/>
                    </w:rPr>
                  </w:pPr>
                  <w:r>
                    <w:rPr>
                      <w:b/>
                      <w:color w:val="auto"/>
                      <w:kern w:val="0"/>
                      <w:szCs w:val="21"/>
                      <w:highlight w:val="none"/>
                    </w:rPr>
                    <w:t>Ⅰ</w:t>
                  </w:r>
                </w:p>
              </w:tc>
              <w:tc>
                <w:tcPr>
                  <w:tcW w:w="810" w:type="dxa"/>
                  <w:vAlign w:val="center"/>
                </w:tcPr>
                <w:p w14:paraId="0A4F12FE">
                  <w:pPr>
                    <w:widowControl/>
                    <w:spacing w:line="330" w:lineRule="exact"/>
                    <w:jc w:val="center"/>
                    <w:rPr>
                      <w:b/>
                      <w:color w:val="auto"/>
                      <w:kern w:val="0"/>
                      <w:szCs w:val="21"/>
                      <w:highlight w:val="none"/>
                    </w:rPr>
                  </w:pPr>
                  <w:r>
                    <w:rPr>
                      <w:b/>
                      <w:color w:val="auto"/>
                      <w:kern w:val="0"/>
                      <w:szCs w:val="21"/>
                      <w:highlight w:val="none"/>
                    </w:rPr>
                    <w:t>Ⅱ</w:t>
                  </w:r>
                </w:p>
              </w:tc>
              <w:tc>
                <w:tcPr>
                  <w:tcW w:w="810" w:type="dxa"/>
                  <w:vAlign w:val="center"/>
                </w:tcPr>
                <w:p w14:paraId="0592299D">
                  <w:pPr>
                    <w:widowControl/>
                    <w:spacing w:line="330" w:lineRule="exact"/>
                    <w:jc w:val="center"/>
                    <w:rPr>
                      <w:b/>
                      <w:color w:val="auto"/>
                      <w:kern w:val="0"/>
                      <w:szCs w:val="21"/>
                      <w:highlight w:val="none"/>
                    </w:rPr>
                  </w:pPr>
                  <w:r>
                    <w:rPr>
                      <w:b/>
                      <w:color w:val="auto"/>
                      <w:kern w:val="0"/>
                      <w:szCs w:val="21"/>
                      <w:highlight w:val="none"/>
                    </w:rPr>
                    <w:t>Ⅲ</w:t>
                  </w:r>
                </w:p>
              </w:tc>
            </w:tr>
            <w:tr w14:paraId="17BF9A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restart"/>
                  <w:shd w:val="clear" w:color="auto" w:fill="auto"/>
                  <w:vAlign w:val="center"/>
                </w:tcPr>
                <w:p w14:paraId="0E9C61E0">
                  <w:pPr>
                    <w:widowControl/>
                    <w:spacing w:line="330" w:lineRule="exact"/>
                    <w:jc w:val="center"/>
                    <w:rPr>
                      <w:color w:val="auto"/>
                      <w:kern w:val="0"/>
                      <w:szCs w:val="21"/>
                      <w:highlight w:val="none"/>
                    </w:rPr>
                  </w:pPr>
                  <w:r>
                    <w:rPr>
                      <w:color w:val="auto"/>
                      <w:kern w:val="0"/>
                      <w:szCs w:val="21"/>
                      <w:highlight w:val="none"/>
                    </w:rPr>
                    <w:t>A</w:t>
                  </w:r>
                </w:p>
              </w:tc>
              <w:tc>
                <w:tcPr>
                  <w:tcW w:w="1318" w:type="dxa"/>
                  <w:shd w:val="clear" w:color="auto" w:fill="auto"/>
                  <w:vAlign w:val="center"/>
                </w:tcPr>
                <w:p w14:paraId="1342037A">
                  <w:pPr>
                    <w:widowControl/>
                    <w:spacing w:line="330" w:lineRule="exact"/>
                    <w:jc w:val="center"/>
                    <w:rPr>
                      <w:color w:val="auto"/>
                      <w:kern w:val="0"/>
                      <w:szCs w:val="21"/>
                      <w:highlight w:val="none"/>
                    </w:rPr>
                  </w:pPr>
                  <w:r>
                    <w:rPr>
                      <w:color w:val="auto"/>
                      <w:kern w:val="0"/>
                      <w:szCs w:val="21"/>
                      <w:highlight w:val="none"/>
                    </w:rPr>
                    <w:t>&lt;2</w:t>
                  </w:r>
                </w:p>
              </w:tc>
              <w:tc>
                <w:tcPr>
                  <w:tcW w:w="741" w:type="dxa"/>
                  <w:shd w:val="clear" w:color="auto" w:fill="auto"/>
                  <w:vAlign w:val="center"/>
                </w:tcPr>
                <w:p w14:paraId="2CA0A2F0">
                  <w:pPr>
                    <w:widowControl/>
                    <w:spacing w:line="330" w:lineRule="exact"/>
                    <w:jc w:val="center"/>
                    <w:rPr>
                      <w:color w:val="auto"/>
                      <w:kern w:val="0"/>
                      <w:szCs w:val="21"/>
                      <w:highlight w:val="none"/>
                    </w:rPr>
                  </w:pPr>
                  <w:r>
                    <w:rPr>
                      <w:color w:val="auto"/>
                      <w:kern w:val="0"/>
                      <w:szCs w:val="21"/>
                      <w:highlight w:val="none"/>
                    </w:rPr>
                    <w:t>400</w:t>
                  </w:r>
                </w:p>
              </w:tc>
              <w:tc>
                <w:tcPr>
                  <w:tcW w:w="810" w:type="dxa"/>
                  <w:shd w:val="clear" w:color="auto" w:fill="CCCCCC"/>
                  <w:vAlign w:val="center"/>
                </w:tcPr>
                <w:p w14:paraId="76A69117">
                  <w:pPr>
                    <w:widowControl/>
                    <w:spacing w:line="330" w:lineRule="exact"/>
                    <w:jc w:val="center"/>
                    <w:rPr>
                      <w:color w:val="auto"/>
                      <w:kern w:val="0"/>
                      <w:szCs w:val="21"/>
                      <w:highlight w:val="none"/>
                    </w:rPr>
                  </w:pPr>
                  <w:r>
                    <w:rPr>
                      <w:color w:val="auto"/>
                      <w:kern w:val="0"/>
                      <w:szCs w:val="21"/>
                      <w:highlight w:val="none"/>
                    </w:rPr>
                    <w:t>400</w:t>
                  </w:r>
                </w:p>
              </w:tc>
              <w:tc>
                <w:tcPr>
                  <w:tcW w:w="810" w:type="dxa"/>
                  <w:shd w:val="clear" w:color="auto" w:fill="FFFFFF"/>
                  <w:vAlign w:val="center"/>
                </w:tcPr>
                <w:p w14:paraId="4CFEA88F">
                  <w:pPr>
                    <w:widowControl/>
                    <w:spacing w:line="330" w:lineRule="exact"/>
                    <w:jc w:val="center"/>
                    <w:rPr>
                      <w:color w:val="auto"/>
                      <w:kern w:val="0"/>
                      <w:szCs w:val="21"/>
                      <w:highlight w:val="none"/>
                    </w:rPr>
                  </w:pPr>
                  <w:r>
                    <w:rPr>
                      <w:color w:val="auto"/>
                      <w:kern w:val="0"/>
                      <w:szCs w:val="21"/>
                      <w:highlight w:val="none"/>
                    </w:rPr>
                    <w:t>400</w:t>
                  </w:r>
                </w:p>
              </w:tc>
              <w:tc>
                <w:tcPr>
                  <w:tcW w:w="810" w:type="dxa"/>
                  <w:vAlign w:val="center"/>
                </w:tcPr>
                <w:p w14:paraId="24CBA4D4">
                  <w:pPr>
                    <w:widowControl/>
                    <w:spacing w:line="330" w:lineRule="exact"/>
                    <w:jc w:val="center"/>
                    <w:rPr>
                      <w:color w:val="auto"/>
                      <w:kern w:val="0"/>
                      <w:szCs w:val="21"/>
                      <w:highlight w:val="none"/>
                    </w:rPr>
                  </w:pPr>
                  <w:r>
                    <w:rPr>
                      <w:color w:val="auto"/>
                      <w:kern w:val="0"/>
                      <w:szCs w:val="21"/>
                      <w:highlight w:val="none"/>
                    </w:rPr>
                    <w:t>400</w:t>
                  </w:r>
                </w:p>
              </w:tc>
              <w:tc>
                <w:tcPr>
                  <w:tcW w:w="810" w:type="dxa"/>
                  <w:vAlign w:val="center"/>
                </w:tcPr>
                <w:p w14:paraId="2CE22C5F">
                  <w:pPr>
                    <w:widowControl/>
                    <w:spacing w:line="330" w:lineRule="exact"/>
                    <w:jc w:val="center"/>
                    <w:rPr>
                      <w:color w:val="auto"/>
                      <w:kern w:val="0"/>
                      <w:szCs w:val="21"/>
                      <w:highlight w:val="none"/>
                    </w:rPr>
                  </w:pPr>
                  <w:r>
                    <w:rPr>
                      <w:color w:val="auto"/>
                      <w:kern w:val="0"/>
                      <w:szCs w:val="21"/>
                      <w:highlight w:val="none"/>
                    </w:rPr>
                    <w:t>400</w:t>
                  </w:r>
                </w:p>
              </w:tc>
              <w:tc>
                <w:tcPr>
                  <w:tcW w:w="810" w:type="dxa"/>
                  <w:vAlign w:val="center"/>
                </w:tcPr>
                <w:p w14:paraId="573DD1FB">
                  <w:pPr>
                    <w:widowControl/>
                    <w:spacing w:line="330" w:lineRule="exact"/>
                    <w:jc w:val="center"/>
                    <w:rPr>
                      <w:color w:val="auto"/>
                      <w:kern w:val="0"/>
                      <w:szCs w:val="21"/>
                      <w:highlight w:val="none"/>
                    </w:rPr>
                  </w:pPr>
                  <w:r>
                    <w:rPr>
                      <w:color w:val="auto"/>
                      <w:kern w:val="0"/>
                      <w:szCs w:val="21"/>
                      <w:highlight w:val="none"/>
                    </w:rPr>
                    <w:t>400</w:t>
                  </w:r>
                </w:p>
              </w:tc>
              <w:tc>
                <w:tcPr>
                  <w:tcW w:w="810" w:type="dxa"/>
                  <w:vAlign w:val="center"/>
                </w:tcPr>
                <w:p w14:paraId="12F273FA">
                  <w:pPr>
                    <w:widowControl/>
                    <w:spacing w:line="330" w:lineRule="exact"/>
                    <w:jc w:val="center"/>
                    <w:rPr>
                      <w:color w:val="auto"/>
                      <w:kern w:val="0"/>
                      <w:szCs w:val="21"/>
                      <w:highlight w:val="none"/>
                    </w:rPr>
                  </w:pPr>
                  <w:r>
                    <w:rPr>
                      <w:color w:val="auto"/>
                      <w:kern w:val="0"/>
                      <w:szCs w:val="21"/>
                      <w:highlight w:val="none"/>
                    </w:rPr>
                    <w:t>80</w:t>
                  </w:r>
                </w:p>
              </w:tc>
              <w:tc>
                <w:tcPr>
                  <w:tcW w:w="810" w:type="dxa"/>
                  <w:vAlign w:val="center"/>
                </w:tcPr>
                <w:p w14:paraId="39F746F1">
                  <w:pPr>
                    <w:widowControl/>
                    <w:spacing w:line="330" w:lineRule="exact"/>
                    <w:jc w:val="center"/>
                    <w:rPr>
                      <w:color w:val="auto"/>
                      <w:kern w:val="0"/>
                      <w:szCs w:val="21"/>
                      <w:highlight w:val="none"/>
                    </w:rPr>
                  </w:pPr>
                  <w:r>
                    <w:rPr>
                      <w:color w:val="auto"/>
                      <w:kern w:val="0"/>
                      <w:szCs w:val="21"/>
                      <w:highlight w:val="none"/>
                    </w:rPr>
                    <w:t>80</w:t>
                  </w:r>
                </w:p>
              </w:tc>
              <w:tc>
                <w:tcPr>
                  <w:tcW w:w="810" w:type="dxa"/>
                  <w:vAlign w:val="center"/>
                </w:tcPr>
                <w:p w14:paraId="50D87EBE">
                  <w:pPr>
                    <w:widowControl/>
                    <w:spacing w:line="330" w:lineRule="exact"/>
                    <w:jc w:val="center"/>
                    <w:rPr>
                      <w:color w:val="auto"/>
                      <w:kern w:val="0"/>
                      <w:szCs w:val="21"/>
                      <w:highlight w:val="none"/>
                    </w:rPr>
                  </w:pPr>
                  <w:r>
                    <w:rPr>
                      <w:color w:val="auto"/>
                      <w:kern w:val="0"/>
                      <w:szCs w:val="21"/>
                      <w:highlight w:val="none"/>
                    </w:rPr>
                    <w:t>80</w:t>
                  </w:r>
                </w:p>
              </w:tc>
            </w:tr>
            <w:tr w14:paraId="225D4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continue"/>
                  <w:vAlign w:val="center"/>
                </w:tcPr>
                <w:p w14:paraId="1CE9DA3A">
                  <w:pPr>
                    <w:widowControl/>
                    <w:spacing w:line="330" w:lineRule="exact"/>
                    <w:jc w:val="center"/>
                    <w:rPr>
                      <w:color w:val="auto"/>
                      <w:kern w:val="0"/>
                      <w:szCs w:val="21"/>
                      <w:highlight w:val="none"/>
                    </w:rPr>
                  </w:pPr>
                </w:p>
              </w:tc>
              <w:tc>
                <w:tcPr>
                  <w:tcW w:w="1318" w:type="dxa"/>
                  <w:vAlign w:val="center"/>
                </w:tcPr>
                <w:p w14:paraId="7C35659B">
                  <w:pPr>
                    <w:widowControl/>
                    <w:spacing w:line="330" w:lineRule="exact"/>
                    <w:jc w:val="center"/>
                    <w:rPr>
                      <w:color w:val="auto"/>
                      <w:kern w:val="0"/>
                      <w:szCs w:val="21"/>
                      <w:highlight w:val="none"/>
                    </w:rPr>
                  </w:pPr>
                  <w:r>
                    <w:rPr>
                      <w:color w:val="auto"/>
                      <w:kern w:val="0"/>
                      <w:szCs w:val="21"/>
                      <w:highlight w:val="none"/>
                    </w:rPr>
                    <w:t>2～4</w:t>
                  </w:r>
                </w:p>
              </w:tc>
              <w:tc>
                <w:tcPr>
                  <w:tcW w:w="741" w:type="dxa"/>
                  <w:vAlign w:val="center"/>
                </w:tcPr>
                <w:p w14:paraId="32674AE5">
                  <w:pPr>
                    <w:widowControl/>
                    <w:spacing w:line="330" w:lineRule="exact"/>
                    <w:jc w:val="center"/>
                    <w:rPr>
                      <w:color w:val="auto"/>
                      <w:kern w:val="0"/>
                      <w:szCs w:val="21"/>
                      <w:highlight w:val="none"/>
                    </w:rPr>
                  </w:pPr>
                  <w:r>
                    <w:rPr>
                      <w:color w:val="auto"/>
                      <w:kern w:val="0"/>
                      <w:szCs w:val="21"/>
                      <w:highlight w:val="none"/>
                    </w:rPr>
                    <w:t>700</w:t>
                  </w:r>
                </w:p>
              </w:tc>
              <w:tc>
                <w:tcPr>
                  <w:tcW w:w="810" w:type="dxa"/>
                  <w:vAlign w:val="center"/>
                </w:tcPr>
                <w:p w14:paraId="7A6E2A60">
                  <w:pPr>
                    <w:widowControl/>
                    <w:spacing w:line="330" w:lineRule="exact"/>
                    <w:jc w:val="center"/>
                    <w:rPr>
                      <w:color w:val="auto"/>
                      <w:kern w:val="0"/>
                      <w:szCs w:val="21"/>
                      <w:highlight w:val="none"/>
                    </w:rPr>
                  </w:pPr>
                  <w:r>
                    <w:rPr>
                      <w:color w:val="auto"/>
                      <w:kern w:val="0"/>
                      <w:szCs w:val="21"/>
                      <w:highlight w:val="none"/>
                    </w:rPr>
                    <w:t>470</w:t>
                  </w:r>
                </w:p>
              </w:tc>
              <w:tc>
                <w:tcPr>
                  <w:tcW w:w="810" w:type="dxa"/>
                  <w:vAlign w:val="center"/>
                </w:tcPr>
                <w:p w14:paraId="634BEF5B">
                  <w:pPr>
                    <w:widowControl/>
                    <w:spacing w:line="330" w:lineRule="exact"/>
                    <w:jc w:val="center"/>
                    <w:rPr>
                      <w:color w:val="auto"/>
                      <w:kern w:val="0"/>
                      <w:szCs w:val="21"/>
                      <w:highlight w:val="none"/>
                    </w:rPr>
                  </w:pPr>
                  <w:r>
                    <w:rPr>
                      <w:color w:val="auto"/>
                      <w:kern w:val="0"/>
                      <w:szCs w:val="21"/>
                      <w:highlight w:val="none"/>
                    </w:rPr>
                    <w:t>350</w:t>
                  </w:r>
                </w:p>
              </w:tc>
              <w:tc>
                <w:tcPr>
                  <w:tcW w:w="810" w:type="dxa"/>
                  <w:vAlign w:val="center"/>
                </w:tcPr>
                <w:p w14:paraId="474EC0AC">
                  <w:pPr>
                    <w:widowControl/>
                    <w:spacing w:line="330" w:lineRule="exact"/>
                    <w:jc w:val="center"/>
                    <w:rPr>
                      <w:color w:val="auto"/>
                      <w:kern w:val="0"/>
                      <w:szCs w:val="21"/>
                      <w:highlight w:val="none"/>
                    </w:rPr>
                  </w:pPr>
                  <w:r>
                    <w:rPr>
                      <w:color w:val="auto"/>
                      <w:kern w:val="0"/>
                      <w:szCs w:val="21"/>
                      <w:highlight w:val="none"/>
                    </w:rPr>
                    <w:t>700</w:t>
                  </w:r>
                </w:p>
              </w:tc>
              <w:tc>
                <w:tcPr>
                  <w:tcW w:w="810" w:type="dxa"/>
                  <w:vAlign w:val="center"/>
                </w:tcPr>
                <w:p w14:paraId="52F8988D">
                  <w:pPr>
                    <w:widowControl/>
                    <w:spacing w:line="330" w:lineRule="exact"/>
                    <w:jc w:val="center"/>
                    <w:rPr>
                      <w:color w:val="auto"/>
                      <w:kern w:val="0"/>
                      <w:szCs w:val="21"/>
                      <w:highlight w:val="none"/>
                    </w:rPr>
                  </w:pPr>
                  <w:r>
                    <w:rPr>
                      <w:color w:val="auto"/>
                      <w:kern w:val="0"/>
                      <w:szCs w:val="21"/>
                      <w:highlight w:val="none"/>
                    </w:rPr>
                    <w:t>470</w:t>
                  </w:r>
                </w:p>
              </w:tc>
              <w:tc>
                <w:tcPr>
                  <w:tcW w:w="810" w:type="dxa"/>
                  <w:vAlign w:val="center"/>
                </w:tcPr>
                <w:p w14:paraId="7F9029FE">
                  <w:pPr>
                    <w:widowControl/>
                    <w:spacing w:line="330" w:lineRule="exact"/>
                    <w:jc w:val="center"/>
                    <w:rPr>
                      <w:color w:val="auto"/>
                      <w:kern w:val="0"/>
                      <w:szCs w:val="21"/>
                      <w:highlight w:val="none"/>
                    </w:rPr>
                  </w:pPr>
                  <w:r>
                    <w:rPr>
                      <w:color w:val="auto"/>
                      <w:kern w:val="0"/>
                      <w:szCs w:val="21"/>
                      <w:highlight w:val="none"/>
                    </w:rPr>
                    <w:t>350</w:t>
                  </w:r>
                </w:p>
              </w:tc>
              <w:tc>
                <w:tcPr>
                  <w:tcW w:w="810" w:type="dxa"/>
                  <w:vAlign w:val="center"/>
                </w:tcPr>
                <w:p w14:paraId="5A4839DA">
                  <w:pPr>
                    <w:widowControl/>
                    <w:spacing w:line="330" w:lineRule="exact"/>
                    <w:jc w:val="center"/>
                    <w:rPr>
                      <w:color w:val="auto"/>
                      <w:kern w:val="0"/>
                      <w:szCs w:val="21"/>
                      <w:highlight w:val="none"/>
                    </w:rPr>
                  </w:pPr>
                  <w:r>
                    <w:rPr>
                      <w:color w:val="auto"/>
                      <w:kern w:val="0"/>
                      <w:szCs w:val="21"/>
                      <w:highlight w:val="none"/>
                    </w:rPr>
                    <w:t>380</w:t>
                  </w:r>
                </w:p>
              </w:tc>
              <w:tc>
                <w:tcPr>
                  <w:tcW w:w="810" w:type="dxa"/>
                  <w:vAlign w:val="center"/>
                </w:tcPr>
                <w:p w14:paraId="13AF91A7">
                  <w:pPr>
                    <w:widowControl/>
                    <w:spacing w:line="330" w:lineRule="exact"/>
                    <w:jc w:val="center"/>
                    <w:rPr>
                      <w:color w:val="auto"/>
                      <w:kern w:val="0"/>
                      <w:szCs w:val="21"/>
                      <w:highlight w:val="none"/>
                    </w:rPr>
                  </w:pPr>
                  <w:r>
                    <w:rPr>
                      <w:color w:val="auto"/>
                      <w:kern w:val="0"/>
                      <w:szCs w:val="21"/>
                      <w:highlight w:val="none"/>
                    </w:rPr>
                    <w:t>250</w:t>
                  </w:r>
                </w:p>
              </w:tc>
              <w:tc>
                <w:tcPr>
                  <w:tcW w:w="810" w:type="dxa"/>
                  <w:vAlign w:val="center"/>
                </w:tcPr>
                <w:p w14:paraId="06950419">
                  <w:pPr>
                    <w:widowControl/>
                    <w:spacing w:line="330" w:lineRule="exact"/>
                    <w:jc w:val="center"/>
                    <w:rPr>
                      <w:color w:val="auto"/>
                      <w:kern w:val="0"/>
                      <w:szCs w:val="21"/>
                      <w:highlight w:val="none"/>
                    </w:rPr>
                  </w:pPr>
                  <w:r>
                    <w:rPr>
                      <w:color w:val="auto"/>
                      <w:kern w:val="0"/>
                      <w:szCs w:val="21"/>
                      <w:highlight w:val="none"/>
                    </w:rPr>
                    <w:t>190</w:t>
                  </w:r>
                </w:p>
              </w:tc>
            </w:tr>
            <w:tr w14:paraId="7888A5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continue"/>
                  <w:vAlign w:val="center"/>
                </w:tcPr>
                <w:p w14:paraId="2441AAFA">
                  <w:pPr>
                    <w:widowControl/>
                    <w:spacing w:line="330" w:lineRule="exact"/>
                    <w:jc w:val="center"/>
                    <w:rPr>
                      <w:color w:val="auto"/>
                      <w:kern w:val="0"/>
                      <w:szCs w:val="21"/>
                      <w:highlight w:val="none"/>
                    </w:rPr>
                  </w:pPr>
                </w:p>
              </w:tc>
              <w:tc>
                <w:tcPr>
                  <w:tcW w:w="1318" w:type="dxa"/>
                  <w:vAlign w:val="center"/>
                </w:tcPr>
                <w:p w14:paraId="1ACBC45D">
                  <w:pPr>
                    <w:widowControl/>
                    <w:spacing w:line="330" w:lineRule="exact"/>
                    <w:jc w:val="center"/>
                    <w:rPr>
                      <w:color w:val="auto"/>
                      <w:kern w:val="0"/>
                      <w:szCs w:val="21"/>
                      <w:highlight w:val="none"/>
                    </w:rPr>
                  </w:pPr>
                  <w:r>
                    <w:rPr>
                      <w:color w:val="auto"/>
                      <w:kern w:val="0"/>
                      <w:szCs w:val="21"/>
                      <w:highlight w:val="none"/>
                    </w:rPr>
                    <w:t>&gt;4</w:t>
                  </w:r>
                </w:p>
              </w:tc>
              <w:tc>
                <w:tcPr>
                  <w:tcW w:w="741" w:type="dxa"/>
                  <w:tcBorders>
                    <w:bottom w:val="single" w:color="auto" w:sz="2" w:space="0"/>
                  </w:tcBorders>
                  <w:vAlign w:val="center"/>
                </w:tcPr>
                <w:p w14:paraId="3633C2A9">
                  <w:pPr>
                    <w:widowControl/>
                    <w:spacing w:line="330" w:lineRule="exact"/>
                    <w:jc w:val="center"/>
                    <w:rPr>
                      <w:color w:val="auto"/>
                      <w:kern w:val="0"/>
                      <w:szCs w:val="21"/>
                      <w:highlight w:val="none"/>
                    </w:rPr>
                  </w:pPr>
                  <w:r>
                    <w:rPr>
                      <w:color w:val="auto"/>
                      <w:kern w:val="0"/>
                      <w:szCs w:val="21"/>
                      <w:highlight w:val="none"/>
                    </w:rPr>
                    <w:t>530</w:t>
                  </w:r>
                </w:p>
              </w:tc>
              <w:tc>
                <w:tcPr>
                  <w:tcW w:w="810" w:type="dxa"/>
                  <w:tcBorders>
                    <w:bottom w:val="single" w:color="auto" w:sz="2" w:space="0"/>
                  </w:tcBorders>
                  <w:vAlign w:val="center"/>
                </w:tcPr>
                <w:p w14:paraId="4436D7AD">
                  <w:pPr>
                    <w:widowControl/>
                    <w:spacing w:line="330" w:lineRule="exact"/>
                    <w:jc w:val="center"/>
                    <w:rPr>
                      <w:color w:val="auto"/>
                      <w:kern w:val="0"/>
                      <w:szCs w:val="21"/>
                      <w:highlight w:val="none"/>
                    </w:rPr>
                  </w:pPr>
                  <w:r>
                    <w:rPr>
                      <w:color w:val="auto"/>
                      <w:kern w:val="0"/>
                      <w:szCs w:val="21"/>
                      <w:highlight w:val="none"/>
                    </w:rPr>
                    <w:t>350</w:t>
                  </w:r>
                </w:p>
              </w:tc>
              <w:tc>
                <w:tcPr>
                  <w:tcW w:w="810" w:type="dxa"/>
                  <w:tcBorders>
                    <w:bottom w:val="single" w:color="auto" w:sz="2" w:space="0"/>
                  </w:tcBorders>
                  <w:vAlign w:val="center"/>
                </w:tcPr>
                <w:p w14:paraId="36CD8E90">
                  <w:pPr>
                    <w:widowControl/>
                    <w:spacing w:line="330" w:lineRule="exact"/>
                    <w:jc w:val="center"/>
                    <w:rPr>
                      <w:color w:val="auto"/>
                      <w:kern w:val="0"/>
                      <w:szCs w:val="21"/>
                      <w:highlight w:val="none"/>
                    </w:rPr>
                  </w:pPr>
                  <w:r>
                    <w:rPr>
                      <w:color w:val="auto"/>
                      <w:kern w:val="0"/>
                      <w:szCs w:val="21"/>
                      <w:highlight w:val="none"/>
                    </w:rPr>
                    <w:t>260</w:t>
                  </w:r>
                </w:p>
              </w:tc>
              <w:tc>
                <w:tcPr>
                  <w:tcW w:w="810" w:type="dxa"/>
                  <w:vAlign w:val="center"/>
                </w:tcPr>
                <w:p w14:paraId="0AEA5121">
                  <w:pPr>
                    <w:widowControl/>
                    <w:spacing w:line="330" w:lineRule="exact"/>
                    <w:jc w:val="center"/>
                    <w:rPr>
                      <w:color w:val="auto"/>
                      <w:kern w:val="0"/>
                      <w:szCs w:val="21"/>
                      <w:highlight w:val="none"/>
                    </w:rPr>
                  </w:pPr>
                  <w:r>
                    <w:rPr>
                      <w:color w:val="auto"/>
                      <w:kern w:val="0"/>
                      <w:szCs w:val="21"/>
                      <w:highlight w:val="none"/>
                    </w:rPr>
                    <w:t>530</w:t>
                  </w:r>
                </w:p>
              </w:tc>
              <w:tc>
                <w:tcPr>
                  <w:tcW w:w="810" w:type="dxa"/>
                  <w:vAlign w:val="center"/>
                </w:tcPr>
                <w:p w14:paraId="7D441E76">
                  <w:pPr>
                    <w:widowControl/>
                    <w:spacing w:line="330" w:lineRule="exact"/>
                    <w:jc w:val="center"/>
                    <w:rPr>
                      <w:color w:val="auto"/>
                      <w:kern w:val="0"/>
                      <w:szCs w:val="21"/>
                      <w:highlight w:val="none"/>
                    </w:rPr>
                  </w:pPr>
                  <w:r>
                    <w:rPr>
                      <w:color w:val="auto"/>
                      <w:kern w:val="0"/>
                      <w:szCs w:val="21"/>
                      <w:highlight w:val="none"/>
                    </w:rPr>
                    <w:t>350</w:t>
                  </w:r>
                </w:p>
              </w:tc>
              <w:tc>
                <w:tcPr>
                  <w:tcW w:w="810" w:type="dxa"/>
                  <w:vAlign w:val="center"/>
                </w:tcPr>
                <w:p w14:paraId="2D2B1B54">
                  <w:pPr>
                    <w:widowControl/>
                    <w:spacing w:line="330" w:lineRule="exact"/>
                    <w:jc w:val="center"/>
                    <w:rPr>
                      <w:color w:val="auto"/>
                      <w:kern w:val="0"/>
                      <w:szCs w:val="21"/>
                      <w:highlight w:val="none"/>
                    </w:rPr>
                  </w:pPr>
                  <w:r>
                    <w:rPr>
                      <w:color w:val="auto"/>
                      <w:kern w:val="0"/>
                      <w:szCs w:val="21"/>
                      <w:highlight w:val="none"/>
                    </w:rPr>
                    <w:t>260</w:t>
                  </w:r>
                </w:p>
              </w:tc>
              <w:tc>
                <w:tcPr>
                  <w:tcW w:w="810" w:type="dxa"/>
                  <w:vAlign w:val="center"/>
                </w:tcPr>
                <w:p w14:paraId="42896603">
                  <w:pPr>
                    <w:widowControl/>
                    <w:spacing w:line="330" w:lineRule="exact"/>
                    <w:jc w:val="center"/>
                    <w:rPr>
                      <w:color w:val="auto"/>
                      <w:kern w:val="0"/>
                      <w:szCs w:val="21"/>
                      <w:highlight w:val="none"/>
                    </w:rPr>
                  </w:pPr>
                  <w:r>
                    <w:rPr>
                      <w:color w:val="auto"/>
                      <w:kern w:val="0"/>
                      <w:szCs w:val="21"/>
                      <w:highlight w:val="none"/>
                    </w:rPr>
                    <w:t>290</w:t>
                  </w:r>
                </w:p>
              </w:tc>
              <w:tc>
                <w:tcPr>
                  <w:tcW w:w="810" w:type="dxa"/>
                  <w:vAlign w:val="center"/>
                </w:tcPr>
                <w:p w14:paraId="1E4ACE01">
                  <w:pPr>
                    <w:widowControl/>
                    <w:spacing w:line="330" w:lineRule="exact"/>
                    <w:jc w:val="center"/>
                    <w:rPr>
                      <w:color w:val="auto"/>
                      <w:kern w:val="0"/>
                      <w:szCs w:val="21"/>
                      <w:highlight w:val="none"/>
                    </w:rPr>
                  </w:pPr>
                  <w:r>
                    <w:rPr>
                      <w:color w:val="auto"/>
                      <w:kern w:val="0"/>
                      <w:szCs w:val="21"/>
                      <w:highlight w:val="none"/>
                    </w:rPr>
                    <w:t>190</w:t>
                  </w:r>
                </w:p>
              </w:tc>
              <w:tc>
                <w:tcPr>
                  <w:tcW w:w="810" w:type="dxa"/>
                  <w:vAlign w:val="center"/>
                </w:tcPr>
                <w:p w14:paraId="30EDFD39">
                  <w:pPr>
                    <w:widowControl/>
                    <w:spacing w:line="330" w:lineRule="exact"/>
                    <w:jc w:val="center"/>
                    <w:rPr>
                      <w:color w:val="auto"/>
                      <w:kern w:val="0"/>
                      <w:szCs w:val="21"/>
                      <w:highlight w:val="none"/>
                    </w:rPr>
                  </w:pPr>
                  <w:r>
                    <w:rPr>
                      <w:color w:val="auto"/>
                      <w:kern w:val="0"/>
                      <w:szCs w:val="21"/>
                      <w:highlight w:val="none"/>
                    </w:rPr>
                    <w:t>110</w:t>
                  </w:r>
                </w:p>
              </w:tc>
            </w:tr>
            <w:tr w14:paraId="3E9DE0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restart"/>
                  <w:shd w:val="clear" w:color="auto" w:fill="auto"/>
                  <w:vAlign w:val="center"/>
                </w:tcPr>
                <w:p w14:paraId="74A5FEE3">
                  <w:pPr>
                    <w:widowControl/>
                    <w:spacing w:line="330" w:lineRule="exact"/>
                    <w:jc w:val="center"/>
                    <w:rPr>
                      <w:color w:val="auto"/>
                      <w:kern w:val="0"/>
                      <w:szCs w:val="21"/>
                      <w:highlight w:val="none"/>
                    </w:rPr>
                  </w:pPr>
                  <w:r>
                    <w:rPr>
                      <w:color w:val="auto"/>
                      <w:kern w:val="0"/>
                      <w:szCs w:val="21"/>
                      <w:highlight w:val="none"/>
                    </w:rPr>
                    <w:t>B</w:t>
                  </w:r>
                </w:p>
              </w:tc>
              <w:tc>
                <w:tcPr>
                  <w:tcW w:w="1318" w:type="dxa"/>
                  <w:shd w:val="clear" w:color="auto" w:fill="auto"/>
                  <w:vAlign w:val="center"/>
                </w:tcPr>
                <w:p w14:paraId="185FD788">
                  <w:pPr>
                    <w:widowControl/>
                    <w:spacing w:line="330" w:lineRule="exact"/>
                    <w:jc w:val="center"/>
                    <w:rPr>
                      <w:color w:val="auto"/>
                      <w:kern w:val="0"/>
                      <w:szCs w:val="21"/>
                      <w:highlight w:val="none"/>
                    </w:rPr>
                  </w:pPr>
                  <w:r>
                    <w:rPr>
                      <w:color w:val="auto"/>
                      <w:kern w:val="0"/>
                      <w:szCs w:val="21"/>
                      <w:highlight w:val="none"/>
                    </w:rPr>
                    <w:t>&lt;2</w:t>
                  </w:r>
                </w:p>
              </w:tc>
              <w:tc>
                <w:tcPr>
                  <w:tcW w:w="2361" w:type="dxa"/>
                  <w:gridSpan w:val="3"/>
                  <w:shd w:val="clear" w:color="auto" w:fill="CCCCCC"/>
                  <w:vAlign w:val="center"/>
                </w:tcPr>
                <w:p w14:paraId="7CECEAC7">
                  <w:pPr>
                    <w:widowControl/>
                    <w:spacing w:line="330" w:lineRule="exact"/>
                    <w:jc w:val="center"/>
                    <w:rPr>
                      <w:color w:val="auto"/>
                      <w:kern w:val="0"/>
                      <w:szCs w:val="21"/>
                      <w:highlight w:val="none"/>
                    </w:rPr>
                  </w:pPr>
                  <w:r>
                    <w:rPr>
                      <w:color w:val="auto"/>
                      <w:kern w:val="0"/>
                      <w:szCs w:val="21"/>
                      <w:highlight w:val="none"/>
                    </w:rPr>
                    <w:t>0.01</w:t>
                  </w:r>
                </w:p>
              </w:tc>
              <w:tc>
                <w:tcPr>
                  <w:tcW w:w="2430" w:type="dxa"/>
                  <w:gridSpan w:val="3"/>
                  <w:vAlign w:val="center"/>
                </w:tcPr>
                <w:p w14:paraId="5149B428">
                  <w:pPr>
                    <w:widowControl/>
                    <w:spacing w:line="330" w:lineRule="exact"/>
                    <w:jc w:val="center"/>
                    <w:rPr>
                      <w:color w:val="auto"/>
                      <w:kern w:val="0"/>
                      <w:szCs w:val="21"/>
                      <w:highlight w:val="none"/>
                    </w:rPr>
                  </w:pPr>
                  <w:r>
                    <w:rPr>
                      <w:color w:val="auto"/>
                      <w:kern w:val="0"/>
                      <w:szCs w:val="21"/>
                      <w:highlight w:val="none"/>
                    </w:rPr>
                    <w:t>0.015</w:t>
                  </w:r>
                </w:p>
              </w:tc>
              <w:tc>
                <w:tcPr>
                  <w:tcW w:w="2430" w:type="dxa"/>
                  <w:gridSpan w:val="3"/>
                  <w:vAlign w:val="center"/>
                </w:tcPr>
                <w:p w14:paraId="60C377BB">
                  <w:pPr>
                    <w:widowControl/>
                    <w:spacing w:line="330" w:lineRule="exact"/>
                    <w:jc w:val="center"/>
                    <w:rPr>
                      <w:color w:val="auto"/>
                      <w:kern w:val="0"/>
                      <w:szCs w:val="21"/>
                      <w:highlight w:val="none"/>
                    </w:rPr>
                  </w:pPr>
                  <w:r>
                    <w:rPr>
                      <w:color w:val="auto"/>
                      <w:kern w:val="0"/>
                      <w:szCs w:val="21"/>
                      <w:highlight w:val="none"/>
                    </w:rPr>
                    <w:t>0.015</w:t>
                  </w:r>
                </w:p>
              </w:tc>
            </w:tr>
            <w:tr w14:paraId="2009B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continue"/>
                  <w:vAlign w:val="center"/>
                </w:tcPr>
                <w:p w14:paraId="5B5AC664">
                  <w:pPr>
                    <w:widowControl/>
                    <w:spacing w:line="330" w:lineRule="exact"/>
                    <w:jc w:val="center"/>
                    <w:rPr>
                      <w:color w:val="auto"/>
                      <w:kern w:val="0"/>
                      <w:szCs w:val="21"/>
                      <w:highlight w:val="none"/>
                    </w:rPr>
                  </w:pPr>
                </w:p>
              </w:tc>
              <w:tc>
                <w:tcPr>
                  <w:tcW w:w="1318" w:type="dxa"/>
                  <w:vAlign w:val="center"/>
                </w:tcPr>
                <w:p w14:paraId="0851E806">
                  <w:pPr>
                    <w:widowControl/>
                    <w:spacing w:line="330" w:lineRule="exact"/>
                    <w:jc w:val="center"/>
                    <w:rPr>
                      <w:color w:val="auto"/>
                      <w:kern w:val="0"/>
                      <w:szCs w:val="21"/>
                      <w:highlight w:val="none"/>
                    </w:rPr>
                  </w:pPr>
                  <w:r>
                    <w:rPr>
                      <w:color w:val="auto"/>
                      <w:kern w:val="0"/>
                      <w:szCs w:val="21"/>
                      <w:highlight w:val="none"/>
                    </w:rPr>
                    <w:t>&gt;2</w:t>
                  </w:r>
                </w:p>
              </w:tc>
              <w:tc>
                <w:tcPr>
                  <w:tcW w:w="2361" w:type="dxa"/>
                  <w:gridSpan w:val="3"/>
                  <w:tcBorders>
                    <w:bottom w:val="single" w:color="auto" w:sz="2" w:space="0"/>
                  </w:tcBorders>
                  <w:vAlign w:val="center"/>
                </w:tcPr>
                <w:p w14:paraId="36B51442">
                  <w:pPr>
                    <w:widowControl/>
                    <w:spacing w:line="330" w:lineRule="exact"/>
                    <w:jc w:val="center"/>
                    <w:rPr>
                      <w:color w:val="auto"/>
                      <w:kern w:val="0"/>
                      <w:szCs w:val="21"/>
                      <w:highlight w:val="none"/>
                    </w:rPr>
                  </w:pPr>
                  <w:r>
                    <w:rPr>
                      <w:color w:val="auto"/>
                      <w:kern w:val="0"/>
                      <w:szCs w:val="21"/>
                      <w:highlight w:val="none"/>
                    </w:rPr>
                    <w:t>0.021</w:t>
                  </w:r>
                </w:p>
              </w:tc>
              <w:tc>
                <w:tcPr>
                  <w:tcW w:w="2430" w:type="dxa"/>
                  <w:gridSpan w:val="3"/>
                  <w:vAlign w:val="center"/>
                </w:tcPr>
                <w:p w14:paraId="7F6E64AD">
                  <w:pPr>
                    <w:widowControl/>
                    <w:spacing w:line="330" w:lineRule="exact"/>
                    <w:jc w:val="center"/>
                    <w:rPr>
                      <w:color w:val="auto"/>
                      <w:kern w:val="0"/>
                      <w:szCs w:val="21"/>
                      <w:highlight w:val="none"/>
                    </w:rPr>
                  </w:pPr>
                  <w:r>
                    <w:rPr>
                      <w:color w:val="auto"/>
                      <w:kern w:val="0"/>
                      <w:szCs w:val="21"/>
                      <w:highlight w:val="none"/>
                    </w:rPr>
                    <w:t>0.036</w:t>
                  </w:r>
                </w:p>
              </w:tc>
              <w:tc>
                <w:tcPr>
                  <w:tcW w:w="2430" w:type="dxa"/>
                  <w:gridSpan w:val="3"/>
                  <w:vAlign w:val="center"/>
                </w:tcPr>
                <w:p w14:paraId="18F533B1">
                  <w:pPr>
                    <w:widowControl/>
                    <w:spacing w:line="330" w:lineRule="exact"/>
                    <w:jc w:val="center"/>
                    <w:rPr>
                      <w:color w:val="auto"/>
                      <w:kern w:val="0"/>
                      <w:szCs w:val="21"/>
                      <w:highlight w:val="none"/>
                    </w:rPr>
                  </w:pPr>
                  <w:r>
                    <w:rPr>
                      <w:color w:val="auto"/>
                      <w:kern w:val="0"/>
                      <w:szCs w:val="21"/>
                      <w:highlight w:val="none"/>
                    </w:rPr>
                    <w:t>0.036</w:t>
                  </w:r>
                </w:p>
              </w:tc>
            </w:tr>
            <w:tr w14:paraId="19A44C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restart"/>
                  <w:shd w:val="clear" w:color="auto" w:fill="auto"/>
                  <w:vAlign w:val="center"/>
                </w:tcPr>
                <w:p w14:paraId="01656B15">
                  <w:pPr>
                    <w:widowControl/>
                    <w:spacing w:line="330" w:lineRule="exact"/>
                    <w:jc w:val="center"/>
                    <w:rPr>
                      <w:color w:val="auto"/>
                      <w:kern w:val="0"/>
                      <w:szCs w:val="21"/>
                      <w:highlight w:val="none"/>
                    </w:rPr>
                  </w:pPr>
                  <w:r>
                    <w:rPr>
                      <w:color w:val="auto"/>
                      <w:kern w:val="0"/>
                      <w:szCs w:val="21"/>
                      <w:highlight w:val="none"/>
                    </w:rPr>
                    <w:t>C</w:t>
                  </w:r>
                </w:p>
              </w:tc>
              <w:tc>
                <w:tcPr>
                  <w:tcW w:w="1318" w:type="dxa"/>
                  <w:shd w:val="clear" w:color="auto" w:fill="auto"/>
                  <w:vAlign w:val="center"/>
                </w:tcPr>
                <w:p w14:paraId="55E37925">
                  <w:pPr>
                    <w:widowControl/>
                    <w:spacing w:line="330" w:lineRule="exact"/>
                    <w:jc w:val="center"/>
                    <w:rPr>
                      <w:color w:val="auto"/>
                      <w:kern w:val="0"/>
                      <w:szCs w:val="21"/>
                      <w:highlight w:val="none"/>
                    </w:rPr>
                  </w:pPr>
                  <w:r>
                    <w:rPr>
                      <w:color w:val="auto"/>
                      <w:kern w:val="0"/>
                      <w:szCs w:val="21"/>
                      <w:highlight w:val="none"/>
                    </w:rPr>
                    <w:t>&lt;2</w:t>
                  </w:r>
                </w:p>
              </w:tc>
              <w:tc>
                <w:tcPr>
                  <w:tcW w:w="2361" w:type="dxa"/>
                  <w:gridSpan w:val="3"/>
                  <w:shd w:val="clear" w:color="auto" w:fill="CCCCCC"/>
                  <w:vAlign w:val="center"/>
                </w:tcPr>
                <w:p w14:paraId="49271676">
                  <w:pPr>
                    <w:widowControl/>
                    <w:spacing w:line="330" w:lineRule="exact"/>
                    <w:jc w:val="center"/>
                    <w:rPr>
                      <w:color w:val="auto"/>
                      <w:kern w:val="0"/>
                      <w:szCs w:val="21"/>
                      <w:highlight w:val="none"/>
                    </w:rPr>
                  </w:pPr>
                  <w:r>
                    <w:rPr>
                      <w:color w:val="auto"/>
                      <w:kern w:val="0"/>
                      <w:szCs w:val="21"/>
                      <w:highlight w:val="none"/>
                    </w:rPr>
                    <w:t>1.85</w:t>
                  </w:r>
                </w:p>
              </w:tc>
              <w:tc>
                <w:tcPr>
                  <w:tcW w:w="2430" w:type="dxa"/>
                  <w:gridSpan w:val="3"/>
                  <w:vAlign w:val="center"/>
                </w:tcPr>
                <w:p w14:paraId="48600094">
                  <w:pPr>
                    <w:widowControl/>
                    <w:spacing w:line="330" w:lineRule="exact"/>
                    <w:jc w:val="center"/>
                    <w:rPr>
                      <w:color w:val="auto"/>
                      <w:kern w:val="0"/>
                      <w:szCs w:val="21"/>
                      <w:highlight w:val="none"/>
                    </w:rPr>
                  </w:pPr>
                  <w:r>
                    <w:rPr>
                      <w:color w:val="auto"/>
                      <w:kern w:val="0"/>
                      <w:szCs w:val="21"/>
                      <w:highlight w:val="none"/>
                    </w:rPr>
                    <w:t>1.79</w:t>
                  </w:r>
                </w:p>
              </w:tc>
              <w:tc>
                <w:tcPr>
                  <w:tcW w:w="2430" w:type="dxa"/>
                  <w:gridSpan w:val="3"/>
                  <w:vAlign w:val="center"/>
                </w:tcPr>
                <w:p w14:paraId="0663D2D2">
                  <w:pPr>
                    <w:widowControl/>
                    <w:spacing w:line="330" w:lineRule="exact"/>
                    <w:jc w:val="center"/>
                    <w:rPr>
                      <w:color w:val="auto"/>
                      <w:kern w:val="0"/>
                      <w:szCs w:val="21"/>
                      <w:highlight w:val="none"/>
                    </w:rPr>
                  </w:pPr>
                  <w:r>
                    <w:rPr>
                      <w:color w:val="auto"/>
                      <w:kern w:val="0"/>
                      <w:szCs w:val="21"/>
                      <w:highlight w:val="none"/>
                    </w:rPr>
                    <w:t>1.79</w:t>
                  </w:r>
                </w:p>
              </w:tc>
            </w:tr>
            <w:tr w14:paraId="3AA024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continue"/>
                  <w:vAlign w:val="center"/>
                </w:tcPr>
                <w:p w14:paraId="2B974330">
                  <w:pPr>
                    <w:widowControl/>
                    <w:spacing w:line="330" w:lineRule="exact"/>
                    <w:jc w:val="center"/>
                    <w:rPr>
                      <w:color w:val="auto"/>
                      <w:kern w:val="0"/>
                      <w:szCs w:val="21"/>
                      <w:highlight w:val="none"/>
                    </w:rPr>
                  </w:pPr>
                </w:p>
              </w:tc>
              <w:tc>
                <w:tcPr>
                  <w:tcW w:w="1318" w:type="dxa"/>
                  <w:vAlign w:val="center"/>
                </w:tcPr>
                <w:p w14:paraId="681CD695">
                  <w:pPr>
                    <w:widowControl/>
                    <w:spacing w:line="330" w:lineRule="exact"/>
                    <w:jc w:val="center"/>
                    <w:rPr>
                      <w:color w:val="auto"/>
                      <w:kern w:val="0"/>
                      <w:szCs w:val="21"/>
                      <w:highlight w:val="none"/>
                    </w:rPr>
                  </w:pPr>
                  <w:r>
                    <w:rPr>
                      <w:color w:val="auto"/>
                      <w:kern w:val="0"/>
                      <w:szCs w:val="21"/>
                      <w:highlight w:val="none"/>
                    </w:rPr>
                    <w:t>&gt;2</w:t>
                  </w:r>
                </w:p>
              </w:tc>
              <w:tc>
                <w:tcPr>
                  <w:tcW w:w="2361" w:type="dxa"/>
                  <w:gridSpan w:val="3"/>
                  <w:tcBorders>
                    <w:bottom w:val="single" w:color="auto" w:sz="2" w:space="0"/>
                  </w:tcBorders>
                  <w:vAlign w:val="center"/>
                </w:tcPr>
                <w:p w14:paraId="3CA69020">
                  <w:pPr>
                    <w:widowControl/>
                    <w:spacing w:line="330" w:lineRule="exact"/>
                    <w:jc w:val="center"/>
                    <w:rPr>
                      <w:color w:val="auto"/>
                      <w:kern w:val="0"/>
                      <w:szCs w:val="21"/>
                      <w:highlight w:val="none"/>
                    </w:rPr>
                  </w:pPr>
                  <w:r>
                    <w:rPr>
                      <w:color w:val="auto"/>
                      <w:kern w:val="0"/>
                      <w:szCs w:val="21"/>
                      <w:highlight w:val="none"/>
                    </w:rPr>
                    <w:t>1.85</w:t>
                  </w:r>
                </w:p>
              </w:tc>
              <w:tc>
                <w:tcPr>
                  <w:tcW w:w="2430" w:type="dxa"/>
                  <w:gridSpan w:val="3"/>
                  <w:vAlign w:val="center"/>
                </w:tcPr>
                <w:p w14:paraId="31E6A818">
                  <w:pPr>
                    <w:widowControl/>
                    <w:spacing w:line="330" w:lineRule="exact"/>
                    <w:jc w:val="center"/>
                    <w:rPr>
                      <w:color w:val="auto"/>
                      <w:kern w:val="0"/>
                      <w:szCs w:val="21"/>
                      <w:highlight w:val="none"/>
                    </w:rPr>
                  </w:pPr>
                  <w:r>
                    <w:rPr>
                      <w:color w:val="auto"/>
                      <w:kern w:val="0"/>
                      <w:szCs w:val="21"/>
                      <w:highlight w:val="none"/>
                    </w:rPr>
                    <w:t>1.77</w:t>
                  </w:r>
                </w:p>
              </w:tc>
              <w:tc>
                <w:tcPr>
                  <w:tcW w:w="2430" w:type="dxa"/>
                  <w:gridSpan w:val="3"/>
                  <w:vAlign w:val="center"/>
                </w:tcPr>
                <w:p w14:paraId="37BF4342">
                  <w:pPr>
                    <w:widowControl/>
                    <w:spacing w:line="330" w:lineRule="exact"/>
                    <w:jc w:val="center"/>
                    <w:rPr>
                      <w:color w:val="auto"/>
                      <w:kern w:val="0"/>
                      <w:szCs w:val="21"/>
                      <w:highlight w:val="none"/>
                    </w:rPr>
                  </w:pPr>
                  <w:r>
                    <w:rPr>
                      <w:color w:val="auto"/>
                      <w:kern w:val="0"/>
                      <w:szCs w:val="21"/>
                      <w:highlight w:val="none"/>
                    </w:rPr>
                    <w:t>1.77</w:t>
                  </w:r>
                </w:p>
              </w:tc>
            </w:tr>
            <w:tr w14:paraId="73123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restart"/>
                  <w:shd w:val="clear" w:color="auto" w:fill="auto"/>
                  <w:vAlign w:val="center"/>
                </w:tcPr>
                <w:p w14:paraId="456C05CB">
                  <w:pPr>
                    <w:widowControl/>
                    <w:spacing w:line="330" w:lineRule="exact"/>
                    <w:jc w:val="center"/>
                    <w:rPr>
                      <w:color w:val="auto"/>
                      <w:kern w:val="0"/>
                      <w:szCs w:val="21"/>
                      <w:highlight w:val="none"/>
                    </w:rPr>
                  </w:pPr>
                  <w:r>
                    <w:rPr>
                      <w:color w:val="auto"/>
                      <w:kern w:val="0"/>
                      <w:szCs w:val="21"/>
                      <w:highlight w:val="none"/>
                    </w:rPr>
                    <w:t>D</w:t>
                  </w:r>
                </w:p>
              </w:tc>
              <w:tc>
                <w:tcPr>
                  <w:tcW w:w="1318" w:type="dxa"/>
                  <w:shd w:val="clear" w:color="auto" w:fill="auto"/>
                  <w:vAlign w:val="center"/>
                </w:tcPr>
                <w:p w14:paraId="013EAE89">
                  <w:pPr>
                    <w:widowControl/>
                    <w:spacing w:line="330" w:lineRule="exact"/>
                    <w:jc w:val="center"/>
                    <w:rPr>
                      <w:color w:val="auto"/>
                      <w:kern w:val="0"/>
                      <w:szCs w:val="21"/>
                      <w:highlight w:val="none"/>
                    </w:rPr>
                  </w:pPr>
                  <w:r>
                    <w:rPr>
                      <w:color w:val="auto"/>
                      <w:kern w:val="0"/>
                      <w:szCs w:val="21"/>
                      <w:highlight w:val="none"/>
                    </w:rPr>
                    <w:t>&lt;2</w:t>
                  </w:r>
                </w:p>
              </w:tc>
              <w:tc>
                <w:tcPr>
                  <w:tcW w:w="2361" w:type="dxa"/>
                  <w:gridSpan w:val="3"/>
                  <w:shd w:val="clear" w:color="auto" w:fill="CCCCCC"/>
                  <w:vAlign w:val="center"/>
                </w:tcPr>
                <w:p w14:paraId="00982611">
                  <w:pPr>
                    <w:widowControl/>
                    <w:spacing w:line="330" w:lineRule="exact"/>
                    <w:jc w:val="center"/>
                    <w:rPr>
                      <w:color w:val="auto"/>
                      <w:kern w:val="0"/>
                      <w:szCs w:val="21"/>
                      <w:highlight w:val="none"/>
                    </w:rPr>
                  </w:pPr>
                  <w:r>
                    <w:rPr>
                      <w:color w:val="auto"/>
                      <w:kern w:val="0"/>
                      <w:szCs w:val="21"/>
                      <w:highlight w:val="none"/>
                    </w:rPr>
                    <w:t>0.78</w:t>
                  </w:r>
                </w:p>
              </w:tc>
              <w:tc>
                <w:tcPr>
                  <w:tcW w:w="2430" w:type="dxa"/>
                  <w:gridSpan w:val="3"/>
                  <w:vAlign w:val="center"/>
                </w:tcPr>
                <w:p w14:paraId="14EB7E67">
                  <w:pPr>
                    <w:widowControl/>
                    <w:spacing w:line="330" w:lineRule="exact"/>
                    <w:jc w:val="center"/>
                    <w:rPr>
                      <w:color w:val="auto"/>
                      <w:kern w:val="0"/>
                      <w:szCs w:val="21"/>
                      <w:highlight w:val="none"/>
                    </w:rPr>
                  </w:pPr>
                  <w:r>
                    <w:rPr>
                      <w:color w:val="auto"/>
                      <w:kern w:val="0"/>
                      <w:szCs w:val="21"/>
                      <w:highlight w:val="none"/>
                    </w:rPr>
                    <w:t>0.78</w:t>
                  </w:r>
                </w:p>
              </w:tc>
              <w:tc>
                <w:tcPr>
                  <w:tcW w:w="2430" w:type="dxa"/>
                  <w:gridSpan w:val="3"/>
                  <w:vAlign w:val="center"/>
                </w:tcPr>
                <w:p w14:paraId="05620292">
                  <w:pPr>
                    <w:widowControl/>
                    <w:spacing w:line="330" w:lineRule="exact"/>
                    <w:jc w:val="center"/>
                    <w:rPr>
                      <w:color w:val="auto"/>
                      <w:kern w:val="0"/>
                      <w:szCs w:val="21"/>
                      <w:highlight w:val="none"/>
                    </w:rPr>
                  </w:pPr>
                  <w:r>
                    <w:rPr>
                      <w:color w:val="auto"/>
                      <w:kern w:val="0"/>
                      <w:szCs w:val="21"/>
                      <w:highlight w:val="none"/>
                    </w:rPr>
                    <w:t>0.57</w:t>
                  </w:r>
                </w:p>
              </w:tc>
            </w:tr>
            <w:tr w14:paraId="71494E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48" w:type="dxa"/>
                  <w:vMerge w:val="continue"/>
                  <w:vAlign w:val="center"/>
                </w:tcPr>
                <w:p w14:paraId="5DC6AF34">
                  <w:pPr>
                    <w:widowControl/>
                    <w:spacing w:line="330" w:lineRule="exact"/>
                    <w:jc w:val="center"/>
                    <w:rPr>
                      <w:color w:val="auto"/>
                      <w:kern w:val="0"/>
                      <w:szCs w:val="21"/>
                      <w:highlight w:val="none"/>
                    </w:rPr>
                  </w:pPr>
                </w:p>
              </w:tc>
              <w:tc>
                <w:tcPr>
                  <w:tcW w:w="1318" w:type="dxa"/>
                  <w:vAlign w:val="center"/>
                </w:tcPr>
                <w:p w14:paraId="507F790F">
                  <w:pPr>
                    <w:widowControl/>
                    <w:spacing w:line="330" w:lineRule="exact"/>
                    <w:jc w:val="center"/>
                    <w:rPr>
                      <w:color w:val="auto"/>
                      <w:kern w:val="0"/>
                      <w:szCs w:val="21"/>
                      <w:highlight w:val="none"/>
                    </w:rPr>
                  </w:pPr>
                  <w:r>
                    <w:rPr>
                      <w:color w:val="auto"/>
                      <w:kern w:val="0"/>
                      <w:szCs w:val="21"/>
                      <w:highlight w:val="none"/>
                    </w:rPr>
                    <w:t>&gt;2</w:t>
                  </w:r>
                </w:p>
              </w:tc>
              <w:tc>
                <w:tcPr>
                  <w:tcW w:w="2361" w:type="dxa"/>
                  <w:gridSpan w:val="3"/>
                  <w:vAlign w:val="center"/>
                </w:tcPr>
                <w:p w14:paraId="09DF2EF4">
                  <w:pPr>
                    <w:widowControl/>
                    <w:spacing w:line="330" w:lineRule="exact"/>
                    <w:jc w:val="center"/>
                    <w:rPr>
                      <w:color w:val="auto"/>
                      <w:kern w:val="0"/>
                      <w:szCs w:val="21"/>
                      <w:highlight w:val="none"/>
                    </w:rPr>
                  </w:pPr>
                  <w:r>
                    <w:rPr>
                      <w:color w:val="auto"/>
                      <w:kern w:val="0"/>
                      <w:szCs w:val="21"/>
                      <w:highlight w:val="none"/>
                    </w:rPr>
                    <w:t>0.84</w:t>
                  </w:r>
                </w:p>
              </w:tc>
              <w:tc>
                <w:tcPr>
                  <w:tcW w:w="2430" w:type="dxa"/>
                  <w:gridSpan w:val="3"/>
                  <w:vAlign w:val="center"/>
                </w:tcPr>
                <w:p w14:paraId="4A3DE9EC">
                  <w:pPr>
                    <w:widowControl/>
                    <w:spacing w:line="330" w:lineRule="exact"/>
                    <w:jc w:val="center"/>
                    <w:rPr>
                      <w:color w:val="auto"/>
                      <w:kern w:val="0"/>
                      <w:szCs w:val="21"/>
                      <w:highlight w:val="none"/>
                    </w:rPr>
                  </w:pPr>
                  <w:r>
                    <w:rPr>
                      <w:color w:val="auto"/>
                      <w:kern w:val="0"/>
                      <w:szCs w:val="21"/>
                      <w:highlight w:val="none"/>
                    </w:rPr>
                    <w:t>0.84</w:t>
                  </w:r>
                </w:p>
              </w:tc>
              <w:tc>
                <w:tcPr>
                  <w:tcW w:w="2430" w:type="dxa"/>
                  <w:gridSpan w:val="3"/>
                  <w:vAlign w:val="center"/>
                </w:tcPr>
                <w:p w14:paraId="7A9FFA3D">
                  <w:pPr>
                    <w:widowControl/>
                    <w:spacing w:line="330" w:lineRule="exact"/>
                    <w:jc w:val="center"/>
                    <w:rPr>
                      <w:color w:val="auto"/>
                      <w:kern w:val="0"/>
                      <w:szCs w:val="21"/>
                      <w:highlight w:val="none"/>
                    </w:rPr>
                  </w:pPr>
                  <w:r>
                    <w:rPr>
                      <w:color w:val="auto"/>
                      <w:kern w:val="0"/>
                      <w:szCs w:val="21"/>
                      <w:highlight w:val="none"/>
                    </w:rPr>
                    <w:t>0.76</w:t>
                  </w:r>
                </w:p>
              </w:tc>
            </w:tr>
            <w:tr w14:paraId="6529E2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00" w:hRule="atLeast"/>
                <w:jc w:val="center"/>
              </w:trPr>
              <w:tc>
                <w:tcPr>
                  <w:tcW w:w="9287" w:type="dxa"/>
                  <w:gridSpan w:val="11"/>
                  <w:vAlign w:val="center"/>
                </w:tcPr>
                <w:p w14:paraId="5B843D28">
                  <w:pPr>
                    <w:tabs>
                      <w:tab w:val="left" w:pos="540"/>
                      <w:tab w:val="left" w:pos="1080"/>
                      <w:tab w:val="left" w:pos="1260"/>
                      <w:tab w:val="left" w:pos="1440"/>
                    </w:tabs>
                    <w:adjustRightInd w:val="0"/>
                    <w:snapToGrid w:val="0"/>
                    <w:spacing w:line="330" w:lineRule="exact"/>
                    <w:jc w:val="left"/>
                    <w:rPr>
                      <w:bCs/>
                      <w:color w:val="auto"/>
                      <w:szCs w:val="21"/>
                      <w:highlight w:val="none"/>
                    </w:rPr>
                  </w:pPr>
                  <w:r>
                    <w:rPr>
                      <w:bCs/>
                      <w:color w:val="auto"/>
                      <w:szCs w:val="21"/>
                      <w:highlight w:val="none"/>
                    </w:rPr>
                    <w:t>注：工业大气污染源构成分为三类：</w:t>
                  </w:r>
                </w:p>
                <w:p w14:paraId="24174C33">
                  <w:pPr>
                    <w:tabs>
                      <w:tab w:val="left" w:pos="540"/>
                      <w:tab w:val="left" w:pos="1080"/>
                      <w:tab w:val="left" w:pos="1260"/>
                      <w:tab w:val="left" w:pos="1440"/>
                    </w:tabs>
                    <w:adjustRightInd w:val="0"/>
                    <w:snapToGrid w:val="0"/>
                    <w:spacing w:line="330" w:lineRule="exact"/>
                    <w:jc w:val="left"/>
                    <w:rPr>
                      <w:bCs/>
                      <w:color w:val="auto"/>
                      <w:szCs w:val="21"/>
                      <w:highlight w:val="none"/>
                    </w:rPr>
                  </w:pPr>
                  <w:r>
                    <w:rPr>
                      <w:bCs/>
                      <w:color w:val="auto"/>
                      <w:szCs w:val="21"/>
                      <w:highlight w:val="none"/>
                    </w:rPr>
                    <w:t>Ⅰ类：与无组织排放源共存的排放同种有害气体的排气筒的排放量，大于标准规定的允许排放量的三分之一者；</w:t>
                  </w:r>
                </w:p>
                <w:p w14:paraId="7961D09C">
                  <w:pPr>
                    <w:tabs>
                      <w:tab w:val="left" w:pos="540"/>
                      <w:tab w:val="left" w:pos="1080"/>
                      <w:tab w:val="left" w:pos="1260"/>
                      <w:tab w:val="left" w:pos="1440"/>
                    </w:tabs>
                    <w:adjustRightInd w:val="0"/>
                    <w:snapToGrid w:val="0"/>
                    <w:spacing w:line="330" w:lineRule="exact"/>
                    <w:jc w:val="left"/>
                    <w:rPr>
                      <w:bCs/>
                      <w:color w:val="auto"/>
                      <w:szCs w:val="21"/>
                      <w:highlight w:val="none"/>
                    </w:rPr>
                  </w:pPr>
                  <w:r>
                    <w:rPr>
                      <w:bCs/>
                      <w:color w:val="auto"/>
                      <w:szCs w:val="21"/>
                      <w:highlight w:val="none"/>
                    </w:rPr>
                    <w:t>Ⅱ类：与无组织排放源共存的排放同种有害气体的排气筒的排放量，小于标准规定的允许排放量的三分之一，或虽无排放同种大气污染物之排气筒共存，但无组织排放的有害物质的允许浓度指标是按急性反应指标确定者；</w:t>
                  </w:r>
                </w:p>
                <w:p w14:paraId="1CCBA349">
                  <w:pPr>
                    <w:spacing w:line="330" w:lineRule="exact"/>
                    <w:jc w:val="left"/>
                    <w:rPr>
                      <w:color w:val="auto"/>
                      <w:kern w:val="0"/>
                      <w:szCs w:val="21"/>
                      <w:highlight w:val="none"/>
                    </w:rPr>
                  </w:pPr>
                  <w:r>
                    <w:rPr>
                      <w:color w:val="auto"/>
                      <w:kern w:val="0"/>
                      <w:szCs w:val="21"/>
                      <w:highlight w:val="none"/>
                    </w:rPr>
                    <w:t>Ⅲ类：无排放同种有害物质的排气筒与无组织排放源共存，且无组织排放的有害物质的允许浓度是按慢性反应指标确定者。</w:t>
                  </w:r>
                </w:p>
              </w:tc>
            </w:tr>
          </w:tbl>
          <w:p w14:paraId="2B58AC66">
            <w:pPr>
              <w:spacing w:line="360" w:lineRule="auto"/>
              <w:ind w:firstLine="480" w:firstLineChars="200"/>
              <w:rPr>
                <w:color w:val="auto"/>
                <w:sz w:val="24"/>
                <w:szCs w:val="21"/>
                <w:highlight w:val="none"/>
              </w:rPr>
            </w:pPr>
            <w:r>
              <w:rPr>
                <w:color w:val="auto"/>
                <w:sz w:val="24"/>
                <w:szCs w:val="21"/>
                <w:highlight w:val="none"/>
              </w:rPr>
              <w:t>本评价</w:t>
            </w:r>
            <w:r>
              <w:rPr>
                <w:rFonts w:hint="eastAsia"/>
                <w:color w:val="auto"/>
                <w:sz w:val="24"/>
                <w:szCs w:val="21"/>
                <w:highlight w:val="none"/>
              </w:rPr>
              <w:t>以</w:t>
            </w:r>
            <w:r>
              <w:rPr>
                <w:rFonts w:hint="eastAsia"/>
                <w:color w:val="auto"/>
                <w:sz w:val="24"/>
                <w:szCs w:val="21"/>
                <w:highlight w:val="none"/>
                <w:lang w:val="en-US" w:eastAsia="zh-CN"/>
              </w:rPr>
              <w:t>新建生产车间内生产装置区无组织排放</w:t>
            </w:r>
            <w:r>
              <w:rPr>
                <w:rFonts w:hint="eastAsia"/>
                <w:color w:val="auto"/>
                <w:sz w:val="24"/>
                <w:szCs w:val="21"/>
                <w:highlight w:val="none"/>
              </w:rPr>
              <w:t>的</w:t>
            </w:r>
            <w:r>
              <w:rPr>
                <w:rFonts w:hint="eastAsia"/>
                <w:color w:val="auto"/>
                <w:sz w:val="24"/>
                <w:szCs w:val="21"/>
                <w:highlight w:val="none"/>
                <w:lang w:val="en-US" w:eastAsia="zh-CN"/>
              </w:rPr>
              <w:t>VOCs及全厂</w:t>
            </w:r>
            <w:r>
              <w:rPr>
                <w:rFonts w:hint="eastAsia"/>
                <w:color w:val="auto"/>
                <w:sz w:val="24"/>
                <w:szCs w:val="21"/>
                <w:highlight w:val="none"/>
              </w:rPr>
              <w:t>污水处理站恶臭</w:t>
            </w:r>
            <w:r>
              <w:rPr>
                <w:rFonts w:hint="eastAsia"/>
                <w:color w:val="auto"/>
                <w:sz w:val="24"/>
                <w:szCs w:val="21"/>
                <w:highlight w:val="none"/>
                <w:lang w:val="en-US" w:eastAsia="zh-CN"/>
              </w:rPr>
              <w:t>无组织排放量</w:t>
            </w:r>
            <w:r>
              <w:rPr>
                <w:color w:val="auto"/>
                <w:sz w:val="24"/>
                <w:szCs w:val="21"/>
                <w:highlight w:val="none"/>
              </w:rPr>
              <w:t>作为</w:t>
            </w:r>
            <w:r>
              <w:rPr>
                <w:rFonts w:hint="eastAsia"/>
                <w:color w:val="auto"/>
                <w:sz w:val="24"/>
                <w:szCs w:val="21"/>
                <w:highlight w:val="none"/>
                <w:lang w:val="en-US" w:eastAsia="zh-CN"/>
              </w:rPr>
              <w:t>面源排放源强</w:t>
            </w:r>
            <w:r>
              <w:rPr>
                <w:color w:val="auto"/>
                <w:sz w:val="24"/>
                <w:szCs w:val="21"/>
                <w:highlight w:val="none"/>
              </w:rPr>
              <w:t>，</w:t>
            </w:r>
            <w:r>
              <w:rPr>
                <w:rFonts w:hint="eastAsia"/>
                <w:color w:val="auto"/>
                <w:sz w:val="24"/>
                <w:szCs w:val="21"/>
                <w:highlight w:val="none"/>
                <w:lang w:val="en-US" w:eastAsia="zh-CN"/>
              </w:rPr>
              <w:t>根据现有工程环评报告及本次新增排放情况分析，本项目建成后厂区</w:t>
            </w:r>
            <w:r>
              <w:rPr>
                <w:color w:val="auto"/>
                <w:sz w:val="24"/>
                <w:szCs w:val="21"/>
                <w:highlight w:val="none"/>
              </w:rPr>
              <w:t>卫生防护距离计算结果见下表。</w:t>
            </w:r>
          </w:p>
          <w:p w14:paraId="3AAA3B33">
            <w:pPr>
              <w:pStyle w:val="41"/>
              <w:rPr>
                <w:bCs/>
                <w:color w:val="auto"/>
                <w:szCs w:val="21"/>
                <w:highlight w:val="none"/>
              </w:rPr>
            </w:pPr>
            <w:r>
              <w:rPr>
                <w:bCs/>
                <w:color w:val="auto"/>
                <w:szCs w:val="21"/>
                <w:highlight w:val="none"/>
              </w:rPr>
              <w:t>卫生防护距离计算结果</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858"/>
              <w:gridCol w:w="1017"/>
              <w:gridCol w:w="1330"/>
              <w:gridCol w:w="1061"/>
              <w:gridCol w:w="1066"/>
              <w:gridCol w:w="974"/>
              <w:gridCol w:w="1013"/>
              <w:gridCol w:w="836"/>
            </w:tblGrid>
            <w:tr w14:paraId="1AEA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Align w:val="center"/>
                </w:tcPr>
                <w:p w14:paraId="78D74859">
                  <w:pPr>
                    <w:widowControl/>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污染源</w:t>
                  </w:r>
                </w:p>
              </w:tc>
              <w:tc>
                <w:tcPr>
                  <w:tcW w:w="466" w:type="pct"/>
                  <w:vAlign w:val="center"/>
                </w:tcPr>
                <w:p w14:paraId="2BD864F7">
                  <w:pPr>
                    <w:widowControl/>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污染物名称</w:t>
                  </w:r>
                </w:p>
              </w:tc>
              <w:tc>
                <w:tcPr>
                  <w:tcW w:w="552" w:type="pct"/>
                  <w:vAlign w:val="center"/>
                </w:tcPr>
                <w:p w14:paraId="302DB2D8">
                  <w:pPr>
                    <w:widowControl/>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现有工程排放量kg/h</w:t>
                  </w:r>
                </w:p>
              </w:tc>
              <w:tc>
                <w:tcPr>
                  <w:tcW w:w="722" w:type="pct"/>
                  <w:vAlign w:val="center"/>
                </w:tcPr>
                <w:p w14:paraId="1ABB5A85">
                  <w:pPr>
                    <w:widowControl/>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本次新增</w:t>
                  </w:r>
                  <w:r>
                    <w:rPr>
                      <w:rFonts w:hint="default" w:ascii="Times New Roman" w:hAnsi="Times New Roman" w:cs="Times New Roman"/>
                      <w:b/>
                      <w:color w:val="auto"/>
                      <w:kern w:val="0"/>
                      <w:sz w:val="21"/>
                      <w:szCs w:val="21"/>
                      <w:highlight w:val="none"/>
                    </w:rPr>
                    <w:t>无组织排放速率（kg/h）</w:t>
                  </w:r>
                </w:p>
              </w:tc>
              <w:tc>
                <w:tcPr>
                  <w:tcW w:w="576" w:type="pct"/>
                  <w:vAlign w:val="center"/>
                </w:tcPr>
                <w:p w14:paraId="5A78ADD9">
                  <w:pPr>
                    <w:widowControl/>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等标排放量</w:t>
                  </w:r>
                </w:p>
              </w:tc>
              <w:tc>
                <w:tcPr>
                  <w:tcW w:w="579" w:type="pct"/>
                  <w:vAlign w:val="center"/>
                </w:tcPr>
                <w:p w14:paraId="557D1403">
                  <w:pPr>
                    <w:widowControl/>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面源面积（m</w:t>
                  </w:r>
                  <w:r>
                    <w:rPr>
                      <w:rFonts w:hint="default" w:ascii="Times New Roman" w:hAnsi="Times New Roman" w:cs="Times New Roman"/>
                      <w:b/>
                      <w:color w:val="auto"/>
                      <w:kern w:val="0"/>
                      <w:sz w:val="21"/>
                      <w:szCs w:val="21"/>
                      <w:highlight w:val="none"/>
                      <w:vertAlign w:val="superscript"/>
                    </w:rPr>
                    <w:t>2</w:t>
                  </w:r>
                  <w:r>
                    <w:rPr>
                      <w:rFonts w:hint="default" w:ascii="Times New Roman" w:hAnsi="Times New Roman" w:cs="Times New Roman"/>
                      <w:b/>
                      <w:color w:val="auto"/>
                      <w:kern w:val="0"/>
                      <w:sz w:val="21"/>
                      <w:szCs w:val="21"/>
                      <w:highlight w:val="none"/>
                    </w:rPr>
                    <w:t>）</w:t>
                  </w:r>
                </w:p>
              </w:tc>
              <w:tc>
                <w:tcPr>
                  <w:tcW w:w="529" w:type="pct"/>
                  <w:vAlign w:val="center"/>
                </w:tcPr>
                <w:p w14:paraId="0401B4BC">
                  <w:pPr>
                    <w:widowControl/>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有害物质选取</w:t>
                  </w:r>
                </w:p>
              </w:tc>
              <w:tc>
                <w:tcPr>
                  <w:tcW w:w="550" w:type="pct"/>
                  <w:vAlign w:val="center"/>
                </w:tcPr>
                <w:p w14:paraId="71B86B36">
                  <w:pPr>
                    <w:widowControl/>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计算结果（m）</w:t>
                  </w:r>
                </w:p>
              </w:tc>
              <w:tc>
                <w:tcPr>
                  <w:tcW w:w="454" w:type="pct"/>
                  <w:vAlign w:val="center"/>
                </w:tcPr>
                <w:p w14:paraId="122B10AA">
                  <w:pPr>
                    <w:widowControl/>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卫生防护距离</w:t>
                  </w:r>
                </w:p>
              </w:tc>
            </w:tr>
            <w:tr w14:paraId="3046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68" w:type="pct"/>
                  <w:vAlign w:val="top"/>
                </w:tcPr>
                <w:p w14:paraId="43009741">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生产装置区</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技改新增</w:t>
                  </w:r>
                  <w:r>
                    <w:rPr>
                      <w:rFonts w:hint="default" w:ascii="Times New Roman" w:hAnsi="Times New Roman" w:cs="Times New Roman"/>
                      <w:color w:val="auto"/>
                      <w:kern w:val="0"/>
                      <w:sz w:val="21"/>
                      <w:szCs w:val="21"/>
                      <w:highlight w:val="none"/>
                      <w:lang w:eastAsia="zh-CN"/>
                    </w:rPr>
                    <w:t>）</w:t>
                  </w:r>
                </w:p>
              </w:tc>
              <w:tc>
                <w:tcPr>
                  <w:tcW w:w="466" w:type="pct"/>
                  <w:vAlign w:val="center"/>
                </w:tcPr>
                <w:p w14:paraId="66CF46F9">
                  <w:pPr>
                    <w:widowControl/>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VOCs</w:t>
                  </w:r>
                </w:p>
              </w:tc>
              <w:tc>
                <w:tcPr>
                  <w:tcW w:w="552" w:type="pct"/>
                  <w:vAlign w:val="center"/>
                </w:tcPr>
                <w:p w14:paraId="1F827F15">
                  <w:pPr>
                    <w:widowControl/>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22" w:type="pct"/>
                  <w:vAlign w:val="center"/>
                </w:tcPr>
                <w:p w14:paraId="1520CA4A">
                  <w:pPr>
                    <w:widowControl/>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0.104</w:t>
                  </w:r>
                </w:p>
              </w:tc>
              <w:tc>
                <w:tcPr>
                  <w:tcW w:w="576" w:type="pct"/>
                  <w:vAlign w:val="center"/>
                </w:tcPr>
                <w:p w14:paraId="6A85701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0.05</w:t>
                  </w:r>
                </w:p>
              </w:tc>
              <w:tc>
                <w:tcPr>
                  <w:tcW w:w="579" w:type="pct"/>
                  <w:vAlign w:val="center"/>
                </w:tcPr>
                <w:p w14:paraId="0F2A7F72">
                  <w:pPr>
                    <w:widowControl/>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82</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cs="Times New Roman"/>
                      <w:b w:val="0"/>
                      <w:bCs/>
                      <w:color w:val="auto"/>
                      <w:kern w:val="0"/>
                      <w:sz w:val="21"/>
                      <w:szCs w:val="21"/>
                      <w:highlight w:val="none"/>
                      <w:lang w:val="en-US" w:eastAsia="zh-CN"/>
                    </w:rPr>
                    <w:t>30</w:t>
                  </w:r>
                </w:p>
              </w:tc>
              <w:tc>
                <w:tcPr>
                  <w:tcW w:w="529" w:type="pct"/>
                  <w:vAlign w:val="center"/>
                </w:tcPr>
                <w:p w14:paraId="2EAA828F">
                  <w:pPr>
                    <w:widowControl/>
                    <w:jc w:val="center"/>
                    <w:rPr>
                      <w:rFonts w:hint="default" w:ascii="Times New Roman" w:hAnsi="Times New Roman" w:cs="Times New Roman"/>
                      <w:b w:val="0"/>
                      <w:bCs/>
                      <w:color w:val="auto"/>
                      <w:kern w:val="0"/>
                      <w:sz w:val="21"/>
                      <w:szCs w:val="21"/>
                      <w:highlight w:val="none"/>
                    </w:rPr>
                  </w:pPr>
                  <w:r>
                    <w:rPr>
                      <w:rFonts w:hint="default" w:ascii="Times New Roman" w:hAnsi="Times New Roman" w:cs="Times New Roman"/>
                      <w:b w:val="0"/>
                      <w:bCs/>
                      <w:color w:val="auto"/>
                      <w:kern w:val="0"/>
                      <w:sz w:val="21"/>
                      <w:szCs w:val="21"/>
                      <w:highlight w:val="none"/>
                      <w:lang w:val="en-US" w:eastAsia="zh-CN"/>
                    </w:rPr>
                    <w:t>VOCs</w:t>
                  </w:r>
                </w:p>
              </w:tc>
              <w:tc>
                <w:tcPr>
                  <w:tcW w:w="550" w:type="pct"/>
                  <w:vAlign w:val="center"/>
                </w:tcPr>
                <w:p w14:paraId="01ACA516">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1.667</w:t>
                  </w:r>
                </w:p>
              </w:tc>
              <w:tc>
                <w:tcPr>
                  <w:tcW w:w="454" w:type="pct"/>
                  <w:vAlign w:val="center"/>
                </w:tcPr>
                <w:p w14:paraId="57DBA989">
                  <w:pPr>
                    <w:widowControl/>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50</w:t>
                  </w:r>
                </w:p>
              </w:tc>
            </w:tr>
            <w:tr w14:paraId="4C97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restart"/>
                  <w:vAlign w:val="center"/>
                </w:tcPr>
                <w:p w14:paraId="0387CABC">
                  <w:pP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污水处理站</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全厂</w:t>
                  </w:r>
                  <w:r>
                    <w:rPr>
                      <w:rFonts w:hint="default" w:ascii="Times New Roman" w:hAnsi="Times New Roman" w:cs="Times New Roman"/>
                      <w:color w:val="auto"/>
                      <w:kern w:val="0"/>
                      <w:sz w:val="21"/>
                      <w:szCs w:val="21"/>
                      <w:highlight w:val="none"/>
                      <w:lang w:eastAsia="zh-CN"/>
                    </w:rPr>
                    <w:t>）</w:t>
                  </w:r>
                </w:p>
              </w:tc>
              <w:tc>
                <w:tcPr>
                  <w:tcW w:w="466" w:type="pct"/>
                  <w:vAlign w:val="center"/>
                </w:tcPr>
                <w:p w14:paraId="54ECD6A9">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552" w:type="pct"/>
                  <w:vAlign w:val="center"/>
                </w:tcPr>
                <w:p w14:paraId="4FD79160">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0.018</w:t>
                  </w:r>
                </w:p>
              </w:tc>
              <w:tc>
                <w:tcPr>
                  <w:tcW w:w="722" w:type="pct"/>
                  <w:vAlign w:val="center"/>
                </w:tcPr>
                <w:p w14:paraId="555CF7F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3.</w:t>
                  </w:r>
                  <w:r>
                    <w:rPr>
                      <w:rFonts w:hint="eastAsia"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vertAlign w:val="superscript"/>
                      <w:lang w:val="en-US" w:eastAsia="zh-CN" w:bidi="ar"/>
                    </w:rPr>
                    <w:t>-4</w:t>
                  </w:r>
                </w:p>
              </w:tc>
              <w:tc>
                <w:tcPr>
                  <w:tcW w:w="576" w:type="pct"/>
                  <w:vAlign w:val="center"/>
                </w:tcPr>
                <w:p w14:paraId="3F2760C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0.09</w:t>
                  </w:r>
                </w:p>
              </w:tc>
              <w:tc>
                <w:tcPr>
                  <w:tcW w:w="579" w:type="pct"/>
                  <w:vMerge w:val="restart"/>
                  <w:vAlign w:val="center"/>
                </w:tcPr>
                <w:p w14:paraId="14ACC814">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cs="Times New Roman"/>
                      <w:color w:val="auto"/>
                      <w:kern w:val="0"/>
                      <w:sz w:val="21"/>
                      <w:szCs w:val="21"/>
                      <w:highlight w:val="none"/>
                      <w:lang w:val="en-US" w:eastAsia="zh-CN"/>
                    </w:rPr>
                    <w:t>25</w:t>
                  </w:r>
                </w:p>
              </w:tc>
              <w:tc>
                <w:tcPr>
                  <w:tcW w:w="529" w:type="pct"/>
                  <w:vAlign w:val="center"/>
                </w:tcPr>
                <w:p w14:paraId="4D5ABCBB">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550" w:type="pct"/>
                  <w:vAlign w:val="center"/>
                </w:tcPr>
                <w:p w14:paraId="327503B5">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6.097</w:t>
                  </w:r>
                </w:p>
              </w:tc>
              <w:tc>
                <w:tcPr>
                  <w:tcW w:w="454" w:type="pct"/>
                  <w:vMerge w:val="restart"/>
                  <w:vAlign w:val="center"/>
                </w:tcPr>
                <w:p w14:paraId="29A20E70">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w:t>
                  </w:r>
                </w:p>
              </w:tc>
            </w:tr>
            <w:tr w14:paraId="2831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vAlign w:val="center"/>
                </w:tcPr>
                <w:p w14:paraId="38365C73">
                  <w:pPr>
                    <w:jc w:val="center"/>
                    <w:rPr>
                      <w:rFonts w:hint="default" w:ascii="Times New Roman" w:hAnsi="Times New Roman" w:cs="Times New Roman"/>
                      <w:color w:val="auto"/>
                      <w:kern w:val="0"/>
                      <w:sz w:val="21"/>
                      <w:szCs w:val="21"/>
                      <w:highlight w:val="none"/>
                    </w:rPr>
                  </w:pPr>
                </w:p>
              </w:tc>
              <w:tc>
                <w:tcPr>
                  <w:tcW w:w="466" w:type="pct"/>
                  <w:vAlign w:val="center"/>
                </w:tcPr>
                <w:p w14:paraId="50D18D86">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552" w:type="pct"/>
                  <w:vAlign w:val="center"/>
                </w:tcPr>
                <w:p w14:paraId="3C5BAA84">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w:t>
                  </w:r>
                </w:p>
              </w:tc>
              <w:tc>
                <w:tcPr>
                  <w:tcW w:w="722" w:type="pct"/>
                  <w:vAlign w:val="center"/>
                </w:tcPr>
                <w:p w14:paraId="72A217C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bookmarkStart w:id="31" w:name="OLE_LINK22"/>
                  <w:r>
                    <w:rPr>
                      <w:rFonts w:hint="default" w:ascii="Times New Roman" w:hAnsi="Times New Roman" w:cs="Times New Roman"/>
                      <w:i w:val="0"/>
                      <w:iCs w:val="0"/>
                      <w:color w:val="auto"/>
                      <w:kern w:val="0"/>
                      <w:sz w:val="21"/>
                      <w:szCs w:val="21"/>
                      <w:highlight w:val="none"/>
                      <w:u w:val="none"/>
                      <w:lang w:val="en-US" w:eastAsia="zh-CN" w:bidi="ar"/>
                    </w:rPr>
                    <w:t>1.2</w:t>
                  </w: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vertAlign w:val="superscript"/>
                      <w:lang w:val="en-US" w:eastAsia="zh-CN" w:bidi="ar"/>
                    </w:rPr>
                    <w:t>-</w:t>
                  </w:r>
                  <w:bookmarkEnd w:id="31"/>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576" w:type="pct"/>
                  <w:vAlign w:val="center"/>
                </w:tcPr>
                <w:p w14:paraId="7858D07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0.2</w:t>
                  </w:r>
                </w:p>
              </w:tc>
              <w:tc>
                <w:tcPr>
                  <w:tcW w:w="579" w:type="pct"/>
                  <w:vMerge w:val="continue"/>
                  <w:vAlign w:val="center"/>
                </w:tcPr>
                <w:p w14:paraId="3A54D252">
                  <w:pPr>
                    <w:jc w:val="center"/>
                    <w:rPr>
                      <w:rFonts w:hint="default" w:ascii="Times New Roman" w:hAnsi="Times New Roman" w:cs="Times New Roman"/>
                      <w:color w:val="auto"/>
                      <w:kern w:val="0"/>
                      <w:sz w:val="21"/>
                      <w:szCs w:val="21"/>
                      <w:highlight w:val="none"/>
                    </w:rPr>
                  </w:pPr>
                </w:p>
              </w:tc>
              <w:tc>
                <w:tcPr>
                  <w:tcW w:w="529" w:type="pct"/>
                  <w:vAlign w:val="center"/>
                </w:tcPr>
                <w:p w14:paraId="6E118A00">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550" w:type="pct"/>
                  <w:vAlign w:val="center"/>
                </w:tcPr>
                <w:p w14:paraId="7EDCF715">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16.521</w:t>
                  </w:r>
                </w:p>
              </w:tc>
              <w:tc>
                <w:tcPr>
                  <w:tcW w:w="454" w:type="pct"/>
                  <w:vMerge w:val="continue"/>
                  <w:vAlign w:val="center"/>
                </w:tcPr>
                <w:p w14:paraId="170339C9">
                  <w:pPr>
                    <w:jc w:val="center"/>
                    <w:rPr>
                      <w:rFonts w:hint="default" w:ascii="Times New Roman" w:hAnsi="Times New Roman" w:eastAsia="宋体" w:cs="Times New Roman"/>
                      <w:color w:val="auto"/>
                      <w:kern w:val="0"/>
                      <w:sz w:val="21"/>
                      <w:szCs w:val="21"/>
                      <w:highlight w:val="none"/>
                      <w:lang w:val="en-US" w:eastAsia="zh-CN"/>
                    </w:rPr>
                  </w:pPr>
                </w:p>
              </w:tc>
            </w:tr>
          </w:tbl>
          <w:p w14:paraId="3D0987E8">
            <w:pPr>
              <w:spacing w:line="360" w:lineRule="auto"/>
              <w:ind w:firstLine="480" w:firstLineChars="200"/>
              <w:rPr>
                <w:rFonts w:hint="eastAsia" w:eastAsia="宋体"/>
                <w:color w:val="auto"/>
                <w:sz w:val="24"/>
                <w:szCs w:val="21"/>
                <w:highlight w:val="none"/>
                <w:lang w:eastAsia="zh-CN"/>
              </w:rPr>
            </w:pPr>
            <w:r>
              <w:rPr>
                <w:color w:val="auto"/>
                <w:sz w:val="24"/>
                <w:szCs w:val="21"/>
                <w:highlight w:val="none"/>
              </w:rPr>
              <w:t>根据上表计算成果和《</w:t>
            </w:r>
            <w:r>
              <w:rPr>
                <w:rFonts w:hint="eastAsia"/>
                <w:color w:val="auto"/>
                <w:sz w:val="24"/>
                <w:szCs w:val="21"/>
                <w:highlight w:val="none"/>
              </w:rPr>
              <w:t>大气有害物质无组织排放卫生防护距离推导技术导则</w:t>
            </w:r>
            <w:r>
              <w:rPr>
                <w:color w:val="auto"/>
                <w:sz w:val="24"/>
                <w:szCs w:val="21"/>
                <w:highlight w:val="none"/>
              </w:rPr>
              <w:t>》（GB/T</w:t>
            </w:r>
            <w:r>
              <w:rPr>
                <w:rFonts w:hint="eastAsia"/>
                <w:color w:val="auto"/>
                <w:sz w:val="24"/>
                <w:szCs w:val="21"/>
                <w:highlight w:val="none"/>
              </w:rPr>
              <w:t>39499-2020</w:t>
            </w:r>
            <w:r>
              <w:rPr>
                <w:color w:val="auto"/>
                <w:sz w:val="24"/>
                <w:szCs w:val="21"/>
                <w:highlight w:val="none"/>
              </w:rPr>
              <w:t>）的要求，本项目</w:t>
            </w:r>
            <w:r>
              <w:rPr>
                <w:rFonts w:hint="eastAsia"/>
                <w:color w:val="auto"/>
                <w:sz w:val="24"/>
                <w:szCs w:val="21"/>
                <w:highlight w:val="none"/>
              </w:rPr>
              <w:t>应</w:t>
            </w:r>
            <w:r>
              <w:rPr>
                <w:rFonts w:hint="eastAsia"/>
                <w:color w:val="auto"/>
                <w:sz w:val="24"/>
                <w:szCs w:val="21"/>
                <w:highlight w:val="none"/>
                <w:lang w:val="en-US" w:eastAsia="zh-CN"/>
              </w:rPr>
              <w:t>以新增生产装置区（技改后）边界分别划</w:t>
            </w:r>
            <w:r>
              <w:rPr>
                <w:rFonts w:hint="eastAsia"/>
                <w:color w:val="auto"/>
                <w:sz w:val="24"/>
                <w:szCs w:val="21"/>
                <w:highlight w:val="none"/>
              </w:rPr>
              <w:t>定50m的卫生防护距离</w:t>
            </w:r>
            <w:r>
              <w:rPr>
                <w:rFonts w:hint="eastAsia"/>
                <w:color w:val="auto"/>
                <w:sz w:val="24"/>
                <w:szCs w:val="21"/>
                <w:highlight w:val="none"/>
                <w:lang w:eastAsia="zh-CN"/>
              </w:rPr>
              <w:t>，</w:t>
            </w:r>
            <w:r>
              <w:rPr>
                <w:rFonts w:hint="eastAsia"/>
                <w:color w:val="auto"/>
                <w:sz w:val="24"/>
                <w:szCs w:val="21"/>
                <w:highlight w:val="none"/>
              </w:rPr>
              <w:t>污水处理站划定</w:t>
            </w:r>
            <w:r>
              <w:rPr>
                <w:rFonts w:hint="eastAsia"/>
                <w:color w:val="auto"/>
                <w:sz w:val="24"/>
                <w:szCs w:val="21"/>
                <w:highlight w:val="none"/>
                <w:lang w:val="en-US" w:eastAsia="zh-CN"/>
              </w:rPr>
              <w:t>10</w:t>
            </w:r>
            <w:r>
              <w:rPr>
                <w:rFonts w:hint="eastAsia"/>
                <w:color w:val="auto"/>
                <w:sz w:val="24"/>
                <w:szCs w:val="21"/>
                <w:highlight w:val="none"/>
              </w:rPr>
              <w:t>0m的卫生防护距离</w:t>
            </w:r>
            <w:r>
              <w:rPr>
                <w:rFonts w:hint="eastAsia"/>
                <w:color w:val="auto"/>
                <w:sz w:val="24"/>
                <w:szCs w:val="21"/>
                <w:highlight w:val="none"/>
                <w:lang w:eastAsia="zh-CN"/>
              </w:rPr>
              <w:t>。</w:t>
            </w:r>
          </w:p>
          <w:p w14:paraId="44AF7D96">
            <w:pPr>
              <w:pageBreakBefore/>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现有工程</w:t>
            </w:r>
            <w:r>
              <w:rPr>
                <w:rFonts w:hint="eastAsia"/>
                <w:color w:val="auto"/>
                <w:sz w:val="24"/>
                <w:highlight w:val="none"/>
              </w:rPr>
              <w:t>已</w:t>
            </w:r>
            <w:r>
              <w:rPr>
                <w:color w:val="auto"/>
                <w:sz w:val="24"/>
                <w:highlight w:val="none"/>
              </w:rPr>
              <w:t>设置卫生防护距离为以装置及罐区生产作业区外100m形成的包络线范围</w:t>
            </w:r>
            <w:r>
              <w:rPr>
                <w:rFonts w:hint="eastAsia"/>
                <w:color w:val="auto"/>
                <w:sz w:val="24"/>
                <w:highlight w:val="none"/>
                <w:lang w:eastAsia="zh-CN"/>
              </w:rPr>
              <w:t>（</w:t>
            </w:r>
            <w:r>
              <w:rPr>
                <w:rFonts w:hint="eastAsia"/>
                <w:color w:val="auto"/>
                <w:sz w:val="24"/>
                <w:highlight w:val="none"/>
                <w:lang w:val="en-US" w:eastAsia="zh-CN"/>
              </w:rPr>
              <w:t>覆盖以污水处理厂</w:t>
            </w:r>
            <w:r>
              <w:rPr>
                <w:color w:val="auto"/>
                <w:sz w:val="24"/>
                <w:highlight w:val="none"/>
              </w:rPr>
              <w:t>外50m形成的包络线范围</w:t>
            </w:r>
            <w:r>
              <w:rPr>
                <w:rFonts w:hint="eastAsia"/>
                <w:color w:val="auto"/>
                <w:sz w:val="24"/>
                <w:highlight w:val="none"/>
                <w:lang w:eastAsia="zh-CN"/>
              </w:rPr>
              <w:t>）</w:t>
            </w:r>
            <w:r>
              <w:rPr>
                <w:color w:val="auto"/>
                <w:sz w:val="24"/>
                <w:highlight w:val="none"/>
              </w:rPr>
              <w:t>，</w:t>
            </w:r>
            <w:r>
              <w:rPr>
                <w:rFonts w:hint="eastAsia"/>
                <w:b/>
                <w:bCs/>
                <w:color w:val="auto"/>
                <w:sz w:val="24"/>
                <w:szCs w:val="21"/>
                <w:highlight w:val="none"/>
                <w:lang w:val="en-US" w:eastAsia="zh-CN"/>
              </w:rPr>
              <w:t>现有卫生防护距离范围无居民住户，</w:t>
            </w:r>
            <w:r>
              <w:rPr>
                <w:rFonts w:hint="eastAsia"/>
                <w:b/>
                <w:bCs/>
                <w:color w:val="auto"/>
                <w:sz w:val="24"/>
                <w:szCs w:val="21"/>
                <w:highlight w:val="none"/>
              </w:rPr>
              <w:t>本项目新增</w:t>
            </w:r>
            <w:r>
              <w:rPr>
                <w:rFonts w:hint="eastAsia"/>
                <w:b/>
                <w:bCs/>
                <w:color w:val="auto"/>
                <w:sz w:val="24"/>
                <w:szCs w:val="21"/>
                <w:highlight w:val="none"/>
                <w:lang w:val="en-US" w:eastAsia="zh-CN"/>
              </w:rPr>
              <w:t>以技改后提纯产品生产装置区为边界外扩50m的</w:t>
            </w:r>
            <w:r>
              <w:rPr>
                <w:rFonts w:hint="eastAsia"/>
                <w:b/>
                <w:bCs/>
                <w:color w:val="auto"/>
                <w:sz w:val="24"/>
                <w:szCs w:val="21"/>
                <w:highlight w:val="none"/>
              </w:rPr>
              <w:t>卫生防护距离</w:t>
            </w:r>
            <w:r>
              <w:rPr>
                <w:rFonts w:hint="eastAsia"/>
                <w:b/>
                <w:bCs/>
                <w:color w:val="auto"/>
                <w:sz w:val="24"/>
                <w:szCs w:val="21"/>
                <w:highlight w:val="none"/>
                <w:lang w:eastAsia="zh-CN"/>
              </w:rPr>
              <w:t>，</w:t>
            </w:r>
            <w:r>
              <w:rPr>
                <w:rFonts w:hint="eastAsia"/>
                <w:b/>
                <w:bCs/>
                <w:color w:val="auto"/>
                <w:sz w:val="24"/>
                <w:szCs w:val="21"/>
                <w:highlight w:val="none"/>
                <w:lang w:val="en-US" w:eastAsia="zh-CN"/>
              </w:rPr>
              <w:t>该范围均在现有卫生防护距离范围内；同时将现有污水处理厂外扩50m扩大为外扩100m作为卫生防护距离范围，该范围北侧部分区域超出现有卫生防护距离，本次将北侧外延范围与现有卫生防护距离范围并集形成最终卫生防护距离范围，详见附图。</w:t>
            </w:r>
          </w:p>
          <w:p w14:paraId="0422F4BF">
            <w:pPr>
              <w:spacing w:line="360" w:lineRule="auto"/>
              <w:ind w:firstLine="480" w:firstLineChars="200"/>
              <w:rPr>
                <w:rFonts w:hint="eastAsia" w:eastAsia="宋体"/>
                <w:color w:val="auto"/>
                <w:highlight w:val="none"/>
                <w:lang w:eastAsia="zh-CN"/>
              </w:rPr>
            </w:pPr>
            <w:r>
              <w:rPr>
                <w:rFonts w:hint="eastAsia"/>
                <w:color w:val="auto"/>
                <w:sz w:val="24"/>
                <w:szCs w:val="21"/>
                <w:highlight w:val="none"/>
                <w:lang w:val="en-US" w:eastAsia="zh-CN"/>
              </w:rPr>
              <w:t>本项目建成后，新增卫生防护距离范围内仍</w:t>
            </w:r>
            <w:r>
              <w:rPr>
                <w:color w:val="auto"/>
                <w:sz w:val="24"/>
                <w:szCs w:val="21"/>
                <w:highlight w:val="none"/>
              </w:rPr>
              <w:t>无居民，</w:t>
            </w:r>
            <w:r>
              <w:rPr>
                <w:rFonts w:hint="eastAsia"/>
                <w:color w:val="auto"/>
                <w:sz w:val="24"/>
                <w:szCs w:val="21"/>
                <w:highlight w:val="none"/>
                <w:lang w:val="en-US" w:eastAsia="zh-CN"/>
              </w:rPr>
              <w:t>也</w:t>
            </w:r>
            <w:r>
              <w:rPr>
                <w:color w:val="auto"/>
                <w:sz w:val="24"/>
                <w:szCs w:val="21"/>
                <w:highlight w:val="none"/>
              </w:rPr>
              <w:t>不涉及环保拆迁，</w:t>
            </w:r>
            <w:r>
              <w:rPr>
                <w:rFonts w:hint="eastAsia"/>
                <w:color w:val="auto"/>
                <w:sz w:val="24"/>
                <w:szCs w:val="21"/>
                <w:highlight w:val="none"/>
                <w:lang w:val="en-US" w:eastAsia="zh-CN"/>
              </w:rPr>
              <w:t>外环境</w:t>
            </w:r>
            <w:r>
              <w:rPr>
                <w:color w:val="auto"/>
                <w:sz w:val="24"/>
                <w:szCs w:val="21"/>
                <w:highlight w:val="none"/>
              </w:rPr>
              <w:t>可以满足卫生防护距离要求。</w:t>
            </w:r>
            <w:r>
              <w:rPr>
                <w:rFonts w:hint="eastAsia"/>
                <w:color w:val="auto"/>
                <w:sz w:val="24"/>
                <w:szCs w:val="21"/>
                <w:highlight w:val="none"/>
              </w:rPr>
              <w:t>厂区</w:t>
            </w:r>
            <w:r>
              <w:rPr>
                <w:color w:val="auto"/>
                <w:sz w:val="24"/>
                <w:szCs w:val="21"/>
                <w:highlight w:val="none"/>
              </w:rPr>
              <w:t>评价要求划定的卫生防护距离控制范围内今后不得规划建设学校、医院、居住区等大气环境敏感区，引入食品类大气敏感型企业建设项目应考虑环境相容性。</w:t>
            </w:r>
          </w:p>
          <w:p w14:paraId="3A1CAF3E">
            <w:pPr>
              <w:spacing w:line="360" w:lineRule="auto"/>
              <w:ind w:firstLine="482" w:firstLineChars="200"/>
              <w:rPr>
                <w:b/>
                <w:bCs/>
                <w:color w:val="auto"/>
                <w:sz w:val="24"/>
                <w:highlight w:val="none"/>
              </w:rPr>
            </w:pPr>
            <w:r>
              <w:rPr>
                <w:rFonts w:hint="eastAsia"/>
                <w:b/>
                <w:color w:val="auto"/>
                <w:sz w:val="24"/>
                <w:szCs w:val="22"/>
                <w:highlight w:val="none"/>
                <w:lang w:bidi="ar"/>
              </w:rPr>
              <w:t>（8）</w:t>
            </w:r>
            <w:r>
              <w:rPr>
                <w:rFonts w:hint="eastAsia"/>
                <w:b/>
                <w:bCs/>
                <w:color w:val="auto"/>
                <w:sz w:val="24"/>
                <w:highlight w:val="none"/>
              </w:rPr>
              <w:t>监测计划</w:t>
            </w:r>
          </w:p>
          <w:p w14:paraId="78E41606">
            <w:pPr>
              <w:spacing w:line="360" w:lineRule="auto"/>
              <w:ind w:firstLine="480" w:firstLineChars="200"/>
              <w:textAlignment w:val="baseline"/>
              <w:rPr>
                <w:bCs/>
                <w:color w:val="auto"/>
                <w:sz w:val="24"/>
                <w:szCs w:val="22"/>
                <w:highlight w:val="none"/>
                <w:lang w:bidi="ar"/>
              </w:rPr>
            </w:pPr>
            <w:r>
              <w:rPr>
                <w:bCs/>
                <w:color w:val="auto"/>
                <w:sz w:val="24"/>
                <w:szCs w:val="22"/>
                <w:highlight w:val="none"/>
                <w:lang w:bidi="ar"/>
              </w:rPr>
              <w:t>本次环评根据《排污单位自行监测技术指南总则》（HJ819-2017）</w:t>
            </w:r>
            <w:r>
              <w:rPr>
                <w:rFonts w:hint="eastAsia"/>
                <w:bCs/>
                <w:color w:val="auto"/>
                <w:sz w:val="24"/>
                <w:szCs w:val="22"/>
                <w:highlight w:val="none"/>
                <w:lang w:eastAsia="zh-CN" w:bidi="ar"/>
              </w:rPr>
              <w:t>、</w:t>
            </w:r>
            <w:r>
              <w:rPr>
                <w:color w:val="auto"/>
                <w:sz w:val="24"/>
                <w:szCs w:val="21"/>
                <w:highlight w:val="none"/>
              </w:rPr>
              <w:fldChar w:fldCharType="begin"/>
            </w:r>
            <w:r>
              <w:rPr>
                <w:color w:val="auto"/>
                <w:sz w:val="24"/>
                <w:szCs w:val="21"/>
                <w:highlight w:val="none"/>
              </w:rPr>
              <w:instrText xml:space="preserve"> HYPERLINK "https://www.mee.gov.cn/ywgz/fgbz/bz/bzwb/pwxk/202003/W020200304681711058003.pdf" </w:instrText>
            </w:r>
            <w:r>
              <w:rPr>
                <w:color w:val="auto"/>
                <w:sz w:val="24"/>
                <w:szCs w:val="21"/>
                <w:highlight w:val="none"/>
              </w:rPr>
              <w:fldChar w:fldCharType="separate"/>
            </w:r>
            <w:r>
              <w:rPr>
                <w:rFonts w:hint="eastAsia"/>
                <w:color w:val="auto"/>
                <w:sz w:val="24"/>
                <w:szCs w:val="21"/>
                <w:highlight w:val="none"/>
                <w:lang w:eastAsia="zh-CN"/>
              </w:rPr>
              <w:t>《</w:t>
            </w:r>
            <w:r>
              <w:rPr>
                <w:rFonts w:hint="eastAsia"/>
                <w:bCs/>
                <w:color w:val="auto"/>
                <w:sz w:val="24"/>
                <w:szCs w:val="22"/>
                <w:highlight w:val="none"/>
                <w:lang w:bidi="ar"/>
              </w:rPr>
              <w:t>排污单位自行监测技术指南</w:t>
            </w:r>
            <w:r>
              <w:rPr>
                <w:rFonts w:hint="eastAsia"/>
                <w:color w:val="auto"/>
                <w:sz w:val="24"/>
                <w:szCs w:val="21"/>
                <w:highlight w:val="none"/>
                <w:lang w:val="en-US" w:eastAsia="zh-CN"/>
              </w:rPr>
              <w:t xml:space="preserve"> </w:t>
            </w:r>
            <w:r>
              <w:rPr>
                <w:rFonts w:hint="eastAsia"/>
                <w:color w:val="auto"/>
                <w:sz w:val="24"/>
                <w:szCs w:val="21"/>
                <w:highlight w:val="none"/>
              </w:rPr>
              <w:t>石油化学工业</w:t>
            </w:r>
            <w:r>
              <w:rPr>
                <w:rFonts w:hint="eastAsia"/>
                <w:color w:val="auto"/>
                <w:sz w:val="24"/>
                <w:szCs w:val="21"/>
                <w:highlight w:val="none"/>
                <w:lang w:eastAsia="zh-CN"/>
              </w:rPr>
              <w:t>》</w:t>
            </w:r>
            <w:r>
              <w:rPr>
                <w:rFonts w:hint="eastAsia"/>
                <w:color w:val="auto"/>
                <w:sz w:val="24"/>
                <w:szCs w:val="21"/>
                <w:highlight w:val="none"/>
              </w:rPr>
              <w:fldChar w:fldCharType="end"/>
            </w:r>
            <w:r>
              <w:rPr>
                <w:rFonts w:hint="eastAsia"/>
                <w:color w:val="auto"/>
                <w:sz w:val="24"/>
                <w:szCs w:val="21"/>
                <w:highlight w:val="none"/>
              </w:rPr>
              <w:t>（HJ947-2018）</w:t>
            </w:r>
            <w:r>
              <w:rPr>
                <w:rFonts w:hint="eastAsia"/>
                <w:color w:val="auto"/>
                <w:sz w:val="24"/>
                <w:szCs w:val="21"/>
                <w:highlight w:val="none"/>
                <w:lang w:eastAsia="zh-CN"/>
              </w:rPr>
              <w:t>、</w:t>
            </w:r>
            <w:r>
              <w:rPr>
                <w:bCs/>
                <w:color w:val="auto"/>
                <w:sz w:val="24"/>
                <w:szCs w:val="22"/>
                <w:highlight w:val="none"/>
                <w:lang w:bidi="ar"/>
              </w:rPr>
              <w:t>《</w:t>
            </w:r>
            <w:r>
              <w:rPr>
                <w:bCs/>
                <w:color w:val="auto"/>
                <w:sz w:val="24"/>
                <w:szCs w:val="22"/>
                <w:highlight w:val="none"/>
                <w:lang w:bidi="ar"/>
              </w:rPr>
              <w:fldChar w:fldCharType="begin"/>
            </w:r>
            <w:r>
              <w:rPr>
                <w:bCs/>
                <w:color w:val="auto"/>
                <w:sz w:val="24"/>
                <w:szCs w:val="22"/>
                <w:highlight w:val="none"/>
                <w:lang w:bidi="ar"/>
              </w:rPr>
              <w:instrText xml:space="preserve"> HYPERLINK "http://www.beidouzhiku.cn/api/attach.php?url=http://www.beidouzhiku.cn/file/upload/202205/20/095215341.pdf&amp;name=2%E6%8E%92%E6%B1%A1%E5%8D%95%E4%BD%8D%E8%87%AA%E8%A1%8C%E7%9B%91%E6%B5%8B%E6%8A%80%E6%9C%AF%E6%8C%87%E5%8D%97 %E7%81%AB%E5%8A%9B%E5%8F%91%E7%94%B5%E5%8F%8A%E9%94%85%E7%82%89(HJ 820-2017).pdf" </w:instrText>
            </w:r>
            <w:r>
              <w:rPr>
                <w:bCs/>
                <w:color w:val="auto"/>
                <w:sz w:val="24"/>
                <w:szCs w:val="22"/>
                <w:highlight w:val="none"/>
                <w:lang w:bidi="ar"/>
              </w:rPr>
              <w:fldChar w:fldCharType="separate"/>
            </w:r>
            <w:r>
              <w:rPr>
                <w:rFonts w:hint="eastAsia"/>
                <w:bCs/>
                <w:color w:val="auto"/>
                <w:sz w:val="24"/>
                <w:szCs w:val="22"/>
                <w:highlight w:val="none"/>
                <w:lang w:bidi="ar"/>
              </w:rPr>
              <w:t>排污单位自行监测技术指南</w:t>
            </w:r>
            <w:r>
              <w:rPr>
                <w:rFonts w:hint="eastAsia"/>
                <w:bCs/>
                <w:color w:val="auto"/>
                <w:sz w:val="24"/>
                <w:szCs w:val="22"/>
                <w:highlight w:val="none"/>
                <w:lang w:val="en-US" w:eastAsia="zh-CN" w:bidi="ar"/>
              </w:rPr>
              <w:t xml:space="preserve"> </w:t>
            </w:r>
            <w:r>
              <w:rPr>
                <w:rFonts w:hint="eastAsia"/>
                <w:bCs/>
                <w:color w:val="auto"/>
                <w:sz w:val="24"/>
                <w:szCs w:val="22"/>
                <w:highlight w:val="none"/>
                <w:lang w:bidi="ar"/>
              </w:rPr>
              <w:t>火力发电及锅炉</w:t>
            </w:r>
            <w:r>
              <w:rPr>
                <w:rFonts w:hint="eastAsia"/>
                <w:bCs/>
                <w:color w:val="auto"/>
                <w:sz w:val="24"/>
                <w:szCs w:val="22"/>
                <w:highlight w:val="none"/>
                <w:lang w:bidi="ar"/>
              </w:rPr>
              <w:fldChar w:fldCharType="end"/>
            </w:r>
            <w:r>
              <w:rPr>
                <w:bCs/>
                <w:color w:val="auto"/>
                <w:sz w:val="24"/>
                <w:szCs w:val="22"/>
                <w:highlight w:val="none"/>
                <w:lang w:bidi="ar"/>
              </w:rPr>
              <w:t>》（</w:t>
            </w:r>
            <w:r>
              <w:rPr>
                <w:rFonts w:hint="eastAsia"/>
                <w:bCs/>
                <w:color w:val="auto"/>
                <w:sz w:val="24"/>
                <w:szCs w:val="22"/>
                <w:highlight w:val="none"/>
                <w:lang w:bidi="ar"/>
              </w:rPr>
              <w:t>HJ820-2017</w:t>
            </w:r>
            <w:r>
              <w:rPr>
                <w:bCs/>
                <w:color w:val="auto"/>
                <w:sz w:val="24"/>
                <w:szCs w:val="22"/>
                <w:highlight w:val="none"/>
                <w:lang w:bidi="ar"/>
              </w:rPr>
              <w:t>）中废气的监测频次要求及相关的规定提出项目运行后</w:t>
            </w:r>
            <w:r>
              <w:rPr>
                <w:rFonts w:hint="eastAsia"/>
                <w:bCs/>
                <w:color w:val="auto"/>
                <w:sz w:val="24"/>
                <w:szCs w:val="22"/>
                <w:highlight w:val="none"/>
                <w:lang w:val="en-US" w:eastAsia="zh-CN" w:bidi="ar"/>
              </w:rPr>
              <w:t>全厂</w:t>
            </w:r>
            <w:r>
              <w:rPr>
                <w:bCs/>
                <w:color w:val="auto"/>
                <w:sz w:val="24"/>
                <w:szCs w:val="22"/>
                <w:highlight w:val="none"/>
                <w:lang w:bidi="ar"/>
              </w:rPr>
              <w:t>生产运行阶段的废气污染源监测计划，详见下表：</w:t>
            </w:r>
          </w:p>
          <w:p w14:paraId="268B3380">
            <w:pPr>
              <w:pStyle w:val="41"/>
              <w:rPr>
                <w:bCs/>
                <w:color w:val="auto"/>
                <w:kern w:val="2"/>
                <w:szCs w:val="21"/>
                <w:highlight w:val="none"/>
              </w:rPr>
            </w:pPr>
            <w:r>
              <w:rPr>
                <w:bCs/>
                <w:color w:val="auto"/>
                <w:kern w:val="2"/>
                <w:szCs w:val="21"/>
                <w:highlight w:val="none"/>
              </w:rPr>
              <w:t>项目环境监测计划表</w:t>
            </w:r>
          </w:p>
          <w:tbl>
            <w:tblPr>
              <w:tblStyle w:val="27"/>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3195"/>
              <w:gridCol w:w="3394"/>
              <w:gridCol w:w="1393"/>
            </w:tblGrid>
            <w:tr w14:paraId="76F1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51" w:type="pct"/>
                  <w:shd w:val="clear" w:color="auto" w:fill="auto"/>
                  <w:vAlign w:val="center"/>
                </w:tcPr>
                <w:p w14:paraId="4BD625B3">
                  <w:pPr>
                    <w:jc w:val="center"/>
                    <w:rPr>
                      <w:b/>
                      <w:bCs/>
                      <w:color w:val="auto"/>
                      <w:sz w:val="21"/>
                      <w:szCs w:val="21"/>
                      <w:highlight w:val="none"/>
                    </w:rPr>
                  </w:pPr>
                  <w:r>
                    <w:rPr>
                      <w:b/>
                      <w:bCs/>
                      <w:color w:val="auto"/>
                      <w:sz w:val="21"/>
                      <w:szCs w:val="21"/>
                      <w:highlight w:val="none"/>
                    </w:rPr>
                    <w:t>监测项目</w:t>
                  </w:r>
                </w:p>
              </w:tc>
              <w:tc>
                <w:tcPr>
                  <w:tcW w:w="1740" w:type="pct"/>
                  <w:shd w:val="clear" w:color="auto" w:fill="auto"/>
                  <w:vAlign w:val="center"/>
                </w:tcPr>
                <w:p w14:paraId="1E779450">
                  <w:pPr>
                    <w:jc w:val="center"/>
                    <w:rPr>
                      <w:b/>
                      <w:bCs/>
                      <w:color w:val="auto"/>
                      <w:sz w:val="21"/>
                      <w:szCs w:val="21"/>
                      <w:highlight w:val="none"/>
                    </w:rPr>
                  </w:pPr>
                  <w:r>
                    <w:rPr>
                      <w:b/>
                      <w:bCs/>
                      <w:color w:val="auto"/>
                      <w:sz w:val="21"/>
                      <w:szCs w:val="21"/>
                      <w:highlight w:val="none"/>
                    </w:rPr>
                    <w:t>监测布点</w:t>
                  </w:r>
                </w:p>
              </w:tc>
              <w:tc>
                <w:tcPr>
                  <w:tcW w:w="1848" w:type="pct"/>
                  <w:shd w:val="clear" w:color="auto" w:fill="auto"/>
                  <w:vAlign w:val="center"/>
                </w:tcPr>
                <w:p w14:paraId="44EC8CF4">
                  <w:pPr>
                    <w:jc w:val="center"/>
                    <w:rPr>
                      <w:b/>
                      <w:bCs/>
                      <w:color w:val="auto"/>
                      <w:sz w:val="21"/>
                      <w:szCs w:val="21"/>
                      <w:highlight w:val="none"/>
                    </w:rPr>
                  </w:pPr>
                  <w:r>
                    <w:rPr>
                      <w:b/>
                      <w:bCs/>
                      <w:color w:val="auto"/>
                      <w:sz w:val="21"/>
                      <w:szCs w:val="21"/>
                      <w:highlight w:val="none"/>
                    </w:rPr>
                    <w:t>监测因子</w:t>
                  </w:r>
                </w:p>
              </w:tc>
              <w:tc>
                <w:tcPr>
                  <w:tcW w:w="758" w:type="pct"/>
                  <w:shd w:val="clear" w:color="auto" w:fill="auto"/>
                  <w:vAlign w:val="center"/>
                </w:tcPr>
                <w:p w14:paraId="265F40FC">
                  <w:pPr>
                    <w:jc w:val="center"/>
                    <w:rPr>
                      <w:b/>
                      <w:bCs/>
                      <w:color w:val="auto"/>
                      <w:sz w:val="21"/>
                      <w:szCs w:val="21"/>
                      <w:highlight w:val="none"/>
                    </w:rPr>
                  </w:pPr>
                  <w:r>
                    <w:rPr>
                      <w:b/>
                      <w:bCs/>
                      <w:color w:val="auto"/>
                      <w:sz w:val="21"/>
                      <w:szCs w:val="21"/>
                      <w:highlight w:val="none"/>
                    </w:rPr>
                    <w:t>监测频次</w:t>
                  </w:r>
                </w:p>
              </w:tc>
            </w:tr>
            <w:tr w14:paraId="12F9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51" w:type="pct"/>
                  <w:vMerge w:val="restart"/>
                  <w:shd w:val="clear" w:color="auto" w:fill="auto"/>
                  <w:vAlign w:val="center"/>
                </w:tcPr>
                <w:p w14:paraId="62589BF5">
                  <w:pPr>
                    <w:jc w:val="center"/>
                    <w:rPr>
                      <w:color w:val="auto"/>
                      <w:sz w:val="21"/>
                      <w:szCs w:val="21"/>
                      <w:highlight w:val="none"/>
                    </w:rPr>
                  </w:pPr>
                  <w:r>
                    <w:rPr>
                      <w:rFonts w:hint="eastAsia"/>
                      <w:color w:val="auto"/>
                      <w:sz w:val="21"/>
                      <w:szCs w:val="21"/>
                      <w:highlight w:val="none"/>
                      <w:lang w:val="en-US" w:eastAsia="zh-CN"/>
                    </w:rPr>
                    <w:t>大气</w:t>
                  </w:r>
                  <w:r>
                    <w:rPr>
                      <w:color w:val="auto"/>
                      <w:sz w:val="21"/>
                      <w:szCs w:val="21"/>
                      <w:highlight w:val="none"/>
                    </w:rPr>
                    <w:t>监测</w:t>
                  </w:r>
                </w:p>
              </w:tc>
              <w:tc>
                <w:tcPr>
                  <w:tcW w:w="1740" w:type="pct"/>
                  <w:shd w:val="clear" w:color="auto" w:fill="auto"/>
                  <w:vAlign w:val="center"/>
                </w:tcPr>
                <w:p w14:paraId="66E02494">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厂区边界</w:t>
                  </w:r>
                </w:p>
              </w:tc>
              <w:tc>
                <w:tcPr>
                  <w:tcW w:w="1848" w:type="pct"/>
                  <w:shd w:val="clear" w:color="auto" w:fill="auto"/>
                  <w:vAlign w:val="center"/>
                </w:tcPr>
                <w:p w14:paraId="3A911226">
                  <w:pPr>
                    <w:jc w:val="center"/>
                    <w:rPr>
                      <w:rFonts w:hint="default"/>
                      <w:color w:val="auto"/>
                      <w:sz w:val="21"/>
                      <w:szCs w:val="21"/>
                      <w:highlight w:val="none"/>
                      <w:lang w:val="en-US"/>
                    </w:rPr>
                  </w:pPr>
                  <w:r>
                    <w:rPr>
                      <w:rFonts w:hint="eastAsia"/>
                      <w:color w:val="auto"/>
                      <w:sz w:val="21"/>
                      <w:szCs w:val="21"/>
                      <w:highlight w:val="none"/>
                      <w:lang w:val="en-US" w:eastAsia="zh-CN"/>
                    </w:rPr>
                    <w:t>非甲烷总烃、颗粒物、氨、硫化氢、臭气浓度</w:t>
                  </w:r>
                </w:p>
              </w:tc>
              <w:tc>
                <w:tcPr>
                  <w:tcW w:w="758" w:type="pct"/>
                  <w:shd w:val="clear" w:color="auto" w:fill="auto"/>
                  <w:vAlign w:val="center"/>
                </w:tcPr>
                <w:p w14:paraId="1D9734A6">
                  <w:pPr>
                    <w:jc w:val="center"/>
                    <w:rPr>
                      <w:rFonts w:hint="eastAsia" w:eastAsia="宋体"/>
                      <w:color w:val="auto"/>
                      <w:sz w:val="21"/>
                      <w:szCs w:val="21"/>
                      <w:highlight w:val="none"/>
                      <w:lang w:eastAsia="zh-CN"/>
                    </w:rPr>
                  </w:pPr>
                  <w:r>
                    <w:rPr>
                      <w:color w:val="auto"/>
                      <w:sz w:val="21"/>
                      <w:szCs w:val="21"/>
                      <w:highlight w:val="none"/>
                    </w:rPr>
                    <w:t>1次/</w:t>
                  </w:r>
                  <w:r>
                    <w:rPr>
                      <w:rFonts w:hint="eastAsia"/>
                      <w:color w:val="auto"/>
                      <w:sz w:val="21"/>
                      <w:szCs w:val="21"/>
                      <w:highlight w:val="none"/>
                      <w:lang w:val="en-US" w:eastAsia="zh-CN"/>
                    </w:rPr>
                    <w:t>季度</w:t>
                  </w:r>
                </w:p>
              </w:tc>
            </w:tr>
            <w:tr w14:paraId="7935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51" w:type="pct"/>
                  <w:vMerge w:val="continue"/>
                  <w:shd w:val="clear" w:color="auto" w:fill="auto"/>
                  <w:vAlign w:val="center"/>
                </w:tcPr>
                <w:p w14:paraId="3496B2D8">
                  <w:pPr>
                    <w:jc w:val="center"/>
                    <w:rPr>
                      <w:color w:val="auto"/>
                      <w:sz w:val="21"/>
                      <w:szCs w:val="21"/>
                      <w:highlight w:val="none"/>
                    </w:rPr>
                  </w:pPr>
                </w:p>
              </w:tc>
              <w:tc>
                <w:tcPr>
                  <w:tcW w:w="1740" w:type="pct"/>
                  <w:shd w:val="clear" w:color="auto" w:fill="auto"/>
                  <w:vAlign w:val="center"/>
                </w:tcPr>
                <w:p w14:paraId="0E247D35">
                  <w:pPr>
                    <w:jc w:val="center"/>
                    <w:rPr>
                      <w:rFonts w:hint="eastAsia"/>
                      <w:color w:val="auto"/>
                      <w:sz w:val="21"/>
                      <w:szCs w:val="21"/>
                      <w:highlight w:val="none"/>
                      <w:lang w:val="en-US" w:eastAsia="zh-CN"/>
                    </w:rPr>
                  </w:pPr>
                  <w:r>
                    <w:rPr>
                      <w:rFonts w:hint="eastAsia"/>
                      <w:color w:val="auto"/>
                      <w:sz w:val="21"/>
                      <w:szCs w:val="21"/>
                      <w:highlight w:val="none"/>
                      <w:lang w:val="en-US" w:eastAsia="zh-CN"/>
                    </w:rPr>
                    <w:t>泵、阀门、开口阀或开口管线、泄压设备、取样连接系统</w:t>
                  </w:r>
                </w:p>
              </w:tc>
              <w:tc>
                <w:tcPr>
                  <w:tcW w:w="1848" w:type="pct"/>
                  <w:shd w:val="clear" w:color="auto" w:fill="auto"/>
                  <w:vAlign w:val="center"/>
                </w:tcPr>
                <w:p w14:paraId="0C5D83B3">
                  <w:pPr>
                    <w:jc w:val="center"/>
                    <w:rPr>
                      <w:rFonts w:hint="eastAsia"/>
                      <w:color w:val="auto"/>
                      <w:sz w:val="21"/>
                      <w:szCs w:val="21"/>
                      <w:highlight w:val="none"/>
                      <w:lang w:val="en-US" w:eastAsia="zh-CN"/>
                    </w:rPr>
                  </w:pPr>
                  <w:r>
                    <w:rPr>
                      <w:rFonts w:hint="eastAsia"/>
                      <w:color w:val="auto"/>
                      <w:sz w:val="21"/>
                      <w:szCs w:val="21"/>
                      <w:highlight w:val="none"/>
                      <w:lang w:val="en-US" w:eastAsia="zh-CN"/>
                    </w:rPr>
                    <w:t>挥发性有机物</w:t>
                  </w:r>
                </w:p>
              </w:tc>
              <w:tc>
                <w:tcPr>
                  <w:tcW w:w="758" w:type="pct"/>
                  <w:shd w:val="clear" w:color="auto" w:fill="auto"/>
                  <w:vAlign w:val="center"/>
                </w:tcPr>
                <w:p w14:paraId="7642E378">
                  <w:pPr>
                    <w:jc w:val="center"/>
                    <w:rPr>
                      <w:color w:val="auto"/>
                      <w:sz w:val="21"/>
                      <w:szCs w:val="21"/>
                      <w:highlight w:val="none"/>
                    </w:rPr>
                  </w:pPr>
                  <w:r>
                    <w:rPr>
                      <w:color w:val="auto"/>
                      <w:sz w:val="21"/>
                      <w:szCs w:val="21"/>
                      <w:highlight w:val="none"/>
                    </w:rPr>
                    <w:t>1次/</w:t>
                  </w:r>
                  <w:r>
                    <w:rPr>
                      <w:rFonts w:hint="eastAsia"/>
                      <w:color w:val="auto"/>
                      <w:sz w:val="21"/>
                      <w:szCs w:val="21"/>
                      <w:highlight w:val="none"/>
                      <w:lang w:val="en-US" w:eastAsia="zh-CN"/>
                    </w:rPr>
                    <w:t>季度</w:t>
                  </w:r>
                </w:p>
              </w:tc>
            </w:tr>
            <w:tr w14:paraId="23BC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51" w:type="pct"/>
                  <w:vMerge w:val="continue"/>
                  <w:shd w:val="clear" w:color="auto" w:fill="auto"/>
                  <w:vAlign w:val="center"/>
                </w:tcPr>
                <w:p w14:paraId="78034F74">
                  <w:pPr>
                    <w:jc w:val="center"/>
                    <w:rPr>
                      <w:color w:val="auto"/>
                      <w:sz w:val="21"/>
                      <w:szCs w:val="21"/>
                      <w:highlight w:val="none"/>
                    </w:rPr>
                  </w:pPr>
                </w:p>
              </w:tc>
              <w:tc>
                <w:tcPr>
                  <w:tcW w:w="1740" w:type="pct"/>
                  <w:shd w:val="clear" w:color="auto" w:fill="auto"/>
                  <w:vAlign w:val="center"/>
                </w:tcPr>
                <w:p w14:paraId="2E4E0152">
                  <w:pPr>
                    <w:jc w:val="center"/>
                    <w:rPr>
                      <w:rFonts w:hint="default"/>
                      <w:color w:val="auto"/>
                      <w:sz w:val="21"/>
                      <w:szCs w:val="21"/>
                      <w:highlight w:val="none"/>
                      <w:lang w:val="en-US" w:eastAsia="zh-CN"/>
                    </w:rPr>
                  </w:pPr>
                  <w:r>
                    <w:rPr>
                      <w:rFonts w:hint="eastAsia"/>
                      <w:color w:val="auto"/>
                      <w:sz w:val="21"/>
                      <w:szCs w:val="21"/>
                      <w:highlight w:val="none"/>
                      <w:lang w:val="en-US" w:eastAsia="zh-CN"/>
                    </w:rPr>
                    <w:t>法兰及其他连接件、其他密封设备</w:t>
                  </w:r>
                </w:p>
              </w:tc>
              <w:tc>
                <w:tcPr>
                  <w:tcW w:w="1848" w:type="pct"/>
                  <w:shd w:val="clear" w:color="auto" w:fill="auto"/>
                  <w:vAlign w:val="center"/>
                </w:tcPr>
                <w:p w14:paraId="4EFB53D8">
                  <w:pPr>
                    <w:jc w:val="center"/>
                    <w:rPr>
                      <w:rFonts w:hint="default"/>
                      <w:color w:val="auto"/>
                      <w:sz w:val="21"/>
                      <w:szCs w:val="21"/>
                      <w:highlight w:val="none"/>
                      <w:lang w:val="en-US" w:eastAsia="zh-CN"/>
                    </w:rPr>
                  </w:pPr>
                  <w:r>
                    <w:rPr>
                      <w:rFonts w:hint="eastAsia"/>
                      <w:color w:val="auto"/>
                      <w:sz w:val="21"/>
                      <w:szCs w:val="21"/>
                      <w:highlight w:val="none"/>
                      <w:lang w:val="en-US" w:eastAsia="zh-CN"/>
                    </w:rPr>
                    <w:t>挥发性有机物</w:t>
                  </w:r>
                </w:p>
              </w:tc>
              <w:tc>
                <w:tcPr>
                  <w:tcW w:w="758" w:type="pct"/>
                  <w:shd w:val="clear" w:color="auto" w:fill="auto"/>
                  <w:vAlign w:val="center"/>
                </w:tcPr>
                <w:p w14:paraId="48059352">
                  <w:pPr>
                    <w:jc w:val="center"/>
                    <w:rPr>
                      <w:rFonts w:hint="eastAsia" w:eastAsia="宋体"/>
                      <w:color w:val="auto"/>
                      <w:sz w:val="21"/>
                      <w:szCs w:val="21"/>
                      <w:highlight w:val="none"/>
                      <w:lang w:val="en-US" w:eastAsia="zh-CN"/>
                    </w:rPr>
                  </w:pPr>
                  <w:r>
                    <w:rPr>
                      <w:color w:val="auto"/>
                      <w:sz w:val="21"/>
                      <w:szCs w:val="21"/>
                      <w:highlight w:val="none"/>
                    </w:rPr>
                    <w:t>1次/</w:t>
                  </w:r>
                  <w:r>
                    <w:rPr>
                      <w:rFonts w:hint="eastAsia"/>
                      <w:color w:val="auto"/>
                      <w:sz w:val="21"/>
                      <w:szCs w:val="21"/>
                      <w:highlight w:val="none"/>
                      <w:lang w:val="en-US" w:eastAsia="zh-CN"/>
                    </w:rPr>
                    <w:t>半年</w:t>
                  </w:r>
                </w:p>
              </w:tc>
            </w:tr>
            <w:tr w14:paraId="77AE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51" w:type="pct"/>
                  <w:vMerge w:val="continue"/>
                  <w:shd w:val="clear" w:color="auto" w:fill="auto"/>
                  <w:vAlign w:val="center"/>
                </w:tcPr>
                <w:p w14:paraId="3D0F8B41">
                  <w:pPr>
                    <w:jc w:val="center"/>
                    <w:rPr>
                      <w:color w:val="auto"/>
                      <w:sz w:val="21"/>
                      <w:szCs w:val="21"/>
                      <w:highlight w:val="none"/>
                    </w:rPr>
                  </w:pPr>
                </w:p>
              </w:tc>
              <w:tc>
                <w:tcPr>
                  <w:tcW w:w="1740" w:type="pct"/>
                  <w:vMerge w:val="restart"/>
                  <w:shd w:val="clear" w:color="auto" w:fill="auto"/>
                  <w:vAlign w:val="center"/>
                </w:tcPr>
                <w:p w14:paraId="4E7F94E0">
                  <w:pPr>
                    <w:keepNext w:val="0"/>
                    <w:keepLines w:val="0"/>
                    <w:widowControl/>
                    <w:suppressLineNumbers w:val="0"/>
                    <w:jc w:val="center"/>
                    <w:rPr>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工艺废气排</w:t>
                  </w:r>
                  <w:r>
                    <w:rPr>
                      <w:rFonts w:hint="eastAsia" w:cs="Times New Roman"/>
                      <w:color w:val="auto"/>
                      <w:kern w:val="2"/>
                      <w:sz w:val="21"/>
                      <w:szCs w:val="21"/>
                      <w:highlight w:val="none"/>
                      <w:lang w:val="en-US" w:eastAsia="zh-CN" w:bidi="ar-SA"/>
                    </w:rPr>
                    <w:t>口</w:t>
                  </w:r>
                </w:p>
              </w:tc>
              <w:tc>
                <w:tcPr>
                  <w:tcW w:w="1848" w:type="pct"/>
                  <w:shd w:val="clear" w:color="auto" w:fill="auto"/>
                  <w:vAlign w:val="center"/>
                </w:tcPr>
                <w:p w14:paraId="79758BDE">
                  <w:pPr>
                    <w:jc w:val="center"/>
                    <w:rPr>
                      <w:color w:val="auto"/>
                      <w:sz w:val="21"/>
                      <w:szCs w:val="21"/>
                      <w:highlight w:val="none"/>
                    </w:rPr>
                  </w:pPr>
                  <w:r>
                    <w:rPr>
                      <w:rFonts w:hint="eastAsia"/>
                      <w:color w:val="auto"/>
                      <w:sz w:val="21"/>
                      <w:szCs w:val="21"/>
                      <w:highlight w:val="none"/>
                      <w:lang w:val="en-US" w:eastAsia="zh-CN"/>
                    </w:rPr>
                    <w:t>非甲烷总烃</w:t>
                  </w:r>
                </w:p>
              </w:tc>
              <w:tc>
                <w:tcPr>
                  <w:tcW w:w="758" w:type="pct"/>
                  <w:shd w:val="clear" w:color="auto" w:fill="auto"/>
                  <w:vAlign w:val="center"/>
                </w:tcPr>
                <w:p w14:paraId="383D0A3D">
                  <w:pPr>
                    <w:jc w:val="center"/>
                    <w:rPr>
                      <w:color w:val="auto"/>
                      <w:sz w:val="21"/>
                      <w:szCs w:val="21"/>
                      <w:highlight w:val="none"/>
                    </w:rPr>
                  </w:pPr>
                  <w:r>
                    <w:rPr>
                      <w:color w:val="auto"/>
                      <w:sz w:val="21"/>
                      <w:szCs w:val="21"/>
                      <w:highlight w:val="none"/>
                    </w:rPr>
                    <w:t>1次/月</w:t>
                  </w:r>
                </w:p>
              </w:tc>
            </w:tr>
            <w:tr w14:paraId="1E9D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51" w:type="pct"/>
                  <w:vMerge w:val="continue"/>
                  <w:shd w:val="clear" w:color="auto" w:fill="auto"/>
                  <w:vAlign w:val="center"/>
                </w:tcPr>
                <w:p w14:paraId="77715DDE">
                  <w:pPr>
                    <w:jc w:val="center"/>
                    <w:rPr>
                      <w:color w:val="auto"/>
                      <w:sz w:val="21"/>
                      <w:szCs w:val="21"/>
                      <w:highlight w:val="none"/>
                    </w:rPr>
                  </w:pPr>
                </w:p>
              </w:tc>
              <w:tc>
                <w:tcPr>
                  <w:tcW w:w="1740" w:type="pct"/>
                  <w:vMerge w:val="continue"/>
                  <w:shd w:val="clear" w:color="auto" w:fill="auto"/>
                  <w:vAlign w:val="center"/>
                </w:tcPr>
                <w:p w14:paraId="7A3D0AA4">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p>
              </w:tc>
              <w:tc>
                <w:tcPr>
                  <w:tcW w:w="1848" w:type="pct"/>
                  <w:shd w:val="clear" w:color="auto" w:fill="auto"/>
                  <w:vAlign w:val="center"/>
                </w:tcPr>
                <w:p w14:paraId="26247FF9">
                  <w:pPr>
                    <w:jc w:val="center"/>
                    <w:rPr>
                      <w:rFonts w:hint="eastAsia"/>
                      <w:color w:val="auto"/>
                      <w:sz w:val="21"/>
                      <w:szCs w:val="21"/>
                      <w:highlight w:val="none"/>
                      <w:lang w:val="en-US" w:eastAsia="zh-CN"/>
                    </w:rPr>
                  </w:pPr>
                  <w:r>
                    <w:rPr>
                      <w:color w:val="auto"/>
                      <w:sz w:val="21"/>
                      <w:szCs w:val="21"/>
                      <w:highlight w:val="none"/>
                    </w:rPr>
                    <w:t>氨</w:t>
                  </w:r>
                </w:p>
              </w:tc>
              <w:tc>
                <w:tcPr>
                  <w:tcW w:w="758" w:type="pct"/>
                  <w:shd w:val="clear" w:color="auto" w:fill="auto"/>
                  <w:vAlign w:val="center"/>
                </w:tcPr>
                <w:p w14:paraId="7D521779">
                  <w:pPr>
                    <w:jc w:val="center"/>
                    <w:rPr>
                      <w:color w:val="auto"/>
                      <w:sz w:val="21"/>
                      <w:szCs w:val="21"/>
                      <w:highlight w:val="none"/>
                    </w:rPr>
                  </w:pPr>
                  <w:r>
                    <w:rPr>
                      <w:color w:val="auto"/>
                      <w:sz w:val="21"/>
                      <w:szCs w:val="21"/>
                      <w:highlight w:val="none"/>
                    </w:rPr>
                    <w:t>1次/</w:t>
                  </w:r>
                  <w:r>
                    <w:rPr>
                      <w:rFonts w:hint="eastAsia"/>
                      <w:color w:val="auto"/>
                      <w:sz w:val="21"/>
                      <w:szCs w:val="21"/>
                      <w:highlight w:val="none"/>
                    </w:rPr>
                    <w:t>半</w:t>
                  </w:r>
                  <w:r>
                    <w:rPr>
                      <w:color w:val="auto"/>
                      <w:sz w:val="21"/>
                      <w:szCs w:val="21"/>
                      <w:highlight w:val="none"/>
                    </w:rPr>
                    <w:t>年</w:t>
                  </w:r>
                </w:p>
              </w:tc>
            </w:tr>
            <w:tr w14:paraId="1E1B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51" w:type="pct"/>
                  <w:vMerge w:val="continue"/>
                  <w:shd w:val="clear" w:color="auto" w:fill="auto"/>
                  <w:vAlign w:val="center"/>
                </w:tcPr>
                <w:p w14:paraId="407BB0B4">
                  <w:pPr>
                    <w:jc w:val="center"/>
                    <w:rPr>
                      <w:color w:val="auto"/>
                      <w:sz w:val="21"/>
                      <w:szCs w:val="21"/>
                      <w:highlight w:val="none"/>
                    </w:rPr>
                  </w:pPr>
                </w:p>
              </w:tc>
              <w:tc>
                <w:tcPr>
                  <w:tcW w:w="1740" w:type="pct"/>
                  <w:vMerge w:val="restart"/>
                  <w:shd w:val="clear" w:color="auto" w:fill="auto"/>
                  <w:vAlign w:val="center"/>
                </w:tcPr>
                <w:p w14:paraId="2E522E33">
                  <w:pPr>
                    <w:jc w:val="center"/>
                    <w:rPr>
                      <w:color w:val="auto"/>
                      <w:sz w:val="21"/>
                      <w:szCs w:val="21"/>
                      <w:highlight w:val="none"/>
                    </w:rPr>
                  </w:pPr>
                  <w:r>
                    <w:rPr>
                      <w:color w:val="auto"/>
                      <w:sz w:val="21"/>
                      <w:szCs w:val="21"/>
                      <w:highlight w:val="none"/>
                    </w:rPr>
                    <w:t>DA00</w:t>
                  </w:r>
                  <w:r>
                    <w:rPr>
                      <w:rFonts w:hint="eastAsia"/>
                      <w:color w:val="auto"/>
                      <w:sz w:val="21"/>
                      <w:szCs w:val="21"/>
                      <w:highlight w:val="none"/>
                      <w:lang w:val="en-US" w:eastAsia="zh-CN"/>
                    </w:rPr>
                    <w:t>2（</w:t>
                  </w:r>
                  <w:r>
                    <w:rPr>
                      <w:rFonts w:hint="eastAsia" w:ascii="Times New Roman" w:hAnsi="Times New Roman"/>
                      <w:color w:val="auto"/>
                      <w:szCs w:val="21"/>
                      <w:highlight w:val="none"/>
                      <w:lang w:val="en-US" w:eastAsia="zh-CN"/>
                    </w:rPr>
                    <w:t>燃气</w:t>
                  </w:r>
                  <w:r>
                    <w:rPr>
                      <w:rFonts w:hint="eastAsia" w:ascii="Times New Roman" w:hAnsi="Times New Roman"/>
                      <w:color w:val="auto"/>
                      <w:szCs w:val="21"/>
                      <w:highlight w:val="none"/>
                    </w:rPr>
                    <w:t>锅炉废气</w:t>
                  </w:r>
                  <w:r>
                    <w:rPr>
                      <w:rFonts w:hint="eastAsia" w:ascii="Times New Roman" w:hAnsi="Times New Roman"/>
                      <w:color w:val="auto"/>
                      <w:szCs w:val="21"/>
                      <w:highlight w:val="none"/>
                      <w:lang w:val="en-US" w:eastAsia="zh-CN"/>
                    </w:rPr>
                    <w:t>排口</w:t>
                  </w:r>
                  <w:r>
                    <w:rPr>
                      <w:rFonts w:hint="eastAsia"/>
                      <w:color w:val="auto"/>
                      <w:sz w:val="21"/>
                      <w:szCs w:val="21"/>
                      <w:highlight w:val="none"/>
                      <w:lang w:val="en-US" w:eastAsia="zh-CN"/>
                    </w:rPr>
                    <w:t>）</w:t>
                  </w:r>
                </w:p>
              </w:tc>
              <w:tc>
                <w:tcPr>
                  <w:tcW w:w="1848" w:type="pct"/>
                  <w:shd w:val="clear" w:color="auto" w:fill="auto"/>
                  <w:vAlign w:val="center"/>
                </w:tcPr>
                <w:p w14:paraId="230A5942">
                  <w:pPr>
                    <w:jc w:val="center"/>
                    <w:rPr>
                      <w:rFonts w:hint="eastAsia" w:eastAsia="宋体"/>
                      <w:color w:val="auto"/>
                      <w:sz w:val="21"/>
                      <w:szCs w:val="21"/>
                      <w:highlight w:val="none"/>
                      <w:lang w:eastAsia="zh-CN"/>
                    </w:rPr>
                  </w:pPr>
                  <w:r>
                    <w:rPr>
                      <w:color w:val="auto"/>
                      <w:sz w:val="21"/>
                      <w:szCs w:val="21"/>
                      <w:highlight w:val="none"/>
                    </w:rPr>
                    <w:t>NOx</w:t>
                  </w:r>
                </w:p>
              </w:tc>
              <w:tc>
                <w:tcPr>
                  <w:tcW w:w="758" w:type="pct"/>
                  <w:shd w:val="clear" w:color="auto" w:fill="auto"/>
                  <w:vAlign w:val="center"/>
                </w:tcPr>
                <w:p w14:paraId="0FA88B5F">
                  <w:pPr>
                    <w:jc w:val="center"/>
                    <w:rPr>
                      <w:rFonts w:hint="eastAsia" w:eastAsia="宋体"/>
                      <w:color w:val="auto"/>
                      <w:sz w:val="21"/>
                      <w:szCs w:val="21"/>
                      <w:highlight w:val="none"/>
                      <w:lang w:val="en-US" w:eastAsia="zh-CN"/>
                    </w:rPr>
                  </w:pPr>
                  <w:r>
                    <w:rPr>
                      <w:color w:val="auto"/>
                      <w:sz w:val="21"/>
                      <w:szCs w:val="21"/>
                      <w:highlight w:val="none"/>
                    </w:rPr>
                    <w:t>1次/月</w:t>
                  </w:r>
                </w:p>
              </w:tc>
            </w:tr>
            <w:tr w14:paraId="3056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51" w:type="pct"/>
                  <w:vMerge w:val="continue"/>
                  <w:shd w:val="clear" w:color="auto" w:fill="auto"/>
                  <w:vAlign w:val="center"/>
                </w:tcPr>
                <w:p w14:paraId="1E8D748A">
                  <w:pPr>
                    <w:jc w:val="center"/>
                    <w:rPr>
                      <w:color w:val="auto"/>
                      <w:sz w:val="21"/>
                      <w:szCs w:val="21"/>
                      <w:highlight w:val="none"/>
                    </w:rPr>
                  </w:pPr>
                </w:p>
              </w:tc>
              <w:tc>
                <w:tcPr>
                  <w:tcW w:w="1740" w:type="pct"/>
                  <w:vMerge w:val="continue"/>
                  <w:shd w:val="clear" w:color="auto" w:fill="auto"/>
                  <w:vAlign w:val="center"/>
                </w:tcPr>
                <w:p w14:paraId="18C7BA5A">
                  <w:pPr>
                    <w:jc w:val="center"/>
                    <w:rPr>
                      <w:color w:val="auto"/>
                      <w:sz w:val="21"/>
                      <w:szCs w:val="21"/>
                      <w:highlight w:val="none"/>
                    </w:rPr>
                  </w:pPr>
                </w:p>
              </w:tc>
              <w:tc>
                <w:tcPr>
                  <w:tcW w:w="1848" w:type="pct"/>
                  <w:shd w:val="clear" w:color="auto" w:fill="auto"/>
                  <w:vAlign w:val="center"/>
                </w:tcPr>
                <w:p w14:paraId="7C0F9D60">
                  <w:pPr>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r>
                    <w:rPr>
                      <w:color w:val="auto"/>
                      <w:sz w:val="21"/>
                      <w:szCs w:val="21"/>
                      <w:highlight w:val="none"/>
                    </w:rPr>
                    <w:t>、颗粒物</w:t>
                  </w:r>
                  <w:r>
                    <w:rPr>
                      <w:rFonts w:hint="eastAsia"/>
                      <w:color w:val="auto"/>
                      <w:sz w:val="21"/>
                      <w:szCs w:val="21"/>
                      <w:highlight w:val="none"/>
                      <w:lang w:eastAsia="zh-CN"/>
                    </w:rPr>
                    <w:t>、</w:t>
                  </w:r>
                  <w:r>
                    <w:rPr>
                      <w:color w:val="auto"/>
                      <w:sz w:val="21"/>
                      <w:szCs w:val="21"/>
                      <w:highlight w:val="none"/>
                    </w:rPr>
                    <w:t>林格曼黑度</w:t>
                  </w:r>
                </w:p>
              </w:tc>
              <w:tc>
                <w:tcPr>
                  <w:tcW w:w="758" w:type="pct"/>
                  <w:shd w:val="clear" w:color="auto" w:fill="auto"/>
                  <w:vAlign w:val="center"/>
                </w:tcPr>
                <w:p w14:paraId="6CCC7CEB">
                  <w:pPr>
                    <w:jc w:val="center"/>
                    <w:rPr>
                      <w:color w:val="auto"/>
                      <w:sz w:val="21"/>
                      <w:szCs w:val="21"/>
                      <w:highlight w:val="none"/>
                    </w:rPr>
                  </w:pPr>
                  <w:r>
                    <w:rPr>
                      <w:color w:val="auto"/>
                      <w:sz w:val="21"/>
                      <w:szCs w:val="21"/>
                      <w:highlight w:val="none"/>
                    </w:rPr>
                    <w:t>1次/年</w:t>
                  </w:r>
                </w:p>
              </w:tc>
            </w:tr>
            <w:tr w14:paraId="6EE5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51" w:type="pct"/>
                  <w:vMerge w:val="continue"/>
                  <w:shd w:val="clear" w:color="auto" w:fill="auto"/>
                  <w:vAlign w:val="center"/>
                </w:tcPr>
                <w:p w14:paraId="589B772B">
                  <w:pPr>
                    <w:jc w:val="center"/>
                    <w:rPr>
                      <w:color w:val="auto"/>
                      <w:sz w:val="21"/>
                      <w:szCs w:val="21"/>
                      <w:highlight w:val="none"/>
                    </w:rPr>
                  </w:pPr>
                </w:p>
              </w:tc>
              <w:tc>
                <w:tcPr>
                  <w:tcW w:w="1740" w:type="pct"/>
                  <w:vMerge w:val="restart"/>
                  <w:shd w:val="clear" w:color="auto" w:fill="auto"/>
                  <w:vAlign w:val="center"/>
                </w:tcPr>
                <w:p w14:paraId="5FFCA77A">
                  <w:pPr>
                    <w:jc w:val="center"/>
                    <w:rPr>
                      <w:color w:val="auto"/>
                      <w:sz w:val="21"/>
                      <w:szCs w:val="21"/>
                      <w:highlight w:val="none"/>
                    </w:rPr>
                  </w:pPr>
                  <w:r>
                    <w:rPr>
                      <w:color w:val="auto"/>
                      <w:sz w:val="21"/>
                      <w:szCs w:val="21"/>
                      <w:highlight w:val="none"/>
                    </w:rPr>
                    <w:t>DA00</w:t>
                  </w:r>
                  <w:r>
                    <w:rPr>
                      <w:rFonts w:hint="eastAsia"/>
                      <w:color w:val="auto"/>
                      <w:sz w:val="21"/>
                      <w:szCs w:val="21"/>
                      <w:highlight w:val="none"/>
                      <w:lang w:val="en-US" w:eastAsia="zh-CN"/>
                    </w:rPr>
                    <w:t>3</w:t>
                  </w:r>
                  <w:r>
                    <w:rPr>
                      <w:color w:val="auto"/>
                      <w:sz w:val="21"/>
                      <w:szCs w:val="21"/>
                      <w:highlight w:val="none"/>
                    </w:rPr>
                    <w:t>（</w:t>
                  </w:r>
                  <w:r>
                    <w:rPr>
                      <w:rFonts w:hint="eastAsia" w:ascii="Times New Roman" w:hAnsi="Times New Roman"/>
                      <w:color w:val="auto"/>
                      <w:szCs w:val="21"/>
                      <w:highlight w:val="none"/>
                    </w:rPr>
                    <w:t>污水处理站废气排</w:t>
                  </w:r>
                  <w:r>
                    <w:rPr>
                      <w:rFonts w:hint="eastAsia" w:ascii="Times New Roman" w:hAnsi="Times New Roman"/>
                      <w:color w:val="auto"/>
                      <w:szCs w:val="21"/>
                      <w:highlight w:val="none"/>
                      <w:lang w:val="en-US" w:eastAsia="zh-CN"/>
                    </w:rPr>
                    <w:t>口</w:t>
                  </w:r>
                  <w:r>
                    <w:rPr>
                      <w:color w:val="auto"/>
                      <w:sz w:val="21"/>
                      <w:szCs w:val="21"/>
                      <w:highlight w:val="none"/>
                    </w:rPr>
                    <w:t>）</w:t>
                  </w:r>
                </w:p>
              </w:tc>
              <w:tc>
                <w:tcPr>
                  <w:tcW w:w="1848" w:type="pct"/>
                  <w:shd w:val="clear" w:color="auto" w:fill="auto"/>
                  <w:vAlign w:val="center"/>
                </w:tcPr>
                <w:p w14:paraId="30BEFAEF">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非甲烷总烃、硫化氢</w:t>
                  </w:r>
                </w:p>
              </w:tc>
              <w:tc>
                <w:tcPr>
                  <w:tcW w:w="758" w:type="pct"/>
                  <w:shd w:val="clear" w:color="auto" w:fill="auto"/>
                  <w:vAlign w:val="center"/>
                </w:tcPr>
                <w:p w14:paraId="7E08B985">
                  <w:pPr>
                    <w:jc w:val="center"/>
                    <w:rPr>
                      <w:rFonts w:hint="eastAsia" w:eastAsia="宋体"/>
                      <w:color w:val="auto"/>
                      <w:sz w:val="21"/>
                      <w:szCs w:val="21"/>
                      <w:highlight w:val="none"/>
                      <w:lang w:val="en-US" w:eastAsia="zh-CN"/>
                    </w:rPr>
                  </w:pPr>
                  <w:r>
                    <w:rPr>
                      <w:color w:val="auto"/>
                      <w:sz w:val="21"/>
                      <w:szCs w:val="21"/>
                      <w:highlight w:val="none"/>
                    </w:rPr>
                    <w:t>1次/</w:t>
                  </w:r>
                  <w:r>
                    <w:rPr>
                      <w:rFonts w:hint="eastAsia"/>
                      <w:color w:val="auto"/>
                      <w:sz w:val="21"/>
                      <w:szCs w:val="21"/>
                      <w:highlight w:val="none"/>
                      <w:lang w:val="en-US" w:eastAsia="zh-CN"/>
                    </w:rPr>
                    <w:t>月</w:t>
                  </w:r>
                </w:p>
              </w:tc>
            </w:tr>
            <w:tr w14:paraId="7013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51" w:type="pct"/>
                  <w:vMerge w:val="continue"/>
                  <w:shd w:val="clear" w:color="auto" w:fill="auto"/>
                  <w:vAlign w:val="center"/>
                </w:tcPr>
                <w:p w14:paraId="72994B71">
                  <w:pPr>
                    <w:jc w:val="center"/>
                    <w:rPr>
                      <w:color w:val="auto"/>
                      <w:sz w:val="21"/>
                      <w:szCs w:val="21"/>
                      <w:highlight w:val="none"/>
                    </w:rPr>
                  </w:pPr>
                </w:p>
              </w:tc>
              <w:tc>
                <w:tcPr>
                  <w:tcW w:w="1740" w:type="pct"/>
                  <w:vMerge w:val="continue"/>
                  <w:shd w:val="clear" w:color="auto" w:fill="auto"/>
                  <w:vAlign w:val="center"/>
                </w:tcPr>
                <w:p w14:paraId="1B74B48A">
                  <w:pPr>
                    <w:jc w:val="center"/>
                    <w:rPr>
                      <w:color w:val="auto"/>
                      <w:sz w:val="21"/>
                      <w:szCs w:val="21"/>
                      <w:highlight w:val="none"/>
                    </w:rPr>
                  </w:pPr>
                </w:p>
              </w:tc>
              <w:tc>
                <w:tcPr>
                  <w:tcW w:w="1848" w:type="pct"/>
                  <w:shd w:val="clear" w:color="auto" w:fill="auto"/>
                  <w:vAlign w:val="center"/>
                </w:tcPr>
                <w:p w14:paraId="23A99AF5">
                  <w:pPr>
                    <w:jc w:val="center"/>
                    <w:rPr>
                      <w:rFonts w:hint="default" w:eastAsia="宋体"/>
                      <w:color w:val="auto"/>
                      <w:sz w:val="21"/>
                      <w:szCs w:val="21"/>
                      <w:highlight w:val="none"/>
                      <w:lang w:val="en-US" w:eastAsia="zh-CN"/>
                    </w:rPr>
                  </w:pPr>
                  <w:r>
                    <w:rPr>
                      <w:color w:val="auto"/>
                      <w:sz w:val="21"/>
                      <w:szCs w:val="21"/>
                      <w:highlight w:val="none"/>
                    </w:rPr>
                    <w:t>氨</w:t>
                  </w:r>
                  <w:r>
                    <w:rPr>
                      <w:rFonts w:hint="eastAsia"/>
                      <w:color w:val="auto"/>
                      <w:sz w:val="21"/>
                      <w:szCs w:val="21"/>
                      <w:highlight w:val="none"/>
                      <w:lang w:eastAsia="zh-CN"/>
                    </w:rPr>
                    <w:t>、</w:t>
                  </w:r>
                  <w:r>
                    <w:rPr>
                      <w:rFonts w:hint="eastAsia"/>
                      <w:color w:val="auto"/>
                      <w:sz w:val="21"/>
                      <w:szCs w:val="21"/>
                      <w:highlight w:val="none"/>
                      <w:lang w:val="en-US" w:eastAsia="zh-CN"/>
                    </w:rPr>
                    <w:t>臭气浓度</w:t>
                  </w:r>
                </w:p>
              </w:tc>
              <w:tc>
                <w:tcPr>
                  <w:tcW w:w="758" w:type="pct"/>
                  <w:shd w:val="clear" w:color="auto" w:fill="auto"/>
                  <w:vAlign w:val="center"/>
                </w:tcPr>
                <w:p w14:paraId="2C443DBF">
                  <w:pPr>
                    <w:jc w:val="center"/>
                    <w:rPr>
                      <w:color w:val="auto"/>
                      <w:sz w:val="21"/>
                      <w:szCs w:val="21"/>
                      <w:highlight w:val="none"/>
                    </w:rPr>
                  </w:pPr>
                  <w:r>
                    <w:rPr>
                      <w:color w:val="auto"/>
                      <w:sz w:val="21"/>
                      <w:szCs w:val="21"/>
                      <w:highlight w:val="none"/>
                    </w:rPr>
                    <w:t>1次/</w:t>
                  </w:r>
                  <w:r>
                    <w:rPr>
                      <w:rFonts w:hint="eastAsia"/>
                      <w:color w:val="auto"/>
                      <w:sz w:val="21"/>
                      <w:szCs w:val="21"/>
                      <w:highlight w:val="none"/>
                      <w:lang w:val="en-US" w:eastAsia="zh-CN"/>
                    </w:rPr>
                    <w:t>半</w:t>
                  </w:r>
                  <w:r>
                    <w:rPr>
                      <w:color w:val="auto"/>
                      <w:sz w:val="21"/>
                      <w:szCs w:val="21"/>
                      <w:highlight w:val="none"/>
                    </w:rPr>
                    <w:t>年</w:t>
                  </w:r>
                </w:p>
              </w:tc>
            </w:tr>
            <w:tr w14:paraId="1B85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51" w:type="pct"/>
                  <w:vMerge w:val="continue"/>
                  <w:shd w:val="clear" w:color="auto" w:fill="auto"/>
                  <w:vAlign w:val="center"/>
                </w:tcPr>
                <w:p w14:paraId="511270C9">
                  <w:pPr>
                    <w:jc w:val="center"/>
                    <w:rPr>
                      <w:color w:val="auto"/>
                      <w:sz w:val="21"/>
                      <w:szCs w:val="21"/>
                      <w:highlight w:val="none"/>
                    </w:rPr>
                  </w:pPr>
                </w:p>
              </w:tc>
              <w:tc>
                <w:tcPr>
                  <w:tcW w:w="1740" w:type="pct"/>
                  <w:shd w:val="clear" w:color="auto" w:fill="auto"/>
                  <w:vAlign w:val="center"/>
                </w:tcPr>
                <w:p w14:paraId="789F29A7">
                  <w:pPr>
                    <w:jc w:val="center"/>
                    <w:rPr>
                      <w:color w:val="auto"/>
                      <w:sz w:val="21"/>
                      <w:szCs w:val="21"/>
                      <w:highlight w:val="none"/>
                    </w:rPr>
                  </w:pPr>
                  <w:r>
                    <w:rPr>
                      <w:rFonts w:hint="eastAsia"/>
                      <w:color w:val="auto"/>
                      <w:sz w:val="21"/>
                      <w:szCs w:val="21"/>
                      <w:highlight w:val="none"/>
                      <w:lang w:val="en-US" w:eastAsia="zh-CN"/>
                    </w:rPr>
                    <w:t>DA004（</w:t>
                  </w:r>
                  <w:r>
                    <w:rPr>
                      <w:color w:val="auto"/>
                      <w:sz w:val="21"/>
                      <w:szCs w:val="21"/>
                      <w:highlight w:val="none"/>
                    </w:rPr>
                    <w:t>化验室气体排气筒</w:t>
                  </w:r>
                  <w:r>
                    <w:rPr>
                      <w:rFonts w:hint="eastAsia"/>
                      <w:color w:val="auto"/>
                      <w:sz w:val="21"/>
                      <w:szCs w:val="21"/>
                      <w:highlight w:val="none"/>
                      <w:lang w:val="en-US" w:eastAsia="zh-CN"/>
                    </w:rPr>
                    <w:t>）</w:t>
                  </w:r>
                </w:p>
              </w:tc>
              <w:tc>
                <w:tcPr>
                  <w:tcW w:w="1848" w:type="pct"/>
                  <w:shd w:val="clear" w:color="auto" w:fill="auto"/>
                  <w:vAlign w:val="center"/>
                </w:tcPr>
                <w:p w14:paraId="7461AB1D">
                  <w:pPr>
                    <w:jc w:val="center"/>
                    <w:rPr>
                      <w:color w:val="auto"/>
                      <w:sz w:val="21"/>
                      <w:szCs w:val="21"/>
                      <w:highlight w:val="none"/>
                    </w:rPr>
                  </w:pPr>
                  <w:r>
                    <w:rPr>
                      <w:rFonts w:hint="eastAsia"/>
                      <w:color w:val="auto"/>
                      <w:sz w:val="21"/>
                      <w:szCs w:val="21"/>
                      <w:highlight w:val="none"/>
                      <w:lang w:val="en-US" w:eastAsia="zh-CN"/>
                    </w:rPr>
                    <w:t>非甲烷总烃</w:t>
                  </w:r>
                </w:p>
              </w:tc>
              <w:tc>
                <w:tcPr>
                  <w:tcW w:w="758" w:type="pct"/>
                  <w:shd w:val="clear" w:color="auto" w:fill="auto"/>
                  <w:vAlign w:val="center"/>
                </w:tcPr>
                <w:p w14:paraId="205B2557">
                  <w:pPr>
                    <w:jc w:val="center"/>
                    <w:rPr>
                      <w:color w:val="auto"/>
                      <w:sz w:val="21"/>
                      <w:szCs w:val="21"/>
                      <w:highlight w:val="none"/>
                    </w:rPr>
                  </w:pPr>
                  <w:r>
                    <w:rPr>
                      <w:color w:val="auto"/>
                      <w:sz w:val="21"/>
                      <w:szCs w:val="21"/>
                      <w:highlight w:val="none"/>
                    </w:rPr>
                    <w:t>1次/月</w:t>
                  </w:r>
                </w:p>
              </w:tc>
            </w:tr>
          </w:tbl>
          <w:p w14:paraId="2CE29D9A">
            <w:pPr>
              <w:spacing w:line="360" w:lineRule="auto"/>
              <w:ind w:firstLine="482" w:firstLineChars="200"/>
              <w:textAlignment w:val="baseline"/>
              <w:rPr>
                <w:b/>
                <w:color w:val="auto"/>
                <w:sz w:val="24"/>
                <w:szCs w:val="22"/>
                <w:highlight w:val="none"/>
                <w:lang w:bidi="ar"/>
              </w:rPr>
            </w:pPr>
            <w:r>
              <w:rPr>
                <w:b/>
                <w:color w:val="auto"/>
                <w:sz w:val="24"/>
                <w:szCs w:val="22"/>
                <w:highlight w:val="none"/>
                <w:lang w:bidi="ar"/>
              </w:rPr>
              <w:t>2、废水</w:t>
            </w:r>
          </w:p>
          <w:p w14:paraId="0573A7B0">
            <w:pPr>
              <w:spacing w:line="360" w:lineRule="auto"/>
              <w:ind w:firstLine="482" w:firstLineChars="200"/>
              <w:jc w:val="left"/>
              <w:rPr>
                <w:b/>
                <w:color w:val="auto"/>
                <w:sz w:val="24"/>
                <w:highlight w:val="none"/>
              </w:rPr>
            </w:pPr>
            <w:r>
              <w:rPr>
                <w:b/>
                <w:color w:val="auto"/>
                <w:sz w:val="24"/>
                <w:highlight w:val="none"/>
              </w:rPr>
              <w:t>（1）废水产生情况分析</w:t>
            </w:r>
          </w:p>
          <w:p w14:paraId="1145C7AF">
            <w:pPr>
              <w:widowControl/>
              <w:spacing w:line="360" w:lineRule="auto"/>
              <w:ind w:firstLine="480" w:firstLineChars="200"/>
              <w:jc w:val="left"/>
              <w:rPr>
                <w:color w:val="auto"/>
                <w:sz w:val="24"/>
                <w:highlight w:val="none"/>
              </w:rPr>
            </w:pPr>
            <w:r>
              <w:rPr>
                <w:color w:val="auto"/>
                <w:sz w:val="24"/>
                <w:highlight w:val="none"/>
              </w:rPr>
              <w:t>本项目废水主要包括</w:t>
            </w:r>
            <w:r>
              <w:rPr>
                <w:rFonts w:hint="eastAsia"/>
                <w:color w:val="auto"/>
                <w:sz w:val="24"/>
                <w:highlight w:val="none"/>
                <w:lang w:val="en-US" w:eastAsia="zh-CN"/>
              </w:rPr>
              <w:t>生产废水、生活污水及初期雨水，其中生产废水包括锅炉定期排水、锅炉软水制备浓水、冷却废水、水洗塔废水、地坪冲洗废水等</w:t>
            </w:r>
            <w:r>
              <w:rPr>
                <w:color w:val="auto"/>
                <w:sz w:val="24"/>
                <w:highlight w:val="none"/>
              </w:rPr>
              <w:t>。</w:t>
            </w:r>
          </w:p>
          <w:p w14:paraId="1D1563A9">
            <w:pPr>
              <w:numPr>
                <w:ilvl w:val="0"/>
                <w:numId w:val="28"/>
              </w:numPr>
              <w:spacing w:line="360" w:lineRule="auto"/>
              <w:ind w:left="0" w:leftChars="0" w:firstLine="470" w:firstLineChars="196"/>
              <w:jc w:val="left"/>
              <w:rPr>
                <w:rFonts w:hint="eastAsia"/>
                <w:color w:val="auto"/>
                <w:sz w:val="24"/>
                <w:highlight w:val="none"/>
                <w:lang w:val="en-US" w:eastAsia="zh-CN"/>
              </w:rPr>
            </w:pPr>
            <w:r>
              <w:rPr>
                <w:rFonts w:hint="eastAsia"/>
                <w:color w:val="auto"/>
                <w:sz w:val="24"/>
                <w:highlight w:val="none"/>
                <w:lang w:val="en-US" w:eastAsia="zh-CN"/>
              </w:rPr>
              <w:t>锅炉定期排水</w:t>
            </w:r>
          </w:p>
          <w:p w14:paraId="12F0DFC8">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现有工程锅炉用水循环使用不外排，但根据同类含锅炉运行企业，锅炉用水在长期循环使用后水质变差，原环评及验收阶段未考虑锅炉定期排水，本次技改为确保全厂锅炉用水水质，同时结合企业实际情况，考虑定期排污并补充新鲜软水。因此，本次技改新增的锅炉定期排水即为全厂锅炉定期排水。</w:t>
            </w:r>
          </w:p>
          <w:p w14:paraId="0EEA0CB2">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锅炉蒸汽用量原环评报告书已按其最大蒸汽能力（10t/h）考虑，24h运行，年运行300d，年需蒸汽最大用量为7.2万吨，根据厂区实际运营情况，</w:t>
            </w:r>
            <w:r>
              <w:rPr>
                <w:rFonts w:hint="eastAsia"/>
                <w:color w:val="auto"/>
                <w:sz w:val="24"/>
                <w:highlight w:val="none"/>
              </w:rPr>
              <w:t>锅炉排污水量</w:t>
            </w:r>
            <w:r>
              <w:rPr>
                <w:rFonts w:hint="eastAsia"/>
                <w:color w:val="auto"/>
                <w:sz w:val="24"/>
                <w:highlight w:val="none"/>
                <w:lang w:val="en-US" w:eastAsia="zh-CN"/>
              </w:rPr>
              <w:t>约</w:t>
            </w:r>
            <w:r>
              <w:rPr>
                <w:rFonts w:hint="eastAsia"/>
                <w:color w:val="auto"/>
                <w:sz w:val="24"/>
                <w:highlight w:val="none"/>
              </w:rPr>
              <w:t>为</w:t>
            </w:r>
            <w:r>
              <w:rPr>
                <w:rFonts w:hint="eastAsia"/>
                <w:color w:val="auto"/>
                <w:sz w:val="24"/>
                <w:highlight w:val="none"/>
                <w:lang w:val="en-US" w:eastAsia="zh-CN"/>
              </w:rPr>
              <w:t>24</w:t>
            </w:r>
            <w:r>
              <w:rPr>
                <w:rFonts w:hint="eastAsia"/>
                <w:color w:val="auto"/>
                <w:sz w:val="24"/>
                <w:highlight w:val="none"/>
              </w:rPr>
              <w:t>m</w:t>
            </w:r>
            <w:r>
              <w:rPr>
                <w:rFonts w:hint="eastAsia"/>
                <w:color w:val="auto"/>
                <w:sz w:val="24"/>
                <w:highlight w:val="none"/>
                <w:vertAlign w:val="superscript"/>
                <w:lang w:val="en-US" w:eastAsia="zh-CN"/>
              </w:rPr>
              <w:t>3</w:t>
            </w:r>
            <w:r>
              <w:rPr>
                <w:rFonts w:hint="eastAsia"/>
                <w:color w:val="auto"/>
                <w:sz w:val="24"/>
                <w:highlight w:val="none"/>
              </w:rPr>
              <w:t>/</w:t>
            </w:r>
            <w:r>
              <w:rPr>
                <w:rFonts w:hint="eastAsia"/>
                <w:color w:val="auto"/>
                <w:sz w:val="24"/>
                <w:highlight w:val="none"/>
                <w:lang w:val="en-US" w:eastAsia="zh-CN"/>
              </w:rPr>
              <w:t>d</w:t>
            </w:r>
            <w:r>
              <w:rPr>
                <w:rFonts w:hint="eastAsia"/>
                <w:color w:val="auto"/>
                <w:sz w:val="24"/>
                <w:highlight w:val="none"/>
              </w:rPr>
              <w:t>。蒸汽冷凝后重回锅炉进行制汽使用，锅炉纯水循环量为</w:t>
            </w:r>
            <w:r>
              <w:rPr>
                <w:rFonts w:hint="eastAsia"/>
                <w:color w:val="auto"/>
                <w:sz w:val="24"/>
                <w:highlight w:val="none"/>
                <w:lang w:val="en-US" w:eastAsia="zh-CN"/>
              </w:rPr>
              <w:t>240</w:t>
            </w:r>
            <w:r>
              <w:rPr>
                <w:rFonts w:hint="eastAsia"/>
                <w:color w:val="auto"/>
                <w:sz w:val="24"/>
                <w:highlight w:val="none"/>
              </w:rPr>
              <w:t>m</w:t>
            </w:r>
            <w:r>
              <w:rPr>
                <w:rFonts w:hint="eastAsia"/>
                <w:color w:val="auto"/>
                <w:sz w:val="24"/>
                <w:highlight w:val="none"/>
                <w:vertAlign w:val="superscript"/>
                <w:lang w:val="en-US" w:eastAsia="zh-CN"/>
              </w:rPr>
              <w:t>3</w:t>
            </w:r>
            <w:r>
              <w:rPr>
                <w:rFonts w:hint="eastAsia"/>
                <w:color w:val="auto"/>
                <w:sz w:val="24"/>
                <w:highlight w:val="none"/>
              </w:rPr>
              <w:t>/d，损耗率按</w:t>
            </w:r>
            <w:r>
              <w:rPr>
                <w:rFonts w:hint="eastAsia"/>
                <w:color w:val="auto"/>
                <w:sz w:val="24"/>
                <w:highlight w:val="none"/>
                <w:lang w:val="en-US" w:eastAsia="zh-CN"/>
              </w:rPr>
              <w:t>2.5</w:t>
            </w:r>
            <w:r>
              <w:rPr>
                <w:rFonts w:hint="eastAsia"/>
                <w:color w:val="auto"/>
                <w:sz w:val="24"/>
                <w:highlight w:val="none"/>
              </w:rPr>
              <w:t>%计，则锅炉</w:t>
            </w:r>
            <w:r>
              <w:rPr>
                <w:rFonts w:hint="eastAsia"/>
                <w:color w:val="auto"/>
                <w:sz w:val="24"/>
                <w:highlight w:val="none"/>
                <w:lang w:val="en-US" w:eastAsia="zh-CN"/>
              </w:rPr>
              <w:t>最大</w:t>
            </w:r>
            <w:r>
              <w:rPr>
                <w:rFonts w:hint="eastAsia"/>
                <w:color w:val="auto"/>
                <w:sz w:val="24"/>
                <w:highlight w:val="none"/>
              </w:rPr>
              <w:t>补水量为</w:t>
            </w:r>
            <w:r>
              <w:rPr>
                <w:rFonts w:hint="eastAsia"/>
                <w:color w:val="auto"/>
                <w:sz w:val="24"/>
                <w:highlight w:val="none"/>
                <w:lang w:val="en-US" w:eastAsia="zh-CN"/>
              </w:rPr>
              <w:t>30</w:t>
            </w:r>
            <w:r>
              <w:rPr>
                <w:rFonts w:hint="eastAsia"/>
                <w:color w:val="auto"/>
                <w:sz w:val="24"/>
                <w:highlight w:val="none"/>
              </w:rPr>
              <w:t>m</w:t>
            </w:r>
            <w:r>
              <w:rPr>
                <w:rFonts w:hint="eastAsia"/>
                <w:color w:val="auto"/>
                <w:sz w:val="24"/>
                <w:highlight w:val="none"/>
                <w:vertAlign w:val="superscript"/>
                <w:lang w:val="en-US" w:eastAsia="zh-CN"/>
              </w:rPr>
              <w:t>3</w:t>
            </w:r>
            <w:r>
              <w:rPr>
                <w:rFonts w:hint="eastAsia"/>
                <w:color w:val="auto"/>
                <w:sz w:val="24"/>
                <w:highlight w:val="none"/>
              </w:rPr>
              <w:t>/d（</w:t>
            </w:r>
            <w:r>
              <w:rPr>
                <w:rFonts w:hint="eastAsia"/>
                <w:color w:val="auto"/>
                <w:sz w:val="24"/>
                <w:highlight w:val="none"/>
                <w:lang w:val="en-US" w:eastAsia="zh-CN"/>
              </w:rPr>
              <w:t>9000</w:t>
            </w:r>
            <w:r>
              <w:rPr>
                <w:rFonts w:hint="eastAsia"/>
                <w:color w:val="auto"/>
                <w:sz w:val="24"/>
                <w:highlight w:val="none"/>
              </w:rPr>
              <w:t>m</w:t>
            </w:r>
            <w:r>
              <w:rPr>
                <w:rFonts w:hint="eastAsia"/>
                <w:color w:val="auto"/>
                <w:sz w:val="24"/>
                <w:highlight w:val="none"/>
                <w:vertAlign w:val="superscript"/>
                <w:lang w:val="en-US" w:eastAsia="zh-CN"/>
              </w:rPr>
              <w:t>3</w:t>
            </w:r>
            <w:r>
              <w:rPr>
                <w:rFonts w:hint="eastAsia"/>
                <w:color w:val="auto"/>
                <w:sz w:val="24"/>
                <w:highlight w:val="none"/>
              </w:rPr>
              <w:t>/a）</w:t>
            </w:r>
            <w:r>
              <w:rPr>
                <w:color w:val="auto"/>
                <w:sz w:val="24"/>
                <w:highlight w:val="none"/>
              </w:rPr>
              <w:t>。</w:t>
            </w:r>
            <w:r>
              <w:rPr>
                <w:rFonts w:hint="eastAsia"/>
                <w:color w:val="auto"/>
                <w:sz w:val="24"/>
                <w:highlight w:val="none"/>
                <w:lang w:val="en-US" w:eastAsia="zh-CN"/>
              </w:rPr>
              <w:t>因此，锅炉定期排水为24</w:t>
            </w:r>
            <w:r>
              <w:rPr>
                <w:rFonts w:hint="eastAsia"/>
                <w:color w:val="auto"/>
                <w:sz w:val="24"/>
                <w:highlight w:val="none"/>
              </w:rPr>
              <w:t>m</w:t>
            </w:r>
            <w:r>
              <w:rPr>
                <w:rFonts w:hint="eastAsia"/>
                <w:color w:val="auto"/>
                <w:sz w:val="24"/>
                <w:highlight w:val="none"/>
                <w:vertAlign w:val="superscript"/>
                <w:lang w:val="en-US" w:eastAsia="zh-CN"/>
              </w:rPr>
              <w:t>3</w:t>
            </w:r>
            <w:r>
              <w:rPr>
                <w:rFonts w:hint="eastAsia"/>
                <w:color w:val="auto"/>
                <w:sz w:val="24"/>
                <w:highlight w:val="none"/>
              </w:rPr>
              <w:t>/d</w:t>
            </w:r>
            <w:r>
              <w:rPr>
                <w:rFonts w:hint="eastAsia"/>
                <w:color w:val="auto"/>
                <w:sz w:val="24"/>
                <w:highlight w:val="none"/>
                <w:lang w:eastAsia="zh-CN"/>
              </w:rPr>
              <w:t>，</w:t>
            </w:r>
            <w:r>
              <w:rPr>
                <w:rFonts w:hint="eastAsia" w:eastAsiaTheme="minorEastAsia"/>
                <w:color w:val="auto"/>
                <w:sz w:val="24"/>
                <w:highlight w:val="none"/>
                <w:lang w:val="en-US" w:eastAsia="zh-CN"/>
              </w:rPr>
              <w:t>污染物主要为pH、COD，通过厂区内部排污管网排至厂区北侧已建的污水处理站处理。</w:t>
            </w:r>
          </w:p>
          <w:p w14:paraId="040FB27B">
            <w:pPr>
              <w:numPr>
                <w:ilvl w:val="0"/>
                <w:numId w:val="28"/>
              </w:numPr>
              <w:spacing w:line="360" w:lineRule="auto"/>
              <w:ind w:left="0" w:leftChars="0" w:firstLine="470" w:firstLineChars="196"/>
              <w:jc w:val="left"/>
              <w:rPr>
                <w:rFonts w:hint="default"/>
                <w:color w:val="auto"/>
                <w:sz w:val="24"/>
                <w:highlight w:val="none"/>
                <w:lang w:val="en-US" w:eastAsia="zh-CN"/>
              </w:rPr>
            </w:pPr>
            <w:r>
              <w:rPr>
                <w:rFonts w:hint="eastAsia"/>
                <w:color w:val="auto"/>
                <w:sz w:val="24"/>
                <w:highlight w:val="none"/>
                <w:lang w:val="en-US" w:eastAsia="zh-CN"/>
              </w:rPr>
              <w:t>纯（软）水制备浓水</w:t>
            </w:r>
          </w:p>
          <w:p w14:paraId="1502561D">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现有工程仅采用简易离子交换树脂预处理后用于锅炉用水，根据厂区实际运营情况，该装置预处理后的水用于锅炉用水水质仍然较差，因此，本次技改结合企业实际情况，进一步净化锅炉用水水质并提高其回用率，新增纯（软）水制备装置（最大能力4t/h），建成后软水替换现有全厂锅炉用水，将园区给水管网供给的自来水进行纯（软）化处理后再供给锅炉用于生产蒸汽。此外，制备纯水替换全厂水洗塔及洗氨塔补充用水，因此本次评价纯（软）水制备浓水新增量即为全厂纯（软）水制备浓水量。</w:t>
            </w:r>
          </w:p>
          <w:p w14:paraId="74B74D71">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根据设备工艺资料，新增的纯（软）水制备装置软水生产率为95%，纯（软）水为循环使用水，同时根据</w:t>
            </w:r>
            <w:r>
              <w:rPr>
                <w:rFonts w:hint="eastAsia" w:eastAsiaTheme="minorEastAsia"/>
                <w:color w:val="auto"/>
                <w:sz w:val="24"/>
                <w:highlight w:val="none"/>
                <w:lang w:val="en-US" w:eastAsia="zh-CN"/>
              </w:rPr>
              <w:t>项目水平衡图，全厂需定期补充</w:t>
            </w:r>
            <w:r>
              <w:rPr>
                <w:rFonts w:hint="eastAsia"/>
                <w:color w:val="auto"/>
                <w:sz w:val="24"/>
                <w:highlight w:val="none"/>
                <w:lang w:val="en-US" w:eastAsia="zh-CN"/>
              </w:rPr>
              <w:t>纯（软）</w:t>
            </w:r>
            <w:r>
              <w:rPr>
                <w:rFonts w:hint="eastAsia" w:eastAsiaTheme="minorEastAsia"/>
                <w:color w:val="auto"/>
                <w:sz w:val="24"/>
                <w:highlight w:val="none"/>
                <w:lang w:val="en-US" w:eastAsia="zh-CN"/>
              </w:rPr>
              <w:t>水量为30.3</w:t>
            </w:r>
            <w:r>
              <w:rPr>
                <w:rFonts w:hint="eastAsia"/>
                <w:color w:val="auto"/>
                <w:sz w:val="24"/>
                <w:highlight w:val="none"/>
              </w:rPr>
              <w:t>m</w:t>
            </w:r>
            <w:r>
              <w:rPr>
                <w:rFonts w:hint="eastAsia"/>
                <w:color w:val="auto"/>
                <w:sz w:val="24"/>
                <w:highlight w:val="none"/>
                <w:vertAlign w:val="superscript"/>
                <w:lang w:val="en-US" w:eastAsia="zh-CN"/>
              </w:rPr>
              <w:t>3</w:t>
            </w:r>
            <w:r>
              <w:rPr>
                <w:rFonts w:eastAsiaTheme="minorEastAsia"/>
                <w:color w:val="auto"/>
                <w:sz w:val="24"/>
                <w:highlight w:val="none"/>
              </w:rPr>
              <w:t>/d</w:t>
            </w:r>
            <w:r>
              <w:rPr>
                <w:rFonts w:hint="eastAsia" w:eastAsiaTheme="minorEastAsia"/>
                <w:color w:val="auto"/>
                <w:sz w:val="24"/>
                <w:highlight w:val="none"/>
                <w:lang w:val="en-US" w:eastAsia="zh-CN"/>
              </w:rPr>
              <w:t>，则需定期消耗自来水量31.89m</w:t>
            </w:r>
            <w:r>
              <w:rPr>
                <w:rFonts w:hint="eastAsia" w:eastAsiaTheme="minorEastAsia"/>
                <w:color w:val="auto"/>
                <w:sz w:val="24"/>
                <w:highlight w:val="none"/>
                <w:vertAlign w:val="superscript"/>
                <w:lang w:val="en-US" w:eastAsia="zh-CN"/>
              </w:rPr>
              <w:t>3</w:t>
            </w:r>
            <w:r>
              <w:rPr>
                <w:rFonts w:hint="eastAsia" w:eastAsiaTheme="minorEastAsia"/>
                <w:color w:val="auto"/>
                <w:sz w:val="24"/>
                <w:highlight w:val="none"/>
                <w:lang w:val="en-US" w:eastAsia="zh-CN"/>
              </w:rPr>
              <w:t>/d，定期补充软水制备产生的浓水量为1.59m</w:t>
            </w:r>
            <w:r>
              <w:rPr>
                <w:rFonts w:hint="eastAsia" w:eastAsiaTheme="minorEastAsia"/>
                <w:color w:val="auto"/>
                <w:sz w:val="24"/>
                <w:highlight w:val="none"/>
                <w:vertAlign w:val="superscript"/>
                <w:lang w:val="en-US" w:eastAsia="zh-CN"/>
              </w:rPr>
              <w:t>3</w:t>
            </w:r>
            <w:r>
              <w:rPr>
                <w:rFonts w:hint="eastAsia" w:eastAsiaTheme="minorEastAsia"/>
                <w:color w:val="auto"/>
                <w:sz w:val="24"/>
                <w:highlight w:val="none"/>
                <w:lang w:val="en-US" w:eastAsia="zh-CN"/>
              </w:rPr>
              <w:t>/d（477m</w:t>
            </w:r>
            <w:r>
              <w:rPr>
                <w:rFonts w:hint="eastAsia" w:eastAsiaTheme="minorEastAsia"/>
                <w:color w:val="auto"/>
                <w:sz w:val="24"/>
                <w:highlight w:val="none"/>
                <w:vertAlign w:val="superscript"/>
                <w:lang w:val="en-US" w:eastAsia="zh-CN"/>
              </w:rPr>
              <w:t>3</w:t>
            </w:r>
            <w:r>
              <w:rPr>
                <w:rFonts w:hint="eastAsia" w:eastAsiaTheme="minorEastAsia"/>
                <w:color w:val="auto"/>
                <w:sz w:val="24"/>
                <w:highlight w:val="none"/>
                <w:lang w:val="en-US" w:eastAsia="zh-CN"/>
              </w:rPr>
              <w:t>/a）。</w:t>
            </w:r>
            <w:r>
              <w:rPr>
                <w:rFonts w:eastAsiaTheme="minorEastAsia"/>
                <w:color w:val="auto"/>
                <w:sz w:val="24"/>
                <w:highlight w:val="none"/>
              </w:rPr>
              <w:t>制水过程产生</w:t>
            </w:r>
            <w:r>
              <w:rPr>
                <w:rFonts w:hint="eastAsia" w:eastAsiaTheme="minorEastAsia"/>
                <w:color w:val="auto"/>
                <w:sz w:val="24"/>
                <w:highlight w:val="none"/>
                <w:lang w:val="en-US" w:eastAsia="zh-CN"/>
              </w:rPr>
              <w:t>的</w:t>
            </w:r>
            <w:r>
              <w:rPr>
                <w:rFonts w:eastAsiaTheme="minorEastAsia"/>
                <w:color w:val="auto"/>
                <w:sz w:val="24"/>
                <w:highlight w:val="none"/>
              </w:rPr>
              <w:t>浓水</w:t>
            </w:r>
            <w:r>
              <w:rPr>
                <w:rFonts w:hint="eastAsia" w:eastAsiaTheme="minorEastAsia"/>
                <w:color w:val="auto"/>
                <w:sz w:val="24"/>
                <w:highlight w:val="none"/>
                <w:lang w:val="en-US" w:eastAsia="zh-CN"/>
              </w:rPr>
              <w:t>污染物主要为pH、COD、溶解性总固体（全盐量），废水通过厂区内部排污管网排至厂区北侧已建的污水处理站处理。</w:t>
            </w:r>
          </w:p>
          <w:p w14:paraId="47BE2A4D">
            <w:pPr>
              <w:numPr>
                <w:ilvl w:val="0"/>
                <w:numId w:val="28"/>
              </w:numPr>
              <w:spacing w:line="360" w:lineRule="auto"/>
              <w:ind w:left="0" w:leftChars="0" w:firstLine="470" w:firstLineChars="196"/>
              <w:jc w:val="left"/>
              <w:rPr>
                <w:color w:val="auto"/>
                <w:sz w:val="24"/>
                <w:highlight w:val="none"/>
              </w:rPr>
            </w:pPr>
            <w:r>
              <w:rPr>
                <w:rFonts w:hint="eastAsia"/>
                <w:color w:val="auto"/>
                <w:sz w:val="24"/>
                <w:highlight w:val="none"/>
                <w:lang w:val="en-US" w:eastAsia="zh-CN"/>
              </w:rPr>
              <w:t>冷却</w:t>
            </w:r>
            <w:r>
              <w:rPr>
                <w:color w:val="auto"/>
                <w:sz w:val="24"/>
                <w:highlight w:val="none"/>
              </w:rPr>
              <w:t>废水</w:t>
            </w:r>
          </w:p>
          <w:p w14:paraId="14D2862B">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本次技改新增生产装置冷却依托厂区现有制冷站及冷却塔循环水池，</w:t>
            </w:r>
            <w:r>
              <w:rPr>
                <w:color w:val="auto"/>
                <w:sz w:val="24"/>
                <w:highlight w:val="none"/>
              </w:rPr>
              <w:t>冷却循环水循环使用，</w:t>
            </w:r>
            <w:r>
              <w:rPr>
                <w:rFonts w:hint="eastAsia"/>
                <w:color w:val="auto"/>
                <w:sz w:val="24"/>
                <w:highlight w:val="none"/>
                <w:lang w:val="en-US" w:eastAsia="zh-CN"/>
              </w:rPr>
              <w:t>厂区现有冷却塔配套循环水池为300m</w:t>
            </w:r>
            <w:r>
              <w:rPr>
                <w:rFonts w:hint="eastAsia"/>
                <w:color w:val="auto"/>
                <w:sz w:val="24"/>
                <w:highlight w:val="none"/>
                <w:vertAlign w:val="superscript"/>
                <w:lang w:val="en-US" w:eastAsia="zh-CN"/>
              </w:rPr>
              <w:t>3</w:t>
            </w:r>
            <w:r>
              <w:rPr>
                <w:rFonts w:hint="eastAsia"/>
                <w:color w:val="auto"/>
                <w:sz w:val="24"/>
                <w:highlight w:val="none"/>
                <w:lang w:val="en-US" w:eastAsia="zh-CN"/>
              </w:rPr>
              <w:t>，循环冷却水设计能力为300</w:t>
            </w:r>
            <w:r>
              <w:rPr>
                <w:color w:val="auto"/>
                <w:sz w:val="24"/>
                <w:highlight w:val="none"/>
              </w:rPr>
              <w:t>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h，通过生产调配增加对本项目装置的冷却，同时为</w:t>
            </w:r>
            <w:r>
              <w:rPr>
                <w:color w:val="auto"/>
                <w:sz w:val="24"/>
                <w:highlight w:val="none"/>
              </w:rPr>
              <w:t>确保冷却循环水水质，</w:t>
            </w:r>
            <w:r>
              <w:rPr>
                <w:rFonts w:hint="eastAsia"/>
                <w:color w:val="auto"/>
                <w:sz w:val="24"/>
                <w:highlight w:val="none"/>
                <w:lang w:val="en-US" w:eastAsia="zh-CN"/>
              </w:rPr>
              <w:t>需</w:t>
            </w:r>
            <w:r>
              <w:rPr>
                <w:color w:val="auto"/>
                <w:sz w:val="24"/>
                <w:highlight w:val="none"/>
              </w:rPr>
              <w:t>定期排放少量冷却水</w:t>
            </w:r>
            <w:r>
              <w:rPr>
                <w:rFonts w:hint="eastAsia"/>
                <w:color w:val="auto"/>
                <w:sz w:val="24"/>
                <w:highlight w:val="none"/>
                <w:lang w:eastAsia="zh-CN"/>
              </w:rPr>
              <w:t>。</w:t>
            </w:r>
            <w:r>
              <w:rPr>
                <w:rFonts w:hint="eastAsia"/>
                <w:color w:val="auto"/>
                <w:sz w:val="24"/>
                <w:highlight w:val="none"/>
                <w:lang w:val="en-US" w:eastAsia="zh-CN"/>
              </w:rPr>
              <w:t>根据现有工程实际运营情况，为确保并加强现有工程冷却效果，本次技改调整现有工程冷却循环塔的定排废水量为30m</w:t>
            </w:r>
            <w:r>
              <w:rPr>
                <w:rFonts w:hint="eastAsia"/>
                <w:color w:val="auto"/>
                <w:sz w:val="24"/>
                <w:highlight w:val="none"/>
                <w:vertAlign w:val="superscript"/>
                <w:lang w:val="en-US" w:eastAsia="zh-CN"/>
              </w:rPr>
              <w:t>3</w:t>
            </w:r>
            <w:r>
              <w:rPr>
                <w:rFonts w:hint="eastAsia"/>
                <w:color w:val="auto"/>
                <w:sz w:val="24"/>
                <w:highlight w:val="none"/>
                <w:lang w:val="en-US" w:eastAsia="zh-CN"/>
              </w:rPr>
              <w:t>/d，原环评定排水水量为10m</w:t>
            </w:r>
            <w:r>
              <w:rPr>
                <w:rFonts w:hint="eastAsia"/>
                <w:color w:val="auto"/>
                <w:sz w:val="24"/>
                <w:highlight w:val="none"/>
                <w:vertAlign w:val="superscript"/>
                <w:lang w:val="en-US" w:eastAsia="zh-CN"/>
              </w:rPr>
              <w:t>3</w:t>
            </w:r>
            <w:r>
              <w:rPr>
                <w:rFonts w:hint="eastAsia"/>
                <w:color w:val="auto"/>
                <w:sz w:val="24"/>
                <w:highlight w:val="none"/>
                <w:lang w:val="en-US" w:eastAsia="zh-CN"/>
              </w:rPr>
              <w:t>/d，本次技改后增加20m</w:t>
            </w:r>
            <w:r>
              <w:rPr>
                <w:rFonts w:hint="eastAsia"/>
                <w:color w:val="auto"/>
                <w:sz w:val="24"/>
                <w:highlight w:val="none"/>
                <w:vertAlign w:val="superscript"/>
                <w:lang w:val="en-US" w:eastAsia="zh-CN"/>
              </w:rPr>
              <w:t>3</w:t>
            </w:r>
            <w:r>
              <w:rPr>
                <w:rFonts w:hint="eastAsia"/>
                <w:color w:val="auto"/>
                <w:sz w:val="24"/>
                <w:highlight w:val="none"/>
                <w:lang w:val="en-US" w:eastAsia="zh-CN"/>
              </w:rPr>
              <w:t>/d，纳入本次技改废水量。则本项目建成后冷却废水新增总量为20m</w:t>
            </w:r>
            <w:r>
              <w:rPr>
                <w:rFonts w:hint="eastAsia"/>
                <w:color w:val="auto"/>
                <w:sz w:val="24"/>
                <w:highlight w:val="none"/>
                <w:vertAlign w:val="superscript"/>
                <w:lang w:val="en-US" w:eastAsia="zh-CN"/>
              </w:rPr>
              <w:t>3</w:t>
            </w:r>
            <w:r>
              <w:rPr>
                <w:rFonts w:hint="eastAsia"/>
                <w:color w:val="auto"/>
                <w:sz w:val="24"/>
                <w:highlight w:val="none"/>
                <w:lang w:val="en-US" w:eastAsia="zh-CN"/>
              </w:rPr>
              <w:t>/d（6000</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val="en-US" w:eastAsia="zh-CN"/>
              </w:rPr>
              <w:t>），全厂冷却废水量为30m</w:t>
            </w:r>
            <w:r>
              <w:rPr>
                <w:rFonts w:hint="eastAsia"/>
                <w:color w:val="auto"/>
                <w:sz w:val="24"/>
                <w:highlight w:val="none"/>
                <w:vertAlign w:val="superscript"/>
                <w:lang w:val="en-US" w:eastAsia="zh-CN"/>
              </w:rPr>
              <w:t>3</w:t>
            </w:r>
            <w:r>
              <w:rPr>
                <w:rFonts w:hint="eastAsia"/>
                <w:color w:val="auto"/>
                <w:sz w:val="24"/>
                <w:highlight w:val="none"/>
                <w:lang w:val="en-US" w:eastAsia="zh-CN"/>
              </w:rPr>
              <w:t>/d（9000</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val="en-US" w:eastAsia="zh-CN"/>
              </w:rPr>
              <w:t>）。</w:t>
            </w:r>
          </w:p>
          <w:p w14:paraId="05722401">
            <w:pPr>
              <w:spacing w:line="360" w:lineRule="auto"/>
              <w:ind w:firstLine="480" w:firstLineChars="200"/>
              <w:rPr>
                <w:color w:val="auto"/>
                <w:sz w:val="24"/>
                <w:highlight w:val="none"/>
              </w:rPr>
            </w:pPr>
            <w:r>
              <w:rPr>
                <w:rFonts w:hint="eastAsia"/>
                <w:color w:val="auto"/>
                <w:sz w:val="24"/>
                <w:highlight w:val="none"/>
                <w:lang w:val="en-US" w:eastAsia="zh-CN"/>
              </w:rPr>
              <w:t>此外，现有冷却塔循环水池（30</w:t>
            </w:r>
            <w:r>
              <w:rPr>
                <w:color w:val="auto"/>
                <w:sz w:val="24"/>
                <w:highlight w:val="none"/>
              </w:rPr>
              <w:t>0m</w:t>
            </w:r>
            <w:r>
              <w:rPr>
                <w:color w:val="auto"/>
                <w:sz w:val="24"/>
                <w:highlight w:val="none"/>
                <w:vertAlign w:val="superscript"/>
              </w:rPr>
              <w:t>3</w:t>
            </w:r>
            <w:r>
              <w:rPr>
                <w:rFonts w:hint="eastAsia"/>
                <w:color w:val="auto"/>
                <w:sz w:val="24"/>
                <w:highlight w:val="none"/>
                <w:lang w:val="en-US" w:eastAsia="zh-CN"/>
              </w:rPr>
              <w:t>）定期排污及冷却损耗，</w:t>
            </w:r>
            <w:r>
              <w:rPr>
                <w:color w:val="auto"/>
                <w:sz w:val="24"/>
                <w:highlight w:val="none"/>
              </w:rPr>
              <w:t>为亏水作业，需定期补水</w:t>
            </w:r>
            <w:bookmarkStart w:id="32" w:name="OLE_LINK17"/>
            <w:r>
              <w:rPr>
                <w:rFonts w:hint="eastAsia"/>
                <w:color w:val="auto"/>
                <w:sz w:val="24"/>
                <w:highlight w:val="none"/>
                <w:lang w:eastAsia="zh-CN"/>
              </w:rPr>
              <w:t>，</w:t>
            </w:r>
            <w:r>
              <w:rPr>
                <w:rFonts w:hint="eastAsia"/>
                <w:color w:val="auto"/>
                <w:sz w:val="24"/>
                <w:highlight w:val="none"/>
                <w:lang w:val="en-US" w:eastAsia="zh-CN"/>
              </w:rPr>
              <w:t>本项目依托现有冷却塔循环水池，循环水损耗率为2.5%，则冷却循环水每天损耗量为7.5m</w:t>
            </w:r>
            <w:r>
              <w:rPr>
                <w:rFonts w:hint="eastAsia"/>
                <w:color w:val="auto"/>
                <w:sz w:val="24"/>
                <w:highlight w:val="none"/>
                <w:vertAlign w:val="superscript"/>
                <w:lang w:val="en-US" w:eastAsia="zh-CN"/>
              </w:rPr>
              <w:t>3</w:t>
            </w:r>
            <w:r>
              <w:rPr>
                <w:rFonts w:hint="eastAsia"/>
                <w:color w:val="auto"/>
                <w:sz w:val="24"/>
                <w:highlight w:val="none"/>
                <w:lang w:val="en-US" w:eastAsia="zh-CN"/>
              </w:rPr>
              <w:t>/d（2250</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val="en-US" w:eastAsia="zh-CN"/>
              </w:rPr>
              <w:t>）。因此，结合上文，</w:t>
            </w:r>
            <w:bookmarkEnd w:id="32"/>
            <w:r>
              <w:rPr>
                <w:rFonts w:hint="eastAsia"/>
                <w:color w:val="auto"/>
                <w:sz w:val="24"/>
                <w:highlight w:val="none"/>
                <w:lang w:val="en-US" w:eastAsia="zh-CN"/>
              </w:rPr>
              <w:t>循环水池定期补充总水量为定排量和损耗量之和，即37.5m</w:t>
            </w:r>
            <w:r>
              <w:rPr>
                <w:rFonts w:hint="eastAsia"/>
                <w:color w:val="auto"/>
                <w:sz w:val="24"/>
                <w:highlight w:val="none"/>
                <w:vertAlign w:val="superscript"/>
                <w:lang w:val="en-US" w:eastAsia="zh-CN"/>
              </w:rPr>
              <w:t>3</w:t>
            </w:r>
            <w:r>
              <w:rPr>
                <w:rFonts w:hint="eastAsia"/>
                <w:color w:val="auto"/>
                <w:sz w:val="24"/>
                <w:highlight w:val="none"/>
                <w:lang w:val="en-US" w:eastAsia="zh-CN"/>
              </w:rPr>
              <w:t>/d（11250</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val="en-US" w:eastAsia="zh-CN"/>
              </w:rPr>
              <w:t>）。</w:t>
            </w:r>
          </w:p>
          <w:p w14:paraId="2A859D8A">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冷却排污水</w:t>
            </w:r>
            <w:r>
              <w:rPr>
                <w:color w:val="auto"/>
                <w:sz w:val="24"/>
                <w:highlight w:val="none"/>
              </w:rPr>
              <w:t>主要污染物为化学添加剂</w:t>
            </w:r>
            <w:r>
              <w:rPr>
                <w:rFonts w:hint="eastAsia"/>
                <w:color w:val="auto"/>
                <w:sz w:val="24"/>
                <w:highlight w:val="none"/>
                <w:lang w:eastAsia="zh-CN"/>
              </w:rPr>
              <w:t>（</w:t>
            </w:r>
            <w:r>
              <w:rPr>
                <w:rFonts w:hint="eastAsia"/>
                <w:color w:val="auto"/>
                <w:sz w:val="24"/>
                <w:highlight w:val="none"/>
                <w:lang w:val="en-US" w:eastAsia="zh-CN"/>
              </w:rPr>
              <w:t>阻垢剂</w:t>
            </w:r>
            <w:r>
              <w:rPr>
                <w:rFonts w:hint="eastAsia"/>
                <w:color w:val="auto"/>
                <w:sz w:val="24"/>
                <w:highlight w:val="none"/>
                <w:lang w:eastAsia="zh-CN"/>
              </w:rPr>
              <w:t>），</w:t>
            </w:r>
            <w:r>
              <w:rPr>
                <w:rFonts w:hint="eastAsia"/>
                <w:color w:val="auto"/>
                <w:sz w:val="24"/>
                <w:highlight w:val="none"/>
                <w:lang w:val="en-US" w:eastAsia="zh-CN"/>
              </w:rPr>
              <w:t>废水中COD和总磷浓度升高</w:t>
            </w:r>
            <w:r>
              <w:rPr>
                <w:rFonts w:hint="eastAsia"/>
                <w:color w:val="auto"/>
                <w:sz w:val="24"/>
                <w:highlight w:val="none"/>
                <w:lang w:eastAsia="zh-CN"/>
              </w:rPr>
              <w:t>，</w:t>
            </w:r>
            <w:r>
              <w:rPr>
                <w:rFonts w:hint="eastAsia"/>
                <w:color w:val="auto"/>
                <w:sz w:val="24"/>
                <w:highlight w:val="none"/>
                <w:lang w:val="en-US" w:eastAsia="zh-CN"/>
              </w:rPr>
              <w:t>该废水</w:t>
            </w:r>
            <w:r>
              <w:rPr>
                <w:color w:val="auto"/>
                <w:sz w:val="24"/>
                <w:highlight w:val="none"/>
              </w:rPr>
              <w:t>全部进入厂区污水处理站处理。</w:t>
            </w:r>
          </w:p>
          <w:p w14:paraId="374FE2A7">
            <w:pPr>
              <w:numPr>
                <w:ilvl w:val="0"/>
                <w:numId w:val="28"/>
              </w:numPr>
              <w:spacing w:line="360" w:lineRule="auto"/>
              <w:ind w:left="0" w:leftChars="0" w:firstLine="470" w:firstLineChars="196"/>
              <w:jc w:val="left"/>
              <w:rPr>
                <w:color w:val="auto"/>
                <w:sz w:val="24"/>
                <w:highlight w:val="none"/>
              </w:rPr>
            </w:pPr>
            <w:r>
              <w:rPr>
                <w:rFonts w:hint="eastAsia"/>
                <w:color w:val="auto"/>
                <w:sz w:val="24"/>
                <w:highlight w:val="none"/>
                <w:lang w:val="en-US" w:eastAsia="zh-CN"/>
              </w:rPr>
              <w:t>水洗塔废水</w:t>
            </w:r>
          </w:p>
          <w:p w14:paraId="4C08F28E">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本项目新增水洗塔（四段式）1座，用于处理工艺装置蒸馏尾气，尾气由风机引入水洗塔进行水洗。水洗塔中水循环使用，该水吸收易溶性有机气体主要为三乙醇胺和N-甲基一乙醇胺产品成分，技改后全厂水洗塔废水直接回用于生产线，不外排，仅</w:t>
            </w:r>
            <w:r>
              <w:rPr>
                <w:color w:val="auto"/>
                <w:sz w:val="24"/>
                <w:highlight w:val="none"/>
              </w:rPr>
              <w:t>定期</w:t>
            </w:r>
            <w:r>
              <w:rPr>
                <w:rFonts w:hint="eastAsia"/>
                <w:color w:val="auto"/>
                <w:sz w:val="24"/>
                <w:highlight w:val="none"/>
                <w:lang w:val="en-US" w:eastAsia="zh-CN"/>
              </w:rPr>
              <w:t>补充纯水至水洗塔。</w:t>
            </w:r>
          </w:p>
          <w:p w14:paraId="68899023">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现有工程原环评及验收均采取定期外排废水，技改后改外排废水为每天回用，不外排。根据设计资料，本项目新增水洗塔循环水量为1m</w:t>
            </w:r>
            <w:r>
              <w:rPr>
                <w:rFonts w:hint="eastAsia"/>
                <w:color w:val="auto"/>
                <w:sz w:val="24"/>
                <w:highlight w:val="none"/>
                <w:vertAlign w:val="superscript"/>
                <w:lang w:val="en-US" w:eastAsia="zh-CN"/>
              </w:rPr>
              <w:t>3</w:t>
            </w:r>
            <w:r>
              <w:rPr>
                <w:rFonts w:hint="eastAsia"/>
                <w:color w:val="auto"/>
                <w:sz w:val="24"/>
                <w:highlight w:val="none"/>
                <w:lang w:val="en-US" w:eastAsia="zh-CN"/>
              </w:rPr>
              <w:t>/d，项目建成后全厂水洗塔的循环水量为2m</w:t>
            </w:r>
            <w:r>
              <w:rPr>
                <w:rFonts w:hint="eastAsia"/>
                <w:color w:val="auto"/>
                <w:sz w:val="24"/>
                <w:highlight w:val="none"/>
                <w:vertAlign w:val="superscript"/>
                <w:lang w:val="en-US" w:eastAsia="zh-CN"/>
              </w:rPr>
              <w:t>3</w:t>
            </w:r>
            <w:r>
              <w:rPr>
                <w:rFonts w:hint="eastAsia"/>
                <w:color w:val="auto"/>
                <w:sz w:val="24"/>
                <w:highlight w:val="none"/>
                <w:lang w:val="en-US" w:eastAsia="zh-CN"/>
              </w:rPr>
              <w:t>/d，每天回用于生产线的量占总循环水量的10%，则回用水量为0.2m</w:t>
            </w:r>
            <w:r>
              <w:rPr>
                <w:rFonts w:hint="eastAsia"/>
                <w:color w:val="auto"/>
                <w:sz w:val="24"/>
                <w:highlight w:val="none"/>
                <w:vertAlign w:val="superscript"/>
                <w:lang w:val="en-US" w:eastAsia="zh-CN"/>
              </w:rPr>
              <w:t>3</w:t>
            </w:r>
            <w:r>
              <w:rPr>
                <w:rFonts w:hint="eastAsia"/>
                <w:color w:val="auto"/>
                <w:sz w:val="24"/>
                <w:highlight w:val="none"/>
                <w:lang w:val="en-US" w:eastAsia="zh-CN"/>
              </w:rPr>
              <w:t>/d，定期补充（0.2m</w:t>
            </w:r>
            <w:r>
              <w:rPr>
                <w:rFonts w:hint="eastAsia"/>
                <w:color w:val="auto"/>
                <w:sz w:val="24"/>
                <w:highlight w:val="none"/>
                <w:vertAlign w:val="superscript"/>
                <w:lang w:val="en-US" w:eastAsia="zh-CN"/>
              </w:rPr>
              <w:t>3</w:t>
            </w:r>
            <w:r>
              <w:rPr>
                <w:rFonts w:hint="eastAsia"/>
                <w:color w:val="auto"/>
                <w:sz w:val="24"/>
                <w:highlight w:val="none"/>
                <w:lang w:val="en-US" w:eastAsia="zh-CN"/>
              </w:rPr>
              <w:t>/d）水洗塔用水（纯水）。</w:t>
            </w:r>
          </w:p>
          <w:p w14:paraId="62C7B325">
            <w:pPr>
              <w:numPr>
                <w:ilvl w:val="0"/>
                <w:numId w:val="28"/>
              </w:numPr>
              <w:spacing w:line="360" w:lineRule="auto"/>
              <w:ind w:left="0" w:leftChars="0" w:firstLine="470" w:firstLineChars="196"/>
              <w:jc w:val="left"/>
              <w:rPr>
                <w:rFonts w:eastAsiaTheme="minorEastAsia"/>
                <w:color w:val="auto"/>
                <w:sz w:val="24"/>
                <w:szCs w:val="21"/>
                <w:highlight w:val="none"/>
              </w:rPr>
            </w:pPr>
            <w:r>
              <w:rPr>
                <w:rFonts w:hint="eastAsia"/>
                <w:color w:val="auto"/>
                <w:sz w:val="24"/>
                <w:highlight w:val="none"/>
                <w:lang w:val="en-US" w:eastAsia="zh-CN"/>
              </w:rPr>
              <w:t>地坪冲洗废水</w:t>
            </w:r>
          </w:p>
          <w:p w14:paraId="68D3D1AF">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20"/>
              <w:jc w:val="both"/>
              <w:textAlignment w:val="auto"/>
              <w:rPr>
                <w:color w:val="auto"/>
                <w:highlight w:val="none"/>
              </w:rPr>
            </w:pPr>
            <w:r>
              <w:rPr>
                <w:rFonts w:ascii="Times New Roman" w:hAnsi="Times New Roman" w:cs="Times New Roman" w:eastAsiaTheme="minorEastAsia"/>
                <w:color w:val="auto"/>
                <w:kern w:val="2"/>
                <w:sz w:val="24"/>
                <w:szCs w:val="21"/>
                <w:highlight w:val="none"/>
                <w:lang w:val="en-US" w:eastAsia="zh-CN" w:bidi="ar-SA"/>
              </w:rPr>
              <w:t>主要为</w:t>
            </w:r>
            <w:r>
              <w:rPr>
                <w:rFonts w:hint="eastAsia" w:cs="Times New Roman" w:eastAsiaTheme="minorEastAsia"/>
                <w:color w:val="auto"/>
                <w:kern w:val="2"/>
                <w:sz w:val="24"/>
                <w:szCs w:val="21"/>
                <w:highlight w:val="none"/>
                <w:lang w:val="en-US" w:eastAsia="zh-CN" w:bidi="ar-SA"/>
              </w:rPr>
              <w:t>新建生产车间（即生产装置区）地坪冲洗废水，</w:t>
            </w:r>
            <w:r>
              <w:rPr>
                <w:rFonts w:ascii="Times New Roman" w:hAnsi="Times New Roman" w:cs="Times New Roman" w:eastAsiaTheme="minorEastAsia"/>
                <w:color w:val="auto"/>
                <w:kern w:val="2"/>
                <w:sz w:val="24"/>
                <w:szCs w:val="21"/>
                <w:highlight w:val="none"/>
                <w:lang w:val="en-US" w:eastAsia="zh-CN" w:bidi="ar-SA"/>
              </w:rPr>
              <w:t>主要污染物为COD、BOD、氨氮、SS等。</w:t>
            </w:r>
            <w:r>
              <w:rPr>
                <w:rFonts w:hint="eastAsia" w:cs="Times New Roman" w:eastAsiaTheme="minorEastAsia"/>
                <w:color w:val="auto"/>
                <w:kern w:val="2"/>
                <w:sz w:val="24"/>
                <w:szCs w:val="21"/>
                <w:highlight w:val="none"/>
                <w:lang w:val="en-US" w:eastAsia="zh-CN" w:bidi="ar-SA"/>
              </w:rPr>
              <w:t>本次生产车间占地面积为2160m</w:t>
            </w:r>
            <w:r>
              <w:rPr>
                <w:rFonts w:hint="eastAsia" w:cs="Times New Roman" w:eastAsiaTheme="minorEastAsia"/>
                <w:color w:val="auto"/>
                <w:kern w:val="2"/>
                <w:sz w:val="24"/>
                <w:szCs w:val="21"/>
                <w:highlight w:val="none"/>
                <w:vertAlign w:val="superscript"/>
                <w:lang w:val="en-US" w:eastAsia="zh-CN" w:bidi="ar-SA"/>
              </w:rPr>
              <w:t>2</w:t>
            </w:r>
            <w:r>
              <w:rPr>
                <w:rFonts w:hint="eastAsia" w:cs="Times New Roman" w:eastAsiaTheme="minorEastAsia"/>
                <w:color w:val="auto"/>
                <w:kern w:val="2"/>
                <w:sz w:val="24"/>
                <w:szCs w:val="21"/>
                <w:highlight w:val="none"/>
                <w:lang w:val="en-US" w:eastAsia="zh-CN" w:bidi="ar-SA"/>
              </w:rPr>
              <w:t>，参照《四川水用水定额》（2021年版）中“建筑业用水定额表-工厂厂房（单层）”用水定额为0.2m</w:t>
            </w:r>
            <w:r>
              <w:rPr>
                <w:rFonts w:hint="eastAsia" w:cs="Times New Roman" w:eastAsiaTheme="minorEastAsia"/>
                <w:color w:val="auto"/>
                <w:kern w:val="2"/>
                <w:sz w:val="24"/>
                <w:szCs w:val="21"/>
                <w:highlight w:val="none"/>
                <w:vertAlign w:val="superscript"/>
                <w:lang w:val="en-US" w:eastAsia="zh-CN" w:bidi="ar-SA"/>
              </w:rPr>
              <w:t>3</w:t>
            </w:r>
            <w:r>
              <w:rPr>
                <w:rFonts w:hint="eastAsia" w:cs="Times New Roman" w:eastAsiaTheme="minorEastAsia"/>
                <w:color w:val="auto"/>
                <w:kern w:val="2"/>
                <w:sz w:val="24"/>
                <w:szCs w:val="21"/>
                <w:highlight w:val="none"/>
                <w:lang w:val="en-US" w:eastAsia="zh-CN" w:bidi="ar-SA"/>
              </w:rPr>
              <w:t>/m</w:t>
            </w:r>
            <w:r>
              <w:rPr>
                <w:rFonts w:hint="eastAsia" w:cs="Times New Roman" w:eastAsiaTheme="minorEastAsia"/>
                <w:color w:val="auto"/>
                <w:kern w:val="2"/>
                <w:sz w:val="24"/>
                <w:szCs w:val="21"/>
                <w:highlight w:val="none"/>
                <w:vertAlign w:val="superscript"/>
                <w:lang w:val="en-US" w:eastAsia="zh-CN" w:bidi="ar-SA"/>
              </w:rPr>
              <w:t>2</w:t>
            </w:r>
            <w:r>
              <w:rPr>
                <w:rFonts w:hint="eastAsia" w:cs="Times New Roman" w:eastAsiaTheme="minorEastAsia"/>
                <w:color w:val="auto"/>
                <w:kern w:val="2"/>
                <w:sz w:val="24"/>
                <w:szCs w:val="21"/>
                <w:highlight w:val="none"/>
                <w:lang w:val="en-US" w:eastAsia="zh-CN" w:bidi="ar-SA"/>
              </w:rPr>
              <w:t>，本项目生产装置均为密封管道连接的一体化成套装置，出现跑冒滴漏概率较低，同时根据建设单位日常运营情况，地坪冲洗每半年一次，则本次技改新增的</w:t>
            </w:r>
            <w:r>
              <w:rPr>
                <w:rFonts w:ascii="Times New Roman" w:hAnsi="Times New Roman" w:cs="Times New Roman" w:eastAsiaTheme="minorEastAsia"/>
                <w:color w:val="auto"/>
                <w:kern w:val="2"/>
                <w:sz w:val="24"/>
                <w:szCs w:val="21"/>
                <w:highlight w:val="none"/>
                <w:lang w:val="en-US" w:eastAsia="zh-CN" w:bidi="ar-SA"/>
              </w:rPr>
              <w:t>地坪冲洗</w:t>
            </w:r>
            <w:r>
              <w:rPr>
                <w:rFonts w:hint="eastAsia" w:cs="Times New Roman" w:eastAsiaTheme="minorEastAsia"/>
                <w:color w:val="auto"/>
                <w:kern w:val="2"/>
                <w:sz w:val="24"/>
                <w:szCs w:val="21"/>
                <w:highlight w:val="none"/>
                <w:lang w:val="en-US" w:eastAsia="zh-CN" w:bidi="ar-SA"/>
              </w:rPr>
              <w:t>用水量约864m</w:t>
            </w:r>
            <w:r>
              <w:rPr>
                <w:rFonts w:hint="eastAsia" w:cs="Times New Roman" w:eastAsiaTheme="minorEastAsia"/>
                <w:color w:val="auto"/>
                <w:kern w:val="2"/>
                <w:sz w:val="24"/>
                <w:szCs w:val="21"/>
                <w:highlight w:val="none"/>
                <w:vertAlign w:val="superscript"/>
                <w:lang w:val="en-US" w:eastAsia="zh-CN" w:bidi="ar-SA"/>
              </w:rPr>
              <w:t>3</w:t>
            </w:r>
            <w:r>
              <w:rPr>
                <w:rFonts w:hint="eastAsia" w:cs="Times New Roman" w:eastAsiaTheme="minorEastAsia"/>
                <w:color w:val="auto"/>
                <w:kern w:val="2"/>
                <w:sz w:val="24"/>
                <w:szCs w:val="21"/>
                <w:highlight w:val="none"/>
                <w:lang w:val="en-US" w:eastAsia="zh-CN" w:bidi="ar-SA"/>
              </w:rPr>
              <w:t>/a，排污系数按0.8计，则废</w:t>
            </w:r>
            <w:r>
              <w:rPr>
                <w:rFonts w:ascii="Times New Roman" w:hAnsi="Times New Roman" w:cs="Times New Roman" w:eastAsiaTheme="minorEastAsia"/>
                <w:color w:val="auto"/>
                <w:kern w:val="2"/>
                <w:sz w:val="24"/>
                <w:szCs w:val="21"/>
                <w:highlight w:val="none"/>
                <w:lang w:val="en-US" w:eastAsia="zh-CN" w:bidi="ar-SA"/>
              </w:rPr>
              <w:t>水产生量约为</w:t>
            </w:r>
            <w:r>
              <w:rPr>
                <w:rFonts w:hint="eastAsia" w:cs="Times New Roman" w:eastAsiaTheme="minorEastAsia"/>
                <w:color w:val="auto"/>
                <w:kern w:val="2"/>
                <w:sz w:val="24"/>
                <w:szCs w:val="21"/>
                <w:highlight w:val="none"/>
                <w:lang w:val="en-US" w:eastAsia="zh-CN" w:bidi="ar-SA"/>
              </w:rPr>
              <w:t>691.2</w:t>
            </w:r>
            <w:r>
              <w:rPr>
                <w:rFonts w:ascii="Times New Roman" w:hAnsi="Times New Roman" w:cs="Times New Roman" w:eastAsiaTheme="minorEastAsia"/>
                <w:color w:val="auto"/>
                <w:kern w:val="2"/>
                <w:sz w:val="24"/>
                <w:szCs w:val="21"/>
                <w:highlight w:val="none"/>
                <w:lang w:val="en-US" w:eastAsia="zh-CN" w:bidi="ar-SA"/>
              </w:rPr>
              <w:t>m</w:t>
            </w:r>
            <w:r>
              <w:rPr>
                <w:rFonts w:ascii="Times New Roman" w:hAnsi="Times New Roman" w:cs="Times New Roman" w:eastAsiaTheme="minorEastAsia"/>
                <w:color w:val="auto"/>
                <w:kern w:val="2"/>
                <w:sz w:val="24"/>
                <w:szCs w:val="21"/>
                <w:highlight w:val="none"/>
                <w:vertAlign w:val="superscript"/>
                <w:lang w:val="en-US" w:eastAsia="zh-CN" w:bidi="ar-SA"/>
              </w:rPr>
              <w:t>3</w:t>
            </w:r>
            <w:r>
              <w:rPr>
                <w:rFonts w:ascii="Times New Roman" w:hAnsi="Times New Roman" w:cs="Times New Roman" w:eastAsiaTheme="minorEastAsia"/>
                <w:color w:val="auto"/>
                <w:kern w:val="2"/>
                <w:sz w:val="24"/>
                <w:szCs w:val="21"/>
                <w:highlight w:val="none"/>
                <w:lang w:val="en-US" w:eastAsia="zh-CN" w:bidi="ar-SA"/>
              </w:rPr>
              <w:t>/</w:t>
            </w:r>
            <w:r>
              <w:rPr>
                <w:rFonts w:hint="eastAsia" w:cs="Times New Roman" w:eastAsiaTheme="minorEastAsia"/>
                <w:color w:val="auto"/>
                <w:kern w:val="2"/>
                <w:sz w:val="24"/>
                <w:szCs w:val="21"/>
                <w:highlight w:val="none"/>
                <w:lang w:val="en-US" w:eastAsia="zh-CN" w:bidi="ar-SA"/>
              </w:rPr>
              <w:t>a</w:t>
            </w:r>
            <w:r>
              <w:rPr>
                <w:rFonts w:ascii="Times New Roman" w:hAnsi="Times New Roman" w:cs="Times New Roman" w:eastAsiaTheme="minorEastAsia"/>
                <w:color w:val="auto"/>
                <w:kern w:val="2"/>
                <w:sz w:val="24"/>
                <w:szCs w:val="21"/>
                <w:highlight w:val="none"/>
                <w:lang w:val="en-US" w:eastAsia="zh-CN" w:bidi="ar-SA"/>
              </w:rPr>
              <w:t>，</w:t>
            </w:r>
            <w:r>
              <w:rPr>
                <w:rFonts w:hint="eastAsia" w:cs="Times New Roman" w:eastAsiaTheme="minorEastAsia"/>
                <w:color w:val="auto"/>
                <w:kern w:val="2"/>
                <w:sz w:val="24"/>
                <w:szCs w:val="21"/>
                <w:highlight w:val="none"/>
                <w:lang w:val="en-US" w:eastAsia="zh-CN" w:bidi="ar-SA"/>
              </w:rPr>
              <w:t>平均2.30</w:t>
            </w:r>
            <w:r>
              <w:rPr>
                <w:rFonts w:ascii="Times New Roman" w:hAnsi="Times New Roman" w:cs="Times New Roman" w:eastAsiaTheme="minorEastAsia"/>
                <w:color w:val="auto"/>
                <w:kern w:val="2"/>
                <w:sz w:val="24"/>
                <w:szCs w:val="21"/>
                <w:highlight w:val="none"/>
                <w:lang w:val="en-US" w:eastAsia="zh-CN" w:bidi="ar-SA"/>
              </w:rPr>
              <w:t>m</w:t>
            </w:r>
            <w:r>
              <w:rPr>
                <w:rFonts w:ascii="Times New Roman" w:hAnsi="Times New Roman" w:cs="Times New Roman" w:eastAsiaTheme="minorEastAsia"/>
                <w:color w:val="auto"/>
                <w:kern w:val="2"/>
                <w:sz w:val="24"/>
                <w:szCs w:val="21"/>
                <w:highlight w:val="none"/>
                <w:vertAlign w:val="superscript"/>
                <w:lang w:val="en-US" w:eastAsia="zh-CN" w:bidi="ar-SA"/>
              </w:rPr>
              <w:t>3</w:t>
            </w:r>
            <w:r>
              <w:rPr>
                <w:rFonts w:ascii="Times New Roman" w:hAnsi="Times New Roman" w:cs="Times New Roman" w:eastAsiaTheme="minorEastAsia"/>
                <w:color w:val="auto"/>
                <w:kern w:val="2"/>
                <w:sz w:val="24"/>
                <w:szCs w:val="21"/>
                <w:highlight w:val="none"/>
                <w:lang w:val="en-US" w:eastAsia="zh-CN" w:bidi="ar-SA"/>
              </w:rPr>
              <w:t>/</w:t>
            </w:r>
            <w:r>
              <w:rPr>
                <w:rFonts w:hint="eastAsia" w:cs="Times New Roman" w:eastAsiaTheme="minorEastAsia"/>
                <w:color w:val="auto"/>
                <w:kern w:val="2"/>
                <w:sz w:val="24"/>
                <w:szCs w:val="21"/>
                <w:highlight w:val="none"/>
                <w:lang w:val="en-US" w:eastAsia="zh-CN" w:bidi="ar-SA"/>
              </w:rPr>
              <w:t>d，</w:t>
            </w:r>
            <w:r>
              <w:rPr>
                <w:rFonts w:ascii="Times New Roman" w:hAnsi="Times New Roman" w:cs="Times New Roman" w:eastAsiaTheme="minorEastAsia"/>
                <w:color w:val="auto"/>
                <w:kern w:val="2"/>
                <w:sz w:val="24"/>
                <w:szCs w:val="21"/>
                <w:highlight w:val="none"/>
                <w:lang w:val="en-US" w:eastAsia="zh-CN" w:bidi="ar-SA"/>
              </w:rPr>
              <w:t>地坪冲洗废水全部进入厂区污水处理站处理。</w:t>
            </w:r>
          </w:p>
          <w:p w14:paraId="1DB3EBE8">
            <w:pPr>
              <w:numPr>
                <w:ilvl w:val="0"/>
                <w:numId w:val="28"/>
              </w:numPr>
              <w:spacing w:line="360" w:lineRule="auto"/>
              <w:ind w:left="0" w:leftChars="0" w:firstLine="470" w:firstLineChars="196"/>
              <w:jc w:val="left"/>
              <w:rPr>
                <w:rFonts w:hint="eastAsia"/>
                <w:color w:val="auto"/>
                <w:sz w:val="24"/>
                <w:highlight w:val="none"/>
                <w:lang w:val="en-US" w:eastAsia="zh-CN"/>
              </w:rPr>
            </w:pPr>
            <w:r>
              <w:rPr>
                <w:rFonts w:hint="eastAsia"/>
                <w:color w:val="auto"/>
                <w:sz w:val="24"/>
                <w:highlight w:val="none"/>
                <w:lang w:val="en-US" w:eastAsia="zh-CN"/>
              </w:rPr>
              <w:t>生活污水</w:t>
            </w:r>
          </w:p>
          <w:p w14:paraId="16160FE4">
            <w:pPr>
              <w:spacing w:line="360" w:lineRule="auto"/>
              <w:ind w:firstLine="480" w:firstLineChars="200"/>
              <w:rPr>
                <w:rFonts w:hint="eastAsia" w:cs="Times New Roman" w:eastAsiaTheme="minorEastAsia"/>
                <w:color w:val="auto"/>
                <w:kern w:val="2"/>
                <w:sz w:val="24"/>
                <w:szCs w:val="21"/>
                <w:highlight w:val="none"/>
                <w:lang w:val="en-US" w:eastAsia="zh-CN" w:bidi="ar-SA"/>
              </w:rPr>
            </w:pPr>
            <w:r>
              <w:rPr>
                <w:rFonts w:hint="eastAsia"/>
                <w:color w:val="auto"/>
                <w:sz w:val="24"/>
                <w:highlight w:val="none"/>
                <w:lang w:val="en-US" w:eastAsia="zh-CN"/>
              </w:rPr>
              <w:t>本项目新增劳动定员24人，根据工作制度，生产工人实行四班三运转制，生产工人共计20人，其中每班5人，每天3班，1班轮换休息，管理人员实行日班制，共4人，每天1班。每班均为8h，</w:t>
            </w:r>
            <w:r>
              <w:rPr>
                <w:bCs/>
                <w:color w:val="auto"/>
                <w:sz w:val="24"/>
                <w:highlight w:val="none"/>
              </w:rPr>
              <w:t>年工作300d</w:t>
            </w:r>
            <w:r>
              <w:rPr>
                <w:rFonts w:hint="eastAsia"/>
                <w:bCs/>
                <w:color w:val="auto"/>
                <w:sz w:val="24"/>
                <w:highlight w:val="none"/>
                <w:lang w:eastAsia="zh-CN"/>
              </w:rPr>
              <w:t>，</w:t>
            </w:r>
            <w:r>
              <w:rPr>
                <w:rFonts w:hint="eastAsia"/>
                <w:bCs/>
                <w:color w:val="auto"/>
                <w:sz w:val="24"/>
                <w:highlight w:val="none"/>
                <w:lang w:val="en-US" w:eastAsia="zh-CN"/>
              </w:rPr>
              <w:t>厂区员工均不住宿，根据《建筑给排水设计规范》，工业企业建筑管理人员及车间工人的生活用水定额为30L/（人</w:t>
            </w:r>
            <w:r>
              <w:rPr>
                <w:rFonts w:hint="default" w:ascii="Times New Roman" w:hAnsi="Times New Roman" w:eastAsia="微软雅黑" w:cs="Times New Roman"/>
                <w:bCs/>
                <w:color w:val="auto"/>
                <w:sz w:val="24"/>
                <w:highlight w:val="none"/>
                <w:lang w:val="en-US" w:eastAsia="zh-CN"/>
              </w:rPr>
              <w:t>·</w:t>
            </w:r>
            <w:r>
              <w:rPr>
                <w:rFonts w:hint="eastAsia"/>
                <w:bCs/>
                <w:color w:val="auto"/>
                <w:sz w:val="24"/>
                <w:highlight w:val="none"/>
                <w:lang w:val="en-US" w:eastAsia="zh-CN"/>
              </w:rPr>
              <w:t>班）~50L/（人</w:t>
            </w:r>
            <w:r>
              <w:rPr>
                <w:rFonts w:hint="default" w:ascii="Times New Roman" w:hAnsi="Times New Roman" w:eastAsia="微软雅黑" w:cs="Times New Roman"/>
                <w:bCs/>
                <w:color w:val="auto"/>
                <w:sz w:val="24"/>
                <w:highlight w:val="none"/>
                <w:lang w:val="en-US" w:eastAsia="zh-CN"/>
              </w:rPr>
              <w:t>·</w:t>
            </w:r>
            <w:r>
              <w:rPr>
                <w:rFonts w:hint="eastAsia"/>
                <w:bCs/>
                <w:color w:val="auto"/>
                <w:sz w:val="24"/>
                <w:highlight w:val="none"/>
                <w:lang w:val="en-US" w:eastAsia="zh-CN"/>
              </w:rPr>
              <w:t>班），本项目取均值40L/（人</w:t>
            </w:r>
            <w:r>
              <w:rPr>
                <w:rFonts w:hint="default" w:ascii="Times New Roman" w:hAnsi="Times New Roman" w:eastAsia="微软雅黑" w:cs="Times New Roman"/>
                <w:bCs/>
                <w:color w:val="auto"/>
                <w:sz w:val="24"/>
                <w:highlight w:val="none"/>
                <w:lang w:val="en-US" w:eastAsia="zh-CN"/>
              </w:rPr>
              <w:t>·</w:t>
            </w:r>
            <w:r>
              <w:rPr>
                <w:rFonts w:hint="eastAsia"/>
                <w:bCs/>
                <w:color w:val="auto"/>
                <w:sz w:val="24"/>
                <w:highlight w:val="none"/>
                <w:lang w:val="en-US" w:eastAsia="zh-CN"/>
              </w:rPr>
              <w:t>班），则本项目员工生活用水量2.45m</w:t>
            </w:r>
            <w:r>
              <w:rPr>
                <w:rFonts w:hint="eastAsia"/>
                <w:bCs/>
                <w:color w:val="auto"/>
                <w:sz w:val="24"/>
                <w:highlight w:val="none"/>
                <w:vertAlign w:val="superscript"/>
                <w:lang w:val="en-US" w:eastAsia="zh-CN"/>
              </w:rPr>
              <w:t>3</w:t>
            </w:r>
            <w:r>
              <w:rPr>
                <w:rFonts w:hint="eastAsia"/>
                <w:bCs/>
                <w:color w:val="auto"/>
                <w:sz w:val="24"/>
                <w:highlight w:val="none"/>
                <w:lang w:val="en-US" w:eastAsia="zh-CN"/>
              </w:rPr>
              <w:t>/d（735m</w:t>
            </w:r>
            <w:r>
              <w:rPr>
                <w:rFonts w:hint="eastAsia"/>
                <w:bCs/>
                <w:color w:val="auto"/>
                <w:sz w:val="24"/>
                <w:highlight w:val="none"/>
                <w:vertAlign w:val="superscript"/>
                <w:lang w:val="en-US" w:eastAsia="zh-CN"/>
              </w:rPr>
              <w:t>3</w:t>
            </w:r>
            <w:r>
              <w:rPr>
                <w:rFonts w:hint="eastAsia"/>
                <w:bCs/>
                <w:color w:val="auto"/>
                <w:sz w:val="24"/>
                <w:highlight w:val="none"/>
                <w:lang w:val="en-US" w:eastAsia="zh-CN"/>
              </w:rPr>
              <w:t>/a），排污系数按0.8计，则生活污水产生量为1.96m</w:t>
            </w:r>
            <w:r>
              <w:rPr>
                <w:rFonts w:hint="eastAsia"/>
                <w:bCs/>
                <w:color w:val="auto"/>
                <w:sz w:val="24"/>
                <w:highlight w:val="none"/>
                <w:vertAlign w:val="superscript"/>
                <w:lang w:val="en-US" w:eastAsia="zh-CN"/>
              </w:rPr>
              <w:t>3</w:t>
            </w:r>
            <w:r>
              <w:rPr>
                <w:rFonts w:hint="eastAsia"/>
                <w:bCs/>
                <w:color w:val="auto"/>
                <w:sz w:val="24"/>
                <w:highlight w:val="none"/>
                <w:lang w:val="en-US" w:eastAsia="zh-CN"/>
              </w:rPr>
              <w:t>/d（588m</w:t>
            </w:r>
            <w:r>
              <w:rPr>
                <w:rFonts w:hint="eastAsia"/>
                <w:bCs/>
                <w:color w:val="auto"/>
                <w:sz w:val="24"/>
                <w:highlight w:val="none"/>
                <w:vertAlign w:val="superscript"/>
                <w:lang w:val="en-US" w:eastAsia="zh-CN"/>
              </w:rPr>
              <w:t>3</w:t>
            </w:r>
            <w:r>
              <w:rPr>
                <w:rFonts w:hint="eastAsia"/>
                <w:bCs/>
                <w:color w:val="auto"/>
                <w:sz w:val="24"/>
                <w:highlight w:val="none"/>
                <w:lang w:val="en-US" w:eastAsia="zh-CN"/>
              </w:rPr>
              <w:t>/a）。</w:t>
            </w:r>
            <w:r>
              <w:rPr>
                <w:rFonts w:hint="eastAsia"/>
                <w:color w:val="auto"/>
                <w:sz w:val="24"/>
                <w:highlight w:val="none"/>
                <w:lang w:val="en-US" w:eastAsia="zh-CN"/>
              </w:rPr>
              <w:t>生活污水主要污染物为COD</w:t>
            </w:r>
            <w:r>
              <w:rPr>
                <w:rFonts w:hint="eastAsia"/>
                <w:color w:val="auto"/>
                <w:sz w:val="24"/>
                <w:highlight w:val="none"/>
                <w:vertAlign w:val="subscript"/>
                <w:lang w:val="en-US" w:eastAsia="zh-CN"/>
              </w:rPr>
              <w:t>Cr</w:t>
            </w:r>
            <w:r>
              <w:rPr>
                <w:rFonts w:hint="eastAsia"/>
                <w:color w:val="auto"/>
                <w:sz w:val="24"/>
                <w:highlight w:val="none"/>
                <w:lang w:val="en-US" w:eastAsia="zh-CN"/>
              </w:rPr>
              <w:t>、BOD</w:t>
            </w:r>
            <w:r>
              <w:rPr>
                <w:rFonts w:hint="eastAsia"/>
                <w:color w:val="auto"/>
                <w:sz w:val="24"/>
                <w:highlight w:val="none"/>
                <w:vertAlign w:val="subscript"/>
                <w:lang w:val="en-US" w:eastAsia="zh-CN"/>
              </w:rPr>
              <w:t>5</w:t>
            </w:r>
            <w:r>
              <w:rPr>
                <w:rFonts w:hint="eastAsia"/>
                <w:color w:val="auto"/>
                <w:sz w:val="24"/>
                <w:highlight w:val="none"/>
                <w:lang w:val="en-US" w:eastAsia="zh-CN"/>
              </w:rPr>
              <w:t>、SS、氨氮等。生活污水先经隔油-预处理池处理后排入</w:t>
            </w:r>
            <w:r>
              <w:rPr>
                <w:rFonts w:ascii="Times New Roman" w:hAnsi="Times New Roman" w:cs="Times New Roman" w:eastAsiaTheme="minorEastAsia"/>
                <w:color w:val="auto"/>
                <w:kern w:val="2"/>
                <w:sz w:val="24"/>
                <w:szCs w:val="21"/>
                <w:highlight w:val="none"/>
                <w:lang w:val="en-US" w:eastAsia="zh-CN" w:bidi="ar-SA"/>
              </w:rPr>
              <w:t>厂区污水处理站处理</w:t>
            </w:r>
            <w:r>
              <w:rPr>
                <w:rFonts w:hint="eastAsia" w:cs="Times New Roman" w:eastAsiaTheme="minorEastAsia"/>
                <w:color w:val="auto"/>
                <w:kern w:val="2"/>
                <w:sz w:val="24"/>
                <w:szCs w:val="21"/>
                <w:highlight w:val="none"/>
                <w:lang w:val="en-US" w:eastAsia="zh-CN" w:bidi="ar-SA"/>
              </w:rPr>
              <w:t>。</w:t>
            </w:r>
          </w:p>
          <w:p w14:paraId="7863A960">
            <w:pPr>
              <w:numPr>
                <w:ilvl w:val="0"/>
                <w:numId w:val="28"/>
              </w:numPr>
              <w:spacing w:line="360" w:lineRule="auto"/>
              <w:ind w:left="0" w:leftChars="0" w:firstLine="470" w:firstLineChars="196"/>
              <w:jc w:val="left"/>
              <w:rPr>
                <w:rFonts w:hint="default"/>
                <w:color w:val="auto"/>
                <w:sz w:val="24"/>
                <w:highlight w:val="none"/>
                <w:lang w:val="en-US" w:eastAsia="zh-CN"/>
              </w:rPr>
            </w:pPr>
            <w:r>
              <w:rPr>
                <w:rFonts w:hint="eastAsia"/>
                <w:color w:val="auto"/>
                <w:sz w:val="24"/>
                <w:highlight w:val="none"/>
                <w:lang w:val="en-US" w:eastAsia="zh-CN"/>
              </w:rPr>
              <w:t>初期雨水</w:t>
            </w:r>
          </w:p>
          <w:p w14:paraId="604F75B8">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60" w:firstLineChars="200"/>
              <w:textAlignment w:val="auto"/>
              <w:rPr>
                <w:rFonts w:hint="eastAsia" w:cs="Times New Roman"/>
                <w:color w:val="auto"/>
                <w:spacing w:val="-5"/>
                <w:sz w:val="24"/>
                <w:szCs w:val="28"/>
                <w:highlight w:val="none"/>
                <w:lang w:val="en-US" w:eastAsia="zh-CN"/>
              </w:rPr>
            </w:pPr>
            <w:r>
              <w:rPr>
                <w:rFonts w:hint="default" w:cs="Times New Roman"/>
                <w:color w:val="auto"/>
                <w:spacing w:val="-5"/>
                <w:sz w:val="24"/>
                <w:szCs w:val="28"/>
                <w:highlight w:val="none"/>
                <w:lang w:val="en-US" w:eastAsia="zh-CN"/>
              </w:rPr>
              <w:t>①</w:t>
            </w:r>
            <w:r>
              <w:rPr>
                <w:rFonts w:hint="eastAsia" w:cs="Times New Roman"/>
                <w:color w:val="auto"/>
                <w:spacing w:val="-5"/>
                <w:sz w:val="24"/>
                <w:szCs w:val="28"/>
                <w:highlight w:val="none"/>
                <w:lang w:val="en-US" w:eastAsia="zh-CN"/>
              </w:rPr>
              <w:t>一次初期雨水</w:t>
            </w:r>
          </w:p>
          <w:p w14:paraId="667E11EC">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60" w:firstLineChars="200"/>
              <w:textAlignment w:val="auto"/>
              <w:rPr>
                <w:rFonts w:hint="eastAsia" w:cs="Times New Roman"/>
                <w:color w:val="auto"/>
                <w:spacing w:val="-5"/>
                <w:sz w:val="24"/>
                <w:szCs w:val="28"/>
                <w:highlight w:val="none"/>
                <w:vertAlign w:val="baseline"/>
                <w:lang w:val="en-US" w:eastAsia="zh-CN"/>
              </w:rPr>
            </w:pPr>
            <w:r>
              <w:rPr>
                <w:rFonts w:hint="eastAsia" w:cs="Times New Roman"/>
                <w:color w:val="auto"/>
                <w:spacing w:val="-5"/>
                <w:sz w:val="24"/>
                <w:szCs w:val="28"/>
                <w:highlight w:val="none"/>
                <w:lang w:val="en-US" w:eastAsia="zh-CN"/>
              </w:rPr>
              <w:t>根据</w:t>
            </w:r>
            <w:r>
              <w:rPr>
                <w:rFonts w:hint="default" w:cs="Times New Roman"/>
                <w:color w:val="auto"/>
                <w:spacing w:val="-5"/>
                <w:sz w:val="24"/>
                <w:szCs w:val="28"/>
                <w:highlight w:val="none"/>
                <w:lang w:val="en-US" w:eastAsia="zh-CN"/>
              </w:rPr>
              <w:t>《石油化工给水排水系统设计规范》（SH/T3015-2019）第6.3.3条规定，一次降雨污染雨水总量宜按污染区面积与其15mm～30mm降水深度的乘积计算。</w:t>
            </w:r>
            <w:r>
              <w:rPr>
                <w:rFonts w:hint="eastAsia" w:cs="Times New Roman"/>
                <w:color w:val="auto"/>
                <w:spacing w:val="-5"/>
                <w:sz w:val="24"/>
                <w:szCs w:val="28"/>
                <w:highlight w:val="none"/>
                <w:lang w:val="en-US" w:eastAsia="zh-CN"/>
              </w:rPr>
              <w:t>本</w:t>
            </w:r>
            <w:r>
              <w:rPr>
                <w:rFonts w:hint="default" w:cs="Times New Roman"/>
                <w:color w:val="auto"/>
                <w:spacing w:val="-5"/>
                <w:sz w:val="24"/>
                <w:szCs w:val="28"/>
                <w:highlight w:val="none"/>
                <w:lang w:val="en-US" w:eastAsia="zh-CN"/>
              </w:rPr>
              <w:t>项目</w:t>
            </w:r>
            <w:r>
              <w:rPr>
                <w:rFonts w:hint="eastAsia" w:cs="Times New Roman"/>
                <w:color w:val="auto"/>
                <w:spacing w:val="-5"/>
                <w:sz w:val="24"/>
                <w:szCs w:val="28"/>
                <w:highlight w:val="none"/>
                <w:lang w:val="en-US" w:eastAsia="zh-CN"/>
              </w:rPr>
              <w:t>生产车间（</w:t>
            </w:r>
            <w:r>
              <w:rPr>
                <w:rFonts w:hint="default" w:cs="Times New Roman"/>
                <w:color w:val="auto"/>
                <w:spacing w:val="-5"/>
                <w:sz w:val="24"/>
                <w:szCs w:val="28"/>
                <w:highlight w:val="none"/>
                <w:lang w:val="en-US" w:eastAsia="zh-CN"/>
              </w:rPr>
              <w:t>生产装置区</w:t>
            </w:r>
            <w:r>
              <w:rPr>
                <w:rFonts w:hint="eastAsia" w:cs="Times New Roman"/>
                <w:color w:val="auto"/>
                <w:spacing w:val="-5"/>
                <w:sz w:val="24"/>
                <w:szCs w:val="28"/>
                <w:highlight w:val="none"/>
                <w:lang w:val="en-US" w:eastAsia="zh-CN"/>
              </w:rPr>
              <w:t>）</w:t>
            </w:r>
            <w:r>
              <w:rPr>
                <w:rFonts w:hint="default" w:cs="Times New Roman"/>
                <w:color w:val="auto"/>
                <w:spacing w:val="-5"/>
                <w:sz w:val="24"/>
                <w:szCs w:val="28"/>
                <w:highlight w:val="none"/>
                <w:lang w:val="en-US" w:eastAsia="zh-CN"/>
              </w:rPr>
              <w:t>污染区面积约</w:t>
            </w:r>
            <w:r>
              <w:rPr>
                <w:rFonts w:hint="eastAsia" w:cs="Times New Roman"/>
                <w:color w:val="auto"/>
                <w:spacing w:val="-5"/>
                <w:sz w:val="24"/>
                <w:szCs w:val="28"/>
                <w:highlight w:val="none"/>
                <w:lang w:val="en-US" w:eastAsia="zh-CN"/>
              </w:rPr>
              <w:t>2160</w:t>
            </w:r>
            <w:r>
              <w:rPr>
                <w:rFonts w:hint="default" w:cs="Times New Roman"/>
                <w:color w:val="auto"/>
                <w:spacing w:val="-5"/>
                <w:sz w:val="24"/>
                <w:szCs w:val="28"/>
                <w:highlight w:val="none"/>
                <w:lang w:val="en-US" w:eastAsia="zh-CN"/>
              </w:rPr>
              <w:t>m</w:t>
            </w:r>
            <w:r>
              <w:rPr>
                <w:rFonts w:hint="default" w:cs="Times New Roman"/>
                <w:color w:val="auto"/>
                <w:spacing w:val="-5"/>
                <w:sz w:val="24"/>
                <w:szCs w:val="28"/>
                <w:highlight w:val="none"/>
                <w:vertAlign w:val="superscript"/>
                <w:lang w:val="en-US" w:eastAsia="zh-CN"/>
              </w:rPr>
              <w:t>2</w:t>
            </w:r>
            <w:r>
              <w:rPr>
                <w:rFonts w:hint="default" w:cs="Times New Roman"/>
                <w:color w:val="auto"/>
                <w:spacing w:val="-5"/>
                <w:sz w:val="24"/>
                <w:szCs w:val="28"/>
                <w:highlight w:val="none"/>
                <w:lang w:val="en-US" w:eastAsia="zh-CN"/>
              </w:rPr>
              <w:t>，初期污染雨水收集量按</w:t>
            </w:r>
            <w:r>
              <w:rPr>
                <w:rFonts w:hint="eastAsia" w:cs="Times New Roman"/>
                <w:color w:val="auto"/>
                <w:spacing w:val="-5"/>
                <w:sz w:val="24"/>
                <w:szCs w:val="28"/>
                <w:highlight w:val="none"/>
                <w:lang w:val="en-US" w:eastAsia="zh-CN"/>
              </w:rPr>
              <w:t>最大</w:t>
            </w:r>
            <w:r>
              <w:rPr>
                <w:rFonts w:hint="default" w:cs="Times New Roman"/>
                <w:color w:val="auto"/>
                <w:spacing w:val="-5"/>
                <w:sz w:val="24"/>
                <w:szCs w:val="28"/>
                <w:highlight w:val="none"/>
                <w:lang w:val="en-US" w:eastAsia="zh-CN"/>
              </w:rPr>
              <w:t>降水深度</w:t>
            </w:r>
            <w:r>
              <w:rPr>
                <w:rFonts w:hint="eastAsia" w:cs="Times New Roman"/>
                <w:color w:val="auto"/>
                <w:spacing w:val="-5"/>
                <w:sz w:val="24"/>
                <w:szCs w:val="28"/>
                <w:highlight w:val="none"/>
                <w:lang w:val="en-US" w:eastAsia="zh-CN"/>
              </w:rPr>
              <w:t>30</w:t>
            </w:r>
            <w:r>
              <w:rPr>
                <w:rFonts w:hint="default" w:cs="Times New Roman"/>
                <w:color w:val="auto"/>
                <w:spacing w:val="-5"/>
                <w:sz w:val="24"/>
                <w:szCs w:val="28"/>
                <w:highlight w:val="none"/>
                <w:lang w:val="en-US" w:eastAsia="zh-CN"/>
              </w:rPr>
              <w:t>mm计算，初期雨水最大收集量为</w:t>
            </w:r>
            <w:r>
              <w:rPr>
                <w:rFonts w:hint="eastAsia" w:cs="Times New Roman"/>
                <w:color w:val="auto"/>
                <w:spacing w:val="-5"/>
                <w:sz w:val="24"/>
                <w:szCs w:val="28"/>
                <w:highlight w:val="none"/>
                <w:lang w:val="en-US" w:eastAsia="zh-CN"/>
              </w:rPr>
              <w:t>64.8</w:t>
            </w:r>
            <w:r>
              <w:rPr>
                <w:rFonts w:hint="default" w:cs="Times New Roman"/>
                <w:color w:val="auto"/>
                <w:spacing w:val="-5"/>
                <w:sz w:val="24"/>
                <w:szCs w:val="28"/>
                <w:highlight w:val="none"/>
                <w:lang w:val="en-US" w:eastAsia="zh-CN"/>
              </w:rPr>
              <w:t>m</w:t>
            </w:r>
            <w:r>
              <w:rPr>
                <w:rFonts w:hint="default" w:cs="Times New Roman"/>
                <w:color w:val="auto"/>
                <w:spacing w:val="-5"/>
                <w:sz w:val="24"/>
                <w:szCs w:val="28"/>
                <w:highlight w:val="none"/>
                <w:vertAlign w:val="superscript"/>
                <w:lang w:val="en-US" w:eastAsia="zh-CN"/>
              </w:rPr>
              <w:t>3</w:t>
            </w:r>
            <w:r>
              <w:rPr>
                <w:rFonts w:hint="default" w:cs="Times New Roman"/>
                <w:color w:val="auto"/>
                <w:spacing w:val="-5"/>
                <w:sz w:val="24"/>
                <w:szCs w:val="28"/>
                <w:highlight w:val="none"/>
                <w:lang w:val="en-US" w:eastAsia="zh-CN"/>
              </w:rPr>
              <w:t>/次</w:t>
            </w:r>
            <w:r>
              <w:rPr>
                <w:rFonts w:hint="eastAsia" w:cs="Times New Roman"/>
                <w:color w:val="auto"/>
                <w:spacing w:val="-5"/>
                <w:sz w:val="24"/>
                <w:szCs w:val="28"/>
                <w:highlight w:val="none"/>
                <w:lang w:val="en-US" w:eastAsia="zh-CN"/>
              </w:rPr>
              <w:t>，故初期雨水池容积至少需要65</w:t>
            </w:r>
            <w:r>
              <w:rPr>
                <w:rFonts w:hint="default" w:cs="Times New Roman"/>
                <w:color w:val="auto"/>
                <w:spacing w:val="-5"/>
                <w:sz w:val="24"/>
                <w:szCs w:val="28"/>
                <w:highlight w:val="none"/>
                <w:lang w:val="en-US" w:eastAsia="zh-CN"/>
              </w:rPr>
              <w:t>m</w:t>
            </w:r>
            <w:r>
              <w:rPr>
                <w:rFonts w:hint="default" w:cs="Times New Roman"/>
                <w:color w:val="auto"/>
                <w:spacing w:val="-5"/>
                <w:sz w:val="24"/>
                <w:szCs w:val="28"/>
                <w:highlight w:val="none"/>
                <w:vertAlign w:val="superscript"/>
                <w:lang w:val="en-US" w:eastAsia="zh-CN"/>
              </w:rPr>
              <w:t>3</w:t>
            </w:r>
            <w:r>
              <w:rPr>
                <w:rFonts w:hint="eastAsia" w:cs="Times New Roman"/>
                <w:color w:val="auto"/>
                <w:spacing w:val="-5"/>
                <w:sz w:val="24"/>
                <w:szCs w:val="28"/>
                <w:highlight w:val="none"/>
                <w:vertAlign w:val="baseline"/>
                <w:lang w:val="en-US" w:eastAsia="zh-CN"/>
              </w:rPr>
              <w:t>。</w:t>
            </w:r>
          </w:p>
          <w:p w14:paraId="45C5501E">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384" w:firstLineChars="200"/>
              <w:textAlignment w:val="auto"/>
              <w:rPr>
                <w:rFonts w:hint="default" w:cs="Times New Roman"/>
                <w:color w:val="auto"/>
                <w:spacing w:val="-5"/>
                <w:sz w:val="24"/>
                <w:szCs w:val="28"/>
                <w:highlight w:val="none"/>
                <w:vertAlign w:val="baseline"/>
                <w:lang w:val="en-US" w:eastAsia="zh-CN"/>
              </w:rPr>
            </w:pPr>
            <w:r>
              <w:rPr>
                <w:rFonts w:hint="default" w:ascii="Times New Roman" w:hAnsi="Times New Roman" w:eastAsia="宋体" w:cs="Times New Roman"/>
                <w:color w:val="auto"/>
                <w:spacing w:val="-24"/>
                <w:sz w:val="24"/>
                <w:szCs w:val="28"/>
                <w:highlight w:val="none"/>
                <w:vertAlign w:val="baseline"/>
              </w:rPr>
              <w:t>企</w:t>
            </w:r>
            <w:r>
              <w:rPr>
                <w:rFonts w:hint="default" w:ascii="Times New Roman" w:hAnsi="Times New Roman" w:eastAsia="宋体" w:cs="Times New Roman"/>
                <w:color w:val="auto"/>
                <w:spacing w:val="-7"/>
                <w:sz w:val="24"/>
                <w:szCs w:val="28"/>
                <w:highlight w:val="none"/>
                <w:vertAlign w:val="baseline"/>
              </w:rPr>
              <w:t>业</w:t>
            </w:r>
            <w:r>
              <w:rPr>
                <w:rFonts w:hint="eastAsia" w:ascii="Times New Roman" w:hAnsi="Times New Roman" w:eastAsia="宋体" w:cs="Times New Roman"/>
                <w:color w:val="auto"/>
                <w:spacing w:val="-7"/>
                <w:sz w:val="24"/>
                <w:szCs w:val="28"/>
                <w:highlight w:val="none"/>
                <w:vertAlign w:val="baseline"/>
                <w:lang w:val="en-US" w:eastAsia="zh-CN"/>
              </w:rPr>
              <w:t>已</w:t>
            </w:r>
            <w:r>
              <w:rPr>
                <w:rFonts w:hint="default" w:ascii="Times New Roman" w:hAnsi="Times New Roman" w:eastAsia="宋体" w:cs="Times New Roman"/>
                <w:color w:val="auto"/>
                <w:spacing w:val="-7"/>
                <w:sz w:val="24"/>
                <w:szCs w:val="28"/>
                <w:highlight w:val="none"/>
                <w:vertAlign w:val="baseline"/>
              </w:rPr>
              <w:t>设置</w:t>
            </w:r>
            <w:r>
              <w:rPr>
                <w:rFonts w:hint="eastAsia" w:cs="Times New Roman"/>
                <w:color w:val="auto"/>
                <w:spacing w:val="-7"/>
                <w:sz w:val="24"/>
                <w:szCs w:val="28"/>
                <w:highlight w:val="none"/>
                <w:vertAlign w:val="baseline"/>
                <w:lang w:val="en-US" w:eastAsia="zh-CN"/>
              </w:rPr>
              <w:t>1个容积为</w:t>
            </w:r>
            <w:r>
              <w:rPr>
                <w:rFonts w:hint="eastAsia" w:cs="Times New Roman"/>
                <w:color w:val="auto"/>
                <w:sz w:val="24"/>
                <w:szCs w:val="28"/>
                <w:highlight w:val="none"/>
                <w:vertAlign w:val="baseline"/>
                <w:lang w:val="en-US" w:eastAsia="zh-CN"/>
              </w:rPr>
              <w:t>630.7</w:t>
            </w:r>
            <w:r>
              <w:rPr>
                <w:rFonts w:hint="default" w:ascii="Times New Roman" w:hAnsi="Times New Roman" w:eastAsia="宋体" w:cs="Times New Roman"/>
                <w:color w:val="auto"/>
                <w:sz w:val="24"/>
                <w:szCs w:val="28"/>
                <w:highlight w:val="none"/>
                <w:vertAlign w:val="baseline"/>
              </w:rPr>
              <w:t>m</w:t>
            </w:r>
            <w:r>
              <w:rPr>
                <w:rFonts w:hint="default" w:ascii="Times New Roman" w:hAnsi="Times New Roman" w:eastAsia="宋体" w:cs="Times New Roman"/>
                <w:color w:val="auto"/>
                <w:sz w:val="24"/>
                <w:szCs w:val="28"/>
                <w:highlight w:val="none"/>
                <w:vertAlign w:val="superscript"/>
              </w:rPr>
              <w:t>3</w:t>
            </w:r>
            <w:r>
              <w:rPr>
                <w:rFonts w:hint="eastAsia" w:cs="Times New Roman"/>
                <w:color w:val="auto"/>
                <w:sz w:val="24"/>
                <w:szCs w:val="28"/>
                <w:highlight w:val="none"/>
                <w:vertAlign w:val="baseline"/>
                <w:lang w:val="en-US" w:eastAsia="zh-CN"/>
              </w:rPr>
              <w:t>的</w:t>
            </w:r>
            <w:r>
              <w:rPr>
                <w:rFonts w:hint="default" w:ascii="Times New Roman" w:hAnsi="Times New Roman" w:eastAsia="宋体" w:cs="Times New Roman"/>
                <w:color w:val="auto"/>
                <w:spacing w:val="-7"/>
                <w:sz w:val="24"/>
                <w:szCs w:val="28"/>
                <w:highlight w:val="none"/>
                <w:vertAlign w:val="baseline"/>
              </w:rPr>
              <w:t>初期雨水收集池，</w:t>
            </w:r>
            <w:r>
              <w:rPr>
                <w:rFonts w:hint="eastAsia" w:cs="Times New Roman"/>
                <w:color w:val="auto"/>
                <w:spacing w:val="-7"/>
                <w:sz w:val="24"/>
                <w:szCs w:val="28"/>
                <w:highlight w:val="none"/>
                <w:vertAlign w:val="baseline"/>
                <w:lang w:val="en-US" w:eastAsia="zh-CN"/>
              </w:rPr>
              <w:t>现有工程已使用360</w:t>
            </w:r>
            <w:r>
              <w:rPr>
                <w:rFonts w:hint="default" w:ascii="Times New Roman" w:hAnsi="Times New Roman" w:eastAsia="宋体" w:cs="Times New Roman"/>
                <w:color w:val="auto"/>
                <w:sz w:val="24"/>
                <w:szCs w:val="28"/>
                <w:highlight w:val="none"/>
                <w:vertAlign w:val="baseline"/>
              </w:rPr>
              <w:t>m</w:t>
            </w:r>
            <w:r>
              <w:rPr>
                <w:rFonts w:hint="default" w:ascii="Times New Roman" w:hAnsi="Times New Roman" w:eastAsia="宋体" w:cs="Times New Roman"/>
                <w:color w:val="auto"/>
                <w:sz w:val="24"/>
                <w:szCs w:val="28"/>
                <w:highlight w:val="none"/>
                <w:vertAlign w:val="superscript"/>
              </w:rPr>
              <w:t>3</w:t>
            </w:r>
            <w:r>
              <w:rPr>
                <w:rFonts w:hint="eastAsia" w:cs="Times New Roman"/>
                <w:color w:val="auto"/>
                <w:sz w:val="24"/>
                <w:szCs w:val="28"/>
                <w:highlight w:val="none"/>
                <w:vertAlign w:val="baseline"/>
                <w:lang w:eastAsia="zh-CN"/>
              </w:rPr>
              <w:t>，</w:t>
            </w:r>
            <w:r>
              <w:rPr>
                <w:rFonts w:hint="eastAsia" w:cs="Times New Roman"/>
                <w:color w:val="auto"/>
                <w:sz w:val="24"/>
                <w:szCs w:val="28"/>
                <w:highlight w:val="none"/>
                <w:vertAlign w:val="baseline"/>
                <w:lang w:val="en-US" w:eastAsia="zh-CN"/>
              </w:rPr>
              <w:t>富余270.7</w:t>
            </w:r>
            <w:r>
              <w:rPr>
                <w:rFonts w:hint="default" w:ascii="Times New Roman" w:hAnsi="Times New Roman" w:eastAsia="宋体" w:cs="Times New Roman"/>
                <w:color w:val="auto"/>
                <w:sz w:val="24"/>
                <w:szCs w:val="28"/>
                <w:highlight w:val="none"/>
                <w:vertAlign w:val="baseline"/>
              </w:rPr>
              <w:t>m</w:t>
            </w:r>
            <w:r>
              <w:rPr>
                <w:rFonts w:hint="default" w:ascii="Times New Roman" w:hAnsi="Times New Roman" w:eastAsia="宋体" w:cs="Times New Roman"/>
                <w:color w:val="auto"/>
                <w:sz w:val="24"/>
                <w:szCs w:val="28"/>
                <w:highlight w:val="none"/>
                <w:vertAlign w:val="superscript"/>
              </w:rPr>
              <w:t>3</w:t>
            </w:r>
            <w:r>
              <w:rPr>
                <w:rFonts w:hint="eastAsia" w:cs="Times New Roman"/>
                <w:color w:val="auto"/>
                <w:sz w:val="24"/>
                <w:szCs w:val="28"/>
                <w:highlight w:val="none"/>
                <w:vertAlign w:val="baseline"/>
                <w:lang w:val="en-US" w:eastAsia="zh-CN"/>
              </w:rPr>
              <w:t>储存能力，因此本项目建成后，依托现有初期雨水池</w:t>
            </w:r>
            <w:r>
              <w:rPr>
                <w:rFonts w:hint="default" w:ascii="Times New Roman" w:hAnsi="Times New Roman" w:eastAsia="宋体" w:cs="Times New Roman"/>
                <w:color w:val="auto"/>
                <w:sz w:val="24"/>
                <w:szCs w:val="28"/>
                <w:highlight w:val="none"/>
                <w:vertAlign w:val="baseline"/>
              </w:rPr>
              <w:t>可满足</w:t>
            </w:r>
            <w:r>
              <w:rPr>
                <w:rFonts w:hint="eastAsia" w:ascii="Times New Roman" w:hAnsi="Times New Roman" w:eastAsia="宋体" w:cs="Times New Roman"/>
                <w:color w:val="auto"/>
                <w:sz w:val="24"/>
                <w:szCs w:val="28"/>
                <w:highlight w:val="none"/>
                <w:vertAlign w:val="baseline"/>
                <w:lang w:val="en-US" w:eastAsia="zh-CN"/>
              </w:rPr>
              <w:t>全厂</w:t>
            </w:r>
            <w:r>
              <w:rPr>
                <w:rFonts w:hint="default" w:ascii="Times New Roman" w:hAnsi="Times New Roman" w:eastAsia="宋体" w:cs="Times New Roman"/>
                <w:color w:val="auto"/>
                <w:sz w:val="24"/>
                <w:szCs w:val="28"/>
                <w:highlight w:val="none"/>
                <w:vertAlign w:val="baseline"/>
              </w:rPr>
              <w:t>初期雨水收集的需求。</w:t>
            </w:r>
          </w:p>
          <w:p w14:paraId="2EC97575">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60" w:firstLineChars="200"/>
              <w:textAlignment w:val="auto"/>
              <w:rPr>
                <w:rFonts w:hint="default" w:cs="Times New Roman"/>
                <w:color w:val="auto"/>
                <w:spacing w:val="-5"/>
                <w:sz w:val="24"/>
                <w:szCs w:val="28"/>
                <w:highlight w:val="none"/>
                <w:lang w:val="en-US" w:eastAsia="zh-CN"/>
              </w:rPr>
            </w:pPr>
            <w:r>
              <w:rPr>
                <w:rFonts w:hint="default" w:cs="Times New Roman"/>
                <w:color w:val="auto"/>
                <w:spacing w:val="-5"/>
                <w:sz w:val="24"/>
                <w:szCs w:val="28"/>
                <w:highlight w:val="none"/>
                <w:lang w:val="en-US" w:eastAsia="zh-CN"/>
              </w:rPr>
              <w:t>②</w:t>
            </w:r>
            <w:r>
              <w:rPr>
                <w:rFonts w:hint="eastAsia" w:cs="Times New Roman"/>
                <w:color w:val="auto"/>
                <w:spacing w:val="-5"/>
                <w:sz w:val="24"/>
                <w:szCs w:val="28"/>
                <w:highlight w:val="none"/>
                <w:lang w:val="en-US" w:eastAsia="zh-CN"/>
              </w:rPr>
              <w:t>全年初期雨水收集量</w:t>
            </w:r>
          </w:p>
          <w:p w14:paraId="6B63916F">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60" w:firstLineChars="200"/>
              <w:textAlignment w:val="auto"/>
              <w:rPr>
                <w:rFonts w:hint="default" w:cs="Times New Roman"/>
                <w:color w:val="auto"/>
                <w:spacing w:val="-5"/>
                <w:sz w:val="24"/>
                <w:szCs w:val="28"/>
                <w:highlight w:val="none"/>
                <w:lang w:val="en-US" w:eastAsia="zh-CN"/>
              </w:rPr>
            </w:pPr>
            <w:r>
              <w:rPr>
                <w:rFonts w:hint="default" w:cs="Times New Roman"/>
                <w:color w:val="auto"/>
                <w:spacing w:val="-5"/>
                <w:sz w:val="24"/>
                <w:szCs w:val="28"/>
                <w:highlight w:val="none"/>
                <w:lang w:val="en-US" w:eastAsia="zh-CN"/>
              </w:rPr>
              <w:t>初期雨水径流量一般采用下面的公式来估算：</w:t>
            </w:r>
          </w:p>
          <w:p w14:paraId="050F10D6">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center"/>
              <w:textAlignment w:val="auto"/>
              <w:rPr>
                <w:rFonts w:hint="eastAsia" w:ascii="Times New Roman" w:hAnsi="Times New Roman" w:eastAsia="宋体" w:cs="Times New Roman"/>
                <w:color w:val="auto"/>
                <w:spacing w:val="-24"/>
                <w:sz w:val="24"/>
                <w:szCs w:val="28"/>
                <w:highlight w:val="none"/>
                <w:vertAlign w:val="baseline"/>
                <w:lang w:eastAsia="zh-CN"/>
              </w:rPr>
            </w:pPr>
            <w:r>
              <w:rPr>
                <w:rFonts w:hint="eastAsia" w:ascii="Times New Roman" w:hAnsi="Times New Roman" w:eastAsia="宋体" w:cs="Times New Roman"/>
                <w:color w:val="auto"/>
                <w:spacing w:val="-24"/>
                <w:position w:val="-24"/>
                <w:sz w:val="24"/>
                <w:szCs w:val="28"/>
                <w:highlight w:val="none"/>
                <w:vertAlign w:val="baseline"/>
                <w:lang w:eastAsia="zh-CN"/>
              </w:rPr>
              <w:object>
                <v:shape id="_x0000_i1025" o:spt="75" type="#_x0000_t75" style="height:31pt;width:110pt;" o:ole="t" filled="f" o:preferrelative="t" stroked="f" coordsize="21600,21600">
                  <v:path/>
                  <v:fill on="f" focussize="0,0"/>
                  <v:stroke on="f"/>
                  <v:imagedata r:id="rId40" o:title=""/>
                  <o:lock v:ext="edit" aspectratio="t"/>
                  <w10:wrap type="none"/>
                  <w10:anchorlock/>
                </v:shape>
                <o:OLEObject Type="Embed" ProgID="Equation.KSEE3" ShapeID="_x0000_i1025" DrawAspect="Content" ObjectID="_1468075725" r:id="rId39">
                  <o:LockedField>false</o:LockedField>
                </o:OLEObject>
              </w:object>
            </w:r>
          </w:p>
          <w:p w14:paraId="03D43E17">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24" w:firstLineChars="200"/>
              <w:textAlignment w:val="auto"/>
              <w:rPr>
                <w:rFonts w:ascii="Times New Roman" w:hAnsi="Times New Roman" w:eastAsia="Times New Roman" w:cs="Times New Roman"/>
                <w:i w:val="0"/>
                <w:iCs w:val="0"/>
                <w:color w:val="auto"/>
                <w:sz w:val="24"/>
                <w:szCs w:val="24"/>
                <w:highlight w:val="none"/>
              </w:rPr>
            </w:pPr>
            <w:r>
              <w:rPr>
                <w:rFonts w:ascii="宋体" w:hAnsi="宋体" w:eastAsia="宋体" w:cs="宋体"/>
                <w:i w:val="0"/>
                <w:iCs w:val="0"/>
                <w:color w:val="auto"/>
                <w:spacing w:val="-14"/>
                <w:sz w:val="24"/>
                <w:szCs w:val="24"/>
                <w:highlight w:val="none"/>
              </w:rPr>
              <w:t>式中：</w:t>
            </w:r>
            <w:r>
              <w:rPr>
                <w:rFonts w:ascii="Times New Roman" w:hAnsi="Times New Roman" w:eastAsia="Times New Roman" w:cs="Times New Roman"/>
                <w:i w:val="0"/>
                <w:iCs w:val="0"/>
                <w:color w:val="auto"/>
                <w:spacing w:val="-14"/>
                <w:sz w:val="24"/>
                <w:szCs w:val="24"/>
                <w:highlight w:val="none"/>
              </w:rPr>
              <w:t>Q</w:t>
            </w:r>
            <w:r>
              <w:rPr>
                <w:rFonts w:ascii="Times New Roman" w:hAnsi="Times New Roman" w:eastAsia="Times New Roman" w:cs="Times New Roman"/>
                <w:i w:val="0"/>
                <w:iCs w:val="0"/>
                <w:color w:val="auto"/>
                <w:spacing w:val="-14"/>
                <w:sz w:val="24"/>
                <w:szCs w:val="24"/>
                <w:highlight w:val="none"/>
                <w:vertAlign w:val="subscript"/>
              </w:rPr>
              <w:t>r</w:t>
            </w:r>
            <w:r>
              <w:rPr>
                <w:rFonts w:ascii="Times New Roman" w:hAnsi="Times New Roman" w:eastAsia="Times New Roman" w:cs="Times New Roman"/>
                <w:i w:val="0"/>
                <w:iCs w:val="0"/>
                <w:color w:val="auto"/>
                <w:spacing w:val="-14"/>
                <w:sz w:val="24"/>
                <w:szCs w:val="24"/>
                <w:highlight w:val="none"/>
              </w:rPr>
              <w:t>——</w:t>
            </w:r>
            <w:r>
              <w:rPr>
                <w:rFonts w:ascii="宋体" w:hAnsi="宋体" w:eastAsia="宋体" w:cs="宋体"/>
                <w:i w:val="0"/>
                <w:iCs w:val="0"/>
                <w:color w:val="auto"/>
                <w:spacing w:val="-14"/>
                <w:sz w:val="24"/>
                <w:szCs w:val="24"/>
                <w:highlight w:val="none"/>
              </w:rPr>
              <w:t>硬底化区域的初期雨水径流</w:t>
            </w:r>
            <w:r>
              <w:rPr>
                <w:rFonts w:ascii="宋体" w:hAnsi="宋体" w:eastAsia="宋体" w:cs="宋体"/>
                <w:i w:val="0"/>
                <w:iCs w:val="0"/>
                <w:color w:val="auto"/>
                <w:spacing w:val="-15"/>
                <w:sz w:val="24"/>
                <w:szCs w:val="24"/>
                <w:highlight w:val="none"/>
              </w:rPr>
              <w:t>量，</w:t>
            </w:r>
            <w:r>
              <w:rPr>
                <w:rFonts w:ascii="Times New Roman" w:hAnsi="Times New Roman" w:eastAsia="Times New Roman" w:cs="Times New Roman"/>
                <w:i w:val="0"/>
                <w:iCs w:val="0"/>
                <w:color w:val="auto"/>
                <w:spacing w:val="-15"/>
                <w:sz w:val="24"/>
                <w:szCs w:val="24"/>
                <w:highlight w:val="none"/>
              </w:rPr>
              <w:t>m³</w:t>
            </w:r>
          </w:p>
          <w:p w14:paraId="18714589">
            <w:pPr>
              <w:pStyle w:val="9"/>
              <w:keepNext w:val="0"/>
              <w:keepLines w:val="0"/>
              <w:pageBreakBefore w:val="0"/>
              <w:widowControl/>
              <w:kinsoku/>
              <w:wordWrap/>
              <w:overflowPunct/>
              <w:topLinePunct w:val="0"/>
              <w:autoSpaceDE/>
              <w:autoSpaceDN/>
              <w:bidi w:val="0"/>
              <w:adjustRightInd/>
              <w:snapToGrid w:val="0"/>
              <w:spacing w:before="0" w:after="0" w:line="360" w:lineRule="auto"/>
              <w:ind w:left="630" w:leftChars="300" w:right="0" w:firstLine="440" w:firstLineChars="200"/>
              <w:textAlignment w:val="auto"/>
              <w:rPr>
                <w:rFonts w:hint="eastAsia" w:ascii="宋体" w:hAnsi="宋体" w:eastAsia="宋体" w:cs="宋体"/>
                <w:i w:val="0"/>
                <w:iCs w:val="0"/>
                <w:color w:val="auto"/>
                <w:sz w:val="24"/>
                <w:szCs w:val="24"/>
                <w:highlight w:val="none"/>
                <w:lang w:eastAsia="zh-CN"/>
              </w:rPr>
            </w:pPr>
            <w:r>
              <w:rPr>
                <w:rFonts w:ascii="Times New Roman" w:hAnsi="Times New Roman" w:eastAsia="Times New Roman" w:cs="Times New Roman"/>
                <w:i w:val="0"/>
                <w:iCs w:val="0"/>
                <w:color w:val="auto"/>
                <w:spacing w:val="-10"/>
                <w:position w:val="2"/>
                <w:sz w:val="24"/>
                <w:szCs w:val="24"/>
                <w:highlight w:val="none"/>
              </w:rPr>
              <w:t>A——</w:t>
            </w:r>
            <w:r>
              <w:rPr>
                <w:rFonts w:ascii="宋体" w:hAnsi="宋体" w:eastAsia="宋体" w:cs="宋体"/>
                <w:i w:val="0"/>
                <w:iCs w:val="0"/>
                <w:color w:val="auto"/>
                <w:spacing w:val="-10"/>
                <w:position w:val="2"/>
                <w:sz w:val="24"/>
                <w:szCs w:val="24"/>
                <w:highlight w:val="none"/>
              </w:rPr>
              <w:t>硬底化区域面积，公顷，</w:t>
            </w:r>
            <w:r>
              <w:rPr>
                <w:rFonts w:hint="eastAsia" w:ascii="宋体" w:hAnsi="宋体" w:eastAsia="宋体" w:cs="宋体"/>
                <w:i w:val="0"/>
                <w:iCs w:val="0"/>
                <w:color w:val="auto"/>
                <w:spacing w:val="-10"/>
                <w:position w:val="2"/>
                <w:sz w:val="24"/>
                <w:szCs w:val="24"/>
                <w:highlight w:val="none"/>
                <w:lang w:val="en-US" w:eastAsia="zh-CN"/>
              </w:rPr>
              <w:t>本项目硬化区域</w:t>
            </w:r>
            <w:r>
              <w:rPr>
                <w:rFonts w:ascii="宋体" w:hAnsi="宋体" w:eastAsia="宋体" w:cs="宋体"/>
                <w:i w:val="0"/>
                <w:iCs w:val="0"/>
                <w:color w:val="auto"/>
                <w:spacing w:val="-10"/>
                <w:position w:val="2"/>
                <w:sz w:val="24"/>
                <w:szCs w:val="24"/>
                <w:highlight w:val="none"/>
              </w:rPr>
              <w:t>面积合计约</w:t>
            </w:r>
            <w:r>
              <w:rPr>
                <w:rFonts w:hint="eastAsia" w:cs="Times New Roman"/>
                <w:i w:val="0"/>
                <w:iCs w:val="0"/>
                <w:color w:val="auto"/>
                <w:spacing w:val="-10"/>
                <w:position w:val="2"/>
                <w:sz w:val="24"/>
                <w:szCs w:val="24"/>
                <w:highlight w:val="none"/>
                <w:lang w:val="en-US" w:eastAsia="zh-CN"/>
              </w:rPr>
              <w:t>0.26</w:t>
            </w:r>
            <w:r>
              <w:rPr>
                <w:rFonts w:ascii="Times New Roman" w:hAnsi="Times New Roman" w:eastAsia="Times New Roman" w:cs="Times New Roman"/>
                <w:i w:val="0"/>
                <w:iCs w:val="0"/>
                <w:color w:val="auto"/>
                <w:spacing w:val="-10"/>
                <w:position w:val="2"/>
                <w:sz w:val="24"/>
                <w:szCs w:val="24"/>
                <w:highlight w:val="none"/>
              </w:rPr>
              <w:t>ha</w:t>
            </w:r>
            <w:r>
              <w:rPr>
                <w:rFonts w:hint="eastAsia" w:ascii="Times New Roman" w:hAnsi="Times New Roman" w:eastAsia="宋体" w:cs="Times New Roman"/>
                <w:i w:val="0"/>
                <w:iCs w:val="0"/>
                <w:color w:val="auto"/>
                <w:spacing w:val="-10"/>
                <w:position w:val="2"/>
                <w:sz w:val="24"/>
                <w:szCs w:val="24"/>
                <w:highlight w:val="none"/>
                <w:lang w:eastAsia="zh-CN"/>
              </w:rPr>
              <w:t>；</w:t>
            </w:r>
          </w:p>
          <w:p w14:paraId="51D5DC79">
            <w:pPr>
              <w:pStyle w:val="9"/>
              <w:keepNext w:val="0"/>
              <w:keepLines w:val="0"/>
              <w:pageBreakBefore w:val="0"/>
              <w:widowControl/>
              <w:kinsoku/>
              <w:wordWrap/>
              <w:overflowPunct/>
              <w:topLinePunct w:val="0"/>
              <w:autoSpaceDE/>
              <w:autoSpaceDN/>
              <w:bidi w:val="0"/>
              <w:adjustRightInd/>
              <w:snapToGrid w:val="0"/>
              <w:spacing w:before="0" w:after="0" w:line="360" w:lineRule="auto"/>
              <w:ind w:left="630" w:leftChars="300" w:right="0" w:firstLine="448" w:firstLineChars="200"/>
              <w:textAlignment w:val="auto"/>
              <w:rPr>
                <w:rFonts w:ascii="Times New Roman" w:hAnsi="Times New Roman" w:eastAsia="Times New Roman" w:cs="Times New Roman"/>
                <w:i w:val="0"/>
                <w:iCs w:val="0"/>
                <w:color w:val="auto"/>
                <w:spacing w:val="-8"/>
                <w:sz w:val="24"/>
                <w:szCs w:val="24"/>
                <w:highlight w:val="none"/>
              </w:rPr>
            </w:pPr>
            <w:r>
              <w:rPr>
                <w:rFonts w:ascii="Times New Roman" w:hAnsi="Times New Roman" w:eastAsia="Times New Roman" w:cs="Times New Roman"/>
                <w:i w:val="0"/>
                <w:iCs w:val="0"/>
                <w:color w:val="auto"/>
                <w:spacing w:val="-8"/>
                <w:sz w:val="24"/>
                <w:szCs w:val="24"/>
                <w:highlight w:val="none"/>
              </w:rPr>
              <w:t>ψ——硬底化区域径流系数，取1.0；</w:t>
            </w:r>
          </w:p>
          <w:p w14:paraId="17EC6665">
            <w:pPr>
              <w:pStyle w:val="9"/>
              <w:keepNext w:val="0"/>
              <w:keepLines w:val="0"/>
              <w:pageBreakBefore w:val="0"/>
              <w:widowControl/>
              <w:kinsoku/>
              <w:wordWrap/>
              <w:overflowPunct/>
              <w:topLinePunct w:val="0"/>
              <w:autoSpaceDE/>
              <w:autoSpaceDN/>
              <w:bidi w:val="0"/>
              <w:adjustRightInd/>
              <w:snapToGrid w:val="0"/>
              <w:spacing w:before="0" w:after="0" w:line="360" w:lineRule="auto"/>
              <w:ind w:left="630" w:leftChars="300" w:right="0" w:firstLine="448" w:firstLineChars="200"/>
              <w:textAlignment w:val="auto"/>
              <w:rPr>
                <w:rFonts w:ascii="宋体" w:hAnsi="宋体" w:eastAsia="宋体" w:cs="宋体"/>
                <w:i w:val="0"/>
                <w:iCs w:val="0"/>
                <w:color w:val="auto"/>
                <w:sz w:val="24"/>
                <w:szCs w:val="24"/>
                <w:highlight w:val="none"/>
              </w:rPr>
            </w:pPr>
            <w:r>
              <w:rPr>
                <w:rFonts w:ascii="Times New Roman" w:hAnsi="Times New Roman" w:eastAsia="Times New Roman" w:cs="Times New Roman"/>
                <w:i w:val="0"/>
                <w:iCs w:val="0"/>
                <w:color w:val="auto"/>
                <w:spacing w:val="-8"/>
                <w:sz w:val="24"/>
                <w:szCs w:val="24"/>
                <w:highlight w:val="none"/>
              </w:rPr>
              <w:t>t——</w:t>
            </w:r>
            <w:r>
              <w:rPr>
                <w:rFonts w:ascii="宋体" w:hAnsi="宋体" w:eastAsia="宋体" w:cs="宋体"/>
                <w:i w:val="0"/>
                <w:iCs w:val="0"/>
                <w:color w:val="auto"/>
                <w:spacing w:val="-8"/>
                <w:sz w:val="24"/>
                <w:szCs w:val="24"/>
                <w:highlight w:val="none"/>
              </w:rPr>
              <w:t>初期降雨历时，</w:t>
            </w:r>
            <w:r>
              <w:rPr>
                <w:rFonts w:ascii="Times New Roman" w:hAnsi="Times New Roman" w:eastAsia="Times New Roman" w:cs="Times New Roman"/>
                <w:i w:val="0"/>
                <w:iCs w:val="0"/>
                <w:color w:val="auto"/>
                <w:spacing w:val="-8"/>
                <w:sz w:val="24"/>
                <w:szCs w:val="24"/>
                <w:highlight w:val="none"/>
              </w:rPr>
              <w:t>min</w:t>
            </w:r>
            <w:r>
              <w:rPr>
                <w:rFonts w:ascii="宋体" w:hAnsi="宋体" w:eastAsia="宋体" w:cs="宋体"/>
                <w:i w:val="0"/>
                <w:iCs w:val="0"/>
                <w:color w:val="auto"/>
                <w:spacing w:val="-8"/>
                <w:sz w:val="24"/>
                <w:szCs w:val="24"/>
                <w:highlight w:val="none"/>
              </w:rPr>
              <w:t>，取</w:t>
            </w:r>
            <w:r>
              <w:rPr>
                <w:rFonts w:ascii="Times New Roman" w:hAnsi="Times New Roman" w:eastAsia="Times New Roman" w:cs="Times New Roman"/>
                <w:i w:val="0"/>
                <w:iCs w:val="0"/>
                <w:color w:val="auto"/>
                <w:spacing w:val="-8"/>
                <w:sz w:val="24"/>
                <w:szCs w:val="24"/>
                <w:highlight w:val="none"/>
              </w:rPr>
              <w:t>15min</w:t>
            </w:r>
            <w:r>
              <w:rPr>
                <w:rFonts w:ascii="宋体" w:hAnsi="宋体" w:eastAsia="宋体" w:cs="宋体"/>
                <w:i w:val="0"/>
                <w:iCs w:val="0"/>
                <w:color w:val="auto"/>
                <w:spacing w:val="-8"/>
                <w:sz w:val="24"/>
                <w:szCs w:val="24"/>
                <w:highlight w:val="none"/>
              </w:rPr>
              <w:t>；</w:t>
            </w:r>
          </w:p>
          <w:p w14:paraId="30FBF5BF">
            <w:pPr>
              <w:pStyle w:val="9"/>
              <w:keepNext w:val="0"/>
              <w:keepLines w:val="0"/>
              <w:pageBreakBefore w:val="0"/>
              <w:widowControl/>
              <w:kinsoku/>
              <w:wordWrap/>
              <w:overflowPunct/>
              <w:topLinePunct w:val="0"/>
              <w:autoSpaceDE/>
              <w:autoSpaceDN/>
              <w:bidi w:val="0"/>
              <w:adjustRightInd/>
              <w:snapToGrid w:val="0"/>
              <w:spacing w:before="0" w:after="0" w:line="360" w:lineRule="auto"/>
              <w:ind w:left="630" w:leftChars="300" w:right="0" w:firstLine="448" w:firstLineChars="200"/>
              <w:textAlignment w:val="auto"/>
              <w:rPr>
                <w:rFonts w:ascii="宋体" w:hAnsi="宋体" w:eastAsia="宋体" w:cs="宋体"/>
                <w:i w:val="0"/>
                <w:iCs w:val="0"/>
                <w:color w:val="auto"/>
                <w:sz w:val="24"/>
                <w:szCs w:val="24"/>
                <w:highlight w:val="none"/>
              </w:rPr>
            </w:pPr>
            <w:r>
              <w:rPr>
                <w:rFonts w:ascii="Times New Roman" w:hAnsi="Times New Roman" w:eastAsia="Times New Roman" w:cs="Times New Roman"/>
                <w:i w:val="0"/>
                <w:iCs w:val="0"/>
                <w:color w:val="auto"/>
                <w:spacing w:val="-8"/>
                <w:sz w:val="24"/>
                <w:szCs w:val="24"/>
                <w:highlight w:val="none"/>
              </w:rPr>
              <w:t>H——</w:t>
            </w:r>
            <w:r>
              <w:rPr>
                <w:rFonts w:ascii="宋体" w:hAnsi="宋体" w:eastAsia="宋体" w:cs="宋体"/>
                <w:i w:val="0"/>
                <w:iCs w:val="0"/>
                <w:color w:val="auto"/>
                <w:spacing w:val="-8"/>
                <w:sz w:val="24"/>
                <w:szCs w:val="24"/>
                <w:highlight w:val="none"/>
              </w:rPr>
              <w:t>所在地区常年降雨量，</w:t>
            </w:r>
            <w:r>
              <w:rPr>
                <w:rFonts w:ascii="Times New Roman" w:hAnsi="Times New Roman" w:eastAsia="Times New Roman" w:cs="Times New Roman"/>
                <w:i w:val="0"/>
                <w:iCs w:val="0"/>
                <w:color w:val="auto"/>
                <w:spacing w:val="-8"/>
                <w:sz w:val="24"/>
                <w:szCs w:val="24"/>
                <w:highlight w:val="none"/>
              </w:rPr>
              <w:t>mm</w:t>
            </w:r>
            <w:r>
              <w:rPr>
                <w:rFonts w:ascii="宋体" w:hAnsi="宋体" w:eastAsia="宋体" w:cs="宋体"/>
                <w:i w:val="0"/>
                <w:iCs w:val="0"/>
                <w:color w:val="auto"/>
                <w:spacing w:val="-8"/>
                <w:sz w:val="24"/>
                <w:szCs w:val="24"/>
                <w:highlight w:val="none"/>
              </w:rPr>
              <w:t>，取</w:t>
            </w:r>
            <w:r>
              <w:rPr>
                <w:rFonts w:ascii="Times New Roman" w:hAnsi="Times New Roman" w:eastAsia="Times New Roman" w:cs="Times New Roman"/>
                <w:i w:val="0"/>
                <w:iCs w:val="0"/>
                <w:color w:val="auto"/>
                <w:spacing w:val="-8"/>
                <w:sz w:val="24"/>
                <w:szCs w:val="24"/>
                <w:highlight w:val="none"/>
              </w:rPr>
              <w:t>998.5mm</w:t>
            </w:r>
            <w:r>
              <w:rPr>
                <w:rFonts w:ascii="宋体" w:hAnsi="宋体" w:eastAsia="宋体" w:cs="宋体"/>
                <w:i w:val="0"/>
                <w:iCs w:val="0"/>
                <w:color w:val="auto"/>
                <w:spacing w:val="-8"/>
                <w:sz w:val="24"/>
                <w:szCs w:val="24"/>
                <w:highlight w:val="none"/>
              </w:rPr>
              <w:t>；</w:t>
            </w:r>
          </w:p>
          <w:p w14:paraId="6C5C1DAF">
            <w:pPr>
              <w:pStyle w:val="9"/>
              <w:keepNext w:val="0"/>
              <w:keepLines w:val="0"/>
              <w:pageBreakBefore w:val="0"/>
              <w:widowControl/>
              <w:kinsoku/>
              <w:wordWrap/>
              <w:overflowPunct/>
              <w:topLinePunct w:val="0"/>
              <w:autoSpaceDE/>
              <w:autoSpaceDN/>
              <w:bidi w:val="0"/>
              <w:adjustRightInd/>
              <w:snapToGrid w:val="0"/>
              <w:spacing w:before="0" w:after="0" w:line="360" w:lineRule="auto"/>
              <w:ind w:left="630" w:leftChars="300" w:right="0" w:firstLine="448" w:firstLineChars="200"/>
              <w:textAlignment w:val="auto"/>
              <w:rPr>
                <w:rFonts w:ascii="Times New Roman" w:hAnsi="Times New Roman" w:eastAsia="Times New Roman" w:cs="Times New Roman"/>
                <w:i w:val="0"/>
                <w:iCs w:val="0"/>
                <w:color w:val="auto"/>
                <w:spacing w:val="-8"/>
                <w:sz w:val="24"/>
                <w:szCs w:val="24"/>
                <w:highlight w:val="none"/>
              </w:rPr>
            </w:pPr>
            <w:r>
              <w:rPr>
                <w:rFonts w:ascii="Times New Roman" w:hAnsi="Times New Roman" w:eastAsia="Times New Roman" w:cs="Times New Roman"/>
                <w:i w:val="0"/>
                <w:iCs w:val="0"/>
                <w:color w:val="auto"/>
                <w:spacing w:val="-8"/>
                <w:sz w:val="24"/>
                <w:szCs w:val="24"/>
                <w:highlight w:val="none"/>
              </w:rPr>
              <w:t>Y——平均年降雨日，遂宁市累年平均降水日为137天；</w:t>
            </w:r>
          </w:p>
          <w:p w14:paraId="2EA9B4DC">
            <w:pPr>
              <w:pStyle w:val="9"/>
              <w:keepNext w:val="0"/>
              <w:keepLines w:val="0"/>
              <w:pageBreakBefore w:val="0"/>
              <w:widowControl/>
              <w:kinsoku/>
              <w:wordWrap/>
              <w:overflowPunct/>
              <w:topLinePunct w:val="0"/>
              <w:autoSpaceDE/>
              <w:autoSpaceDN/>
              <w:bidi w:val="0"/>
              <w:adjustRightInd/>
              <w:snapToGrid w:val="0"/>
              <w:spacing w:before="0" w:after="0" w:line="360" w:lineRule="auto"/>
              <w:ind w:left="630" w:leftChars="300" w:right="0" w:firstLine="448" w:firstLineChars="200"/>
              <w:textAlignment w:val="auto"/>
              <w:rPr>
                <w:rFonts w:ascii="宋体" w:hAnsi="宋体" w:eastAsia="宋体" w:cs="宋体"/>
                <w:i w:val="0"/>
                <w:iCs w:val="0"/>
                <w:color w:val="auto"/>
                <w:sz w:val="24"/>
                <w:szCs w:val="24"/>
                <w:highlight w:val="none"/>
              </w:rPr>
            </w:pPr>
            <w:r>
              <w:rPr>
                <w:rFonts w:ascii="Times New Roman" w:hAnsi="Times New Roman" w:eastAsia="Times New Roman" w:cs="Times New Roman"/>
                <w:i w:val="0"/>
                <w:iCs w:val="0"/>
                <w:color w:val="auto"/>
                <w:spacing w:val="-8"/>
                <w:sz w:val="24"/>
                <w:szCs w:val="24"/>
                <w:highlight w:val="none"/>
              </w:rPr>
              <w:t>D——</w:t>
            </w:r>
            <w:r>
              <w:rPr>
                <w:rFonts w:ascii="宋体" w:hAnsi="宋体" w:eastAsia="宋体" w:cs="宋体"/>
                <w:i w:val="0"/>
                <w:iCs w:val="0"/>
                <w:color w:val="auto"/>
                <w:spacing w:val="-8"/>
                <w:sz w:val="24"/>
                <w:szCs w:val="24"/>
                <w:highlight w:val="none"/>
              </w:rPr>
              <w:t>平均每次降雨历时，小时，取</w:t>
            </w:r>
            <w:r>
              <w:rPr>
                <w:rFonts w:hint="eastAsia" w:ascii="Times New Roman" w:hAnsi="Times New Roman" w:eastAsia="宋体" w:cs="Times New Roman"/>
                <w:i w:val="0"/>
                <w:iCs w:val="0"/>
                <w:color w:val="auto"/>
                <w:spacing w:val="-8"/>
                <w:sz w:val="24"/>
                <w:szCs w:val="24"/>
                <w:highlight w:val="none"/>
                <w:lang w:val="en-US" w:eastAsia="zh-CN"/>
              </w:rPr>
              <w:t>2</w:t>
            </w:r>
            <w:r>
              <w:rPr>
                <w:rFonts w:ascii="宋体" w:hAnsi="宋体" w:eastAsia="宋体" w:cs="宋体"/>
                <w:i w:val="0"/>
                <w:iCs w:val="0"/>
                <w:color w:val="auto"/>
                <w:spacing w:val="-8"/>
                <w:sz w:val="24"/>
                <w:szCs w:val="24"/>
                <w:highlight w:val="none"/>
              </w:rPr>
              <w:t>小时。</w:t>
            </w:r>
          </w:p>
          <w:p w14:paraId="3831D8A3">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60" w:firstLineChars="200"/>
              <w:textAlignment w:val="auto"/>
              <w:rPr>
                <w:rFonts w:hint="eastAsia" w:cs="Times New Roman"/>
                <w:color w:val="auto"/>
                <w:spacing w:val="-5"/>
                <w:sz w:val="24"/>
                <w:szCs w:val="28"/>
                <w:highlight w:val="none"/>
                <w:lang w:eastAsia="zh-CN"/>
              </w:rPr>
            </w:pPr>
            <w:r>
              <w:rPr>
                <w:rFonts w:hint="default" w:ascii="Times New Roman" w:hAnsi="Times New Roman" w:eastAsia="宋体" w:cs="Times New Roman"/>
                <w:color w:val="auto"/>
                <w:spacing w:val="-5"/>
                <w:sz w:val="24"/>
                <w:szCs w:val="28"/>
                <w:highlight w:val="none"/>
              </w:rPr>
              <w:t>经计算，</w:t>
            </w:r>
            <w:r>
              <w:rPr>
                <w:rFonts w:hint="eastAsia" w:cs="Times New Roman"/>
                <w:color w:val="auto"/>
                <w:spacing w:val="-5"/>
                <w:sz w:val="24"/>
                <w:szCs w:val="28"/>
                <w:highlight w:val="none"/>
                <w:lang w:val="en-US" w:eastAsia="zh-CN"/>
              </w:rPr>
              <w:t>本</w:t>
            </w:r>
            <w:r>
              <w:rPr>
                <w:rFonts w:hint="default" w:ascii="Times New Roman" w:hAnsi="Times New Roman" w:eastAsia="宋体" w:cs="Times New Roman"/>
                <w:color w:val="auto"/>
                <w:spacing w:val="-5"/>
                <w:sz w:val="24"/>
                <w:szCs w:val="28"/>
                <w:highlight w:val="none"/>
              </w:rPr>
              <w:t>项目初期雨水平均水量为</w:t>
            </w:r>
            <w:r>
              <w:rPr>
                <w:rFonts w:hint="eastAsia" w:cs="Times New Roman"/>
                <w:color w:val="auto"/>
                <w:spacing w:val="-5"/>
                <w:sz w:val="24"/>
                <w:szCs w:val="28"/>
                <w:highlight w:val="none"/>
                <w:lang w:val="en-US" w:eastAsia="zh-CN"/>
              </w:rPr>
              <w:t>2.37</w:t>
            </w:r>
            <w:r>
              <w:rPr>
                <w:rFonts w:hint="default" w:ascii="Times New Roman" w:hAnsi="Times New Roman" w:eastAsia="宋体" w:cs="Times New Roman"/>
                <w:color w:val="auto"/>
                <w:spacing w:val="-5"/>
                <w:sz w:val="24"/>
                <w:szCs w:val="28"/>
                <w:highlight w:val="none"/>
              </w:rPr>
              <w:t>m</w:t>
            </w:r>
            <w:r>
              <w:rPr>
                <w:rFonts w:hint="default" w:ascii="Times New Roman" w:hAnsi="Times New Roman" w:eastAsia="宋体" w:cs="Times New Roman"/>
                <w:color w:val="auto"/>
                <w:spacing w:val="-5"/>
                <w:sz w:val="24"/>
                <w:szCs w:val="28"/>
                <w:highlight w:val="none"/>
                <w:vertAlign w:val="superscript"/>
              </w:rPr>
              <w:t>3</w:t>
            </w:r>
            <w:r>
              <w:rPr>
                <w:rFonts w:hint="default" w:ascii="Times New Roman" w:hAnsi="Times New Roman" w:eastAsia="宋体" w:cs="Times New Roman"/>
                <w:color w:val="auto"/>
                <w:spacing w:val="-5"/>
                <w:sz w:val="24"/>
                <w:szCs w:val="28"/>
                <w:highlight w:val="none"/>
              </w:rPr>
              <w:t>/次，全年降雨时间约137天，则项目年初期雨水量为</w:t>
            </w:r>
            <w:r>
              <w:rPr>
                <w:rFonts w:hint="eastAsia" w:cs="Times New Roman"/>
                <w:color w:val="auto"/>
                <w:spacing w:val="-5"/>
                <w:sz w:val="24"/>
                <w:szCs w:val="28"/>
                <w:highlight w:val="none"/>
                <w:lang w:val="en-US" w:eastAsia="zh-CN"/>
              </w:rPr>
              <w:t>324.513</w:t>
            </w:r>
            <w:r>
              <w:rPr>
                <w:rFonts w:hint="default" w:ascii="Times New Roman" w:hAnsi="Times New Roman" w:eastAsia="宋体" w:cs="Times New Roman"/>
                <w:color w:val="auto"/>
                <w:spacing w:val="-5"/>
                <w:sz w:val="24"/>
                <w:szCs w:val="28"/>
                <w:highlight w:val="none"/>
              </w:rPr>
              <w:t>m</w:t>
            </w:r>
            <w:r>
              <w:rPr>
                <w:rFonts w:hint="default" w:ascii="Times New Roman" w:hAnsi="Times New Roman" w:eastAsia="宋体" w:cs="Times New Roman"/>
                <w:color w:val="auto"/>
                <w:spacing w:val="-5"/>
                <w:sz w:val="24"/>
                <w:szCs w:val="28"/>
                <w:highlight w:val="none"/>
                <w:vertAlign w:val="superscript"/>
              </w:rPr>
              <w:t>3</w:t>
            </w:r>
            <w:r>
              <w:rPr>
                <w:rFonts w:hint="default" w:ascii="Times New Roman" w:hAnsi="Times New Roman" w:eastAsia="宋体" w:cs="Times New Roman"/>
                <w:color w:val="auto"/>
                <w:spacing w:val="-5"/>
                <w:sz w:val="24"/>
                <w:szCs w:val="28"/>
                <w:highlight w:val="none"/>
              </w:rPr>
              <w:t>/a（一年按</w:t>
            </w:r>
            <w:r>
              <w:rPr>
                <w:rFonts w:hint="eastAsia" w:cs="Times New Roman"/>
                <w:color w:val="auto"/>
                <w:spacing w:val="-5"/>
                <w:sz w:val="24"/>
                <w:szCs w:val="28"/>
                <w:highlight w:val="none"/>
                <w:lang w:val="en-US" w:eastAsia="zh-CN"/>
              </w:rPr>
              <w:t>300</w:t>
            </w:r>
            <w:r>
              <w:rPr>
                <w:rFonts w:hint="default" w:ascii="Times New Roman" w:hAnsi="Times New Roman" w:eastAsia="宋体" w:cs="Times New Roman"/>
                <w:color w:val="auto"/>
                <w:spacing w:val="-5"/>
                <w:sz w:val="24"/>
                <w:szCs w:val="28"/>
                <w:highlight w:val="none"/>
              </w:rPr>
              <w:t>天计，则为</w:t>
            </w:r>
            <w:r>
              <w:rPr>
                <w:rFonts w:hint="eastAsia" w:cs="Times New Roman"/>
                <w:color w:val="auto"/>
                <w:spacing w:val="-5"/>
                <w:sz w:val="24"/>
                <w:szCs w:val="28"/>
                <w:highlight w:val="none"/>
                <w:lang w:val="en-US" w:eastAsia="zh-CN"/>
              </w:rPr>
              <w:t>1.08</w:t>
            </w:r>
            <w:r>
              <w:rPr>
                <w:rFonts w:hint="default" w:ascii="Times New Roman" w:hAnsi="Times New Roman" w:eastAsia="宋体" w:cs="Times New Roman"/>
                <w:color w:val="auto"/>
                <w:spacing w:val="-5"/>
                <w:sz w:val="24"/>
                <w:szCs w:val="28"/>
                <w:highlight w:val="none"/>
              </w:rPr>
              <w:t>m</w:t>
            </w:r>
            <w:r>
              <w:rPr>
                <w:rFonts w:hint="default" w:ascii="Times New Roman" w:hAnsi="Times New Roman" w:eastAsia="宋体" w:cs="Times New Roman"/>
                <w:color w:val="auto"/>
                <w:spacing w:val="-5"/>
                <w:sz w:val="24"/>
                <w:szCs w:val="28"/>
                <w:highlight w:val="none"/>
                <w:vertAlign w:val="superscript"/>
              </w:rPr>
              <w:t>3</w:t>
            </w:r>
            <w:r>
              <w:rPr>
                <w:rFonts w:hint="default" w:ascii="Times New Roman" w:hAnsi="Times New Roman" w:eastAsia="宋体" w:cs="Times New Roman"/>
                <w:color w:val="auto"/>
                <w:spacing w:val="-5"/>
                <w:sz w:val="24"/>
                <w:szCs w:val="28"/>
                <w:highlight w:val="none"/>
              </w:rPr>
              <w:t>/d）</w:t>
            </w:r>
            <w:r>
              <w:rPr>
                <w:rFonts w:hint="eastAsia" w:cs="Times New Roman"/>
                <w:color w:val="auto"/>
                <w:spacing w:val="-5"/>
                <w:sz w:val="24"/>
                <w:szCs w:val="28"/>
                <w:highlight w:val="none"/>
                <w:lang w:eastAsia="zh-CN"/>
              </w:rPr>
              <w:t>。</w:t>
            </w:r>
          </w:p>
          <w:p w14:paraId="52B99935">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60" w:firstLineChars="200"/>
              <w:textAlignment w:val="auto"/>
              <w:rPr>
                <w:rFonts w:hint="default" w:ascii="Times New Roman" w:hAnsi="Times New Roman" w:eastAsia="宋体" w:cs="Times New Roman"/>
                <w:color w:val="auto"/>
                <w:spacing w:val="-5"/>
                <w:sz w:val="24"/>
                <w:szCs w:val="28"/>
                <w:highlight w:val="none"/>
              </w:rPr>
            </w:pPr>
            <w:r>
              <w:rPr>
                <w:rFonts w:hint="eastAsia" w:cs="Times New Roman"/>
                <w:color w:val="auto"/>
                <w:spacing w:val="-5"/>
                <w:sz w:val="24"/>
                <w:szCs w:val="28"/>
                <w:highlight w:val="none"/>
                <w:lang w:val="en-US" w:eastAsia="zh-CN"/>
              </w:rPr>
              <w:t>原项目对一次最大初期雨水量进行了核算，并据此计算日均初期雨水量，数据偏小。本次技改重新核算原项目日均初期雨水量，原厂区硬化区域面积为1.2ha，同理按上式计算可得日均初期雨水量为4.99</w:t>
            </w:r>
            <w:r>
              <w:rPr>
                <w:rFonts w:hint="default" w:ascii="Times New Roman" w:hAnsi="Times New Roman" w:eastAsia="宋体" w:cs="Times New Roman"/>
                <w:color w:val="auto"/>
                <w:spacing w:val="-5"/>
                <w:sz w:val="24"/>
                <w:szCs w:val="28"/>
                <w:highlight w:val="none"/>
              </w:rPr>
              <w:t>m</w:t>
            </w:r>
            <w:r>
              <w:rPr>
                <w:rFonts w:hint="default" w:ascii="Times New Roman" w:hAnsi="Times New Roman" w:eastAsia="宋体" w:cs="Times New Roman"/>
                <w:color w:val="auto"/>
                <w:spacing w:val="-5"/>
                <w:sz w:val="24"/>
                <w:szCs w:val="28"/>
                <w:highlight w:val="none"/>
                <w:vertAlign w:val="superscript"/>
              </w:rPr>
              <w:t>3</w:t>
            </w:r>
            <w:r>
              <w:rPr>
                <w:rFonts w:hint="default" w:ascii="Times New Roman" w:hAnsi="Times New Roman" w:eastAsia="宋体" w:cs="Times New Roman"/>
                <w:color w:val="auto"/>
                <w:spacing w:val="-5"/>
                <w:sz w:val="24"/>
                <w:szCs w:val="28"/>
                <w:highlight w:val="none"/>
              </w:rPr>
              <w:t>/</w:t>
            </w:r>
            <w:r>
              <w:rPr>
                <w:rFonts w:hint="eastAsia" w:cs="Times New Roman"/>
                <w:color w:val="auto"/>
                <w:spacing w:val="-5"/>
                <w:sz w:val="24"/>
                <w:szCs w:val="28"/>
                <w:highlight w:val="none"/>
                <w:lang w:val="en-US" w:eastAsia="zh-CN"/>
              </w:rPr>
              <w:t>d，较原环评1.1m</w:t>
            </w:r>
            <w:r>
              <w:rPr>
                <w:rFonts w:hint="eastAsia" w:cs="Times New Roman"/>
                <w:color w:val="auto"/>
                <w:spacing w:val="-5"/>
                <w:sz w:val="24"/>
                <w:szCs w:val="28"/>
                <w:highlight w:val="none"/>
                <w:vertAlign w:val="superscript"/>
                <w:lang w:val="en-US" w:eastAsia="zh-CN"/>
              </w:rPr>
              <w:t>3</w:t>
            </w:r>
            <w:r>
              <w:rPr>
                <w:rFonts w:hint="eastAsia" w:cs="Times New Roman"/>
                <w:color w:val="auto"/>
                <w:spacing w:val="-5"/>
                <w:sz w:val="24"/>
                <w:szCs w:val="28"/>
                <w:highlight w:val="none"/>
                <w:lang w:val="en-US" w:eastAsia="zh-CN"/>
              </w:rPr>
              <w:t>/d增加3.89</w:t>
            </w:r>
            <w:r>
              <w:rPr>
                <w:rFonts w:hint="default" w:ascii="Times New Roman" w:hAnsi="Times New Roman" w:eastAsia="宋体" w:cs="Times New Roman"/>
                <w:color w:val="auto"/>
                <w:spacing w:val="-5"/>
                <w:sz w:val="24"/>
                <w:szCs w:val="28"/>
                <w:highlight w:val="none"/>
              </w:rPr>
              <w:t>m</w:t>
            </w:r>
            <w:r>
              <w:rPr>
                <w:rFonts w:hint="default" w:ascii="Times New Roman" w:hAnsi="Times New Roman" w:eastAsia="宋体" w:cs="Times New Roman"/>
                <w:color w:val="auto"/>
                <w:spacing w:val="-5"/>
                <w:sz w:val="24"/>
                <w:szCs w:val="28"/>
                <w:highlight w:val="none"/>
                <w:vertAlign w:val="superscript"/>
              </w:rPr>
              <w:t>3</w:t>
            </w:r>
            <w:r>
              <w:rPr>
                <w:rFonts w:hint="default" w:ascii="Times New Roman" w:hAnsi="Times New Roman" w:eastAsia="宋体" w:cs="Times New Roman"/>
                <w:color w:val="auto"/>
                <w:spacing w:val="-5"/>
                <w:sz w:val="24"/>
                <w:szCs w:val="28"/>
                <w:highlight w:val="none"/>
              </w:rPr>
              <w:t>/</w:t>
            </w:r>
            <w:r>
              <w:rPr>
                <w:rFonts w:hint="eastAsia" w:cs="Times New Roman"/>
                <w:color w:val="auto"/>
                <w:spacing w:val="-5"/>
                <w:sz w:val="24"/>
                <w:szCs w:val="28"/>
                <w:highlight w:val="none"/>
                <w:lang w:val="en-US" w:eastAsia="zh-CN"/>
              </w:rPr>
              <w:t>d，本次技改将核算的原项目初期雨水增加量纳入本次技改新增的初期雨水量指标内，即共计新增4.97</w:t>
            </w:r>
            <w:r>
              <w:rPr>
                <w:rFonts w:hint="default" w:ascii="Times New Roman" w:hAnsi="Times New Roman" w:eastAsia="宋体" w:cs="Times New Roman"/>
                <w:color w:val="auto"/>
                <w:spacing w:val="-5"/>
                <w:sz w:val="24"/>
                <w:szCs w:val="28"/>
                <w:highlight w:val="none"/>
              </w:rPr>
              <w:t>m</w:t>
            </w:r>
            <w:r>
              <w:rPr>
                <w:rFonts w:hint="default" w:ascii="Times New Roman" w:hAnsi="Times New Roman" w:eastAsia="宋体" w:cs="Times New Roman"/>
                <w:color w:val="auto"/>
                <w:spacing w:val="-5"/>
                <w:sz w:val="24"/>
                <w:szCs w:val="28"/>
                <w:highlight w:val="none"/>
                <w:vertAlign w:val="superscript"/>
              </w:rPr>
              <w:t>3</w:t>
            </w:r>
            <w:r>
              <w:rPr>
                <w:rFonts w:hint="default" w:ascii="Times New Roman" w:hAnsi="Times New Roman" w:eastAsia="宋体" w:cs="Times New Roman"/>
                <w:color w:val="auto"/>
                <w:spacing w:val="-5"/>
                <w:sz w:val="24"/>
                <w:szCs w:val="28"/>
                <w:highlight w:val="none"/>
              </w:rPr>
              <w:t>/</w:t>
            </w:r>
            <w:r>
              <w:rPr>
                <w:rFonts w:hint="eastAsia" w:cs="Times New Roman"/>
                <w:color w:val="auto"/>
                <w:spacing w:val="-5"/>
                <w:sz w:val="24"/>
                <w:szCs w:val="28"/>
                <w:highlight w:val="none"/>
                <w:lang w:val="en-US" w:eastAsia="zh-CN"/>
              </w:rPr>
              <w:t>d。技改完成后全厂</w:t>
            </w:r>
            <w:r>
              <w:rPr>
                <w:rFonts w:hint="default" w:ascii="Times New Roman" w:hAnsi="Times New Roman" w:eastAsia="宋体" w:cs="Times New Roman"/>
                <w:color w:val="auto"/>
                <w:spacing w:val="-5"/>
                <w:sz w:val="24"/>
                <w:szCs w:val="28"/>
                <w:highlight w:val="none"/>
              </w:rPr>
              <w:t>年初期雨水量为</w:t>
            </w:r>
            <w:r>
              <w:rPr>
                <w:rFonts w:hint="eastAsia" w:cs="Times New Roman"/>
                <w:color w:val="auto"/>
                <w:spacing w:val="-5"/>
                <w:sz w:val="24"/>
                <w:szCs w:val="28"/>
                <w:highlight w:val="none"/>
                <w:lang w:val="en-US" w:eastAsia="zh-CN"/>
              </w:rPr>
              <w:t>1822.263</w:t>
            </w:r>
            <w:r>
              <w:rPr>
                <w:rFonts w:hint="default" w:ascii="Times New Roman" w:hAnsi="Times New Roman" w:eastAsia="宋体" w:cs="Times New Roman"/>
                <w:color w:val="auto"/>
                <w:spacing w:val="-5"/>
                <w:sz w:val="24"/>
                <w:szCs w:val="28"/>
                <w:highlight w:val="none"/>
              </w:rPr>
              <w:t>m</w:t>
            </w:r>
            <w:r>
              <w:rPr>
                <w:rFonts w:hint="default" w:ascii="Times New Roman" w:hAnsi="Times New Roman" w:eastAsia="宋体" w:cs="Times New Roman"/>
                <w:color w:val="auto"/>
                <w:spacing w:val="-5"/>
                <w:sz w:val="24"/>
                <w:szCs w:val="28"/>
                <w:highlight w:val="none"/>
                <w:vertAlign w:val="superscript"/>
              </w:rPr>
              <w:t>3</w:t>
            </w:r>
            <w:r>
              <w:rPr>
                <w:rFonts w:hint="default" w:ascii="Times New Roman" w:hAnsi="Times New Roman" w:eastAsia="宋体" w:cs="Times New Roman"/>
                <w:color w:val="auto"/>
                <w:spacing w:val="-5"/>
                <w:sz w:val="24"/>
                <w:szCs w:val="28"/>
                <w:highlight w:val="none"/>
              </w:rPr>
              <w:t>/a（一年按</w:t>
            </w:r>
            <w:r>
              <w:rPr>
                <w:rFonts w:hint="eastAsia" w:cs="Times New Roman"/>
                <w:color w:val="auto"/>
                <w:spacing w:val="-5"/>
                <w:sz w:val="24"/>
                <w:szCs w:val="28"/>
                <w:highlight w:val="none"/>
                <w:lang w:val="en-US" w:eastAsia="zh-CN"/>
              </w:rPr>
              <w:t>300</w:t>
            </w:r>
            <w:r>
              <w:rPr>
                <w:rFonts w:hint="default" w:ascii="Times New Roman" w:hAnsi="Times New Roman" w:eastAsia="宋体" w:cs="Times New Roman"/>
                <w:color w:val="auto"/>
                <w:spacing w:val="-5"/>
                <w:sz w:val="24"/>
                <w:szCs w:val="28"/>
                <w:highlight w:val="none"/>
              </w:rPr>
              <w:t>天计，则为</w:t>
            </w:r>
            <w:r>
              <w:rPr>
                <w:rFonts w:hint="eastAsia" w:cs="Times New Roman"/>
                <w:color w:val="auto"/>
                <w:spacing w:val="-5"/>
                <w:sz w:val="24"/>
                <w:szCs w:val="28"/>
                <w:highlight w:val="none"/>
                <w:lang w:val="en-US" w:eastAsia="zh-CN"/>
              </w:rPr>
              <w:t>6.07</w:t>
            </w:r>
            <w:r>
              <w:rPr>
                <w:rFonts w:hint="default" w:ascii="Times New Roman" w:hAnsi="Times New Roman" w:eastAsia="宋体" w:cs="Times New Roman"/>
                <w:color w:val="auto"/>
                <w:spacing w:val="-5"/>
                <w:sz w:val="24"/>
                <w:szCs w:val="28"/>
                <w:highlight w:val="none"/>
              </w:rPr>
              <w:t>m</w:t>
            </w:r>
            <w:r>
              <w:rPr>
                <w:rFonts w:hint="default" w:ascii="Times New Roman" w:hAnsi="Times New Roman" w:eastAsia="宋体" w:cs="Times New Roman"/>
                <w:color w:val="auto"/>
                <w:spacing w:val="-5"/>
                <w:sz w:val="24"/>
                <w:szCs w:val="28"/>
                <w:highlight w:val="none"/>
                <w:vertAlign w:val="superscript"/>
              </w:rPr>
              <w:t>3</w:t>
            </w:r>
            <w:r>
              <w:rPr>
                <w:rFonts w:hint="default" w:ascii="Times New Roman" w:hAnsi="Times New Roman" w:eastAsia="宋体" w:cs="Times New Roman"/>
                <w:color w:val="auto"/>
                <w:spacing w:val="-5"/>
                <w:sz w:val="24"/>
                <w:szCs w:val="28"/>
                <w:highlight w:val="none"/>
              </w:rPr>
              <w:t>/d）。</w:t>
            </w:r>
          </w:p>
          <w:p w14:paraId="2881FF9E">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60" w:firstLineChars="200"/>
              <w:textAlignment w:val="auto"/>
              <w:rPr>
                <w:rFonts w:hint="default" w:ascii="Times New Roman" w:hAnsi="Times New Roman" w:eastAsia="宋体" w:cs="Times New Roman"/>
                <w:color w:val="auto"/>
                <w:spacing w:val="-5"/>
                <w:sz w:val="24"/>
                <w:szCs w:val="28"/>
                <w:highlight w:val="none"/>
              </w:rPr>
            </w:pPr>
            <w:r>
              <w:rPr>
                <w:rFonts w:hint="default" w:ascii="Times New Roman" w:hAnsi="Times New Roman" w:eastAsia="宋体" w:cs="Times New Roman"/>
                <w:color w:val="auto"/>
                <w:spacing w:val="-5"/>
                <w:sz w:val="24"/>
                <w:szCs w:val="28"/>
                <w:highlight w:val="none"/>
              </w:rPr>
              <w:t>项目初期雨水收集后送厂区污水处理站处理。</w:t>
            </w:r>
          </w:p>
          <w:p w14:paraId="1BFD747A">
            <w:pPr>
              <w:adjustRightInd w:val="0"/>
              <w:snapToGrid w:val="0"/>
              <w:spacing w:line="360" w:lineRule="auto"/>
              <w:ind w:firstLine="482" w:firstLineChars="200"/>
              <w:rPr>
                <w:b/>
                <w:color w:val="auto"/>
                <w:sz w:val="24"/>
                <w:highlight w:val="none"/>
              </w:rPr>
            </w:pPr>
            <w:r>
              <w:rPr>
                <w:rFonts w:hint="eastAsia"/>
                <w:b/>
                <w:color w:val="auto"/>
                <w:sz w:val="24"/>
                <w:highlight w:val="none"/>
              </w:rPr>
              <w:t>（2）水质分析</w:t>
            </w:r>
          </w:p>
          <w:p w14:paraId="2B5BD754">
            <w:pPr>
              <w:spacing w:line="360" w:lineRule="auto"/>
              <w:ind w:firstLine="470" w:firstLineChars="196"/>
              <w:outlineLvl w:val="1"/>
              <w:rPr>
                <w:rFonts w:hint="eastAsia"/>
                <w:color w:val="auto"/>
                <w:sz w:val="24"/>
                <w:highlight w:val="none"/>
              </w:rPr>
            </w:pPr>
            <w:r>
              <w:rPr>
                <w:rFonts w:hint="eastAsia"/>
                <w:color w:val="auto"/>
                <w:sz w:val="24"/>
                <w:highlight w:val="none"/>
                <w:lang w:val="en-US" w:eastAsia="zh-CN"/>
              </w:rPr>
              <w:t>本项目技改产生的上述综合废水与现有工程废水污染物一致，新增锅炉排污水及软水制备浓水种类，该类水污染物主要COD、总磷和钙镁等盐离子成分，污染物浓度较低。现有污水处理站工艺不变，污水处理工艺一致，因此本项目废水产排污浓度可类比参照现有工程验收阶段污水处理厂进出水水质浓度，根据现有工程验收监测数据，污水处理站进口监测最大值为</w:t>
            </w:r>
            <w:r>
              <w:rPr>
                <w:rFonts w:hint="eastAsia"/>
                <w:color w:val="auto"/>
                <w:sz w:val="24"/>
                <w:highlight w:val="none"/>
              </w:rPr>
              <w:t>：COD</w:t>
            </w:r>
            <w:r>
              <w:rPr>
                <w:rFonts w:hint="eastAsia"/>
                <w:color w:val="auto"/>
                <w:sz w:val="24"/>
                <w:highlight w:val="none"/>
                <w:lang w:val="en-US" w:eastAsia="zh-CN"/>
              </w:rPr>
              <w:t>1300</w:t>
            </w:r>
            <w:r>
              <w:rPr>
                <w:rFonts w:hint="eastAsia"/>
                <w:color w:val="auto"/>
                <w:sz w:val="24"/>
                <w:highlight w:val="none"/>
              </w:rPr>
              <w:t>mg/L、BOD</w:t>
            </w:r>
            <w:r>
              <w:rPr>
                <w:rFonts w:hint="eastAsia"/>
                <w:color w:val="auto"/>
                <w:sz w:val="24"/>
                <w:highlight w:val="none"/>
                <w:vertAlign w:val="subscript"/>
              </w:rPr>
              <w:t>5</w:t>
            </w:r>
            <w:r>
              <w:rPr>
                <w:rFonts w:hint="eastAsia"/>
                <w:color w:val="auto"/>
                <w:sz w:val="24"/>
                <w:highlight w:val="none"/>
                <w:lang w:val="en-US" w:eastAsia="zh-CN"/>
              </w:rPr>
              <w:t>486</w:t>
            </w:r>
            <w:r>
              <w:rPr>
                <w:rFonts w:hint="eastAsia"/>
                <w:color w:val="auto"/>
                <w:sz w:val="24"/>
                <w:highlight w:val="none"/>
              </w:rPr>
              <w:t>mg/L、氨氮</w:t>
            </w:r>
            <w:r>
              <w:rPr>
                <w:rFonts w:hint="eastAsia"/>
                <w:color w:val="auto"/>
                <w:sz w:val="24"/>
                <w:highlight w:val="none"/>
                <w:lang w:val="en-US" w:eastAsia="zh-CN"/>
              </w:rPr>
              <w:t>182</w:t>
            </w:r>
            <w:r>
              <w:rPr>
                <w:rFonts w:hint="eastAsia"/>
                <w:color w:val="auto"/>
                <w:sz w:val="24"/>
                <w:highlight w:val="none"/>
              </w:rPr>
              <w:t>mg/L、总磷</w:t>
            </w:r>
            <w:r>
              <w:rPr>
                <w:rFonts w:hint="eastAsia"/>
                <w:color w:val="auto"/>
                <w:sz w:val="24"/>
                <w:highlight w:val="none"/>
                <w:lang w:val="en-US" w:eastAsia="zh-CN"/>
              </w:rPr>
              <w:t>0.38</w:t>
            </w:r>
            <w:r>
              <w:rPr>
                <w:rFonts w:hint="eastAsia"/>
                <w:color w:val="auto"/>
                <w:sz w:val="24"/>
                <w:highlight w:val="none"/>
              </w:rPr>
              <w:t>mg/L、</w:t>
            </w:r>
            <w:r>
              <w:rPr>
                <w:rFonts w:hint="eastAsia"/>
                <w:color w:val="auto"/>
                <w:sz w:val="24"/>
                <w:highlight w:val="none"/>
                <w:lang w:val="en-US" w:eastAsia="zh-CN"/>
              </w:rPr>
              <w:t>SS26</w:t>
            </w:r>
            <w:r>
              <w:rPr>
                <w:rFonts w:hint="eastAsia"/>
                <w:color w:val="auto"/>
                <w:sz w:val="24"/>
                <w:highlight w:val="none"/>
              </w:rPr>
              <w:t>mg/L</w:t>
            </w:r>
            <w:r>
              <w:rPr>
                <w:rFonts w:hint="eastAsia"/>
                <w:color w:val="auto"/>
                <w:sz w:val="24"/>
                <w:highlight w:val="none"/>
                <w:lang w:val="en-US" w:eastAsia="zh-CN"/>
              </w:rPr>
              <w:t>、总氮648</w:t>
            </w:r>
            <w:r>
              <w:rPr>
                <w:rFonts w:hint="eastAsia"/>
                <w:color w:val="auto"/>
                <w:sz w:val="24"/>
                <w:highlight w:val="none"/>
              </w:rPr>
              <w:t>mg/L</w:t>
            </w:r>
            <w:r>
              <w:rPr>
                <w:rFonts w:hint="eastAsia"/>
                <w:color w:val="auto"/>
                <w:sz w:val="24"/>
                <w:highlight w:val="none"/>
                <w:lang w:eastAsia="zh-CN"/>
              </w:rPr>
              <w:t>、</w:t>
            </w:r>
            <w:r>
              <w:rPr>
                <w:rFonts w:hint="eastAsia"/>
                <w:color w:val="auto"/>
                <w:sz w:val="24"/>
                <w:highlight w:val="none"/>
                <w:lang w:val="en-US" w:eastAsia="zh-CN"/>
              </w:rPr>
              <w:t>石油类0.09</w:t>
            </w:r>
            <w:r>
              <w:rPr>
                <w:rFonts w:hint="eastAsia"/>
                <w:color w:val="auto"/>
                <w:sz w:val="24"/>
                <w:highlight w:val="none"/>
              </w:rPr>
              <w:t>mg/L，评价保守估计本项目废水污染物产生浓度为COD</w:t>
            </w:r>
            <w:r>
              <w:rPr>
                <w:rFonts w:hint="eastAsia"/>
                <w:color w:val="auto"/>
                <w:sz w:val="24"/>
                <w:highlight w:val="none"/>
                <w:lang w:val="en-US" w:eastAsia="zh-CN"/>
              </w:rPr>
              <w:t>1500</w:t>
            </w:r>
            <w:r>
              <w:rPr>
                <w:rFonts w:hint="eastAsia"/>
                <w:color w:val="auto"/>
                <w:sz w:val="24"/>
                <w:highlight w:val="none"/>
              </w:rPr>
              <w:t>mg/L、BOD</w:t>
            </w:r>
            <w:r>
              <w:rPr>
                <w:rFonts w:hint="eastAsia"/>
                <w:color w:val="auto"/>
                <w:sz w:val="24"/>
                <w:highlight w:val="none"/>
                <w:lang w:val="en-US" w:eastAsia="zh-CN"/>
              </w:rPr>
              <w:t>500</w:t>
            </w:r>
            <w:r>
              <w:rPr>
                <w:rFonts w:hint="eastAsia"/>
                <w:color w:val="auto"/>
                <w:sz w:val="24"/>
                <w:highlight w:val="none"/>
              </w:rPr>
              <w:t>mg/L、氨氮</w:t>
            </w:r>
            <w:r>
              <w:rPr>
                <w:rFonts w:hint="eastAsia"/>
                <w:color w:val="auto"/>
                <w:sz w:val="24"/>
                <w:highlight w:val="none"/>
                <w:lang w:val="en-US" w:eastAsia="zh-CN"/>
              </w:rPr>
              <w:t>200</w:t>
            </w:r>
            <w:r>
              <w:rPr>
                <w:rFonts w:hint="eastAsia"/>
                <w:color w:val="auto"/>
                <w:sz w:val="24"/>
                <w:highlight w:val="none"/>
              </w:rPr>
              <w:t>mg/L、总磷</w:t>
            </w:r>
            <w:r>
              <w:rPr>
                <w:rFonts w:hint="eastAsia"/>
                <w:color w:val="auto"/>
                <w:sz w:val="24"/>
                <w:highlight w:val="none"/>
                <w:lang w:val="en-US" w:eastAsia="zh-CN"/>
              </w:rPr>
              <w:t>0.5</w:t>
            </w:r>
            <w:r>
              <w:rPr>
                <w:rFonts w:hint="eastAsia"/>
                <w:color w:val="auto"/>
                <w:sz w:val="24"/>
                <w:highlight w:val="none"/>
              </w:rPr>
              <w:t>mg/L、</w:t>
            </w:r>
            <w:r>
              <w:rPr>
                <w:rFonts w:hint="eastAsia"/>
                <w:color w:val="auto"/>
                <w:sz w:val="24"/>
                <w:highlight w:val="none"/>
                <w:lang w:val="en-US" w:eastAsia="zh-CN"/>
              </w:rPr>
              <w:t>SS30</w:t>
            </w:r>
            <w:r>
              <w:rPr>
                <w:rFonts w:hint="eastAsia"/>
                <w:color w:val="auto"/>
                <w:sz w:val="24"/>
                <w:highlight w:val="none"/>
              </w:rPr>
              <w:t>mg/L</w:t>
            </w:r>
            <w:r>
              <w:rPr>
                <w:rFonts w:hint="eastAsia"/>
                <w:color w:val="auto"/>
                <w:sz w:val="24"/>
                <w:highlight w:val="none"/>
                <w:lang w:val="en-US" w:eastAsia="zh-CN"/>
              </w:rPr>
              <w:t>、总氮650</w:t>
            </w:r>
            <w:r>
              <w:rPr>
                <w:rFonts w:hint="eastAsia"/>
                <w:color w:val="auto"/>
                <w:sz w:val="24"/>
                <w:highlight w:val="none"/>
              </w:rPr>
              <w:t>mg/L</w:t>
            </w:r>
            <w:r>
              <w:rPr>
                <w:rFonts w:hint="eastAsia"/>
                <w:color w:val="auto"/>
                <w:sz w:val="24"/>
                <w:highlight w:val="none"/>
                <w:lang w:eastAsia="zh-CN"/>
              </w:rPr>
              <w:t>、</w:t>
            </w:r>
            <w:r>
              <w:rPr>
                <w:rFonts w:hint="eastAsia"/>
                <w:color w:val="auto"/>
                <w:sz w:val="24"/>
                <w:highlight w:val="none"/>
                <w:lang w:val="en-US" w:eastAsia="zh-CN"/>
              </w:rPr>
              <w:t>石油类0.1</w:t>
            </w:r>
            <w:r>
              <w:rPr>
                <w:rFonts w:hint="eastAsia"/>
                <w:color w:val="auto"/>
                <w:sz w:val="24"/>
                <w:highlight w:val="none"/>
              </w:rPr>
              <w:t>mg/L，进入厂区污水处理站处理。</w:t>
            </w:r>
          </w:p>
          <w:p w14:paraId="0111796B">
            <w:pPr>
              <w:spacing w:line="360" w:lineRule="auto"/>
              <w:ind w:firstLine="480" w:firstLineChars="200"/>
              <w:rPr>
                <w:rFonts w:hint="eastAsia"/>
                <w:color w:val="auto"/>
                <w:sz w:val="24"/>
                <w:szCs w:val="24"/>
                <w:highlight w:val="none"/>
                <w:lang w:val="en-US" w:eastAsia="zh-CN"/>
              </w:rPr>
            </w:pPr>
            <w:r>
              <w:rPr>
                <w:rFonts w:hint="eastAsia"/>
                <w:color w:val="auto"/>
                <w:sz w:val="24"/>
                <w:highlight w:val="none"/>
                <w:lang w:val="en-US" w:eastAsia="zh-CN"/>
              </w:rPr>
              <w:t>综合废水经厂区污水处理站处理后水质满足</w:t>
            </w:r>
            <w:r>
              <w:rPr>
                <w:rFonts w:hint="eastAsia"/>
                <w:color w:val="auto"/>
                <w:sz w:val="24"/>
                <w:szCs w:val="24"/>
                <w:highlight w:val="none"/>
                <w:lang w:val="en-US" w:eastAsia="zh-CN"/>
              </w:rPr>
              <w:t>《污水综合排放标准》（GB8978-1996）三级标准后排入园区污水处理厂（即大英工业污水处理厂）处理后达标排放。</w:t>
            </w:r>
          </w:p>
          <w:p w14:paraId="657C535E">
            <w:pPr>
              <w:spacing w:line="360" w:lineRule="auto"/>
              <w:ind w:firstLine="482" w:firstLineChars="200"/>
              <w:rPr>
                <w:b/>
                <w:color w:val="auto"/>
                <w:sz w:val="24"/>
                <w:highlight w:val="none"/>
              </w:rPr>
            </w:pPr>
            <w:r>
              <w:rPr>
                <w:b/>
                <w:color w:val="auto"/>
                <w:sz w:val="24"/>
                <w:highlight w:val="none"/>
              </w:rPr>
              <w:t>（3）</w:t>
            </w:r>
            <w:r>
              <w:rPr>
                <w:rFonts w:hint="eastAsia"/>
                <w:b/>
                <w:color w:val="auto"/>
                <w:sz w:val="24"/>
                <w:highlight w:val="none"/>
                <w:lang w:val="en-US" w:eastAsia="zh-CN"/>
              </w:rPr>
              <w:t>依托现有</w:t>
            </w:r>
            <w:r>
              <w:rPr>
                <w:rFonts w:hint="eastAsia"/>
                <w:b/>
                <w:color w:val="auto"/>
                <w:sz w:val="24"/>
                <w:highlight w:val="none"/>
              </w:rPr>
              <w:t>污水处理</w:t>
            </w:r>
            <w:r>
              <w:rPr>
                <w:rFonts w:hint="eastAsia"/>
                <w:b/>
                <w:color w:val="auto"/>
                <w:sz w:val="24"/>
                <w:highlight w:val="none"/>
                <w:lang w:val="en-US" w:eastAsia="zh-CN"/>
              </w:rPr>
              <w:t>站</w:t>
            </w:r>
            <w:r>
              <w:rPr>
                <w:rFonts w:hint="eastAsia"/>
                <w:b/>
                <w:color w:val="auto"/>
                <w:sz w:val="24"/>
                <w:highlight w:val="none"/>
              </w:rPr>
              <w:t>可行性分析</w:t>
            </w:r>
          </w:p>
          <w:p w14:paraId="5B21529B">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根据上文分析，本次技改后新增的废水总量为54.428</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全厂</w:t>
            </w:r>
            <w:r>
              <w:rPr>
                <w:rFonts w:hint="eastAsia"/>
                <w:color w:val="auto"/>
                <w:sz w:val="24"/>
                <w:highlight w:val="none"/>
              </w:rPr>
              <w:t>废水</w:t>
            </w:r>
            <w:r>
              <w:rPr>
                <w:rFonts w:hint="eastAsia"/>
                <w:color w:val="auto"/>
                <w:sz w:val="24"/>
                <w:highlight w:val="none"/>
                <w:lang w:val="en-US" w:eastAsia="zh-CN"/>
              </w:rPr>
              <w:t>日均</w:t>
            </w:r>
            <w:r>
              <w:rPr>
                <w:rFonts w:hint="eastAsia"/>
                <w:color w:val="auto"/>
                <w:sz w:val="24"/>
                <w:highlight w:val="none"/>
              </w:rPr>
              <w:t>排放量</w:t>
            </w:r>
            <w:r>
              <w:rPr>
                <w:rFonts w:hint="eastAsia"/>
                <w:color w:val="auto"/>
                <w:sz w:val="24"/>
                <w:highlight w:val="none"/>
                <w:lang w:val="en-US" w:eastAsia="zh-CN"/>
              </w:rPr>
              <w:t>约</w:t>
            </w:r>
            <w:bookmarkStart w:id="33" w:name="OLE_LINK18"/>
            <w:r>
              <w:rPr>
                <w:rFonts w:hint="eastAsia"/>
                <w:color w:val="auto"/>
                <w:sz w:val="24"/>
                <w:highlight w:val="none"/>
                <w:lang w:val="en-US" w:eastAsia="zh-CN"/>
              </w:rPr>
              <w:t>76.728</w:t>
            </w:r>
            <w:r>
              <w:rPr>
                <w:color w:val="auto"/>
                <w:sz w:val="24"/>
                <w:highlight w:val="none"/>
              </w:rPr>
              <w:t>m</w:t>
            </w:r>
            <w:r>
              <w:rPr>
                <w:color w:val="auto"/>
                <w:sz w:val="24"/>
                <w:highlight w:val="none"/>
                <w:vertAlign w:val="superscript"/>
              </w:rPr>
              <w:t>3</w:t>
            </w:r>
            <w:r>
              <w:rPr>
                <w:color w:val="auto"/>
                <w:sz w:val="24"/>
                <w:highlight w:val="none"/>
              </w:rPr>
              <w:t>/d</w:t>
            </w:r>
            <w:bookmarkEnd w:id="33"/>
            <w:r>
              <w:rPr>
                <w:color w:val="auto"/>
                <w:sz w:val="24"/>
                <w:highlight w:val="none"/>
              </w:rPr>
              <w:t>。</w:t>
            </w:r>
            <w:r>
              <w:rPr>
                <w:rFonts w:hint="eastAsia"/>
                <w:color w:val="auto"/>
                <w:sz w:val="24"/>
                <w:highlight w:val="none"/>
                <w:lang w:val="en-US" w:eastAsia="zh-CN"/>
              </w:rPr>
              <w:t>生活污水经隔油-预处理池处理后与上述生产废水、初期雨水一并进入厂区污水处理站进行处理。</w:t>
            </w:r>
          </w:p>
          <w:p w14:paraId="32AFD9F7">
            <w:pPr>
              <w:spacing w:line="360" w:lineRule="auto"/>
              <w:ind w:firstLine="480" w:firstLineChars="200"/>
              <w:rPr>
                <w:rFonts w:hint="eastAsia"/>
                <w:color w:val="auto"/>
                <w:sz w:val="24"/>
                <w:highlight w:val="none"/>
                <w:lang w:val="en-US" w:eastAsia="zh-CN"/>
              </w:rPr>
            </w:pPr>
            <w:r>
              <w:rPr>
                <w:rFonts w:hint="eastAsia"/>
                <w:color w:val="auto"/>
                <w:sz w:val="24"/>
                <w:highlight w:val="none"/>
              </w:rPr>
              <w:t>厂区</w:t>
            </w:r>
            <w:r>
              <w:rPr>
                <w:rFonts w:hint="eastAsia"/>
                <w:color w:val="auto"/>
                <w:sz w:val="24"/>
                <w:highlight w:val="none"/>
                <w:lang w:val="en-US" w:eastAsia="zh-CN"/>
              </w:rPr>
              <w:t>北侧建</w:t>
            </w:r>
            <w:r>
              <w:rPr>
                <w:rFonts w:hint="eastAsia"/>
                <w:color w:val="auto"/>
                <w:sz w:val="24"/>
                <w:highlight w:val="none"/>
              </w:rPr>
              <w:t>有</w:t>
            </w:r>
            <w:r>
              <w:rPr>
                <w:rFonts w:hint="eastAsia"/>
                <w:color w:val="auto"/>
                <w:sz w:val="24"/>
                <w:highlight w:val="none"/>
                <w:lang w:val="en-US" w:eastAsia="zh-CN"/>
              </w:rPr>
              <w:t>污</w:t>
            </w:r>
            <w:r>
              <w:rPr>
                <w:rFonts w:hint="eastAsia"/>
                <w:color w:val="auto"/>
                <w:sz w:val="24"/>
                <w:highlight w:val="none"/>
              </w:rPr>
              <w:t>水处理站1座，</w:t>
            </w:r>
            <w:r>
              <w:rPr>
                <w:rFonts w:hint="eastAsia"/>
                <w:color w:val="auto"/>
                <w:sz w:val="24"/>
                <w:szCs w:val="24"/>
                <w:highlight w:val="none"/>
                <w:lang w:val="en-US" w:eastAsia="zh-CN"/>
              </w:rPr>
              <w:t>采用“预处理（芬顿反应+铁碳内电解+混凝沉淀+生化调节）+厌氧（水解酸化法+UASB）+两级A/0”工艺，</w:t>
            </w:r>
            <w:r>
              <w:rPr>
                <w:rFonts w:hint="eastAsia"/>
                <w:color w:val="auto"/>
                <w:sz w:val="24"/>
                <w:highlight w:val="none"/>
              </w:rPr>
              <w:t>处理能力为</w:t>
            </w:r>
            <w:r>
              <w:rPr>
                <w:rFonts w:hint="eastAsia"/>
                <w:color w:val="auto"/>
                <w:sz w:val="24"/>
                <w:highlight w:val="none"/>
                <w:lang w:val="en-US" w:eastAsia="zh-CN"/>
              </w:rPr>
              <w:t>3.5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h（84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），本项目建成后全厂废水量小于污水处理站最大处理规模，因此本项目建成后全厂废水量依托现有污水处理站处理是可行的。</w:t>
            </w:r>
          </w:p>
          <w:p w14:paraId="125164CF">
            <w:pPr>
              <w:spacing w:line="360" w:lineRule="auto"/>
              <w:ind w:firstLine="470" w:firstLineChars="196"/>
              <w:outlineLvl w:val="1"/>
              <w:rPr>
                <w:color w:val="auto"/>
                <w:sz w:val="24"/>
                <w:highlight w:val="none"/>
              </w:rPr>
            </w:pPr>
            <w:r>
              <w:rPr>
                <w:rFonts w:hint="eastAsia"/>
                <w:color w:val="auto"/>
                <w:sz w:val="24"/>
                <w:highlight w:val="none"/>
                <w:lang w:val="en-US" w:eastAsia="zh-CN"/>
              </w:rPr>
              <w:t>根据</w:t>
            </w:r>
            <w:r>
              <w:rPr>
                <w:rFonts w:hint="eastAsia"/>
                <w:color w:val="auto"/>
                <w:sz w:val="24"/>
                <w:highlight w:val="none"/>
                <w:lang w:eastAsia="zh-CN"/>
              </w:rPr>
              <w:t>《排污单位自行监测技术指南石油化学工业》（HJ947-2018）</w:t>
            </w:r>
            <w:r>
              <w:rPr>
                <w:rFonts w:hint="eastAsia"/>
                <w:color w:val="auto"/>
                <w:sz w:val="24"/>
                <w:highlight w:val="none"/>
              </w:rPr>
              <w:t>“</w:t>
            </w:r>
            <w:r>
              <w:rPr>
                <w:rFonts w:hint="eastAsia"/>
                <w:color w:val="auto"/>
                <w:sz w:val="24"/>
                <w:highlight w:val="none"/>
                <w:lang w:val="en-US" w:eastAsia="zh-CN"/>
              </w:rPr>
              <w:t>表6施工工业排污单位污水处理可行技术参照表</w:t>
            </w:r>
            <w:r>
              <w:rPr>
                <w:rFonts w:hint="eastAsia"/>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排污许可证申请与核发技术规范锅炉</w:t>
            </w:r>
            <w:r>
              <w:rPr>
                <w:rFonts w:hint="eastAsia"/>
                <w:color w:val="auto"/>
                <w:sz w:val="24"/>
                <w:highlight w:val="none"/>
                <w:lang w:eastAsia="zh-CN"/>
              </w:rPr>
              <w:t>》“</w:t>
            </w:r>
            <w:r>
              <w:rPr>
                <w:rFonts w:hint="eastAsia"/>
                <w:color w:val="auto"/>
                <w:sz w:val="24"/>
                <w:highlight w:val="none"/>
                <w:lang w:val="en-US" w:eastAsia="zh-CN"/>
              </w:rPr>
              <w:t>表4锅炉排污单位废水类别、主要污染物项目、废水排放去向及污染物防治设施一览表-锅炉排污水</w:t>
            </w:r>
            <w:r>
              <w:rPr>
                <w:rFonts w:hint="eastAsia"/>
                <w:color w:val="auto"/>
                <w:sz w:val="24"/>
                <w:highlight w:val="none"/>
                <w:lang w:eastAsia="zh-CN"/>
              </w:rPr>
              <w:t>”，</w:t>
            </w:r>
            <w:r>
              <w:rPr>
                <w:rFonts w:hint="eastAsia"/>
                <w:color w:val="auto"/>
                <w:sz w:val="24"/>
                <w:highlight w:val="none"/>
              </w:rPr>
              <w:t>厂区</w:t>
            </w:r>
            <w:r>
              <w:rPr>
                <w:rFonts w:hint="eastAsia"/>
                <w:color w:val="auto"/>
                <w:sz w:val="24"/>
                <w:highlight w:val="none"/>
                <w:lang w:val="en-US" w:eastAsia="zh-CN"/>
              </w:rPr>
              <w:t>现有污水处理站</w:t>
            </w:r>
            <w:r>
              <w:rPr>
                <w:rFonts w:hint="eastAsia"/>
                <w:color w:val="auto"/>
                <w:sz w:val="24"/>
                <w:highlight w:val="none"/>
              </w:rPr>
              <w:t>使用</w:t>
            </w:r>
            <w:r>
              <w:rPr>
                <w:rFonts w:hint="eastAsia"/>
                <w:color w:val="auto"/>
                <w:sz w:val="24"/>
                <w:highlight w:val="none"/>
                <w:lang w:val="en-US" w:eastAsia="zh-CN"/>
              </w:rPr>
              <w:t>工艺（如下图）为“预处理+生化处理+深度处理”工艺，属于</w:t>
            </w:r>
            <w:r>
              <w:rPr>
                <w:rFonts w:hint="eastAsia"/>
                <w:b w:val="0"/>
                <w:bCs w:val="0"/>
                <w:color w:val="auto"/>
                <w:sz w:val="24"/>
                <w:highlight w:val="none"/>
              </w:rPr>
              <w:t>可行性技术</w:t>
            </w:r>
            <w:r>
              <w:rPr>
                <w:rFonts w:hint="eastAsia"/>
                <w:b w:val="0"/>
                <w:bCs w:val="0"/>
                <w:color w:val="auto"/>
                <w:sz w:val="24"/>
                <w:highlight w:val="none"/>
                <w:lang w:eastAsia="zh-CN"/>
              </w:rPr>
              <w:t>，</w:t>
            </w:r>
            <w:r>
              <w:rPr>
                <w:rFonts w:hint="eastAsia"/>
                <w:b w:val="0"/>
                <w:bCs w:val="0"/>
                <w:color w:val="auto"/>
                <w:sz w:val="24"/>
                <w:highlight w:val="none"/>
              </w:rPr>
              <w:t>因此</w:t>
            </w:r>
            <w:r>
              <w:rPr>
                <w:rFonts w:hint="eastAsia"/>
                <w:b w:val="0"/>
                <w:bCs w:val="0"/>
                <w:color w:val="auto"/>
                <w:sz w:val="24"/>
                <w:highlight w:val="none"/>
                <w:lang w:val="en-US" w:eastAsia="zh-CN"/>
              </w:rPr>
              <w:t>厂区</w:t>
            </w:r>
            <w:r>
              <w:rPr>
                <w:rFonts w:hint="eastAsia"/>
                <w:b w:val="0"/>
                <w:bCs w:val="0"/>
                <w:color w:val="auto"/>
                <w:sz w:val="24"/>
                <w:highlight w:val="none"/>
              </w:rPr>
              <w:t>污水处理</w:t>
            </w:r>
            <w:r>
              <w:rPr>
                <w:rFonts w:hint="eastAsia"/>
                <w:b w:val="0"/>
                <w:bCs w:val="0"/>
                <w:color w:val="auto"/>
                <w:sz w:val="24"/>
                <w:highlight w:val="none"/>
                <w:lang w:val="en-US" w:eastAsia="zh-CN"/>
              </w:rPr>
              <w:t>设施</w:t>
            </w:r>
            <w:r>
              <w:rPr>
                <w:rFonts w:hint="eastAsia"/>
                <w:b w:val="0"/>
                <w:bCs w:val="0"/>
                <w:color w:val="auto"/>
                <w:sz w:val="24"/>
                <w:highlight w:val="none"/>
              </w:rPr>
              <w:t>可满足本项目处理需求。</w:t>
            </w:r>
          </w:p>
          <w:p w14:paraId="66BB9D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472305" cy="6536055"/>
                  <wp:effectExtent l="0" t="0" r="4445" b="17145"/>
                  <wp:docPr id="27" name="图片 27" descr="污水站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污水站工艺流程"/>
                          <pic:cNvPicPr>
                            <a:picLocks noChangeAspect="1"/>
                          </pic:cNvPicPr>
                        </pic:nvPicPr>
                        <pic:blipFill>
                          <a:blip r:embed="rId41"/>
                          <a:srcRect l="3438" t="2710" r="4154" b="2408"/>
                          <a:stretch>
                            <a:fillRect/>
                          </a:stretch>
                        </pic:blipFill>
                        <pic:spPr>
                          <a:xfrm>
                            <a:off x="0" y="0"/>
                            <a:ext cx="4472305" cy="6536055"/>
                          </a:xfrm>
                          <a:prstGeom prst="rect">
                            <a:avLst/>
                          </a:prstGeom>
                        </pic:spPr>
                      </pic:pic>
                    </a:graphicData>
                  </a:graphic>
                </wp:inline>
              </w:drawing>
            </w:r>
          </w:p>
          <w:p w14:paraId="0781AD80">
            <w:pPr>
              <w:pStyle w:val="131"/>
              <w:bidi w:val="0"/>
              <w:rPr>
                <w:color w:val="auto"/>
                <w:highlight w:val="none"/>
              </w:rPr>
            </w:pPr>
            <w:r>
              <w:rPr>
                <w:rFonts w:hint="eastAsia"/>
                <w:color w:val="auto"/>
                <w:highlight w:val="none"/>
                <w:lang w:val="en-US" w:eastAsia="zh-CN"/>
              </w:rPr>
              <w:t>厂区</w:t>
            </w:r>
            <w:r>
              <w:rPr>
                <w:color w:val="auto"/>
                <w:highlight w:val="none"/>
              </w:rPr>
              <w:t>污水处理</w:t>
            </w:r>
            <w:r>
              <w:rPr>
                <w:rFonts w:hint="eastAsia"/>
                <w:color w:val="auto"/>
                <w:highlight w:val="none"/>
                <w:lang w:val="en-US" w:eastAsia="zh-CN"/>
              </w:rPr>
              <w:t>站</w:t>
            </w:r>
            <w:r>
              <w:rPr>
                <w:color w:val="auto"/>
                <w:highlight w:val="none"/>
              </w:rPr>
              <w:t>工艺流程图</w:t>
            </w:r>
          </w:p>
          <w:p w14:paraId="3FFC610F">
            <w:pPr>
              <w:spacing w:line="360" w:lineRule="auto"/>
              <w:ind w:firstLine="480" w:firstLineChars="200"/>
              <w:rPr>
                <w:color w:val="auto"/>
                <w:sz w:val="24"/>
                <w:highlight w:val="none"/>
              </w:rPr>
            </w:pPr>
            <w:r>
              <w:rPr>
                <w:color w:val="auto"/>
                <w:sz w:val="24"/>
                <w:highlight w:val="none"/>
              </w:rPr>
              <w:t>所有生产废水收集后进入</w:t>
            </w:r>
            <w:r>
              <w:rPr>
                <w:rFonts w:hint="eastAsia"/>
                <w:color w:val="auto"/>
                <w:sz w:val="24"/>
                <w:highlight w:val="none"/>
                <w:lang w:val="en-US" w:eastAsia="zh-CN"/>
              </w:rPr>
              <w:t>预处理</w:t>
            </w:r>
            <w:r>
              <w:rPr>
                <w:color w:val="auto"/>
                <w:sz w:val="24"/>
                <w:highlight w:val="none"/>
              </w:rPr>
              <w:t>调节池，调节水量，均化水质，同时鼓入压缩空气，进行预曝气，将废水中的挥发性污染物去除；用水泵定量将调节池废水泵入内电解池，泵前调整pH值为5-6左右，加入H</w:t>
            </w:r>
            <w:r>
              <w:rPr>
                <w:color w:val="auto"/>
                <w:sz w:val="24"/>
                <w:highlight w:val="none"/>
                <w:vertAlign w:val="subscript"/>
              </w:rPr>
              <w:t>2</w:t>
            </w:r>
            <w:r>
              <w:rPr>
                <w:color w:val="auto"/>
                <w:sz w:val="24"/>
                <w:highlight w:val="none"/>
              </w:rPr>
              <w:t>O</w:t>
            </w:r>
            <w:r>
              <w:rPr>
                <w:color w:val="auto"/>
                <w:sz w:val="24"/>
                <w:highlight w:val="none"/>
                <w:vertAlign w:val="subscript"/>
              </w:rPr>
              <w:t>2</w:t>
            </w:r>
            <w:r>
              <w:rPr>
                <w:color w:val="auto"/>
                <w:sz w:val="24"/>
                <w:highlight w:val="none"/>
              </w:rPr>
              <w:t>，同时间歇加入压缩空气，废水在微原电池的作用下，并且微电解反应过程中可产生大量的Fe</w:t>
            </w:r>
            <w:r>
              <w:rPr>
                <w:color w:val="auto"/>
                <w:sz w:val="24"/>
                <w:highlight w:val="none"/>
                <w:vertAlign w:val="superscript"/>
              </w:rPr>
              <w:t>2+</w:t>
            </w:r>
            <w:r>
              <w:rPr>
                <w:color w:val="auto"/>
                <w:sz w:val="24"/>
                <w:highlight w:val="none"/>
              </w:rPr>
              <w:t>，而Fe</w:t>
            </w:r>
            <w:r>
              <w:rPr>
                <w:color w:val="auto"/>
                <w:sz w:val="24"/>
                <w:highlight w:val="none"/>
                <w:vertAlign w:val="superscript"/>
              </w:rPr>
              <w:t>2+</w:t>
            </w:r>
            <w:r>
              <w:rPr>
                <w:color w:val="auto"/>
                <w:sz w:val="24"/>
                <w:highlight w:val="none"/>
              </w:rPr>
              <w:t>在过氧化氢存在的条件下可发生Fenton反应，对生物法难处理的废水进行预处理，对大分子有机污染物开环、断链，提高废水的可生化性，降低含盐量，以利于后续生化反应的进行；出水自流进入混凝沉淀池，将pH值调整为8左右，加入絮凝剂和混凝剂，经过絮凝沉淀去除部分有机污染物，提高废水的可生化性；出水与经化粪池处理后的生活污水一起泵入UASB厌氧池底部，在UASB厌氧池中，利用厌氧菌的酸化、水解作用，将废水中的高分子有机污染物断链分解为有机酸等小分子有机化合物，以利于后续的好氧生化降解，去除有机污染物；UASB厌氧池出水自流进入一级缺氧池，在一级缺氧池内设有搅拌器，将一级生物接触氧化池混合液和一级缺氧池废水搅拌混合均匀，通过反硝菌作用在此发生反硝化反应，去除废水中的氨氮；出水自流进入一级生物接触氧化池，水中各种有机污染物通过好氧微生物的氧化分解作用被转化为CO</w:t>
            </w:r>
            <w:r>
              <w:rPr>
                <w:color w:val="auto"/>
                <w:sz w:val="24"/>
                <w:highlight w:val="none"/>
                <w:vertAlign w:val="subscript"/>
              </w:rPr>
              <w:t>2</w:t>
            </w:r>
            <w:r>
              <w:rPr>
                <w:color w:val="auto"/>
                <w:sz w:val="24"/>
                <w:highlight w:val="none"/>
              </w:rPr>
              <w:t>、H</w:t>
            </w:r>
            <w:r>
              <w:rPr>
                <w:color w:val="auto"/>
                <w:sz w:val="24"/>
                <w:highlight w:val="none"/>
                <w:vertAlign w:val="subscript"/>
              </w:rPr>
              <w:t>2</w:t>
            </w:r>
            <w:r>
              <w:rPr>
                <w:color w:val="auto"/>
                <w:sz w:val="24"/>
                <w:highlight w:val="none"/>
              </w:rPr>
              <w:t>O等无害的物质；出水一部分回流至一级缺氧池，剩下自流进入一沉池，进行固液分离，与一级生物接触氧化池填料上脱落的生物膜及其它悬浮物一起在此沉淀并收集在一沉池污泥斗中；一沉池上清液进入二级缺氧池，在二级缺氧池内设有搅拌器，将二级生物接触氧化池混合液和二级缺氧池废水搅拌混合均匀，通过反硝菌作用在此发生反硝化反应，去除废水中的氨氮；出水一部分回流至二级缺氧池，剩下自流进入二沉池，进行固液分离，与二级生物接触氧化池填料上脱落的生物膜及其它悬浮物一起在此沉淀并收集在二沉池污泥斗中；二沉池出水50%回流至水解酸化池，稀释原水浓度，降低废水处理难度；二沉池出水自流进入排放渠，最终达标排放。</w:t>
            </w:r>
          </w:p>
          <w:p w14:paraId="0412696A">
            <w:pPr>
              <w:spacing w:line="360" w:lineRule="auto"/>
              <w:ind w:firstLine="480" w:firstLineChars="200"/>
              <w:rPr>
                <w:color w:val="auto"/>
                <w:sz w:val="24"/>
                <w:highlight w:val="none"/>
              </w:rPr>
            </w:pPr>
            <w:r>
              <w:rPr>
                <w:color w:val="auto"/>
                <w:sz w:val="24"/>
                <w:highlight w:val="none"/>
              </w:rPr>
              <w:t>内电解池定期进行反冲洗，内电解池反冲出水自流进入混凝沉淀池；初沉池的污泥、混凝沉淀池的污泥、UASB厌氧池的剩余污泥、一沉池、二沉池的污泥定期用泵泵入污泥浓缩池；浓缩后的污泥用泵泵入叠螺式污泥脱水机进行压滤脱水，脱水后的污泥外运处置，污泥浓缩池的上清液、压滤液返回调节池进行再处理。</w:t>
            </w:r>
          </w:p>
          <w:p w14:paraId="6F7C7556">
            <w:pPr>
              <w:pStyle w:val="41"/>
              <w:rPr>
                <w:color w:val="auto"/>
                <w:kern w:val="2"/>
                <w:szCs w:val="21"/>
                <w:highlight w:val="none"/>
              </w:rPr>
            </w:pPr>
            <w:r>
              <w:rPr>
                <w:color w:val="auto"/>
                <w:kern w:val="2"/>
                <w:szCs w:val="21"/>
                <w:highlight w:val="none"/>
              </w:rPr>
              <w:t>废水排放口情况</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41"/>
              <w:gridCol w:w="1049"/>
              <w:gridCol w:w="1994"/>
              <w:gridCol w:w="1088"/>
              <w:gridCol w:w="2035"/>
              <w:gridCol w:w="1993"/>
            </w:tblGrid>
            <w:tr w14:paraId="1EFD41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trPr>
              <w:tc>
                <w:tcPr>
                  <w:tcW w:w="566" w:type="pct"/>
                  <w:vMerge w:val="restart"/>
                  <w:tcBorders>
                    <w:bottom w:val="single" w:color="auto" w:sz="6" w:space="0"/>
                    <w:right w:val="single" w:color="auto" w:sz="6" w:space="0"/>
                  </w:tcBorders>
                  <w:vAlign w:val="center"/>
                </w:tcPr>
                <w:p w14:paraId="22B1E472">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编号及名称</w:t>
                  </w:r>
                </w:p>
              </w:tc>
              <w:tc>
                <w:tcPr>
                  <w:tcW w:w="570" w:type="pct"/>
                  <w:vMerge w:val="restart"/>
                  <w:tcBorders>
                    <w:left w:val="single" w:color="auto" w:sz="6" w:space="0"/>
                    <w:bottom w:val="single" w:color="auto" w:sz="6" w:space="0"/>
                    <w:right w:val="single" w:color="auto" w:sz="6" w:space="0"/>
                  </w:tcBorders>
                  <w:vAlign w:val="center"/>
                </w:tcPr>
                <w:p w14:paraId="04326C9B">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类型</w:t>
                  </w:r>
                </w:p>
              </w:tc>
              <w:tc>
                <w:tcPr>
                  <w:tcW w:w="1084" w:type="pct"/>
                  <w:vMerge w:val="restart"/>
                  <w:tcBorders>
                    <w:left w:val="single" w:color="auto" w:sz="6" w:space="0"/>
                    <w:bottom w:val="single" w:color="auto" w:sz="6" w:space="0"/>
                    <w:right w:val="single" w:color="auto" w:sz="6" w:space="0"/>
                  </w:tcBorders>
                  <w:vAlign w:val="center"/>
                </w:tcPr>
                <w:p w14:paraId="7C23E7EF">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地理坐标</w:t>
                  </w:r>
                </w:p>
              </w:tc>
              <w:tc>
                <w:tcPr>
                  <w:tcW w:w="591" w:type="pct"/>
                  <w:vMerge w:val="restart"/>
                  <w:tcBorders>
                    <w:left w:val="single" w:color="auto" w:sz="6" w:space="0"/>
                    <w:bottom w:val="single" w:color="auto" w:sz="6" w:space="0"/>
                    <w:right w:val="single" w:color="auto" w:sz="6" w:space="0"/>
                  </w:tcBorders>
                  <w:vAlign w:val="center"/>
                </w:tcPr>
                <w:p w14:paraId="6CC1F6D0">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排放方式</w:t>
                  </w:r>
                </w:p>
              </w:tc>
              <w:tc>
                <w:tcPr>
                  <w:tcW w:w="1106" w:type="pct"/>
                  <w:vMerge w:val="restart"/>
                  <w:tcBorders>
                    <w:left w:val="single" w:color="auto" w:sz="6" w:space="0"/>
                    <w:bottom w:val="single" w:color="auto" w:sz="6" w:space="0"/>
                    <w:right w:val="single" w:color="auto" w:sz="6" w:space="0"/>
                  </w:tcBorders>
                  <w:vAlign w:val="center"/>
                </w:tcPr>
                <w:p w14:paraId="4FB008E4">
                  <w:pPr>
                    <w:pStyle w:val="100"/>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排放规律</w:t>
                  </w:r>
                </w:p>
              </w:tc>
              <w:tc>
                <w:tcPr>
                  <w:tcW w:w="1081" w:type="pct"/>
                  <w:vMerge w:val="restart"/>
                  <w:tcBorders>
                    <w:left w:val="single" w:color="auto" w:sz="6" w:space="0"/>
                    <w:bottom w:val="single" w:color="auto" w:sz="6" w:space="0"/>
                  </w:tcBorders>
                  <w:vAlign w:val="center"/>
                </w:tcPr>
                <w:p w14:paraId="271D3CCA">
                  <w:pPr>
                    <w:widowControl/>
                    <w:jc w:val="center"/>
                    <w:rPr>
                      <w:b/>
                      <w:color w:val="auto"/>
                      <w:szCs w:val="21"/>
                      <w:highlight w:val="none"/>
                    </w:rPr>
                  </w:pPr>
                  <w:r>
                    <w:rPr>
                      <w:b/>
                      <w:color w:val="auto"/>
                      <w:szCs w:val="21"/>
                      <w:highlight w:val="none"/>
                    </w:rPr>
                    <w:t>排放去向</w:t>
                  </w:r>
                </w:p>
              </w:tc>
            </w:tr>
            <w:tr w14:paraId="765836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trPr>
              <w:tc>
                <w:tcPr>
                  <w:tcW w:w="566" w:type="pct"/>
                  <w:vMerge w:val="continue"/>
                  <w:tcBorders>
                    <w:top w:val="single" w:color="auto" w:sz="12" w:space="0"/>
                    <w:bottom w:val="single" w:color="auto" w:sz="6" w:space="0"/>
                    <w:right w:val="single" w:color="auto" w:sz="6" w:space="0"/>
                  </w:tcBorders>
                  <w:vAlign w:val="center"/>
                </w:tcPr>
                <w:p w14:paraId="1BDE94AB">
                  <w:pPr>
                    <w:widowControl/>
                    <w:jc w:val="left"/>
                    <w:rPr>
                      <w:b/>
                      <w:color w:val="auto"/>
                      <w:szCs w:val="21"/>
                      <w:highlight w:val="none"/>
                    </w:rPr>
                  </w:pPr>
                </w:p>
              </w:tc>
              <w:tc>
                <w:tcPr>
                  <w:tcW w:w="570" w:type="pct"/>
                  <w:vMerge w:val="continue"/>
                  <w:tcBorders>
                    <w:top w:val="single" w:color="auto" w:sz="12" w:space="0"/>
                    <w:left w:val="single" w:color="auto" w:sz="6" w:space="0"/>
                    <w:bottom w:val="single" w:color="auto" w:sz="6" w:space="0"/>
                    <w:right w:val="single" w:color="auto" w:sz="6" w:space="0"/>
                  </w:tcBorders>
                  <w:vAlign w:val="center"/>
                </w:tcPr>
                <w:p w14:paraId="5D809242">
                  <w:pPr>
                    <w:widowControl/>
                    <w:jc w:val="left"/>
                    <w:rPr>
                      <w:b/>
                      <w:color w:val="auto"/>
                      <w:szCs w:val="21"/>
                      <w:highlight w:val="none"/>
                    </w:rPr>
                  </w:pPr>
                </w:p>
              </w:tc>
              <w:tc>
                <w:tcPr>
                  <w:tcW w:w="1084" w:type="pct"/>
                  <w:vMerge w:val="continue"/>
                  <w:tcBorders>
                    <w:top w:val="single" w:color="auto" w:sz="12" w:space="0"/>
                    <w:left w:val="single" w:color="auto" w:sz="6" w:space="0"/>
                    <w:bottom w:val="single" w:color="auto" w:sz="6" w:space="0"/>
                    <w:right w:val="single" w:color="auto" w:sz="6" w:space="0"/>
                  </w:tcBorders>
                  <w:vAlign w:val="center"/>
                </w:tcPr>
                <w:p w14:paraId="2531E689">
                  <w:pPr>
                    <w:widowControl/>
                    <w:jc w:val="left"/>
                    <w:rPr>
                      <w:b/>
                      <w:color w:val="auto"/>
                      <w:szCs w:val="21"/>
                      <w:highlight w:val="none"/>
                    </w:rPr>
                  </w:pPr>
                </w:p>
              </w:tc>
              <w:tc>
                <w:tcPr>
                  <w:tcW w:w="591" w:type="pct"/>
                  <w:vMerge w:val="continue"/>
                  <w:tcBorders>
                    <w:top w:val="single" w:color="auto" w:sz="12" w:space="0"/>
                    <w:left w:val="single" w:color="auto" w:sz="6" w:space="0"/>
                    <w:bottom w:val="single" w:color="auto" w:sz="6" w:space="0"/>
                    <w:right w:val="single" w:color="auto" w:sz="6" w:space="0"/>
                  </w:tcBorders>
                  <w:vAlign w:val="center"/>
                </w:tcPr>
                <w:p w14:paraId="362E16D2">
                  <w:pPr>
                    <w:widowControl/>
                    <w:jc w:val="left"/>
                    <w:rPr>
                      <w:b/>
                      <w:color w:val="auto"/>
                      <w:szCs w:val="21"/>
                      <w:highlight w:val="none"/>
                    </w:rPr>
                  </w:pPr>
                </w:p>
              </w:tc>
              <w:tc>
                <w:tcPr>
                  <w:tcW w:w="1106" w:type="pct"/>
                  <w:vMerge w:val="continue"/>
                  <w:tcBorders>
                    <w:top w:val="single" w:color="auto" w:sz="12" w:space="0"/>
                    <w:left w:val="single" w:color="auto" w:sz="6" w:space="0"/>
                    <w:bottom w:val="single" w:color="auto" w:sz="6" w:space="0"/>
                    <w:right w:val="single" w:color="auto" w:sz="6" w:space="0"/>
                  </w:tcBorders>
                  <w:vAlign w:val="center"/>
                </w:tcPr>
                <w:p w14:paraId="2BCA8D74">
                  <w:pPr>
                    <w:widowControl/>
                    <w:jc w:val="left"/>
                    <w:rPr>
                      <w:b/>
                      <w:color w:val="auto"/>
                      <w:szCs w:val="21"/>
                      <w:highlight w:val="none"/>
                    </w:rPr>
                  </w:pPr>
                </w:p>
              </w:tc>
              <w:tc>
                <w:tcPr>
                  <w:tcW w:w="1081" w:type="pct"/>
                  <w:vMerge w:val="continue"/>
                  <w:tcBorders>
                    <w:top w:val="single" w:color="auto" w:sz="12" w:space="0"/>
                    <w:left w:val="single" w:color="auto" w:sz="6" w:space="0"/>
                    <w:bottom w:val="single" w:color="auto" w:sz="6" w:space="0"/>
                  </w:tcBorders>
                  <w:vAlign w:val="center"/>
                </w:tcPr>
                <w:p w14:paraId="64363225">
                  <w:pPr>
                    <w:widowControl/>
                    <w:jc w:val="left"/>
                    <w:rPr>
                      <w:b/>
                      <w:color w:val="auto"/>
                      <w:szCs w:val="21"/>
                      <w:highlight w:val="none"/>
                    </w:rPr>
                  </w:pPr>
                </w:p>
              </w:tc>
            </w:tr>
            <w:tr w14:paraId="317937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8" w:hRule="atLeast"/>
                <w:tblHeader/>
              </w:trPr>
              <w:tc>
                <w:tcPr>
                  <w:tcW w:w="566" w:type="pct"/>
                  <w:tcBorders>
                    <w:top w:val="single" w:color="auto" w:sz="6" w:space="0"/>
                    <w:bottom w:val="single" w:color="auto" w:sz="6" w:space="0"/>
                    <w:right w:val="single" w:color="auto" w:sz="6" w:space="0"/>
                  </w:tcBorders>
                  <w:vAlign w:val="center"/>
                </w:tcPr>
                <w:p w14:paraId="6BAB718B">
                  <w:pPr>
                    <w:pStyle w:val="100"/>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DW001</w:t>
                  </w:r>
                </w:p>
                <w:p w14:paraId="1773B124">
                  <w:pPr>
                    <w:pStyle w:val="100"/>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全厂废水</w:t>
                  </w:r>
                  <w:r>
                    <w:rPr>
                      <w:rFonts w:ascii="Times New Roman" w:hAnsi="Times New Roman"/>
                      <w:color w:val="auto"/>
                      <w:szCs w:val="21"/>
                      <w:highlight w:val="none"/>
                    </w:rPr>
                    <w:t>总排口</w:t>
                  </w:r>
                </w:p>
              </w:tc>
              <w:tc>
                <w:tcPr>
                  <w:tcW w:w="570" w:type="pct"/>
                  <w:tcBorders>
                    <w:top w:val="single" w:color="auto" w:sz="6" w:space="0"/>
                    <w:left w:val="single" w:color="auto" w:sz="6" w:space="0"/>
                    <w:bottom w:val="single" w:color="auto" w:sz="6" w:space="0"/>
                    <w:right w:val="single" w:color="auto" w:sz="6" w:space="0"/>
                  </w:tcBorders>
                  <w:vAlign w:val="center"/>
                </w:tcPr>
                <w:p w14:paraId="78399AB5">
                  <w:pPr>
                    <w:pStyle w:val="100"/>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一般排放口</w:t>
                  </w:r>
                </w:p>
              </w:tc>
              <w:tc>
                <w:tcPr>
                  <w:tcW w:w="1084" w:type="pct"/>
                  <w:tcBorders>
                    <w:top w:val="single" w:color="auto" w:sz="6" w:space="0"/>
                    <w:left w:val="single" w:color="auto" w:sz="6" w:space="0"/>
                    <w:bottom w:val="single" w:color="auto" w:sz="6" w:space="0"/>
                    <w:right w:val="single" w:color="auto" w:sz="6" w:space="0"/>
                  </w:tcBorders>
                  <w:vAlign w:val="center"/>
                </w:tcPr>
                <w:p w14:paraId="2007D0FC">
                  <w:pPr>
                    <w:pStyle w:val="100"/>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E</w:t>
                  </w:r>
                  <w:r>
                    <w:rPr>
                      <w:rFonts w:hint="eastAsia" w:ascii="Times New Roman" w:hAnsi="Times New Roman"/>
                      <w:color w:val="auto"/>
                      <w:szCs w:val="21"/>
                      <w:highlight w:val="none"/>
                    </w:rPr>
                    <w:t>10</w:t>
                  </w:r>
                  <w:r>
                    <w:rPr>
                      <w:rFonts w:hint="eastAsia" w:ascii="Times New Roman" w:hAnsi="Times New Roman"/>
                      <w:color w:val="auto"/>
                      <w:szCs w:val="21"/>
                      <w:highlight w:val="none"/>
                      <w:lang w:val="en-US" w:eastAsia="zh-CN"/>
                    </w:rPr>
                    <w:t>5</w:t>
                  </w:r>
                  <w:r>
                    <w:rPr>
                      <w:rFonts w:ascii="Times New Roman" w:hAnsi="Times New Roman"/>
                      <w:color w:val="auto"/>
                      <w:szCs w:val="21"/>
                      <w:highlight w:val="none"/>
                    </w:rPr>
                    <w:t>°</w:t>
                  </w:r>
                  <w:r>
                    <w:rPr>
                      <w:rFonts w:hint="eastAsia" w:ascii="Times New Roman" w:hAnsi="Times New Roman"/>
                      <w:color w:val="auto"/>
                      <w:szCs w:val="21"/>
                      <w:highlight w:val="none"/>
                      <w:lang w:val="en-US" w:eastAsia="zh-CN"/>
                    </w:rPr>
                    <w:t>18′18.94″，</w:t>
                  </w:r>
                </w:p>
                <w:p w14:paraId="1EDF8208">
                  <w:pPr>
                    <w:pStyle w:val="100"/>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N30</w:t>
                  </w:r>
                  <w:r>
                    <w:rPr>
                      <w:rFonts w:hint="eastAsia" w:ascii="Times New Roman" w:hAnsi="Times New Roman"/>
                      <w:color w:val="auto"/>
                      <w:szCs w:val="21"/>
                      <w:highlight w:val="none"/>
                      <w:lang w:val="en-US" w:eastAsia="zh-CN"/>
                    </w:rPr>
                    <w:t>°35′54.49″</w:t>
                  </w:r>
                </w:p>
              </w:tc>
              <w:tc>
                <w:tcPr>
                  <w:tcW w:w="591" w:type="pct"/>
                  <w:tcBorders>
                    <w:top w:val="single" w:color="auto" w:sz="6" w:space="0"/>
                    <w:left w:val="single" w:color="auto" w:sz="6" w:space="0"/>
                    <w:bottom w:val="single" w:color="auto" w:sz="6" w:space="0"/>
                    <w:right w:val="single" w:color="auto" w:sz="6" w:space="0"/>
                  </w:tcBorders>
                  <w:vAlign w:val="center"/>
                </w:tcPr>
                <w:p w14:paraId="528869E0">
                  <w:pPr>
                    <w:pStyle w:val="100"/>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间接</w:t>
                  </w:r>
                </w:p>
                <w:p w14:paraId="54FD2F87">
                  <w:pPr>
                    <w:pStyle w:val="100"/>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排放</w:t>
                  </w:r>
                </w:p>
              </w:tc>
              <w:tc>
                <w:tcPr>
                  <w:tcW w:w="1106" w:type="pct"/>
                  <w:tcBorders>
                    <w:top w:val="single" w:color="auto" w:sz="6" w:space="0"/>
                    <w:left w:val="single" w:color="auto" w:sz="6" w:space="0"/>
                    <w:bottom w:val="single" w:color="auto" w:sz="6" w:space="0"/>
                    <w:right w:val="single" w:color="auto" w:sz="6" w:space="0"/>
                  </w:tcBorders>
                  <w:vAlign w:val="center"/>
                </w:tcPr>
                <w:p w14:paraId="4196C257">
                  <w:pPr>
                    <w:pStyle w:val="100"/>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间断排放，排放期间流量不稳定且无规律，但不属于冲击型排放</w:t>
                  </w:r>
                </w:p>
              </w:tc>
              <w:tc>
                <w:tcPr>
                  <w:tcW w:w="1081" w:type="pct"/>
                  <w:tcBorders>
                    <w:top w:val="single" w:color="auto" w:sz="6" w:space="0"/>
                    <w:left w:val="single" w:color="auto" w:sz="6" w:space="0"/>
                    <w:bottom w:val="single" w:color="auto" w:sz="6" w:space="0"/>
                  </w:tcBorders>
                  <w:vAlign w:val="center"/>
                </w:tcPr>
                <w:p w14:paraId="04651745">
                  <w:pPr>
                    <w:pStyle w:val="100"/>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经处理后排入</w:t>
                  </w:r>
                  <w:r>
                    <w:rPr>
                      <w:rFonts w:hint="eastAsia" w:ascii="Times New Roman" w:hAnsi="Times New Roman"/>
                      <w:color w:val="auto"/>
                      <w:szCs w:val="21"/>
                      <w:highlight w:val="none"/>
                      <w:lang w:val="en-US" w:eastAsia="zh-CN"/>
                    </w:rPr>
                    <w:t>大英工业集中发展区</w:t>
                  </w:r>
                  <w:r>
                    <w:rPr>
                      <w:rFonts w:hint="eastAsia" w:ascii="Times New Roman" w:hAnsi="Times New Roman"/>
                      <w:color w:val="auto"/>
                      <w:szCs w:val="21"/>
                      <w:highlight w:val="none"/>
                    </w:rPr>
                    <w:t>污水处理厂</w:t>
                  </w:r>
                  <w:r>
                    <w:rPr>
                      <w:rFonts w:ascii="Times New Roman" w:hAnsi="Times New Roman"/>
                      <w:color w:val="auto"/>
                      <w:szCs w:val="21"/>
                      <w:highlight w:val="none"/>
                    </w:rPr>
                    <w:t>最终排入</w:t>
                  </w:r>
                  <w:r>
                    <w:rPr>
                      <w:rFonts w:hint="eastAsia" w:ascii="Times New Roman" w:hAnsi="Times New Roman"/>
                      <w:color w:val="auto"/>
                      <w:szCs w:val="21"/>
                      <w:highlight w:val="none"/>
                      <w:lang w:val="en-US" w:eastAsia="zh-CN"/>
                    </w:rPr>
                    <w:t>郪</w:t>
                  </w:r>
                  <w:r>
                    <w:rPr>
                      <w:rFonts w:ascii="Times New Roman" w:hAnsi="Times New Roman"/>
                      <w:color w:val="auto"/>
                      <w:szCs w:val="21"/>
                      <w:highlight w:val="none"/>
                    </w:rPr>
                    <w:t>江</w:t>
                  </w:r>
                </w:p>
              </w:tc>
            </w:tr>
            <w:tr w14:paraId="32D742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blHeader/>
              </w:trPr>
              <w:tc>
                <w:tcPr>
                  <w:tcW w:w="5000" w:type="pct"/>
                  <w:gridSpan w:val="6"/>
                  <w:tcBorders>
                    <w:top w:val="single" w:color="auto" w:sz="6" w:space="0"/>
                  </w:tcBorders>
                  <w:vAlign w:val="center"/>
                </w:tcPr>
                <w:p w14:paraId="453250DD">
                  <w:pPr>
                    <w:pStyle w:val="100"/>
                    <w:adjustRightInd w:val="0"/>
                    <w:snapToGrid w:val="0"/>
                    <w:rPr>
                      <w:rFonts w:ascii="Times New Roman" w:hAnsi="Times New Roman"/>
                      <w:color w:val="auto"/>
                      <w:szCs w:val="21"/>
                      <w:highlight w:val="none"/>
                    </w:rPr>
                  </w:pPr>
                  <w:r>
                    <w:rPr>
                      <w:rFonts w:ascii="Times New Roman" w:hAnsi="Times New Roman"/>
                      <w:color w:val="auto"/>
                      <w:szCs w:val="21"/>
                      <w:highlight w:val="none"/>
                      <w:lang w:bidi="ar"/>
                    </w:rPr>
                    <w:t>排放规律：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tc>
            </w:tr>
          </w:tbl>
          <w:p w14:paraId="12BEC245">
            <w:pPr>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rPr>
              <w:t>4</w:t>
            </w:r>
            <w:r>
              <w:rPr>
                <w:b/>
                <w:color w:val="auto"/>
                <w:sz w:val="24"/>
                <w:highlight w:val="none"/>
              </w:rPr>
              <w:t>）</w:t>
            </w:r>
            <w:r>
              <w:rPr>
                <w:rFonts w:hint="eastAsia"/>
                <w:b/>
                <w:color w:val="auto"/>
                <w:sz w:val="24"/>
                <w:highlight w:val="none"/>
              </w:rPr>
              <w:t>依托污水处理厂可行性分析</w:t>
            </w:r>
          </w:p>
          <w:p w14:paraId="64F419D2">
            <w:pPr>
              <w:spacing w:line="360" w:lineRule="auto"/>
              <w:ind w:firstLine="468" w:firstLineChars="200"/>
              <w:outlineLvl w:val="1"/>
              <w:rPr>
                <w:rFonts w:hint="default" w:cs="Times New Roman"/>
                <w:color w:val="auto"/>
                <w:sz w:val="24"/>
                <w:szCs w:val="24"/>
                <w:highlight w:val="none"/>
                <w:lang w:val="en-US" w:eastAsia="zh-CN"/>
              </w:rPr>
            </w:pPr>
            <w:r>
              <w:rPr>
                <w:rFonts w:hint="eastAsia" w:cs="Times New Roman"/>
                <w:color w:val="auto"/>
                <w:spacing w:val="-3"/>
                <w:sz w:val="24"/>
                <w:szCs w:val="24"/>
                <w:highlight w:val="none"/>
                <w:lang w:val="en-US" w:eastAsia="zh-CN"/>
              </w:rPr>
              <w:t>本次技改后新增废水排放量为54.428</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pacing w:val="-3"/>
                <w:sz w:val="24"/>
                <w:szCs w:val="24"/>
                <w:highlight w:val="none"/>
              </w:rPr>
              <w:t>/d，</w:t>
            </w:r>
            <w:r>
              <w:rPr>
                <w:rFonts w:hint="eastAsia" w:cs="Times New Roman"/>
                <w:color w:val="auto"/>
                <w:spacing w:val="-3"/>
                <w:sz w:val="24"/>
                <w:szCs w:val="24"/>
                <w:highlight w:val="none"/>
                <w:lang w:val="en-US" w:eastAsia="zh-CN"/>
              </w:rPr>
              <w:t>全厂废水排放量为76.728</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pacing w:val="-3"/>
                <w:sz w:val="24"/>
                <w:szCs w:val="24"/>
                <w:highlight w:val="none"/>
              </w:rPr>
              <w:t>/d</w:t>
            </w:r>
            <w:r>
              <w:rPr>
                <w:rFonts w:hint="eastAsia" w:cs="Times New Roman"/>
                <w:color w:val="auto"/>
                <w:spacing w:val="-3"/>
                <w:sz w:val="24"/>
                <w:szCs w:val="24"/>
                <w:highlight w:val="none"/>
                <w:lang w:eastAsia="zh-CN"/>
              </w:rPr>
              <w:t>，</w:t>
            </w:r>
            <w:r>
              <w:rPr>
                <w:rFonts w:hint="eastAsia" w:ascii="Times New Roman" w:hAnsi="Times New Roman" w:eastAsia="宋体" w:cs="Times New Roman"/>
                <w:color w:val="auto"/>
                <w:spacing w:val="-3"/>
                <w:sz w:val="24"/>
                <w:szCs w:val="24"/>
                <w:highlight w:val="none"/>
                <w:lang w:val="en-US" w:eastAsia="zh-CN"/>
              </w:rPr>
              <w:t>经厂区污水处理站处理达到</w:t>
            </w:r>
            <w:r>
              <w:rPr>
                <w:rFonts w:hint="default" w:ascii="Times New Roman" w:hAnsi="Times New Roman" w:eastAsia="宋体" w:cs="Times New Roman"/>
                <w:color w:val="auto"/>
                <w:sz w:val="24"/>
                <w:szCs w:val="24"/>
                <w:highlight w:val="none"/>
              </w:rPr>
              <w:t>《污水综合排放标准》（GB8978-1996）中三级标准后</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经园区排污管网排入大英县工业污水处理厂处理达标后排入郪江。</w:t>
            </w:r>
          </w:p>
          <w:p w14:paraId="257C5501">
            <w:pPr>
              <w:spacing w:line="360" w:lineRule="auto"/>
              <w:ind w:firstLine="476" w:firstLineChars="200"/>
              <w:outlineLvl w:val="1"/>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大英县工业污水处理厂位于遂宁市大英县工业集中发展区长沟附近，总占地约100亩。大英县工业污水处理厂总规模3万m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/d，目前</w:t>
            </w:r>
            <w:r>
              <w:rPr>
                <w:rFonts w:hint="eastAsia" w:cs="Times New Roman"/>
                <w:color w:val="auto"/>
                <w:spacing w:val="-1"/>
                <w:sz w:val="24"/>
                <w:szCs w:val="24"/>
                <w:highlight w:val="none"/>
                <w:lang w:val="en-US" w:eastAsia="zh-CN"/>
              </w:rPr>
              <w:t>一期工程</w:t>
            </w:r>
            <w:r>
              <w:rPr>
                <w:rFonts w:hint="default" w:ascii="Times New Roman" w:hAnsi="Times New Roman" w:eastAsia="宋体" w:cs="Times New Roman"/>
                <w:color w:val="auto"/>
                <w:spacing w:val="-1"/>
                <w:sz w:val="24"/>
                <w:szCs w:val="24"/>
                <w:highlight w:val="none"/>
              </w:rPr>
              <w:t>废水处理规模为1.0万m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/d，</w:t>
            </w:r>
            <w:r>
              <w:rPr>
                <w:rFonts w:hint="eastAsia" w:cs="Times New Roman"/>
                <w:color w:val="auto"/>
                <w:spacing w:val="-1"/>
                <w:sz w:val="24"/>
                <w:szCs w:val="24"/>
                <w:highlight w:val="none"/>
                <w:lang w:val="en-US" w:eastAsia="zh-CN"/>
              </w:rPr>
              <w:t>二期</w:t>
            </w:r>
            <w:r>
              <w:rPr>
                <w:rFonts w:hint="default" w:ascii="Times New Roman" w:hAnsi="Times New Roman" w:eastAsia="宋体" w:cs="Times New Roman"/>
                <w:color w:val="auto"/>
                <w:spacing w:val="-1"/>
                <w:sz w:val="24"/>
                <w:szCs w:val="24"/>
                <w:highlight w:val="none"/>
              </w:rPr>
              <w:t>扩至3.0万m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/d。</w:t>
            </w:r>
          </w:p>
          <w:p w14:paraId="36EBF384">
            <w:pPr>
              <w:spacing w:line="360" w:lineRule="auto"/>
              <w:ind w:firstLine="476" w:firstLineChars="200"/>
              <w:outlineLvl w:val="1"/>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大英县工业污水处理厂建设项目一期工程设计规模为1万m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/d，主要接纳大英县工业集中发展区内现有企业以及近期入驻项目排水，处理工艺为</w:t>
            </w:r>
            <w:r>
              <w:rPr>
                <w:rFonts w:hint="eastAsia" w:ascii="宋体" w:hAnsi="宋体" w:eastAsia="宋体" w:cs="宋体"/>
                <w:color w:val="auto"/>
                <w:spacing w:val="-1"/>
                <w:sz w:val="24"/>
                <w:szCs w:val="24"/>
                <w:highlight w:val="none"/>
              </w:rPr>
              <w:t>“收集、预处理+水解酸化</w:t>
            </w:r>
            <w:r>
              <w:rPr>
                <w:rFonts w:hint="default" w:ascii="Times New Roman" w:hAnsi="Times New Roman" w:eastAsia="宋体" w:cs="Times New Roman"/>
                <w:color w:val="auto"/>
                <w:spacing w:val="-1"/>
                <w:sz w:val="24"/>
                <w:szCs w:val="24"/>
                <w:highlight w:val="none"/>
              </w:rPr>
              <w:t>+A</w:t>
            </w:r>
            <w:r>
              <w:rPr>
                <w:rFonts w:hint="default" w:ascii="Times New Roman" w:hAnsi="Times New Roman" w:eastAsia="宋体" w:cs="Times New Roman"/>
                <w:color w:val="auto"/>
                <w:spacing w:val="-1"/>
                <w:sz w:val="24"/>
                <w:szCs w:val="24"/>
                <w:highlight w:val="none"/>
                <w:vertAlign w:val="superscript"/>
              </w:rPr>
              <w:t>2</w:t>
            </w:r>
            <w:r>
              <w:rPr>
                <w:rFonts w:hint="default" w:ascii="Times New Roman" w:hAnsi="Times New Roman" w:eastAsia="宋体" w:cs="Times New Roman"/>
                <w:color w:val="auto"/>
                <w:spacing w:val="-1"/>
                <w:sz w:val="24"/>
                <w:szCs w:val="24"/>
                <w:highlight w:val="none"/>
              </w:rPr>
              <w:t>/O一体化自回流改良型氧化沟+MBR+中性催化+化学除磷（含高效沉淀、精密过滤）+垂直流人工湿</w:t>
            </w:r>
            <w:r>
              <w:rPr>
                <w:rFonts w:hint="eastAsia" w:ascii="宋体" w:hAnsi="宋体" w:eastAsia="宋体" w:cs="宋体"/>
                <w:color w:val="auto"/>
                <w:spacing w:val="-1"/>
                <w:sz w:val="24"/>
                <w:szCs w:val="24"/>
                <w:highlight w:val="none"/>
              </w:rPr>
              <w:t>地”</w:t>
            </w:r>
            <w:r>
              <w:rPr>
                <w:rFonts w:hint="default" w:ascii="Times New Roman" w:hAnsi="Times New Roman" w:eastAsia="宋体" w:cs="Times New Roman"/>
                <w:color w:val="auto"/>
                <w:spacing w:val="-1"/>
                <w:sz w:val="24"/>
                <w:szCs w:val="24"/>
                <w:highlight w:val="none"/>
              </w:rPr>
              <w:t>组合工艺，大英县工业污水处理厂一期工程</w:t>
            </w:r>
            <w:r>
              <w:rPr>
                <w:color w:val="auto"/>
                <w:spacing w:val="-4"/>
                <w:sz w:val="24"/>
                <w:szCs w:val="32"/>
                <w:highlight w:val="none"/>
              </w:rPr>
              <w:t>尾水达</w:t>
            </w:r>
            <w:r>
              <w:rPr>
                <w:rFonts w:hint="eastAsia"/>
                <w:color w:val="auto"/>
                <w:spacing w:val="-4"/>
                <w:sz w:val="24"/>
                <w:szCs w:val="32"/>
                <w:highlight w:val="none"/>
              </w:rPr>
              <w:t>《地表水环境质量标准》（GB3838-2002）中“Ⅲ类水体”（TN达到《四川省岷江、沱江流域水污染物排放标准》中“工业园区集中式污水处理厂”标准）</w:t>
            </w:r>
            <w:r>
              <w:rPr>
                <w:color w:val="auto"/>
                <w:sz w:val="24"/>
                <w:szCs w:val="32"/>
                <w:highlight w:val="none"/>
              </w:rPr>
              <w:t>排入</w:t>
            </w:r>
            <w:r>
              <w:rPr>
                <w:rFonts w:hint="eastAsia"/>
                <w:color w:val="auto"/>
                <w:sz w:val="24"/>
                <w:szCs w:val="32"/>
                <w:highlight w:val="none"/>
              </w:rPr>
              <w:t>郪江</w:t>
            </w:r>
            <w:r>
              <w:rPr>
                <w:color w:val="auto"/>
                <w:sz w:val="24"/>
                <w:szCs w:val="32"/>
                <w:highlight w:val="none"/>
              </w:rPr>
              <w:t>。</w:t>
            </w:r>
            <w:r>
              <w:rPr>
                <w:rFonts w:hint="default" w:ascii="Times New Roman" w:hAnsi="Times New Roman" w:eastAsia="宋体" w:cs="Times New Roman"/>
                <w:color w:val="auto"/>
                <w:spacing w:val="-1"/>
                <w:sz w:val="24"/>
                <w:szCs w:val="24"/>
                <w:highlight w:val="none"/>
              </w:rPr>
              <w:t>《大英县工业污水处理厂建设项目一期工程环境影响报告书》于2018年7月经遂宁市环境保护局批复（遂环评函〔2018〕85号），于2018年4月开工建设，2020年6月完成建设，同月投入试运行，并于2020年9月7日进行了环保竣工验收。</w:t>
            </w:r>
          </w:p>
          <w:p w14:paraId="4A94B4E5">
            <w:pPr>
              <w:spacing w:line="360" w:lineRule="auto"/>
              <w:ind w:firstLine="476" w:firstLineChars="200"/>
              <w:outlineLvl w:val="1"/>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大英县工业污水处理厂二期及配套管网建设项目设计规模为2万m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/d；新建配套支干管网10公里及配套附属设施；新建中水回用设施、设备、管网及配套附属设施等。废水处理工艺为“粗格栅提升泵房+细格栅曝气沉砂池+调节池+水解酸化池+改良A</w:t>
            </w:r>
            <w:r>
              <w:rPr>
                <w:rFonts w:hint="default" w:ascii="Times New Roman" w:hAnsi="Times New Roman" w:eastAsia="宋体" w:cs="Times New Roman"/>
                <w:color w:val="auto"/>
                <w:spacing w:val="-1"/>
                <w:sz w:val="24"/>
                <w:szCs w:val="24"/>
                <w:highlight w:val="none"/>
                <w:vertAlign w:val="superscript"/>
              </w:rPr>
              <w:t>2</w:t>
            </w:r>
            <w:r>
              <w:rPr>
                <w:rFonts w:hint="default" w:ascii="Times New Roman" w:hAnsi="Times New Roman" w:eastAsia="宋体" w:cs="Times New Roman"/>
                <w:color w:val="auto"/>
                <w:spacing w:val="-1"/>
                <w:sz w:val="24"/>
                <w:szCs w:val="24"/>
                <w:highlight w:val="none"/>
              </w:rPr>
              <w:t>O+二沉池+高效沉淀池+曝气+反硝化深床滤池+</w:t>
            </w:r>
            <w:r>
              <w:rPr>
                <w:rFonts w:hint="eastAsia" w:cs="Times New Roman"/>
                <w:color w:val="auto"/>
                <w:spacing w:val="-1"/>
                <w:sz w:val="24"/>
                <w:szCs w:val="24"/>
                <w:highlight w:val="none"/>
                <w:lang w:eastAsia="zh-CN"/>
              </w:rPr>
              <w:t>活性炭</w:t>
            </w:r>
            <w:r>
              <w:rPr>
                <w:rFonts w:hint="default" w:ascii="Times New Roman" w:hAnsi="Times New Roman" w:eastAsia="宋体" w:cs="Times New Roman"/>
                <w:color w:val="auto"/>
                <w:spacing w:val="-1"/>
                <w:sz w:val="24"/>
                <w:szCs w:val="24"/>
                <w:highlight w:val="none"/>
              </w:rPr>
              <w:t>吸附池+臭氧氧化池+接触清水池+出水”。污水处理厂进水主要用于大英县工业集中发展区现有企业以及近期入驻项目排水（包括生产废水、生活污水等）集中处理，出水达《城市污水再生利用工业用水水质》（</w:t>
            </w:r>
            <w:r>
              <w:rPr>
                <w:rFonts w:hint="eastAsia" w:cs="Times New Roman"/>
                <w:color w:val="auto"/>
                <w:spacing w:val="-1"/>
                <w:sz w:val="24"/>
                <w:szCs w:val="24"/>
                <w:highlight w:val="none"/>
                <w:lang w:eastAsia="zh-CN"/>
              </w:rPr>
              <w:t>GB/T19923-2024</w:t>
            </w:r>
            <w:r>
              <w:rPr>
                <w:rFonts w:hint="default" w:ascii="Times New Roman" w:hAnsi="Times New Roman" w:eastAsia="宋体" w:cs="Times New Roman"/>
                <w:color w:val="auto"/>
                <w:spacing w:val="-1"/>
                <w:sz w:val="24"/>
                <w:szCs w:val="24"/>
                <w:highlight w:val="none"/>
              </w:rPr>
              <w:t>）和《城市污水再生利用城市杂用水水质》（GB/T18920-2020）标准后全部回用于园区工业企业生产用水或园区绿化浇洒及道路冲洗。项目建成后，全厂处理规模达到3万m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/d，中水回用2万m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/d，外排水1万m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/d。《大英县工业污水处理厂二期及配套管网建设项目环境影响报告书》于2023年2月经遂宁市生态环境局批复（遂环评函〔2023〕9号），目前正在进行设备调试</w:t>
            </w:r>
            <w:r>
              <w:rPr>
                <w:rFonts w:hint="eastAsia" w:cs="Times New Roman"/>
                <w:color w:val="auto"/>
                <w:spacing w:val="-1"/>
                <w:sz w:val="24"/>
                <w:szCs w:val="24"/>
                <w:highlight w:val="none"/>
                <w:lang w:val="en-US" w:eastAsia="zh-CN"/>
              </w:rPr>
              <w:t>及竣工环保验收</w:t>
            </w:r>
            <w:r>
              <w:rPr>
                <w:rFonts w:hint="default" w:ascii="Times New Roman" w:hAnsi="Times New Roman" w:eastAsia="宋体" w:cs="Times New Roman"/>
                <w:color w:val="auto"/>
                <w:spacing w:val="-1"/>
                <w:sz w:val="24"/>
                <w:szCs w:val="24"/>
                <w:highlight w:val="none"/>
              </w:rPr>
              <w:t>。</w:t>
            </w:r>
          </w:p>
          <w:p w14:paraId="2114AA21">
            <w:pPr>
              <w:kinsoku w:val="0"/>
              <w:overflowPunct w:val="0"/>
              <w:spacing w:line="360" w:lineRule="auto"/>
              <w:ind w:firstLine="480" w:firstLineChars="200"/>
              <w:jc w:val="both"/>
              <w:rPr>
                <w:color w:val="auto"/>
                <w:sz w:val="24"/>
                <w:highlight w:val="none"/>
              </w:rPr>
            </w:pPr>
            <w:r>
              <w:rPr>
                <w:rFonts w:hint="default" w:ascii="Times New Roman" w:hAnsi="Times New Roman" w:eastAsia="宋体" w:cs="Times New Roman"/>
                <w:color w:val="auto"/>
                <w:sz w:val="24"/>
                <w:szCs w:val="24"/>
                <w:highlight w:val="none"/>
              </w:rPr>
              <w:t>该污水处理厂工程目前运行良好</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现状</w:t>
            </w:r>
            <w:r>
              <w:rPr>
                <w:rFonts w:hint="eastAsia" w:ascii="Times New Roman" w:hAnsi="Times New Roman" w:eastAsia="宋体" w:cs="Times New Roman"/>
                <w:color w:val="auto"/>
                <w:sz w:val="24"/>
                <w:szCs w:val="24"/>
                <w:highlight w:val="none"/>
                <w:lang w:eastAsia="zh-CN"/>
              </w:rPr>
              <w:t>日均</w:t>
            </w:r>
            <w:r>
              <w:rPr>
                <w:rFonts w:hint="eastAsia" w:ascii="Times New Roman" w:hAnsi="Times New Roman" w:eastAsia="宋体" w:cs="Times New Roman"/>
                <w:color w:val="auto"/>
                <w:sz w:val="24"/>
                <w:szCs w:val="24"/>
                <w:highlight w:val="none"/>
                <w:lang w:val="en-US" w:eastAsia="zh-CN"/>
              </w:rPr>
              <w:t>处理</w:t>
            </w:r>
            <w:r>
              <w:rPr>
                <w:rFonts w:hint="eastAsia" w:ascii="Times New Roman" w:hAnsi="Times New Roman" w:eastAsia="宋体" w:cs="Times New Roman"/>
                <w:color w:val="auto"/>
                <w:sz w:val="24"/>
                <w:szCs w:val="24"/>
                <w:highlight w:val="none"/>
                <w:lang w:eastAsia="zh-CN"/>
              </w:rPr>
              <w:t>污水量</w:t>
            </w:r>
            <w:r>
              <w:rPr>
                <w:rFonts w:hint="eastAsia" w:cs="Times New Roman"/>
                <w:color w:val="auto"/>
                <w:sz w:val="24"/>
                <w:szCs w:val="24"/>
                <w:highlight w:val="none"/>
                <w:lang w:val="en-US" w:eastAsia="zh-CN"/>
              </w:rPr>
              <w:t>约0.8万m</w:t>
            </w:r>
            <w:r>
              <w:rPr>
                <w:rFonts w:hint="eastAsia"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eastAsia="zh-CN"/>
              </w:rPr>
              <w:t>，剩余处理</w:t>
            </w:r>
            <w:r>
              <w:rPr>
                <w:rFonts w:hint="eastAsia" w:cs="Times New Roman"/>
                <w:color w:val="auto"/>
                <w:sz w:val="24"/>
                <w:szCs w:val="24"/>
                <w:highlight w:val="none"/>
                <w:lang w:val="en-US" w:eastAsia="zh-CN"/>
              </w:rPr>
              <w:t>能力0.2万m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/d</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根据园区规划环评可知，大英工业污水处理厂主要</w:t>
            </w:r>
            <w:r>
              <w:rPr>
                <w:rFonts w:hint="default" w:ascii="Times New Roman" w:hAnsi="Times New Roman" w:eastAsia="宋体" w:cs="Times New Roman"/>
                <w:color w:val="auto"/>
                <w:spacing w:val="-3"/>
                <w:sz w:val="24"/>
                <w:szCs w:val="24"/>
                <w:highlight w:val="none"/>
              </w:rPr>
              <w:t>为处理园区所有企业的废水，因此，本项目产生的废水能够进入</w:t>
            </w:r>
            <w:r>
              <w:rPr>
                <w:rFonts w:hint="default" w:ascii="Times New Roman" w:hAnsi="Times New Roman" w:eastAsia="宋体" w:cs="Times New Roman"/>
                <w:color w:val="auto"/>
                <w:sz w:val="24"/>
                <w:szCs w:val="24"/>
                <w:highlight w:val="none"/>
              </w:rPr>
              <w:t>大英工业污水处理厂</w:t>
            </w:r>
            <w:r>
              <w:rPr>
                <w:rFonts w:hint="default" w:ascii="Times New Roman" w:hAnsi="Times New Roman" w:eastAsia="宋体" w:cs="Times New Roman"/>
                <w:color w:val="auto"/>
                <w:spacing w:val="-3"/>
                <w:sz w:val="24"/>
                <w:szCs w:val="24"/>
                <w:highlight w:val="none"/>
              </w:rPr>
              <w:t>进行处理，</w:t>
            </w:r>
            <w:r>
              <w:rPr>
                <w:rFonts w:hint="default" w:ascii="Times New Roman" w:hAnsi="Times New Roman" w:eastAsia="宋体" w:cs="Times New Roman"/>
                <w:color w:val="auto"/>
                <w:sz w:val="24"/>
                <w:szCs w:val="24"/>
                <w:highlight w:val="none"/>
              </w:rPr>
              <w:t>在大英工业污水处理厂剩余处理能力范围内。</w:t>
            </w:r>
          </w:p>
          <w:p w14:paraId="4803F5F5">
            <w:pPr>
              <w:spacing w:line="360" w:lineRule="auto"/>
              <w:ind w:firstLine="480" w:firstLineChars="200"/>
              <w:rPr>
                <w:rFonts w:hint="eastAsia"/>
                <w:color w:val="auto"/>
                <w:sz w:val="24"/>
                <w:highlight w:val="none"/>
              </w:rPr>
            </w:pPr>
            <w:r>
              <w:rPr>
                <w:rFonts w:hint="eastAsia"/>
                <w:color w:val="auto"/>
                <w:sz w:val="24"/>
                <w:highlight w:val="none"/>
              </w:rPr>
              <w:t>综上所述，从污水处理厂的处理能力、水质以及配套管网的建设情况分析，项目废水进入</w:t>
            </w:r>
            <w:r>
              <w:rPr>
                <w:rFonts w:hint="eastAsia"/>
                <w:color w:val="auto"/>
                <w:sz w:val="24"/>
                <w:highlight w:val="none"/>
                <w:lang w:val="en-US" w:eastAsia="zh-CN"/>
              </w:rPr>
              <w:t>大英工业</w:t>
            </w:r>
            <w:r>
              <w:rPr>
                <w:rFonts w:hint="eastAsia"/>
                <w:color w:val="auto"/>
                <w:sz w:val="24"/>
                <w:highlight w:val="none"/>
              </w:rPr>
              <w:t>污水处理厂是可行的。</w:t>
            </w:r>
          </w:p>
          <w:p w14:paraId="2D28D0C4">
            <w:pPr>
              <w:spacing w:line="360" w:lineRule="auto"/>
              <w:ind w:firstLine="480" w:firstLineChars="200"/>
              <w:outlineLvl w:val="1"/>
              <w:rPr>
                <w:b/>
                <w:color w:val="auto"/>
                <w:sz w:val="24"/>
                <w:szCs w:val="24"/>
                <w:highlight w:val="none"/>
              </w:rPr>
            </w:pPr>
            <w:r>
              <w:rPr>
                <w:color w:val="auto"/>
                <w:sz w:val="24"/>
                <w:szCs w:val="24"/>
                <w:highlight w:val="none"/>
              </w:rPr>
              <w:t>本项目废水产生情况详见</w:t>
            </w:r>
            <w:r>
              <w:rPr>
                <w:rFonts w:hint="eastAsia"/>
                <w:color w:val="auto"/>
                <w:sz w:val="24"/>
                <w:szCs w:val="24"/>
                <w:highlight w:val="none"/>
              </w:rPr>
              <w:t>下表</w:t>
            </w:r>
            <w:r>
              <w:rPr>
                <w:bCs/>
                <w:color w:val="auto"/>
                <w:sz w:val="24"/>
                <w:szCs w:val="24"/>
                <w:highlight w:val="none"/>
              </w:rPr>
              <w:t>。</w:t>
            </w:r>
          </w:p>
          <w:p w14:paraId="24B4C3FB">
            <w:pPr>
              <w:pStyle w:val="41"/>
              <w:rPr>
                <w:bCs/>
                <w:color w:val="auto"/>
                <w:szCs w:val="21"/>
                <w:highlight w:val="none"/>
              </w:rPr>
            </w:pPr>
            <w:r>
              <w:rPr>
                <w:rFonts w:hint="eastAsia"/>
                <w:bCs/>
                <w:color w:val="auto"/>
                <w:szCs w:val="21"/>
                <w:highlight w:val="none"/>
                <w:lang w:val="en-US" w:eastAsia="zh-CN"/>
              </w:rPr>
              <w:t>技改新增废</w:t>
            </w:r>
            <w:r>
              <w:rPr>
                <w:bCs/>
                <w:color w:val="auto"/>
                <w:szCs w:val="21"/>
                <w:highlight w:val="none"/>
              </w:rPr>
              <w:t>水产生及排放情况一览表</w:t>
            </w:r>
          </w:p>
          <w:tbl>
            <w:tblPr>
              <w:tblStyle w:val="27"/>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6"/>
              <w:gridCol w:w="1135"/>
              <w:gridCol w:w="763"/>
              <w:gridCol w:w="1050"/>
              <w:gridCol w:w="821"/>
              <w:gridCol w:w="821"/>
              <w:gridCol w:w="858"/>
              <w:gridCol w:w="971"/>
              <w:gridCol w:w="883"/>
              <w:gridCol w:w="952"/>
            </w:tblGrid>
            <w:tr w14:paraId="4B2D0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C2BD9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项目</w:t>
                  </w:r>
                </w:p>
              </w:tc>
              <w:tc>
                <w:tcPr>
                  <w:tcW w:w="6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F8B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废水量</w:t>
                  </w:r>
                  <w:r>
                    <w:rPr>
                      <w:b/>
                      <w:bCs/>
                      <w:color w:val="auto"/>
                      <w:szCs w:val="21"/>
                      <w:highlight w:val="none"/>
                    </w:rPr>
                    <w:t>m</w:t>
                  </w:r>
                  <w:r>
                    <w:rPr>
                      <w:b/>
                      <w:bCs/>
                      <w:color w:val="auto"/>
                      <w:szCs w:val="21"/>
                      <w:highlight w:val="none"/>
                      <w:vertAlign w:val="superscript"/>
                    </w:rPr>
                    <w:t>3</w:t>
                  </w:r>
                  <w:r>
                    <w:rPr>
                      <w:rFonts w:hint="eastAsia" w:ascii="Times New Roman" w:hAnsi="Times New Roman" w:eastAsia="宋体" w:cs="Times New Roman"/>
                      <w:i w:val="0"/>
                      <w:iCs w:val="0"/>
                      <w:color w:val="auto"/>
                      <w:kern w:val="0"/>
                      <w:sz w:val="21"/>
                      <w:szCs w:val="21"/>
                      <w:highlight w:val="none"/>
                      <w:u w:val="none"/>
                      <w:lang w:val="en-US" w:eastAsia="zh-CN" w:bidi="ar"/>
                    </w:rPr>
                    <w:t>/a</w:t>
                  </w:r>
                </w:p>
              </w:tc>
              <w:tc>
                <w:tcPr>
                  <w:tcW w:w="414" w:type="pct"/>
                  <w:vMerge w:val="restart"/>
                  <w:tcBorders>
                    <w:top w:val="single" w:color="000000" w:sz="4" w:space="0"/>
                    <w:left w:val="single" w:color="000000" w:sz="4" w:space="0"/>
                    <w:right w:val="single" w:color="000000" w:sz="4" w:space="0"/>
                  </w:tcBorders>
                  <w:shd w:val="clear" w:color="auto" w:fill="auto"/>
                  <w:vAlign w:val="center"/>
                </w:tcPr>
                <w:p w14:paraId="77FC4B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cs="Times New Roman"/>
                      <w:i w:val="0"/>
                      <w:iCs w:val="0"/>
                      <w:color w:val="auto"/>
                      <w:kern w:val="0"/>
                      <w:sz w:val="21"/>
                      <w:szCs w:val="21"/>
                      <w:highlight w:val="none"/>
                      <w:u w:val="none"/>
                      <w:lang w:val="en-US" w:eastAsia="zh-CN" w:bidi="ar"/>
                    </w:rPr>
                    <w:t>（无量纲）</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7FD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Cr</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7CD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B7A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23D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296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1A1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TP</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28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石油类</w:t>
                  </w:r>
                </w:p>
              </w:tc>
            </w:tr>
            <w:tr w14:paraId="79BE6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E8D5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6122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414" w:type="pct"/>
                  <w:vMerge w:val="continue"/>
                  <w:tcBorders>
                    <w:left w:val="single" w:color="000000" w:sz="4" w:space="0"/>
                    <w:bottom w:val="single" w:color="000000" w:sz="4" w:space="0"/>
                    <w:right w:val="single" w:color="000000" w:sz="4" w:space="0"/>
                  </w:tcBorders>
                  <w:shd w:val="clear" w:color="auto" w:fill="auto"/>
                  <w:vAlign w:val="center"/>
                </w:tcPr>
                <w:p w14:paraId="435ABE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D44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15A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CCE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1C1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2D1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4CF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D06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r>
            <w:tr w14:paraId="735F8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AFD0F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厂区污水处理站</w:t>
                  </w:r>
                </w:p>
              </w:tc>
            </w:tr>
            <w:tr w14:paraId="7C8E1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D69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进水水质</w:t>
                  </w:r>
                </w:p>
              </w:tc>
              <w:tc>
                <w:tcPr>
                  <w:tcW w:w="616" w:type="pct"/>
                  <w:vMerge w:val="restart"/>
                  <w:tcBorders>
                    <w:top w:val="single" w:color="000000" w:sz="4" w:space="0"/>
                    <w:left w:val="single" w:color="000000" w:sz="4" w:space="0"/>
                    <w:right w:val="single" w:color="000000" w:sz="4" w:space="0"/>
                  </w:tcBorders>
                  <w:shd w:val="clear" w:color="auto" w:fill="auto"/>
                  <w:vAlign w:val="center"/>
                </w:tcPr>
                <w:p w14:paraId="3226A02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16328.4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480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8~13</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4C7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A5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769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5BA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DB2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650</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F10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21C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0.1</w:t>
                  </w:r>
                </w:p>
              </w:tc>
            </w:tr>
            <w:tr w14:paraId="00629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0DC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产生量（t/a）</w:t>
                  </w:r>
                </w:p>
              </w:tc>
              <w:tc>
                <w:tcPr>
                  <w:tcW w:w="616" w:type="pct"/>
                  <w:vMerge w:val="continue"/>
                  <w:tcBorders>
                    <w:left w:val="single" w:color="000000" w:sz="4" w:space="0"/>
                    <w:bottom w:val="single" w:color="000000" w:sz="4" w:space="0"/>
                    <w:right w:val="single" w:color="000000" w:sz="4" w:space="0"/>
                  </w:tcBorders>
                  <w:shd w:val="clear" w:color="auto" w:fill="auto"/>
                  <w:vAlign w:val="center"/>
                </w:tcPr>
                <w:p w14:paraId="46F1144C">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BA1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sz w:val="20"/>
                      <w:szCs w:val="20"/>
                      <w:highlight w:val="none"/>
                      <w:u w:val="none"/>
                      <w:lang w:val="en-US" w:eastAsia="zh-CN"/>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87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24.493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72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8.164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BE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0.490 </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41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3.266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63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10.613 </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550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0.008 </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96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 </w:t>
                  </w:r>
                </w:p>
              </w:tc>
            </w:tr>
            <w:tr w14:paraId="0F6FB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1BD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预处理调节池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内</w:t>
                  </w:r>
                  <w:r>
                    <w:rPr>
                      <w:rFonts w:hint="eastAsia" w:ascii="宋体" w:hAnsi="宋体" w:eastAsia="宋体" w:cs="宋体"/>
                      <w:i w:val="0"/>
                      <w:iCs w:val="0"/>
                      <w:color w:val="auto"/>
                      <w:kern w:val="0"/>
                      <w:sz w:val="21"/>
                      <w:szCs w:val="21"/>
                      <w:highlight w:val="none"/>
                      <w:u w:val="none"/>
                      <w:lang w:val="en-US" w:eastAsia="zh-CN" w:bidi="ar"/>
                    </w:rPr>
                    <w:t>电解池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混凝沉淀池</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575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去除率</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407F2">
                  <w:pPr>
                    <w:jc w:val="center"/>
                    <w:rPr>
                      <w:rFonts w:hint="eastAsia" w:ascii="Times New Roman" w:hAnsi="Times New Roman" w:eastAsia="宋体" w:cs="Times New Roman"/>
                      <w:i w:val="0"/>
                      <w:iCs w:val="0"/>
                      <w:color w:val="auto"/>
                      <w:sz w:val="20"/>
                      <w:szCs w:val="20"/>
                      <w:highlight w:val="none"/>
                      <w:u w:val="none"/>
                      <w:lang w:val="en-US" w:eastAsia="zh-CN"/>
                    </w:rPr>
                  </w:pPr>
                  <w:r>
                    <w:rPr>
                      <w:rFonts w:hint="eastAsia" w:ascii="Times New Roman" w:hAnsi="Times New Roman" w:eastAsia="宋体" w:cs="Times New Roman"/>
                      <w:i w:val="0"/>
                      <w:iCs w:val="0"/>
                      <w:color w:val="auto"/>
                      <w:sz w:val="20"/>
                      <w:szCs w:val="20"/>
                      <w:highlight w:val="none"/>
                      <w:u w:val="none"/>
                      <w:lang w:val="en-US" w:eastAsia="zh-CN"/>
                    </w:rPr>
                    <w:t>/</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4FF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72F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DFE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FBD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919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139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72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14:paraId="5A758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CC39F">
                  <w:pPr>
                    <w:jc w:val="center"/>
                    <w:rPr>
                      <w:rFonts w:hint="eastAsia" w:ascii="宋体" w:hAnsi="宋体" w:eastAsia="宋体" w:cs="宋体"/>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F58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出水</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997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D6F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9FC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475</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4D1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AB0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CF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488</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36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5A0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14:paraId="35B9C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E358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UASB</w:t>
                  </w:r>
                  <w:r>
                    <w:rPr>
                      <w:rFonts w:hint="eastAsia" w:ascii="宋体" w:hAnsi="宋体" w:eastAsia="宋体" w:cs="宋体"/>
                      <w:i w:val="0"/>
                      <w:iCs w:val="0"/>
                      <w:color w:val="auto"/>
                      <w:kern w:val="0"/>
                      <w:sz w:val="21"/>
                      <w:szCs w:val="21"/>
                      <w:highlight w:val="none"/>
                      <w:u w:val="none"/>
                      <w:lang w:val="en-US" w:eastAsia="zh-CN" w:bidi="ar"/>
                    </w:rPr>
                    <w:t>厌氧池</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7B5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去除率</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E4486">
                  <w:pPr>
                    <w:jc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Times New Roman" w:hAnsi="Times New Roman" w:eastAsia="宋体" w:cs="Times New Roman"/>
                      <w:i w:val="0"/>
                      <w:iCs w:val="0"/>
                      <w:color w:val="auto"/>
                      <w:sz w:val="22"/>
                      <w:szCs w:val="22"/>
                      <w:highlight w:val="none"/>
                      <w:u w:val="none"/>
                      <w:lang w:val="en-US" w:eastAsia="zh-CN"/>
                    </w:rPr>
                    <w:t>/</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A19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AF9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901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F03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9D0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A6C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5BA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24625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F8A9F">
                  <w:pPr>
                    <w:jc w:val="center"/>
                    <w:rPr>
                      <w:rFonts w:hint="default" w:ascii="Times New Roman" w:hAnsi="Times New Roman" w:eastAsia="宋体" w:cs="Times New Roman"/>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69E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出水</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C37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231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525</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CB7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306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E9D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167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488</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AF6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633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41C32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967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一级缺氧池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一级生物接触氧化池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一沉池</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8A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去除率</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A1AA8">
                  <w:pPr>
                    <w:jc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Times New Roman" w:hAnsi="Times New Roman" w:eastAsia="宋体" w:cs="Times New Roman"/>
                      <w:i w:val="0"/>
                      <w:iCs w:val="0"/>
                      <w:color w:val="auto"/>
                      <w:sz w:val="22"/>
                      <w:szCs w:val="22"/>
                      <w:highlight w:val="none"/>
                      <w:u w:val="none"/>
                      <w:lang w:val="en-US" w:eastAsia="zh-CN"/>
                    </w:rPr>
                    <w:t>/</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65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268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7EF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96E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28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6D0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F08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14:paraId="58204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0FF53">
                  <w:pPr>
                    <w:jc w:val="center"/>
                    <w:rPr>
                      <w:rFonts w:hint="eastAsia" w:ascii="宋体" w:hAnsi="宋体" w:eastAsia="宋体" w:cs="宋体"/>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05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出水</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FDF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8F3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2E7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636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009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C22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122</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4F9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898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2F1B0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3458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二级缺氧池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二级生物接触氧化池+二沉池</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138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去除率</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CE9C4">
                  <w:pPr>
                    <w:jc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Times New Roman" w:hAnsi="Times New Roman" w:eastAsia="宋体" w:cs="Times New Roman"/>
                      <w:i w:val="0"/>
                      <w:iCs w:val="0"/>
                      <w:color w:val="auto"/>
                      <w:sz w:val="22"/>
                      <w:szCs w:val="22"/>
                      <w:highlight w:val="none"/>
                      <w:u w:val="none"/>
                      <w:lang w:val="en-US" w:eastAsia="zh-CN"/>
                    </w:rPr>
                    <w:t>/</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627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60B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23F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FB0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854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0E5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80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38F11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26F64">
                  <w:pPr>
                    <w:jc w:val="center"/>
                    <w:rPr>
                      <w:rFonts w:hint="eastAsia" w:ascii="宋体" w:hAnsi="宋体" w:eastAsia="宋体" w:cs="宋体"/>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FB0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出水</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D30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DE4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B5E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6A9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D57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9A7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724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4EF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r>
            <w:tr w14:paraId="214A3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jc w:val="center"/>
              </w:trPr>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D7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sz w:val="21"/>
                      <w:szCs w:val="21"/>
                      <w:highlight w:val="none"/>
                      <w:u w:val="none"/>
                      <w:lang w:val="en-US" w:eastAsia="zh-CN"/>
                    </w:rPr>
                    <w:t>排放量</w:t>
                  </w:r>
                  <w:r>
                    <w:rPr>
                      <w:rFonts w:hint="eastAsia" w:cs="Times New Roman"/>
                      <w:i w:val="0"/>
                      <w:iCs w:val="0"/>
                      <w:color w:val="auto"/>
                      <w:kern w:val="0"/>
                      <w:sz w:val="21"/>
                      <w:szCs w:val="21"/>
                      <w:highlight w:val="none"/>
                      <w:u w:val="none"/>
                      <w:lang w:val="en-US" w:eastAsia="zh-CN" w:bidi="ar"/>
                    </w:rPr>
                    <w:t>（t/a）</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37C0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16328.4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74C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20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1.500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EF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0.776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F9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0.226 </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0D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0.214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99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0.697 </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F0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0.0005 </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62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0.0001 </w:t>
                  </w:r>
                </w:p>
              </w:tc>
            </w:tr>
            <w:tr w14:paraId="00BB0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35" w:type="pct"/>
                  <w:gridSpan w:val="2"/>
                  <w:vMerge w:val="restart"/>
                  <w:tcBorders>
                    <w:top w:val="single" w:color="000000" w:sz="4" w:space="0"/>
                    <w:left w:val="single" w:color="000000" w:sz="4" w:space="0"/>
                    <w:right w:val="single" w:color="000000" w:sz="4" w:space="0"/>
                  </w:tcBorders>
                  <w:shd w:val="clear" w:color="auto" w:fill="auto"/>
                  <w:vAlign w:val="center"/>
                </w:tcPr>
                <w:p w14:paraId="2F5EB5F0">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olor w:val="auto"/>
                      <w:szCs w:val="21"/>
                      <w:highlight w:val="none"/>
                    </w:rPr>
                    <w:t>《污水综合排放标准》（GB8978-1996）三级标准</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93D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FA8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E09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2DA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A9E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D36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7EE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516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r>
            <w:tr w14:paraId="5A2B5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1135" w:type="pct"/>
                  <w:gridSpan w:val="2"/>
                  <w:vMerge w:val="continue"/>
                  <w:tcBorders>
                    <w:left w:val="single" w:color="000000" w:sz="4" w:space="0"/>
                    <w:bottom w:val="single" w:color="000000" w:sz="4" w:space="0"/>
                    <w:right w:val="single" w:color="000000" w:sz="4" w:space="0"/>
                  </w:tcBorders>
                  <w:shd w:val="clear" w:color="auto" w:fill="auto"/>
                  <w:vAlign w:val="center"/>
                </w:tcPr>
                <w:p w14:paraId="37B80CE1">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2E9F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CB3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2B5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963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10C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293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6C2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293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r>
            <w:tr w14:paraId="5AC4D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CF79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园区污水处理厂-大英工业污水处理厂处理后</w:t>
                  </w:r>
                </w:p>
              </w:tc>
            </w:tr>
            <w:tr w14:paraId="53C1A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519" w:type="pct"/>
                  <w:tcBorders>
                    <w:top w:val="single" w:color="000000" w:sz="4" w:space="0"/>
                    <w:left w:val="single" w:color="000000" w:sz="4" w:space="0"/>
                    <w:right w:val="single" w:color="000000" w:sz="4" w:space="0"/>
                  </w:tcBorders>
                  <w:shd w:val="clear" w:color="auto" w:fill="auto"/>
                  <w:vAlign w:val="center"/>
                </w:tcPr>
                <w:p w14:paraId="44A729E8">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出</w:t>
                  </w:r>
                  <w:r>
                    <w:rPr>
                      <w:rFonts w:hint="eastAsia" w:ascii="Times New Roman" w:hAnsi="Times New Roman" w:eastAsia="宋体" w:cs="Times New Roman"/>
                      <w:i w:val="0"/>
                      <w:iCs w:val="0"/>
                      <w:color w:val="auto"/>
                      <w:kern w:val="0"/>
                      <w:sz w:val="21"/>
                      <w:szCs w:val="21"/>
                      <w:highlight w:val="none"/>
                      <w:u w:val="none"/>
                      <w:lang w:val="en-US" w:eastAsia="zh-CN" w:bidi="ar"/>
                    </w:rPr>
                    <w:t>水水质</w:t>
                  </w:r>
                </w:p>
              </w:tc>
              <w:tc>
                <w:tcPr>
                  <w:tcW w:w="616" w:type="pct"/>
                  <w:vMerge w:val="restart"/>
                  <w:tcBorders>
                    <w:top w:val="single" w:color="000000" w:sz="4" w:space="0"/>
                    <w:left w:val="single" w:color="000000" w:sz="4" w:space="0"/>
                    <w:right w:val="single" w:color="000000" w:sz="4" w:space="0"/>
                  </w:tcBorders>
                  <w:shd w:val="clear" w:color="auto" w:fill="auto"/>
                  <w:vAlign w:val="center"/>
                </w:tcPr>
                <w:p w14:paraId="65CC3E0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16328.4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2D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6~9</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F5A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5D0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A3C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C42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1FD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CF6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FA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r>
            <w:tr w14:paraId="0F4C6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jc w:val="center"/>
              </w:trPr>
              <w:tc>
                <w:tcPr>
                  <w:tcW w:w="519" w:type="pct"/>
                  <w:tcBorders>
                    <w:left w:val="single" w:color="000000" w:sz="4" w:space="0"/>
                    <w:bottom w:val="single" w:color="000000" w:sz="4" w:space="0"/>
                    <w:right w:val="single" w:color="000000" w:sz="4" w:space="0"/>
                  </w:tcBorders>
                  <w:shd w:val="clear" w:color="auto" w:fill="auto"/>
                  <w:vAlign w:val="center"/>
                </w:tcPr>
                <w:p w14:paraId="3E052B2F">
                  <w:pPr>
                    <w:keepNext w:val="0"/>
                    <w:keepLines w:val="0"/>
                    <w:widowControl/>
                    <w:suppressLineNumbers w:val="0"/>
                    <w:jc w:val="center"/>
                    <w:textAlignment w:val="center"/>
                    <w:rPr>
                      <w:rFonts w:hint="eastAsia"/>
                      <w:color w:val="auto"/>
                      <w:szCs w:val="21"/>
                      <w:highlight w:val="none"/>
                      <w:lang w:eastAsia="zh-CN"/>
                    </w:rPr>
                  </w:pPr>
                  <w:r>
                    <w:rPr>
                      <w:rFonts w:hint="eastAsia" w:cs="Times New Roman"/>
                      <w:i w:val="0"/>
                      <w:iCs w:val="0"/>
                      <w:color w:val="auto"/>
                      <w:kern w:val="0"/>
                      <w:sz w:val="21"/>
                      <w:szCs w:val="21"/>
                      <w:highlight w:val="none"/>
                      <w:u w:val="none"/>
                      <w:lang w:val="en-US" w:eastAsia="zh-CN" w:bidi="ar"/>
                    </w:rPr>
                    <w:t>排放量（t/a）</w:t>
                  </w:r>
                </w:p>
              </w:tc>
              <w:tc>
                <w:tcPr>
                  <w:tcW w:w="616" w:type="pct"/>
                  <w:vMerge w:val="continue"/>
                  <w:tcBorders>
                    <w:left w:val="single" w:color="000000" w:sz="4" w:space="0"/>
                    <w:bottom w:val="single" w:color="000000" w:sz="4" w:space="0"/>
                    <w:right w:val="single" w:color="000000" w:sz="4" w:space="0"/>
                  </w:tcBorders>
                  <w:shd w:val="clear" w:color="auto" w:fill="auto"/>
                  <w:vAlign w:val="center"/>
                </w:tcPr>
                <w:p w14:paraId="219A3BD2">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D412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6F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0.327 </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61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0.065 </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3E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0.327 </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44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0.016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76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0.016 </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CA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F09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r>
            <w:tr w14:paraId="62DE9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1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CEC2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bCs/>
                      <w:color w:val="auto"/>
                      <w:szCs w:val="21"/>
                      <w:highlight w:val="none"/>
                    </w:rPr>
                    <w:t>《地表水环境质量标准》（GB3838-2002）Ⅲ类标准</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D48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263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0FB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727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002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202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5D8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C248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r>
          </w:tbl>
          <w:p w14:paraId="6E5713C8">
            <w:pPr>
              <w:spacing w:line="360" w:lineRule="auto"/>
              <w:ind w:firstLine="480" w:firstLineChars="200"/>
              <w:outlineLvl w:val="1"/>
              <w:rPr>
                <w:rFonts w:hint="default"/>
                <w:color w:val="auto"/>
                <w:sz w:val="24"/>
                <w:szCs w:val="24"/>
                <w:highlight w:val="none"/>
                <w:lang w:val="en-US" w:eastAsia="zh-CN"/>
              </w:rPr>
            </w:pPr>
            <w:r>
              <w:rPr>
                <w:rFonts w:hint="eastAsia"/>
                <w:color w:val="auto"/>
                <w:sz w:val="24"/>
                <w:szCs w:val="24"/>
                <w:highlight w:val="none"/>
                <w:lang w:val="en-US" w:eastAsia="zh-CN"/>
              </w:rPr>
              <w:t>技改后全厂废水</w:t>
            </w:r>
            <w:r>
              <w:rPr>
                <w:color w:val="auto"/>
                <w:sz w:val="24"/>
                <w:szCs w:val="24"/>
                <w:highlight w:val="none"/>
              </w:rPr>
              <w:t>产生情况详见</w:t>
            </w:r>
            <w:r>
              <w:rPr>
                <w:rFonts w:hint="eastAsia"/>
                <w:color w:val="auto"/>
                <w:sz w:val="24"/>
                <w:szCs w:val="24"/>
                <w:highlight w:val="none"/>
              </w:rPr>
              <w:t>下表</w:t>
            </w:r>
            <w:r>
              <w:rPr>
                <w:color w:val="auto"/>
                <w:sz w:val="24"/>
                <w:szCs w:val="24"/>
                <w:highlight w:val="none"/>
              </w:rPr>
              <w:t>。</w:t>
            </w:r>
          </w:p>
          <w:p w14:paraId="345EF607">
            <w:pPr>
              <w:pStyle w:val="41"/>
              <w:rPr>
                <w:bCs/>
                <w:color w:val="auto"/>
                <w:szCs w:val="21"/>
                <w:highlight w:val="none"/>
              </w:rPr>
            </w:pPr>
            <w:r>
              <w:rPr>
                <w:rFonts w:hint="eastAsia"/>
                <w:bCs/>
                <w:color w:val="auto"/>
                <w:szCs w:val="21"/>
                <w:highlight w:val="none"/>
                <w:lang w:val="en-US" w:eastAsia="zh-CN"/>
              </w:rPr>
              <w:t>技改后全厂废</w:t>
            </w:r>
            <w:r>
              <w:rPr>
                <w:bCs/>
                <w:color w:val="auto"/>
                <w:szCs w:val="21"/>
                <w:highlight w:val="none"/>
              </w:rPr>
              <w:t>水产生及排放情况一览表</w:t>
            </w:r>
          </w:p>
          <w:tbl>
            <w:tblPr>
              <w:tblStyle w:val="27"/>
              <w:tblW w:w="9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6"/>
              <w:gridCol w:w="1135"/>
              <w:gridCol w:w="763"/>
              <w:gridCol w:w="1050"/>
              <w:gridCol w:w="821"/>
              <w:gridCol w:w="821"/>
              <w:gridCol w:w="858"/>
              <w:gridCol w:w="971"/>
              <w:gridCol w:w="883"/>
              <w:gridCol w:w="952"/>
            </w:tblGrid>
            <w:tr w14:paraId="64D62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AC4C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项目</w:t>
                  </w:r>
                </w:p>
              </w:tc>
              <w:tc>
                <w:tcPr>
                  <w:tcW w:w="6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10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废水量</w:t>
                  </w:r>
                  <w:r>
                    <w:rPr>
                      <w:b/>
                      <w:bCs/>
                      <w:color w:val="auto"/>
                      <w:szCs w:val="21"/>
                      <w:highlight w:val="none"/>
                    </w:rPr>
                    <w:t>m</w:t>
                  </w:r>
                  <w:r>
                    <w:rPr>
                      <w:b/>
                      <w:bCs/>
                      <w:color w:val="auto"/>
                      <w:szCs w:val="21"/>
                      <w:highlight w:val="none"/>
                      <w:vertAlign w:val="superscript"/>
                    </w:rPr>
                    <w:t>3</w:t>
                  </w:r>
                  <w:r>
                    <w:rPr>
                      <w:rFonts w:hint="eastAsia" w:ascii="Times New Roman" w:hAnsi="Times New Roman" w:eastAsia="宋体" w:cs="Times New Roman"/>
                      <w:i w:val="0"/>
                      <w:iCs w:val="0"/>
                      <w:color w:val="auto"/>
                      <w:kern w:val="0"/>
                      <w:sz w:val="21"/>
                      <w:szCs w:val="21"/>
                      <w:highlight w:val="none"/>
                      <w:u w:val="none"/>
                      <w:lang w:val="en-US" w:eastAsia="zh-CN" w:bidi="ar"/>
                    </w:rPr>
                    <w:t>/a</w:t>
                  </w:r>
                </w:p>
              </w:tc>
              <w:tc>
                <w:tcPr>
                  <w:tcW w:w="414" w:type="pct"/>
                  <w:vMerge w:val="restart"/>
                  <w:tcBorders>
                    <w:top w:val="single" w:color="000000" w:sz="4" w:space="0"/>
                    <w:left w:val="single" w:color="000000" w:sz="4" w:space="0"/>
                    <w:right w:val="single" w:color="000000" w:sz="4" w:space="0"/>
                  </w:tcBorders>
                  <w:shd w:val="clear" w:color="auto" w:fill="auto"/>
                  <w:vAlign w:val="center"/>
                </w:tcPr>
                <w:p w14:paraId="2F1C49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cs="Times New Roman"/>
                      <w:i w:val="0"/>
                      <w:iCs w:val="0"/>
                      <w:color w:val="auto"/>
                      <w:kern w:val="0"/>
                      <w:sz w:val="21"/>
                      <w:szCs w:val="21"/>
                      <w:highlight w:val="none"/>
                      <w:u w:val="none"/>
                      <w:lang w:val="en-US" w:eastAsia="zh-CN" w:bidi="ar"/>
                    </w:rPr>
                    <w:t>（无量纲）</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B30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Cr</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CB3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582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6B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68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48A7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TP</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E7F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石油类</w:t>
                  </w:r>
                </w:p>
              </w:tc>
            </w:tr>
            <w:tr w14:paraId="4D78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2AB1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3E7C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414" w:type="pct"/>
                  <w:vMerge w:val="continue"/>
                  <w:tcBorders>
                    <w:left w:val="single" w:color="000000" w:sz="4" w:space="0"/>
                    <w:bottom w:val="single" w:color="000000" w:sz="4" w:space="0"/>
                    <w:right w:val="single" w:color="000000" w:sz="4" w:space="0"/>
                  </w:tcBorders>
                  <w:shd w:val="clear" w:color="auto" w:fill="auto"/>
                  <w:vAlign w:val="center"/>
                </w:tcPr>
                <w:p w14:paraId="7DF320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670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381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8FE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37D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4CE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8D1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2E7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eastAsia" w:cs="Times New Roman"/>
                      <w:i w:val="0"/>
                      <w:iCs w:val="0"/>
                      <w:color w:val="auto"/>
                      <w:kern w:val="0"/>
                      <w:sz w:val="21"/>
                      <w:szCs w:val="21"/>
                      <w:highlight w:val="none"/>
                      <w:u w:val="none"/>
                      <w:lang w:val="en-US" w:eastAsia="zh-CN" w:bidi="ar"/>
                    </w:rPr>
                    <w:t>）</w:t>
                  </w:r>
                </w:p>
              </w:tc>
            </w:tr>
            <w:tr w14:paraId="0C7B6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619B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厂区污水处理站</w:t>
                  </w:r>
                </w:p>
              </w:tc>
            </w:tr>
            <w:tr w14:paraId="30FBA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B4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进水水质</w:t>
                  </w:r>
                </w:p>
              </w:tc>
              <w:tc>
                <w:tcPr>
                  <w:tcW w:w="616" w:type="pct"/>
                  <w:vMerge w:val="restart"/>
                  <w:tcBorders>
                    <w:top w:val="single" w:color="000000" w:sz="4" w:space="0"/>
                    <w:left w:val="single" w:color="000000" w:sz="4" w:space="0"/>
                    <w:right w:val="single" w:color="000000" w:sz="4" w:space="0"/>
                  </w:tcBorders>
                  <w:shd w:val="clear" w:color="auto" w:fill="auto"/>
                  <w:vAlign w:val="center"/>
                </w:tcPr>
                <w:p w14:paraId="1A1D20A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23018.4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28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8~13</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E2E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875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A56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1DE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1D4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650</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96E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79D5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0.1</w:t>
                  </w:r>
                </w:p>
              </w:tc>
            </w:tr>
            <w:tr w14:paraId="0BC34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511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产生量（t/a）</w:t>
                  </w:r>
                </w:p>
              </w:tc>
              <w:tc>
                <w:tcPr>
                  <w:tcW w:w="616" w:type="pct"/>
                  <w:vMerge w:val="continue"/>
                  <w:tcBorders>
                    <w:left w:val="single" w:color="000000" w:sz="4" w:space="0"/>
                    <w:bottom w:val="single" w:color="000000" w:sz="4" w:space="0"/>
                    <w:right w:val="single" w:color="000000" w:sz="4" w:space="0"/>
                  </w:tcBorders>
                  <w:shd w:val="clear" w:color="auto" w:fill="auto"/>
                  <w:vAlign w:val="center"/>
                </w:tcPr>
                <w:p w14:paraId="10B47714">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18B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sz w:val="20"/>
                      <w:szCs w:val="20"/>
                      <w:highlight w:val="none"/>
                      <w:u w:val="none"/>
                      <w:lang w:val="en-US" w:eastAsia="zh-CN"/>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4D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34.528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79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11.509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8B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0.691 </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94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4.604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C4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14.962 </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E7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0.012 </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E1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 </w:t>
                  </w:r>
                </w:p>
              </w:tc>
            </w:tr>
            <w:tr w14:paraId="50FC2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6A7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预处理调节池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内</w:t>
                  </w:r>
                  <w:r>
                    <w:rPr>
                      <w:rFonts w:hint="eastAsia" w:ascii="宋体" w:hAnsi="宋体" w:eastAsia="宋体" w:cs="宋体"/>
                      <w:i w:val="0"/>
                      <w:iCs w:val="0"/>
                      <w:color w:val="auto"/>
                      <w:kern w:val="0"/>
                      <w:sz w:val="21"/>
                      <w:szCs w:val="21"/>
                      <w:highlight w:val="none"/>
                      <w:u w:val="none"/>
                      <w:lang w:val="en-US" w:eastAsia="zh-CN" w:bidi="ar"/>
                    </w:rPr>
                    <w:t>电解池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混凝沉淀池</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031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去除率</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1214F">
                  <w:pPr>
                    <w:jc w:val="center"/>
                    <w:rPr>
                      <w:rFonts w:hint="eastAsia" w:ascii="Times New Roman" w:hAnsi="Times New Roman" w:eastAsia="宋体" w:cs="Times New Roman"/>
                      <w:i w:val="0"/>
                      <w:iCs w:val="0"/>
                      <w:color w:val="auto"/>
                      <w:sz w:val="20"/>
                      <w:szCs w:val="20"/>
                      <w:highlight w:val="none"/>
                      <w:u w:val="none"/>
                      <w:lang w:val="en-US" w:eastAsia="zh-CN"/>
                    </w:rPr>
                  </w:pPr>
                  <w:r>
                    <w:rPr>
                      <w:rFonts w:hint="eastAsia" w:ascii="Times New Roman" w:hAnsi="Times New Roman" w:eastAsia="宋体" w:cs="Times New Roman"/>
                      <w:i w:val="0"/>
                      <w:iCs w:val="0"/>
                      <w:color w:val="auto"/>
                      <w:sz w:val="20"/>
                      <w:szCs w:val="20"/>
                      <w:highlight w:val="none"/>
                      <w:u w:val="none"/>
                      <w:lang w:val="en-US" w:eastAsia="zh-CN"/>
                    </w:rPr>
                    <w:t>/</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4B5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937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4AA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29A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65F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DF8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A93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14:paraId="304C7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09875">
                  <w:pPr>
                    <w:jc w:val="center"/>
                    <w:rPr>
                      <w:rFonts w:hint="eastAsia" w:ascii="宋体" w:hAnsi="宋体" w:eastAsia="宋体" w:cs="宋体"/>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A8C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出水</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822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704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917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9C2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7CF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D3E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488</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76D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8F4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14:paraId="4EAFD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7F94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UASB</w:t>
                  </w:r>
                  <w:r>
                    <w:rPr>
                      <w:rFonts w:hint="eastAsia" w:ascii="宋体" w:hAnsi="宋体" w:eastAsia="宋体" w:cs="宋体"/>
                      <w:i w:val="0"/>
                      <w:iCs w:val="0"/>
                      <w:color w:val="auto"/>
                      <w:kern w:val="0"/>
                      <w:sz w:val="21"/>
                      <w:szCs w:val="21"/>
                      <w:highlight w:val="none"/>
                      <w:u w:val="none"/>
                      <w:lang w:val="en-US" w:eastAsia="zh-CN" w:bidi="ar"/>
                    </w:rPr>
                    <w:t>厌氧池</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801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去除率</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79799">
                  <w:pPr>
                    <w:jc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Times New Roman" w:hAnsi="Times New Roman" w:eastAsia="宋体" w:cs="Times New Roman"/>
                      <w:i w:val="0"/>
                      <w:iCs w:val="0"/>
                      <w:color w:val="auto"/>
                      <w:sz w:val="22"/>
                      <w:szCs w:val="22"/>
                      <w:highlight w:val="none"/>
                      <w:u w:val="none"/>
                      <w:lang w:val="en-US" w:eastAsia="zh-CN"/>
                    </w:rPr>
                    <w:t>/</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4CC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6B4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75E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54F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4F7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417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938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32CF5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EF38B">
                  <w:pPr>
                    <w:jc w:val="center"/>
                    <w:rPr>
                      <w:rFonts w:hint="default" w:ascii="Times New Roman" w:hAnsi="Times New Roman" w:eastAsia="宋体" w:cs="Times New Roman"/>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0D0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出水</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0A4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AD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BC7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6F1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20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CC4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488</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91C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D6F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6E2E0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58DB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一级缺氧池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一级生物接触氧化池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一沉池</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3B7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去除率</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FD4A7">
                  <w:pPr>
                    <w:jc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Times New Roman" w:hAnsi="Times New Roman" w:eastAsia="宋体" w:cs="Times New Roman"/>
                      <w:i w:val="0"/>
                      <w:iCs w:val="0"/>
                      <w:color w:val="auto"/>
                      <w:sz w:val="22"/>
                      <w:szCs w:val="22"/>
                      <w:highlight w:val="none"/>
                      <w:u w:val="none"/>
                      <w:lang w:val="en-US" w:eastAsia="zh-CN"/>
                    </w:rPr>
                    <w:t>/</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E93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4CD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570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EA6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247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BB2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D84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14:paraId="51D31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EC7B5">
                  <w:pPr>
                    <w:jc w:val="center"/>
                    <w:rPr>
                      <w:rFonts w:hint="eastAsia" w:ascii="宋体" w:hAnsi="宋体" w:eastAsia="宋体" w:cs="宋体"/>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0AD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出水</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070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E58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871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86A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D06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53D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122</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2D0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916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6A09F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67F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二级缺氧池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二级生物接触氧化池+二沉池</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ABE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去除率</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B0834">
                  <w:pPr>
                    <w:jc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Times New Roman" w:hAnsi="Times New Roman" w:eastAsia="宋体" w:cs="Times New Roman"/>
                      <w:i w:val="0"/>
                      <w:iCs w:val="0"/>
                      <w:color w:val="auto"/>
                      <w:sz w:val="22"/>
                      <w:szCs w:val="22"/>
                      <w:highlight w:val="none"/>
                      <w:u w:val="none"/>
                      <w:lang w:val="en-US" w:eastAsia="zh-CN"/>
                    </w:rPr>
                    <w:t>/</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51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9D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CF4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9E9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622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AAF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316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31078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jc w:val="center"/>
              </w:trPr>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9A49D">
                  <w:pPr>
                    <w:jc w:val="center"/>
                    <w:rPr>
                      <w:rFonts w:hint="eastAsia" w:ascii="宋体" w:hAnsi="宋体" w:eastAsia="宋体" w:cs="宋体"/>
                      <w:i w:val="0"/>
                      <w:iCs w:val="0"/>
                      <w:color w:val="auto"/>
                      <w:sz w:val="21"/>
                      <w:szCs w:val="21"/>
                      <w:highlight w:val="none"/>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32B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出水</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DB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448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9CF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935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C5B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049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65F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DEB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r>
            <w:tr w14:paraId="10D73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jc w:val="center"/>
              </w:trPr>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9AE1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sz w:val="21"/>
                      <w:szCs w:val="21"/>
                      <w:highlight w:val="none"/>
                      <w:u w:val="none"/>
                      <w:lang w:val="en-US" w:eastAsia="zh-CN"/>
                    </w:rPr>
                    <w:t>排放量</w:t>
                  </w:r>
                  <w:r>
                    <w:rPr>
                      <w:rFonts w:hint="eastAsia" w:cs="Times New Roman"/>
                      <w:i w:val="0"/>
                      <w:iCs w:val="0"/>
                      <w:color w:val="auto"/>
                      <w:kern w:val="0"/>
                      <w:sz w:val="21"/>
                      <w:szCs w:val="21"/>
                      <w:highlight w:val="none"/>
                      <w:u w:val="none"/>
                      <w:lang w:val="en-US" w:eastAsia="zh-CN" w:bidi="ar"/>
                    </w:rPr>
                    <w:t>（t/a）</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5311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23018.4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21A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ED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2.115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80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1.093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CB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0.318 </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2E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0.302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D6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0.982 </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16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0.0008 </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71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0.0001 </w:t>
                  </w:r>
                </w:p>
              </w:tc>
            </w:tr>
            <w:tr w14:paraId="1163F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35" w:type="pct"/>
                  <w:gridSpan w:val="2"/>
                  <w:vMerge w:val="restart"/>
                  <w:tcBorders>
                    <w:top w:val="single" w:color="000000" w:sz="4" w:space="0"/>
                    <w:left w:val="single" w:color="000000" w:sz="4" w:space="0"/>
                    <w:right w:val="single" w:color="000000" w:sz="4" w:space="0"/>
                  </w:tcBorders>
                  <w:shd w:val="clear" w:color="auto" w:fill="auto"/>
                  <w:vAlign w:val="center"/>
                </w:tcPr>
                <w:p w14:paraId="1E3503F1">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olor w:val="auto"/>
                      <w:szCs w:val="21"/>
                      <w:highlight w:val="none"/>
                    </w:rPr>
                    <w:t>《污水综合排放标准》（GB8978-1996）三级标准</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71CD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64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CC9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C9C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D9B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F3B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F7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6BC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r>
            <w:tr w14:paraId="1B1EC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1135" w:type="pct"/>
                  <w:gridSpan w:val="2"/>
                  <w:vMerge w:val="continue"/>
                  <w:tcBorders>
                    <w:left w:val="single" w:color="000000" w:sz="4" w:space="0"/>
                    <w:bottom w:val="single" w:color="000000" w:sz="4" w:space="0"/>
                    <w:right w:val="single" w:color="000000" w:sz="4" w:space="0"/>
                  </w:tcBorders>
                  <w:shd w:val="clear" w:color="auto" w:fill="auto"/>
                  <w:vAlign w:val="center"/>
                </w:tcPr>
                <w:p w14:paraId="35605FBA">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6406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BE5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750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F6F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184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21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9A9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428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r>
            <w:tr w14:paraId="7C778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53D8D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园区污水处理厂-大英工业污水处理厂处理后</w:t>
                  </w:r>
                </w:p>
              </w:tc>
            </w:tr>
            <w:tr w14:paraId="611F3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jc w:val="center"/>
              </w:trPr>
              <w:tc>
                <w:tcPr>
                  <w:tcW w:w="519" w:type="pct"/>
                  <w:tcBorders>
                    <w:top w:val="single" w:color="000000" w:sz="4" w:space="0"/>
                    <w:left w:val="single" w:color="000000" w:sz="4" w:space="0"/>
                    <w:right w:val="single" w:color="000000" w:sz="4" w:space="0"/>
                  </w:tcBorders>
                  <w:shd w:val="clear" w:color="auto" w:fill="auto"/>
                  <w:vAlign w:val="center"/>
                </w:tcPr>
                <w:p w14:paraId="18AC4727">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出</w:t>
                  </w:r>
                  <w:r>
                    <w:rPr>
                      <w:rFonts w:hint="eastAsia" w:ascii="Times New Roman" w:hAnsi="Times New Roman" w:eastAsia="宋体" w:cs="Times New Roman"/>
                      <w:i w:val="0"/>
                      <w:iCs w:val="0"/>
                      <w:color w:val="auto"/>
                      <w:kern w:val="0"/>
                      <w:sz w:val="21"/>
                      <w:szCs w:val="21"/>
                      <w:highlight w:val="none"/>
                      <w:u w:val="none"/>
                      <w:lang w:val="en-US" w:eastAsia="zh-CN" w:bidi="ar"/>
                    </w:rPr>
                    <w:t>水水质</w:t>
                  </w:r>
                </w:p>
              </w:tc>
              <w:tc>
                <w:tcPr>
                  <w:tcW w:w="616" w:type="pct"/>
                  <w:vMerge w:val="restart"/>
                  <w:tcBorders>
                    <w:top w:val="single" w:color="000000" w:sz="4" w:space="0"/>
                    <w:left w:val="single" w:color="000000" w:sz="4" w:space="0"/>
                    <w:right w:val="single" w:color="000000" w:sz="4" w:space="0"/>
                  </w:tcBorders>
                  <w:shd w:val="clear" w:color="auto" w:fill="auto"/>
                  <w:vAlign w:val="center"/>
                </w:tcPr>
                <w:p w14:paraId="5169825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16328.4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DC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6~9</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8D8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23F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89A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B0A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EE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994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9BE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r>
            <w:tr w14:paraId="38E8F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519" w:type="pct"/>
                  <w:tcBorders>
                    <w:left w:val="single" w:color="000000" w:sz="4" w:space="0"/>
                    <w:bottom w:val="single" w:color="000000" w:sz="4" w:space="0"/>
                    <w:right w:val="single" w:color="000000" w:sz="4" w:space="0"/>
                  </w:tcBorders>
                  <w:shd w:val="clear" w:color="auto" w:fill="auto"/>
                  <w:vAlign w:val="center"/>
                </w:tcPr>
                <w:p w14:paraId="17D60AA7">
                  <w:pPr>
                    <w:keepNext w:val="0"/>
                    <w:keepLines w:val="0"/>
                    <w:widowControl/>
                    <w:suppressLineNumbers w:val="0"/>
                    <w:jc w:val="center"/>
                    <w:textAlignment w:val="center"/>
                    <w:rPr>
                      <w:rFonts w:hint="eastAsia"/>
                      <w:color w:val="auto"/>
                      <w:szCs w:val="21"/>
                      <w:highlight w:val="none"/>
                      <w:lang w:eastAsia="zh-CN"/>
                    </w:rPr>
                  </w:pPr>
                  <w:r>
                    <w:rPr>
                      <w:rFonts w:hint="eastAsia" w:cs="Times New Roman"/>
                      <w:i w:val="0"/>
                      <w:iCs w:val="0"/>
                      <w:color w:val="auto"/>
                      <w:kern w:val="0"/>
                      <w:sz w:val="21"/>
                      <w:szCs w:val="21"/>
                      <w:highlight w:val="none"/>
                      <w:u w:val="none"/>
                      <w:lang w:val="en-US" w:eastAsia="zh-CN" w:bidi="ar"/>
                    </w:rPr>
                    <w:t>排放量（t/a）</w:t>
                  </w:r>
                </w:p>
              </w:tc>
              <w:tc>
                <w:tcPr>
                  <w:tcW w:w="616" w:type="pct"/>
                  <w:vMerge w:val="continue"/>
                  <w:tcBorders>
                    <w:left w:val="single" w:color="000000" w:sz="4" w:space="0"/>
                    <w:bottom w:val="single" w:color="000000" w:sz="4" w:space="0"/>
                    <w:right w:val="single" w:color="000000" w:sz="4" w:space="0"/>
                  </w:tcBorders>
                  <w:shd w:val="clear" w:color="auto" w:fill="auto"/>
                  <w:vAlign w:val="center"/>
                </w:tcPr>
                <w:p w14:paraId="72E25F39">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0E71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56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0.460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EC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0.092 </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2D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0.460 </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78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0.023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12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0.023 </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00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0.005 </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32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0.008 </w:t>
                  </w:r>
                </w:p>
              </w:tc>
            </w:tr>
            <w:tr w14:paraId="7DF20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1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F1D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bCs/>
                      <w:color w:val="auto"/>
                      <w:szCs w:val="21"/>
                      <w:highlight w:val="none"/>
                    </w:rPr>
                    <w:t>《地表水环境质量标准》（GB3838-2002）Ⅲ类标准</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0C2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085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916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AA8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D5D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67C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629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1EBC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r>
          </w:tbl>
          <w:p w14:paraId="5563FC81">
            <w:pPr>
              <w:spacing w:line="360" w:lineRule="auto"/>
              <w:ind w:firstLine="472" w:firstLineChars="196"/>
              <w:outlineLvl w:val="1"/>
              <w:rPr>
                <w:b/>
                <w:color w:val="auto"/>
                <w:sz w:val="24"/>
                <w:highlight w:val="none"/>
              </w:rPr>
            </w:pPr>
            <w:r>
              <w:rPr>
                <w:rFonts w:hint="eastAsia"/>
                <w:b/>
                <w:color w:val="auto"/>
                <w:sz w:val="24"/>
                <w:highlight w:val="none"/>
              </w:rPr>
              <w:t>综上，本项目全厂综合废水经过厂区污水处理站处理后，废水污染物满足《污水综合排放标准》（GB8978-1996）三级标准。</w:t>
            </w:r>
          </w:p>
          <w:p w14:paraId="74D09F89">
            <w:pPr>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rPr>
              <w:t>5</w:t>
            </w:r>
            <w:r>
              <w:rPr>
                <w:b/>
                <w:color w:val="auto"/>
                <w:sz w:val="24"/>
                <w:highlight w:val="none"/>
              </w:rPr>
              <w:t>）</w:t>
            </w:r>
            <w:r>
              <w:rPr>
                <w:rFonts w:hint="eastAsia"/>
                <w:b/>
                <w:color w:val="auto"/>
                <w:sz w:val="24"/>
                <w:highlight w:val="none"/>
              </w:rPr>
              <w:t>环境监测计划</w:t>
            </w:r>
          </w:p>
          <w:p w14:paraId="0E9F453C">
            <w:pPr>
              <w:pStyle w:val="38"/>
              <w:ind w:left="0" w:leftChars="0" w:firstLine="480" w:firstLineChars="200"/>
              <w:rPr>
                <w:color w:val="auto"/>
                <w:highlight w:val="none"/>
              </w:rPr>
            </w:pPr>
            <w:r>
              <w:rPr>
                <w:color w:val="auto"/>
                <w:highlight w:val="none"/>
              </w:rPr>
              <w:t>本次环评根据</w:t>
            </w:r>
            <w:r>
              <w:rPr>
                <w:bCs/>
                <w:color w:val="auto"/>
                <w:highlight w:val="none"/>
              </w:rPr>
              <w:t>《排污单位自行监</w:t>
            </w:r>
            <w:r>
              <w:rPr>
                <w:color w:val="auto"/>
                <w:highlight w:val="none"/>
              </w:rPr>
              <w:t>测技术指南总则》（HJ819-2017）、</w:t>
            </w:r>
            <w:r>
              <w:rPr>
                <w:rFonts w:hint="eastAsia"/>
                <w:color w:val="auto"/>
                <w:highlight w:val="none"/>
                <w:lang w:eastAsia="zh-CN"/>
              </w:rPr>
              <w:t>《排污单位自行监测技术指南</w:t>
            </w:r>
            <w:r>
              <w:rPr>
                <w:rFonts w:hint="eastAsia"/>
                <w:color w:val="auto"/>
                <w:highlight w:val="none"/>
                <w:lang w:val="en-US" w:eastAsia="zh-CN"/>
              </w:rPr>
              <w:t xml:space="preserve"> </w:t>
            </w:r>
            <w:r>
              <w:rPr>
                <w:rFonts w:hint="eastAsia"/>
                <w:color w:val="auto"/>
                <w:highlight w:val="none"/>
                <w:lang w:eastAsia="zh-CN"/>
              </w:rPr>
              <w:t>石油化学工业》（HJ947-2018）</w:t>
            </w:r>
            <w:r>
              <w:rPr>
                <w:color w:val="auto"/>
                <w:highlight w:val="none"/>
              </w:rPr>
              <w:t>中废</w:t>
            </w:r>
            <w:r>
              <w:rPr>
                <w:rFonts w:hint="eastAsia"/>
                <w:color w:val="auto"/>
                <w:highlight w:val="none"/>
              </w:rPr>
              <w:t>水</w:t>
            </w:r>
            <w:r>
              <w:rPr>
                <w:color w:val="auto"/>
                <w:highlight w:val="none"/>
              </w:rPr>
              <w:t>的监测频次要求及相关的规定提出项目运行后全厂生产运行阶段的废水污染源监测计划，详见下表：</w:t>
            </w:r>
          </w:p>
          <w:p w14:paraId="63A15BD2">
            <w:pPr>
              <w:pStyle w:val="41"/>
              <w:rPr>
                <w:color w:val="auto"/>
                <w:highlight w:val="none"/>
              </w:rPr>
            </w:pPr>
            <w:r>
              <w:rPr>
                <w:color w:val="auto"/>
                <w:highlight w:val="none"/>
              </w:rPr>
              <w:t>废水监测方案</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782"/>
              <w:gridCol w:w="5064"/>
              <w:gridCol w:w="2353"/>
            </w:tblGrid>
            <w:tr w14:paraId="3D22E5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968" w:type="pct"/>
                  <w:vAlign w:val="center"/>
                </w:tcPr>
                <w:p w14:paraId="0731F2E9">
                  <w:pPr>
                    <w:jc w:val="center"/>
                    <w:rPr>
                      <w:b/>
                      <w:bCs/>
                      <w:color w:val="auto"/>
                      <w:szCs w:val="21"/>
                      <w:highlight w:val="none"/>
                    </w:rPr>
                  </w:pPr>
                  <w:r>
                    <w:rPr>
                      <w:b/>
                      <w:bCs/>
                      <w:color w:val="auto"/>
                      <w:szCs w:val="21"/>
                      <w:highlight w:val="none"/>
                    </w:rPr>
                    <w:t>监测点位</w:t>
                  </w:r>
                </w:p>
              </w:tc>
              <w:tc>
                <w:tcPr>
                  <w:tcW w:w="2752" w:type="pct"/>
                  <w:vAlign w:val="center"/>
                </w:tcPr>
                <w:p w14:paraId="450EFA8C">
                  <w:pPr>
                    <w:jc w:val="center"/>
                    <w:rPr>
                      <w:b/>
                      <w:bCs/>
                      <w:color w:val="auto"/>
                      <w:szCs w:val="21"/>
                      <w:highlight w:val="none"/>
                    </w:rPr>
                  </w:pPr>
                  <w:r>
                    <w:rPr>
                      <w:b/>
                      <w:bCs/>
                      <w:color w:val="auto"/>
                      <w:szCs w:val="21"/>
                      <w:highlight w:val="none"/>
                    </w:rPr>
                    <w:t>监测指标</w:t>
                  </w:r>
                </w:p>
              </w:tc>
              <w:tc>
                <w:tcPr>
                  <w:tcW w:w="1278" w:type="pct"/>
                  <w:vAlign w:val="center"/>
                </w:tcPr>
                <w:p w14:paraId="0171B0ED">
                  <w:pPr>
                    <w:jc w:val="center"/>
                    <w:rPr>
                      <w:b/>
                      <w:bCs/>
                      <w:color w:val="auto"/>
                      <w:szCs w:val="21"/>
                      <w:highlight w:val="none"/>
                    </w:rPr>
                  </w:pPr>
                  <w:r>
                    <w:rPr>
                      <w:b/>
                      <w:bCs/>
                      <w:color w:val="auto"/>
                      <w:szCs w:val="21"/>
                      <w:highlight w:val="none"/>
                    </w:rPr>
                    <w:t>监测频次</w:t>
                  </w:r>
                </w:p>
              </w:tc>
            </w:tr>
            <w:tr w14:paraId="5183FF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968" w:type="pct"/>
                  <w:vMerge w:val="restart"/>
                  <w:vAlign w:val="center"/>
                </w:tcPr>
                <w:p w14:paraId="3370ED1E">
                  <w:pPr>
                    <w:jc w:val="center"/>
                    <w:rPr>
                      <w:color w:val="auto"/>
                      <w:szCs w:val="21"/>
                      <w:highlight w:val="none"/>
                    </w:rPr>
                  </w:pPr>
                  <w:r>
                    <w:rPr>
                      <w:rFonts w:hint="eastAsia"/>
                      <w:color w:val="auto"/>
                      <w:szCs w:val="21"/>
                      <w:highlight w:val="none"/>
                      <w:lang w:val="en-US" w:eastAsia="zh-CN"/>
                    </w:rPr>
                    <w:t>厂区污水处理站废水</w:t>
                  </w:r>
                  <w:r>
                    <w:rPr>
                      <w:color w:val="auto"/>
                      <w:szCs w:val="21"/>
                      <w:highlight w:val="none"/>
                    </w:rPr>
                    <w:t>排口</w:t>
                  </w:r>
                </w:p>
              </w:tc>
              <w:tc>
                <w:tcPr>
                  <w:tcW w:w="2752" w:type="pct"/>
                  <w:vAlign w:val="center"/>
                </w:tcPr>
                <w:p w14:paraId="32E1FEFA">
                  <w:pPr>
                    <w:jc w:val="center"/>
                    <w:rPr>
                      <w:rFonts w:hint="default"/>
                      <w:color w:val="auto"/>
                      <w:szCs w:val="21"/>
                      <w:highlight w:val="none"/>
                      <w:lang w:val="en-US"/>
                    </w:rPr>
                  </w:pPr>
                  <w:r>
                    <w:rPr>
                      <w:color w:val="auto"/>
                      <w:szCs w:val="21"/>
                      <w:highlight w:val="none"/>
                    </w:rPr>
                    <w:t>COD</w:t>
                  </w:r>
                  <w:r>
                    <w:rPr>
                      <w:rFonts w:hint="eastAsia"/>
                      <w:color w:val="auto"/>
                      <w:szCs w:val="21"/>
                      <w:highlight w:val="none"/>
                      <w:vertAlign w:val="subscript"/>
                      <w:lang w:val="en-US" w:eastAsia="zh-CN"/>
                    </w:rPr>
                    <w:t>Cr</w:t>
                  </w:r>
                  <w:r>
                    <w:rPr>
                      <w:color w:val="auto"/>
                      <w:szCs w:val="21"/>
                      <w:highlight w:val="none"/>
                    </w:rPr>
                    <w:t>、NH</w:t>
                  </w:r>
                  <w:r>
                    <w:rPr>
                      <w:color w:val="auto"/>
                      <w:szCs w:val="21"/>
                      <w:highlight w:val="none"/>
                      <w:vertAlign w:val="subscript"/>
                    </w:rPr>
                    <w:t>3</w:t>
                  </w:r>
                  <w:r>
                    <w:rPr>
                      <w:color w:val="auto"/>
                      <w:szCs w:val="21"/>
                      <w:highlight w:val="none"/>
                    </w:rPr>
                    <w:t>-N</w:t>
                  </w:r>
                  <w:r>
                    <w:rPr>
                      <w:rFonts w:hint="eastAsia"/>
                      <w:color w:val="auto"/>
                      <w:szCs w:val="21"/>
                      <w:highlight w:val="none"/>
                      <w:lang w:val="en-US" w:eastAsia="zh-CN"/>
                    </w:rPr>
                    <w:t>、流量</w:t>
                  </w:r>
                </w:p>
              </w:tc>
              <w:tc>
                <w:tcPr>
                  <w:tcW w:w="1278" w:type="pct"/>
                  <w:vAlign w:val="center"/>
                </w:tcPr>
                <w:p w14:paraId="3AA5CFA6">
                  <w:pPr>
                    <w:jc w:val="center"/>
                    <w:rPr>
                      <w:rFonts w:hint="default" w:eastAsia="宋体"/>
                      <w:color w:val="auto"/>
                      <w:szCs w:val="21"/>
                      <w:highlight w:val="none"/>
                      <w:lang w:val="en-US" w:eastAsia="zh-CN"/>
                    </w:rPr>
                  </w:pPr>
                  <w:r>
                    <w:rPr>
                      <w:rFonts w:hint="eastAsia"/>
                      <w:color w:val="auto"/>
                      <w:szCs w:val="21"/>
                      <w:highlight w:val="none"/>
                      <w:lang w:val="en-US" w:eastAsia="zh-CN"/>
                    </w:rPr>
                    <w:t>1次/周</w:t>
                  </w:r>
                </w:p>
              </w:tc>
            </w:tr>
            <w:tr w14:paraId="41BAFD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51" w:hRule="atLeast"/>
                <w:jc w:val="center"/>
              </w:trPr>
              <w:tc>
                <w:tcPr>
                  <w:tcW w:w="968" w:type="pct"/>
                  <w:vMerge w:val="continue"/>
                  <w:vAlign w:val="center"/>
                </w:tcPr>
                <w:p w14:paraId="1AD758C1">
                  <w:pPr>
                    <w:jc w:val="center"/>
                    <w:rPr>
                      <w:rFonts w:hint="eastAsia"/>
                      <w:color w:val="auto"/>
                      <w:szCs w:val="21"/>
                      <w:highlight w:val="none"/>
                      <w:lang w:val="en-US" w:eastAsia="zh-CN"/>
                    </w:rPr>
                  </w:pPr>
                </w:p>
              </w:tc>
              <w:tc>
                <w:tcPr>
                  <w:tcW w:w="2752" w:type="pct"/>
                  <w:vAlign w:val="center"/>
                </w:tcPr>
                <w:p w14:paraId="3FF90FFB">
                  <w:pPr>
                    <w:jc w:val="center"/>
                    <w:rPr>
                      <w:color w:val="auto"/>
                      <w:szCs w:val="21"/>
                      <w:highlight w:val="none"/>
                    </w:rPr>
                  </w:pPr>
                  <w:r>
                    <w:rPr>
                      <w:color w:val="auto"/>
                      <w:szCs w:val="21"/>
                      <w:highlight w:val="none"/>
                    </w:rPr>
                    <w:t>pH、</w:t>
                  </w:r>
                  <w:r>
                    <w:rPr>
                      <w:rFonts w:hint="eastAsia"/>
                      <w:color w:val="auto"/>
                      <w:szCs w:val="21"/>
                      <w:highlight w:val="none"/>
                      <w:lang w:val="en-US" w:eastAsia="zh-CN"/>
                    </w:rPr>
                    <w:t>悬浮物、总氮、总磷、石油类、硫化物、挥发酚</w:t>
                  </w:r>
                </w:p>
              </w:tc>
              <w:tc>
                <w:tcPr>
                  <w:tcW w:w="1278" w:type="pct"/>
                  <w:vAlign w:val="center"/>
                </w:tcPr>
                <w:p w14:paraId="16F4E04C">
                  <w:pPr>
                    <w:jc w:val="center"/>
                    <w:rPr>
                      <w:rFonts w:hint="eastAsia" w:eastAsia="宋体"/>
                      <w:color w:val="auto"/>
                      <w:szCs w:val="21"/>
                      <w:highlight w:val="none"/>
                      <w:lang w:val="en-US" w:eastAsia="zh-CN"/>
                    </w:rPr>
                  </w:pPr>
                  <w:r>
                    <w:rPr>
                      <w:color w:val="auto"/>
                      <w:szCs w:val="21"/>
                      <w:highlight w:val="none"/>
                    </w:rPr>
                    <w:t>1次/</w:t>
                  </w:r>
                  <w:r>
                    <w:rPr>
                      <w:rFonts w:hint="eastAsia"/>
                      <w:color w:val="auto"/>
                      <w:szCs w:val="21"/>
                      <w:highlight w:val="none"/>
                      <w:lang w:val="en-US" w:eastAsia="zh-CN"/>
                    </w:rPr>
                    <w:t>月</w:t>
                  </w:r>
                </w:p>
              </w:tc>
            </w:tr>
            <w:tr w14:paraId="238384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968" w:type="pct"/>
                  <w:vMerge w:val="continue"/>
                  <w:vAlign w:val="center"/>
                </w:tcPr>
                <w:p w14:paraId="03F6F023">
                  <w:pPr>
                    <w:jc w:val="center"/>
                    <w:rPr>
                      <w:rFonts w:hint="eastAsia"/>
                      <w:color w:val="auto"/>
                      <w:szCs w:val="21"/>
                      <w:highlight w:val="none"/>
                      <w:lang w:val="en-US" w:eastAsia="zh-CN"/>
                    </w:rPr>
                  </w:pPr>
                </w:p>
              </w:tc>
              <w:tc>
                <w:tcPr>
                  <w:tcW w:w="2752" w:type="pct"/>
                  <w:vAlign w:val="center"/>
                </w:tcPr>
                <w:p w14:paraId="5842BDC5">
                  <w:pPr>
                    <w:jc w:val="center"/>
                    <w:rPr>
                      <w:rFonts w:hint="default"/>
                      <w:color w:val="auto"/>
                      <w:szCs w:val="21"/>
                      <w:highlight w:val="none"/>
                      <w:vertAlign w:val="baseline"/>
                      <w:lang w:val="en-US"/>
                    </w:rPr>
                  </w:pPr>
                  <w:r>
                    <w:rPr>
                      <w:rFonts w:hint="eastAsia"/>
                      <w:color w:val="auto"/>
                      <w:szCs w:val="21"/>
                      <w:highlight w:val="none"/>
                      <w:lang w:val="en-US" w:eastAsia="zh-CN"/>
                    </w:rPr>
                    <w:t>BOD</w:t>
                  </w:r>
                  <w:r>
                    <w:rPr>
                      <w:rFonts w:hint="eastAsia"/>
                      <w:color w:val="auto"/>
                      <w:szCs w:val="21"/>
                      <w:highlight w:val="none"/>
                      <w:vertAlign w:val="subscript"/>
                      <w:lang w:val="en-US" w:eastAsia="zh-CN"/>
                    </w:rPr>
                    <w:t>5</w:t>
                  </w:r>
                  <w:r>
                    <w:rPr>
                      <w:rFonts w:hint="eastAsia"/>
                      <w:color w:val="auto"/>
                      <w:szCs w:val="21"/>
                      <w:highlight w:val="none"/>
                      <w:vertAlign w:val="baseline"/>
                      <w:lang w:val="en-US" w:eastAsia="zh-CN"/>
                    </w:rPr>
                    <w:t>、总有机碳、氟化物、总钒、总铜、总锌、总氰化物、可吸附有机卤化物</w:t>
                  </w:r>
                </w:p>
              </w:tc>
              <w:tc>
                <w:tcPr>
                  <w:tcW w:w="1278" w:type="pct"/>
                  <w:vAlign w:val="center"/>
                </w:tcPr>
                <w:p w14:paraId="427A3E76">
                  <w:pPr>
                    <w:jc w:val="center"/>
                    <w:rPr>
                      <w:rFonts w:hint="eastAsia" w:eastAsia="宋体"/>
                      <w:color w:val="auto"/>
                      <w:szCs w:val="21"/>
                      <w:highlight w:val="none"/>
                      <w:lang w:val="en-US" w:eastAsia="zh-CN"/>
                    </w:rPr>
                  </w:pPr>
                  <w:r>
                    <w:rPr>
                      <w:color w:val="auto"/>
                      <w:szCs w:val="21"/>
                      <w:highlight w:val="none"/>
                    </w:rPr>
                    <w:t>1次/</w:t>
                  </w:r>
                  <w:r>
                    <w:rPr>
                      <w:rFonts w:hint="eastAsia"/>
                      <w:color w:val="auto"/>
                      <w:szCs w:val="21"/>
                      <w:highlight w:val="none"/>
                      <w:lang w:val="en-US" w:eastAsia="zh-CN"/>
                    </w:rPr>
                    <w:t>季度</w:t>
                  </w:r>
                </w:p>
              </w:tc>
            </w:tr>
            <w:tr w14:paraId="7DC6EE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968" w:type="pct"/>
                  <w:vMerge w:val="continue"/>
                  <w:vAlign w:val="center"/>
                </w:tcPr>
                <w:p w14:paraId="1E2ED5E3">
                  <w:pPr>
                    <w:jc w:val="center"/>
                    <w:rPr>
                      <w:color w:val="auto"/>
                      <w:szCs w:val="21"/>
                      <w:highlight w:val="none"/>
                    </w:rPr>
                  </w:pPr>
                </w:p>
              </w:tc>
              <w:tc>
                <w:tcPr>
                  <w:tcW w:w="2752" w:type="pct"/>
                  <w:vAlign w:val="center"/>
                </w:tcPr>
                <w:p w14:paraId="6B56CE75">
                  <w:pPr>
                    <w:jc w:val="center"/>
                    <w:rPr>
                      <w:rFonts w:hint="default"/>
                      <w:color w:val="auto"/>
                      <w:szCs w:val="21"/>
                      <w:highlight w:val="none"/>
                      <w:lang w:val="en-US"/>
                    </w:rPr>
                  </w:pPr>
                  <w:r>
                    <w:rPr>
                      <w:rFonts w:hint="eastAsia"/>
                      <w:color w:val="auto"/>
                      <w:szCs w:val="21"/>
                      <w:highlight w:val="none"/>
                      <w:lang w:val="en-US" w:eastAsia="zh-CN"/>
                    </w:rPr>
                    <w:t>总磷、悬浮物、石油类、挥发酚、动植物油、TOC</w:t>
                  </w:r>
                </w:p>
              </w:tc>
              <w:tc>
                <w:tcPr>
                  <w:tcW w:w="1278" w:type="pct"/>
                  <w:vAlign w:val="center"/>
                </w:tcPr>
                <w:p w14:paraId="61300141">
                  <w:pPr>
                    <w:jc w:val="center"/>
                    <w:rPr>
                      <w:rFonts w:hint="eastAsia" w:eastAsia="宋体"/>
                      <w:color w:val="auto"/>
                      <w:szCs w:val="21"/>
                      <w:highlight w:val="none"/>
                      <w:lang w:eastAsia="zh-CN"/>
                    </w:rPr>
                  </w:pPr>
                  <w:r>
                    <w:rPr>
                      <w:color w:val="auto"/>
                      <w:szCs w:val="21"/>
                      <w:highlight w:val="none"/>
                    </w:rPr>
                    <w:t>1次/</w:t>
                  </w:r>
                  <w:r>
                    <w:rPr>
                      <w:rFonts w:hint="eastAsia"/>
                      <w:color w:val="auto"/>
                      <w:szCs w:val="21"/>
                      <w:highlight w:val="none"/>
                      <w:lang w:val="en-US" w:eastAsia="zh-CN"/>
                    </w:rPr>
                    <w:t>年</w:t>
                  </w:r>
                </w:p>
              </w:tc>
            </w:tr>
            <w:tr w14:paraId="3B418F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968" w:type="pct"/>
                  <w:vAlign w:val="center"/>
                </w:tcPr>
                <w:p w14:paraId="35450AC4">
                  <w:pPr>
                    <w:jc w:val="center"/>
                    <w:rPr>
                      <w:rFonts w:hint="default" w:eastAsia="宋体"/>
                      <w:color w:val="auto"/>
                      <w:szCs w:val="21"/>
                      <w:highlight w:val="none"/>
                      <w:lang w:val="en-US" w:eastAsia="zh-CN"/>
                    </w:rPr>
                  </w:pPr>
                  <w:r>
                    <w:rPr>
                      <w:rFonts w:hint="eastAsia"/>
                      <w:color w:val="auto"/>
                      <w:szCs w:val="21"/>
                      <w:highlight w:val="none"/>
                      <w:lang w:val="en-US" w:eastAsia="zh-CN"/>
                    </w:rPr>
                    <w:t>雨水排放口</w:t>
                  </w:r>
                </w:p>
              </w:tc>
              <w:tc>
                <w:tcPr>
                  <w:tcW w:w="2752" w:type="pct"/>
                  <w:vAlign w:val="center"/>
                </w:tcPr>
                <w:p w14:paraId="35DB594F">
                  <w:pPr>
                    <w:jc w:val="center"/>
                    <w:rPr>
                      <w:rFonts w:hint="default" w:eastAsia="宋体"/>
                      <w:color w:val="auto"/>
                      <w:szCs w:val="21"/>
                      <w:highlight w:val="none"/>
                      <w:lang w:val="en-US" w:eastAsia="zh-CN"/>
                    </w:rPr>
                  </w:pPr>
                  <w:r>
                    <w:rPr>
                      <w:rFonts w:hint="eastAsia"/>
                      <w:color w:val="auto"/>
                      <w:szCs w:val="21"/>
                      <w:highlight w:val="none"/>
                      <w:lang w:val="en-US" w:eastAsia="zh-CN"/>
                    </w:rPr>
                    <w:t>pH值、</w:t>
                  </w:r>
                  <w:r>
                    <w:rPr>
                      <w:color w:val="auto"/>
                      <w:szCs w:val="21"/>
                      <w:highlight w:val="none"/>
                    </w:rPr>
                    <w:t>COD</w:t>
                  </w:r>
                  <w:r>
                    <w:rPr>
                      <w:rFonts w:hint="eastAsia"/>
                      <w:color w:val="auto"/>
                      <w:szCs w:val="21"/>
                      <w:highlight w:val="none"/>
                      <w:vertAlign w:val="subscript"/>
                      <w:lang w:val="en-US" w:eastAsia="zh-CN"/>
                    </w:rPr>
                    <w:t>Cr</w:t>
                  </w:r>
                  <w:r>
                    <w:rPr>
                      <w:color w:val="auto"/>
                      <w:szCs w:val="21"/>
                      <w:highlight w:val="none"/>
                    </w:rPr>
                    <w:t>、NH</w:t>
                  </w:r>
                  <w:r>
                    <w:rPr>
                      <w:color w:val="auto"/>
                      <w:szCs w:val="21"/>
                      <w:highlight w:val="none"/>
                      <w:vertAlign w:val="subscript"/>
                    </w:rPr>
                    <w:t>3</w:t>
                  </w:r>
                  <w:r>
                    <w:rPr>
                      <w:color w:val="auto"/>
                      <w:szCs w:val="21"/>
                      <w:highlight w:val="none"/>
                    </w:rPr>
                    <w:t>-N</w:t>
                  </w:r>
                  <w:r>
                    <w:rPr>
                      <w:rFonts w:hint="eastAsia"/>
                      <w:color w:val="auto"/>
                      <w:szCs w:val="21"/>
                      <w:highlight w:val="none"/>
                      <w:lang w:eastAsia="zh-CN"/>
                    </w:rPr>
                    <w:t>、</w:t>
                  </w:r>
                  <w:r>
                    <w:rPr>
                      <w:rFonts w:hint="eastAsia"/>
                      <w:color w:val="auto"/>
                      <w:szCs w:val="21"/>
                      <w:highlight w:val="none"/>
                      <w:lang w:val="en-US" w:eastAsia="zh-CN"/>
                    </w:rPr>
                    <w:t>悬浮物</w:t>
                  </w:r>
                </w:p>
              </w:tc>
              <w:tc>
                <w:tcPr>
                  <w:tcW w:w="1278" w:type="pct"/>
                  <w:vAlign w:val="center"/>
                </w:tcPr>
                <w:p w14:paraId="09510FFD">
                  <w:pPr>
                    <w:jc w:val="center"/>
                    <w:rPr>
                      <w:rFonts w:hint="default" w:eastAsia="宋体"/>
                      <w:color w:val="auto"/>
                      <w:szCs w:val="21"/>
                      <w:highlight w:val="none"/>
                      <w:lang w:val="en-US" w:eastAsia="zh-CN"/>
                    </w:rPr>
                  </w:pPr>
                  <w:r>
                    <w:rPr>
                      <w:rFonts w:hint="eastAsia"/>
                      <w:color w:val="auto"/>
                      <w:szCs w:val="21"/>
                      <w:highlight w:val="none"/>
                      <w:lang w:val="en-US" w:eastAsia="zh-CN"/>
                    </w:rPr>
                    <w:t>1次/日（雨水排放期间）</w:t>
                  </w:r>
                </w:p>
              </w:tc>
            </w:tr>
          </w:tbl>
          <w:p w14:paraId="09C0A43A">
            <w:pPr>
              <w:spacing w:line="360" w:lineRule="auto"/>
              <w:ind w:firstLine="482" w:firstLineChars="200"/>
              <w:rPr>
                <w:b/>
                <w:color w:val="auto"/>
                <w:sz w:val="24"/>
                <w:highlight w:val="none"/>
              </w:rPr>
            </w:pPr>
            <w:r>
              <w:rPr>
                <w:b/>
                <w:color w:val="auto"/>
                <w:sz w:val="24"/>
                <w:highlight w:val="none"/>
                <w:lang w:bidi="ar"/>
              </w:rPr>
              <w:t>3、噪声</w:t>
            </w:r>
          </w:p>
          <w:p w14:paraId="3D8FC57E">
            <w:pPr>
              <w:spacing w:line="360" w:lineRule="auto"/>
              <w:ind w:firstLine="482" w:firstLineChars="200"/>
              <w:rPr>
                <w:b/>
                <w:color w:val="auto"/>
                <w:sz w:val="24"/>
                <w:highlight w:val="none"/>
              </w:rPr>
            </w:pPr>
            <w:r>
              <w:rPr>
                <w:b/>
                <w:color w:val="auto"/>
                <w:sz w:val="24"/>
                <w:highlight w:val="none"/>
              </w:rPr>
              <w:t>（1）噪声源强</w:t>
            </w:r>
            <w:r>
              <w:rPr>
                <w:rFonts w:hint="eastAsia"/>
                <w:b/>
                <w:color w:val="auto"/>
                <w:sz w:val="24"/>
                <w:highlight w:val="none"/>
              </w:rPr>
              <w:t>及治理措施</w:t>
            </w:r>
          </w:p>
          <w:p w14:paraId="1D4E5DE4">
            <w:pPr>
              <w:spacing w:line="360" w:lineRule="auto"/>
              <w:ind w:firstLine="480" w:firstLineChars="200"/>
              <w:rPr>
                <w:color w:val="auto"/>
                <w:sz w:val="24"/>
                <w:highlight w:val="none"/>
              </w:rPr>
            </w:pPr>
            <w:r>
              <w:rPr>
                <w:rFonts w:hint="eastAsia"/>
                <w:color w:val="auto"/>
                <w:sz w:val="24"/>
                <w:highlight w:val="none"/>
                <w:lang w:val="en-US" w:eastAsia="zh-CN"/>
              </w:rPr>
              <w:t>本次技改新增设备产生的设备噪声及工艺操作噪声，设备主要为生产装置成套设备及配套泵类设备，锅炉水处理间的软水制备装置配套水泵</w:t>
            </w:r>
            <w:r>
              <w:rPr>
                <w:color w:val="auto"/>
                <w:sz w:val="24"/>
                <w:highlight w:val="none"/>
              </w:rPr>
              <w:t>等，其</w:t>
            </w:r>
            <w:r>
              <w:rPr>
                <w:rFonts w:hint="eastAsia"/>
                <w:color w:val="auto"/>
                <w:sz w:val="24"/>
                <w:highlight w:val="none"/>
                <w:lang w:val="en-US" w:eastAsia="zh-CN"/>
              </w:rPr>
              <w:t>单台</w:t>
            </w:r>
            <w:r>
              <w:rPr>
                <w:color w:val="auto"/>
                <w:sz w:val="24"/>
                <w:highlight w:val="none"/>
              </w:rPr>
              <w:t>噪声值在</w:t>
            </w:r>
            <w:r>
              <w:rPr>
                <w:rFonts w:hint="eastAsia"/>
                <w:color w:val="auto"/>
                <w:sz w:val="24"/>
                <w:highlight w:val="none"/>
                <w:lang w:val="en-US" w:eastAsia="zh-CN"/>
              </w:rPr>
              <w:t>75</w:t>
            </w:r>
            <w:r>
              <w:rPr>
                <w:color w:val="auto"/>
                <w:sz w:val="24"/>
                <w:highlight w:val="none"/>
              </w:rPr>
              <w:t>~</w:t>
            </w:r>
            <w:r>
              <w:rPr>
                <w:rFonts w:hint="eastAsia"/>
                <w:color w:val="auto"/>
                <w:sz w:val="24"/>
                <w:highlight w:val="none"/>
                <w:lang w:val="en-US" w:eastAsia="zh-CN"/>
              </w:rPr>
              <w:t>85</w:t>
            </w:r>
            <w:r>
              <w:rPr>
                <w:color w:val="auto"/>
                <w:sz w:val="24"/>
                <w:highlight w:val="none"/>
              </w:rPr>
              <w:t>dB</w:t>
            </w:r>
            <w:r>
              <w:rPr>
                <w:rFonts w:hint="eastAsia"/>
                <w:color w:val="auto"/>
                <w:sz w:val="24"/>
                <w:highlight w:val="none"/>
                <w:lang w:eastAsia="zh-CN"/>
              </w:rPr>
              <w:t>（</w:t>
            </w:r>
            <w:r>
              <w:rPr>
                <w:color w:val="auto"/>
                <w:sz w:val="24"/>
                <w:highlight w:val="none"/>
              </w:rPr>
              <w:t>A</w:t>
            </w:r>
            <w:r>
              <w:rPr>
                <w:rFonts w:hint="eastAsia"/>
                <w:color w:val="auto"/>
                <w:sz w:val="24"/>
                <w:highlight w:val="none"/>
                <w:lang w:eastAsia="zh-CN"/>
              </w:rPr>
              <w:t>）</w:t>
            </w:r>
            <w:r>
              <w:rPr>
                <w:color w:val="auto"/>
                <w:sz w:val="24"/>
                <w:highlight w:val="none"/>
              </w:rPr>
              <w:t>。</w:t>
            </w:r>
            <w:r>
              <w:rPr>
                <w:rFonts w:hint="eastAsia"/>
                <w:color w:val="auto"/>
                <w:sz w:val="24"/>
                <w:highlight w:val="none"/>
                <w:lang w:val="en-US" w:eastAsia="zh-CN"/>
              </w:rPr>
              <w:t>企业</w:t>
            </w:r>
            <w:r>
              <w:rPr>
                <w:color w:val="auto"/>
                <w:sz w:val="24"/>
                <w:highlight w:val="none"/>
              </w:rPr>
              <w:t>拟采取安装减震垫、基础固定等措施减少对周围环境干扰。项目主要产噪设备噪声产生情况及处理措施见下表所示。</w:t>
            </w:r>
          </w:p>
          <w:p w14:paraId="1F926586">
            <w:pPr>
              <w:pStyle w:val="41"/>
              <w:tabs>
                <w:tab w:val="left" w:pos="0"/>
                <w:tab w:val="clear" w:pos="397"/>
              </w:tabs>
              <w:rPr>
                <w:color w:val="auto"/>
                <w:highlight w:val="none"/>
              </w:rPr>
            </w:pPr>
            <w:r>
              <w:rPr>
                <w:rFonts w:hint="eastAsia" w:ascii="宋体" w:hAnsi="宋体"/>
                <w:color w:val="auto"/>
                <w:highlight w:val="none"/>
              </w:rPr>
              <w:t>本项目工业企业噪声源强调查清单（室内声源）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05"/>
              <w:gridCol w:w="813"/>
              <w:gridCol w:w="736"/>
              <w:gridCol w:w="405"/>
              <w:gridCol w:w="810"/>
              <w:gridCol w:w="825"/>
              <w:gridCol w:w="615"/>
              <w:gridCol w:w="639"/>
              <w:gridCol w:w="596"/>
              <w:gridCol w:w="594"/>
              <w:gridCol w:w="670"/>
              <w:gridCol w:w="518"/>
              <w:gridCol w:w="684"/>
              <w:gridCol w:w="501"/>
              <w:gridCol w:w="496"/>
            </w:tblGrid>
            <w:tr w14:paraId="4F11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vMerge w:val="restart"/>
                  <w:shd w:val="clear" w:color="auto" w:fill="auto"/>
                  <w:noWrap/>
                  <w:vAlign w:val="center"/>
                </w:tcPr>
                <w:p w14:paraId="64A616D7">
                  <w:pPr>
                    <w:kinsoku w:val="0"/>
                    <w:overflowPunct w:val="0"/>
                    <w:autoSpaceDE w:val="0"/>
                    <w:autoSpaceDN w:val="0"/>
                    <w:adjustRightInd w:val="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rPr>
                    <w:t>序号</w:t>
                  </w:r>
                </w:p>
              </w:tc>
              <w:tc>
                <w:tcPr>
                  <w:tcW w:w="441" w:type="pct"/>
                  <w:vMerge w:val="restart"/>
                  <w:shd w:val="clear" w:color="auto" w:fill="auto"/>
                  <w:vAlign w:val="center"/>
                </w:tcPr>
                <w:p w14:paraId="337FA26B">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建筑物</w:t>
                  </w:r>
                </w:p>
                <w:p w14:paraId="08D5135A">
                  <w:pPr>
                    <w:kinsoku w:val="0"/>
                    <w:overflowPunct w:val="0"/>
                    <w:autoSpaceDE w:val="0"/>
                    <w:autoSpaceDN w:val="0"/>
                    <w:adjustRightInd w:val="0"/>
                    <w:jc w:val="center"/>
                    <w:rPr>
                      <w:rFonts w:hint="default" w:eastAsia="宋体"/>
                      <w:b/>
                      <w:bCs/>
                      <w:color w:val="auto"/>
                      <w:kern w:val="0"/>
                      <w:sz w:val="21"/>
                      <w:szCs w:val="21"/>
                      <w:highlight w:val="none"/>
                      <w:lang w:val="en-US" w:eastAsia="zh-CN"/>
                    </w:rPr>
                  </w:pPr>
                  <w:r>
                    <w:rPr>
                      <w:rFonts w:hint="eastAsia"/>
                      <w:b/>
                      <w:bCs/>
                      <w:color w:val="auto"/>
                      <w:kern w:val="0"/>
                      <w:sz w:val="21"/>
                      <w:szCs w:val="21"/>
                      <w:highlight w:val="none"/>
                    </w:rPr>
                    <w:t>名称</w:t>
                  </w:r>
                </w:p>
              </w:tc>
              <w:tc>
                <w:tcPr>
                  <w:tcW w:w="399" w:type="pct"/>
                  <w:vMerge w:val="restart"/>
                  <w:shd w:val="clear" w:color="auto" w:fill="auto"/>
                  <w:noWrap/>
                  <w:vAlign w:val="center"/>
                </w:tcPr>
                <w:p w14:paraId="163A30B8">
                  <w:pPr>
                    <w:kinsoku w:val="0"/>
                    <w:overflowPunct w:val="0"/>
                    <w:autoSpaceDE w:val="0"/>
                    <w:autoSpaceDN w:val="0"/>
                    <w:adjustRightInd w:val="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rPr>
                    <w:t>声源名称</w:t>
                  </w:r>
                </w:p>
              </w:tc>
              <w:tc>
                <w:tcPr>
                  <w:tcW w:w="219" w:type="pct"/>
                  <w:vMerge w:val="restart"/>
                  <w:shd w:val="clear" w:color="auto" w:fill="auto"/>
                  <w:noWrap/>
                  <w:vAlign w:val="center"/>
                </w:tcPr>
                <w:p w14:paraId="6FEEC01B">
                  <w:pPr>
                    <w:kinsoku w:val="0"/>
                    <w:overflowPunct w:val="0"/>
                    <w:autoSpaceDE w:val="0"/>
                    <w:autoSpaceDN w:val="0"/>
                    <w:adjustRightInd w:val="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rPr>
                    <w:t>型号</w:t>
                  </w:r>
                </w:p>
              </w:tc>
              <w:tc>
                <w:tcPr>
                  <w:tcW w:w="439" w:type="pct"/>
                  <w:shd w:val="clear" w:color="auto" w:fill="auto"/>
                  <w:vAlign w:val="center"/>
                </w:tcPr>
                <w:p w14:paraId="2E7B8A56">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声源源强</w:t>
                  </w:r>
                </w:p>
              </w:tc>
              <w:tc>
                <w:tcPr>
                  <w:tcW w:w="448" w:type="pct"/>
                  <w:vMerge w:val="restart"/>
                  <w:shd w:val="clear" w:color="auto" w:fill="auto"/>
                  <w:noWrap/>
                  <w:vAlign w:val="center"/>
                </w:tcPr>
                <w:p w14:paraId="3256CC60">
                  <w:pPr>
                    <w:kinsoku w:val="0"/>
                    <w:overflowPunct w:val="0"/>
                    <w:autoSpaceDE w:val="0"/>
                    <w:autoSpaceDN w:val="0"/>
                    <w:adjustRightInd w:val="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rPr>
                    <w:t>声源控制措施</w:t>
                  </w:r>
                </w:p>
              </w:tc>
              <w:tc>
                <w:tcPr>
                  <w:tcW w:w="1004" w:type="pct"/>
                  <w:gridSpan w:val="3"/>
                  <w:shd w:val="clear" w:color="auto" w:fill="auto"/>
                  <w:noWrap/>
                  <w:vAlign w:val="center"/>
                </w:tcPr>
                <w:p w14:paraId="05B613CC">
                  <w:pPr>
                    <w:kinsoku w:val="0"/>
                    <w:overflowPunct w:val="0"/>
                    <w:autoSpaceDE w:val="0"/>
                    <w:autoSpaceDN w:val="0"/>
                    <w:adjustRightInd w:val="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rPr>
                    <w:t>空间相对位置</w:t>
                  </w:r>
                  <w:r>
                    <w:rPr>
                      <w:b/>
                      <w:bCs/>
                      <w:color w:val="auto"/>
                      <w:kern w:val="0"/>
                      <w:sz w:val="21"/>
                      <w:szCs w:val="21"/>
                      <w:highlight w:val="none"/>
                    </w:rPr>
                    <w:t>/m</w:t>
                  </w:r>
                </w:p>
              </w:tc>
              <w:tc>
                <w:tcPr>
                  <w:tcW w:w="322" w:type="pct"/>
                  <w:vMerge w:val="restart"/>
                  <w:shd w:val="clear" w:color="auto" w:fill="auto"/>
                  <w:vAlign w:val="center"/>
                </w:tcPr>
                <w:p w14:paraId="7E7CB075">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距室内边界距离/m</w:t>
                  </w:r>
                </w:p>
              </w:tc>
              <w:tc>
                <w:tcPr>
                  <w:tcW w:w="363" w:type="pct"/>
                  <w:vMerge w:val="restart"/>
                  <w:shd w:val="clear" w:color="auto" w:fill="auto"/>
                  <w:vAlign w:val="center"/>
                </w:tcPr>
                <w:p w14:paraId="40BC5240">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室内边界声级</w:t>
                  </w:r>
                </w:p>
                <w:p w14:paraId="3C4EC70B">
                  <w:pPr>
                    <w:kinsoku w:val="0"/>
                    <w:overflowPunct w:val="0"/>
                    <w:autoSpaceDE w:val="0"/>
                    <w:autoSpaceDN w:val="0"/>
                    <w:adjustRightInd w:val="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rPr>
                    <w:t>/dB</w:t>
                  </w:r>
                  <w:r>
                    <w:rPr>
                      <w:rFonts w:hint="eastAsia"/>
                      <w:b/>
                      <w:bCs/>
                      <w:color w:val="auto"/>
                      <w:kern w:val="0"/>
                      <w:sz w:val="21"/>
                      <w:szCs w:val="21"/>
                      <w:highlight w:val="none"/>
                      <w:lang w:eastAsia="zh-CN"/>
                    </w:rPr>
                    <w:t>（</w:t>
                  </w:r>
                  <w:r>
                    <w:rPr>
                      <w:rFonts w:hint="eastAsia"/>
                      <w:b/>
                      <w:bCs/>
                      <w:color w:val="auto"/>
                      <w:kern w:val="0"/>
                      <w:sz w:val="21"/>
                      <w:szCs w:val="21"/>
                      <w:highlight w:val="none"/>
                    </w:rPr>
                    <w:t>A</w:t>
                  </w:r>
                  <w:r>
                    <w:rPr>
                      <w:rFonts w:hint="eastAsia"/>
                      <w:b/>
                      <w:bCs/>
                      <w:color w:val="auto"/>
                      <w:kern w:val="0"/>
                      <w:sz w:val="21"/>
                      <w:szCs w:val="21"/>
                      <w:highlight w:val="none"/>
                      <w:lang w:eastAsia="zh-CN"/>
                    </w:rPr>
                    <w:t>）</w:t>
                  </w:r>
                </w:p>
              </w:tc>
              <w:tc>
                <w:tcPr>
                  <w:tcW w:w="281" w:type="pct"/>
                  <w:vMerge w:val="restart"/>
                  <w:shd w:val="clear" w:color="auto" w:fill="auto"/>
                  <w:noWrap/>
                  <w:vAlign w:val="center"/>
                </w:tcPr>
                <w:p w14:paraId="673316DB">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运行时段</w:t>
                  </w:r>
                </w:p>
              </w:tc>
              <w:tc>
                <w:tcPr>
                  <w:tcW w:w="371" w:type="pct"/>
                  <w:vMerge w:val="restart"/>
                  <w:shd w:val="clear" w:color="auto" w:fill="auto"/>
                  <w:vAlign w:val="center"/>
                </w:tcPr>
                <w:p w14:paraId="2D035E84">
                  <w:pPr>
                    <w:kinsoku w:val="0"/>
                    <w:overflowPunct w:val="0"/>
                    <w:autoSpaceDE w:val="0"/>
                    <w:autoSpaceDN w:val="0"/>
                    <w:adjustRightInd w:val="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rPr>
                    <w:t>建筑物插入损失/dB</w:t>
                  </w:r>
                  <w:r>
                    <w:rPr>
                      <w:rFonts w:hint="eastAsia"/>
                      <w:b/>
                      <w:bCs/>
                      <w:color w:val="auto"/>
                      <w:kern w:val="0"/>
                      <w:sz w:val="21"/>
                      <w:szCs w:val="21"/>
                      <w:highlight w:val="none"/>
                      <w:lang w:eastAsia="zh-CN"/>
                    </w:rPr>
                    <w:t>（</w:t>
                  </w:r>
                  <w:r>
                    <w:rPr>
                      <w:rFonts w:hint="eastAsia"/>
                      <w:b/>
                      <w:bCs/>
                      <w:color w:val="auto"/>
                      <w:kern w:val="0"/>
                      <w:sz w:val="21"/>
                      <w:szCs w:val="21"/>
                      <w:highlight w:val="none"/>
                    </w:rPr>
                    <w:t>A</w:t>
                  </w:r>
                  <w:r>
                    <w:rPr>
                      <w:rFonts w:hint="eastAsia"/>
                      <w:b/>
                      <w:bCs/>
                      <w:color w:val="auto"/>
                      <w:kern w:val="0"/>
                      <w:sz w:val="21"/>
                      <w:szCs w:val="21"/>
                      <w:highlight w:val="none"/>
                      <w:lang w:eastAsia="zh-CN"/>
                    </w:rPr>
                    <w:t>）</w:t>
                  </w:r>
                </w:p>
              </w:tc>
              <w:tc>
                <w:tcPr>
                  <w:tcW w:w="541" w:type="pct"/>
                  <w:gridSpan w:val="2"/>
                  <w:shd w:val="clear" w:color="auto" w:fill="auto"/>
                  <w:noWrap/>
                  <w:vAlign w:val="center"/>
                </w:tcPr>
                <w:p w14:paraId="0EFF4661">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建筑物外噪声</w:t>
                  </w:r>
                </w:p>
              </w:tc>
            </w:tr>
            <w:tr w14:paraId="2F78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4" w:hRule="atLeast"/>
              </w:trPr>
              <w:tc>
                <w:tcPr>
                  <w:tcW w:w="165" w:type="pct"/>
                  <w:vMerge w:val="continue"/>
                  <w:shd w:val="clear" w:color="auto" w:fill="auto"/>
                  <w:vAlign w:val="center"/>
                </w:tcPr>
                <w:p w14:paraId="2172D002">
                  <w:pPr>
                    <w:kinsoku w:val="0"/>
                    <w:overflowPunct w:val="0"/>
                    <w:autoSpaceDE w:val="0"/>
                    <w:autoSpaceDN w:val="0"/>
                    <w:adjustRightInd w:val="0"/>
                    <w:jc w:val="center"/>
                    <w:rPr>
                      <w:b/>
                      <w:bCs/>
                      <w:color w:val="auto"/>
                      <w:kern w:val="0"/>
                      <w:sz w:val="21"/>
                      <w:szCs w:val="21"/>
                      <w:highlight w:val="none"/>
                    </w:rPr>
                  </w:pPr>
                </w:p>
              </w:tc>
              <w:tc>
                <w:tcPr>
                  <w:tcW w:w="441" w:type="pct"/>
                  <w:vMerge w:val="continue"/>
                  <w:shd w:val="clear" w:color="auto" w:fill="auto"/>
                  <w:vAlign w:val="center"/>
                </w:tcPr>
                <w:p w14:paraId="1166901C">
                  <w:pPr>
                    <w:kinsoku w:val="0"/>
                    <w:overflowPunct w:val="0"/>
                    <w:autoSpaceDE w:val="0"/>
                    <w:autoSpaceDN w:val="0"/>
                    <w:adjustRightInd w:val="0"/>
                    <w:jc w:val="center"/>
                    <w:rPr>
                      <w:b/>
                      <w:bCs/>
                      <w:color w:val="auto"/>
                      <w:kern w:val="0"/>
                      <w:sz w:val="21"/>
                      <w:szCs w:val="21"/>
                      <w:highlight w:val="none"/>
                    </w:rPr>
                  </w:pPr>
                </w:p>
              </w:tc>
              <w:tc>
                <w:tcPr>
                  <w:tcW w:w="399" w:type="pct"/>
                  <w:vMerge w:val="continue"/>
                  <w:shd w:val="clear" w:color="auto" w:fill="auto"/>
                  <w:vAlign w:val="center"/>
                </w:tcPr>
                <w:p w14:paraId="2B0C9C2C">
                  <w:pPr>
                    <w:kinsoku w:val="0"/>
                    <w:overflowPunct w:val="0"/>
                    <w:autoSpaceDE w:val="0"/>
                    <w:autoSpaceDN w:val="0"/>
                    <w:adjustRightInd w:val="0"/>
                    <w:jc w:val="center"/>
                    <w:rPr>
                      <w:b/>
                      <w:bCs/>
                      <w:color w:val="auto"/>
                      <w:kern w:val="0"/>
                      <w:sz w:val="21"/>
                      <w:szCs w:val="21"/>
                      <w:highlight w:val="none"/>
                    </w:rPr>
                  </w:pPr>
                </w:p>
              </w:tc>
              <w:tc>
                <w:tcPr>
                  <w:tcW w:w="219" w:type="pct"/>
                  <w:vMerge w:val="continue"/>
                  <w:shd w:val="clear" w:color="auto" w:fill="auto"/>
                  <w:vAlign w:val="center"/>
                </w:tcPr>
                <w:p w14:paraId="382931D4">
                  <w:pPr>
                    <w:kinsoku w:val="0"/>
                    <w:overflowPunct w:val="0"/>
                    <w:autoSpaceDE w:val="0"/>
                    <w:autoSpaceDN w:val="0"/>
                    <w:adjustRightInd w:val="0"/>
                    <w:jc w:val="center"/>
                    <w:rPr>
                      <w:b/>
                      <w:bCs/>
                      <w:color w:val="auto"/>
                      <w:kern w:val="0"/>
                      <w:sz w:val="21"/>
                      <w:szCs w:val="21"/>
                      <w:highlight w:val="none"/>
                    </w:rPr>
                  </w:pPr>
                </w:p>
              </w:tc>
              <w:tc>
                <w:tcPr>
                  <w:tcW w:w="439" w:type="pct"/>
                  <w:shd w:val="clear" w:color="auto" w:fill="auto"/>
                  <w:vAlign w:val="center"/>
                </w:tcPr>
                <w:p w14:paraId="1F6F1FB9">
                  <w:pPr>
                    <w:kinsoku w:val="0"/>
                    <w:overflowPunct w:val="0"/>
                    <w:autoSpaceDE w:val="0"/>
                    <w:autoSpaceDN w:val="0"/>
                    <w:adjustRightInd w:val="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rPr>
                    <w:t>声功率级</w:t>
                  </w:r>
                  <w:r>
                    <w:rPr>
                      <w:b/>
                      <w:bCs/>
                      <w:color w:val="auto"/>
                      <w:kern w:val="0"/>
                      <w:sz w:val="21"/>
                      <w:szCs w:val="21"/>
                      <w:highlight w:val="none"/>
                    </w:rPr>
                    <w:t>/dB</w:t>
                  </w:r>
                  <w:r>
                    <w:rPr>
                      <w:rFonts w:hint="eastAsia"/>
                      <w:b/>
                      <w:bCs/>
                      <w:color w:val="auto"/>
                      <w:kern w:val="0"/>
                      <w:sz w:val="21"/>
                      <w:szCs w:val="21"/>
                      <w:highlight w:val="none"/>
                      <w:lang w:eastAsia="zh-CN"/>
                    </w:rPr>
                    <w:t>（</w:t>
                  </w:r>
                  <w:r>
                    <w:rPr>
                      <w:b/>
                      <w:bCs/>
                      <w:color w:val="auto"/>
                      <w:kern w:val="0"/>
                      <w:sz w:val="21"/>
                      <w:szCs w:val="21"/>
                      <w:highlight w:val="none"/>
                    </w:rPr>
                    <w:t>A</w:t>
                  </w:r>
                  <w:r>
                    <w:rPr>
                      <w:rFonts w:hint="eastAsia"/>
                      <w:b/>
                      <w:bCs/>
                      <w:color w:val="auto"/>
                      <w:kern w:val="0"/>
                      <w:sz w:val="21"/>
                      <w:szCs w:val="21"/>
                      <w:highlight w:val="none"/>
                      <w:lang w:eastAsia="zh-CN"/>
                    </w:rPr>
                    <w:t>）</w:t>
                  </w:r>
                </w:p>
              </w:tc>
              <w:tc>
                <w:tcPr>
                  <w:tcW w:w="448" w:type="pct"/>
                  <w:vMerge w:val="continue"/>
                  <w:shd w:val="clear" w:color="auto" w:fill="auto"/>
                  <w:vAlign w:val="center"/>
                </w:tcPr>
                <w:p w14:paraId="05529CE4">
                  <w:pPr>
                    <w:kinsoku w:val="0"/>
                    <w:overflowPunct w:val="0"/>
                    <w:autoSpaceDE w:val="0"/>
                    <w:autoSpaceDN w:val="0"/>
                    <w:adjustRightInd w:val="0"/>
                    <w:jc w:val="center"/>
                    <w:rPr>
                      <w:b/>
                      <w:bCs/>
                      <w:color w:val="auto"/>
                      <w:kern w:val="0"/>
                      <w:sz w:val="21"/>
                      <w:szCs w:val="21"/>
                      <w:highlight w:val="none"/>
                    </w:rPr>
                  </w:pPr>
                </w:p>
              </w:tc>
              <w:tc>
                <w:tcPr>
                  <w:tcW w:w="333" w:type="pct"/>
                  <w:shd w:val="clear" w:color="auto" w:fill="auto"/>
                  <w:noWrap/>
                  <w:vAlign w:val="center"/>
                </w:tcPr>
                <w:p w14:paraId="5C8BA62A">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X</w:t>
                  </w:r>
                </w:p>
              </w:tc>
              <w:tc>
                <w:tcPr>
                  <w:tcW w:w="347" w:type="pct"/>
                  <w:shd w:val="clear" w:color="auto" w:fill="auto"/>
                  <w:noWrap/>
                  <w:vAlign w:val="center"/>
                </w:tcPr>
                <w:p w14:paraId="15A39892">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Y</w:t>
                  </w:r>
                </w:p>
              </w:tc>
              <w:tc>
                <w:tcPr>
                  <w:tcW w:w="323" w:type="pct"/>
                  <w:shd w:val="clear" w:color="auto" w:fill="auto"/>
                  <w:noWrap/>
                  <w:vAlign w:val="center"/>
                </w:tcPr>
                <w:p w14:paraId="105C26D4">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Z</w:t>
                  </w:r>
                </w:p>
              </w:tc>
              <w:tc>
                <w:tcPr>
                  <w:tcW w:w="322" w:type="pct"/>
                  <w:vMerge w:val="continue"/>
                  <w:shd w:val="clear" w:color="auto" w:fill="auto"/>
                  <w:vAlign w:val="center"/>
                </w:tcPr>
                <w:p w14:paraId="2465920F">
                  <w:pPr>
                    <w:kinsoku w:val="0"/>
                    <w:overflowPunct w:val="0"/>
                    <w:autoSpaceDE w:val="0"/>
                    <w:autoSpaceDN w:val="0"/>
                    <w:adjustRightInd w:val="0"/>
                    <w:jc w:val="center"/>
                    <w:rPr>
                      <w:b/>
                      <w:bCs/>
                      <w:color w:val="auto"/>
                      <w:kern w:val="0"/>
                      <w:sz w:val="21"/>
                      <w:szCs w:val="21"/>
                      <w:highlight w:val="none"/>
                    </w:rPr>
                  </w:pPr>
                </w:p>
              </w:tc>
              <w:tc>
                <w:tcPr>
                  <w:tcW w:w="363" w:type="pct"/>
                  <w:vMerge w:val="continue"/>
                  <w:shd w:val="clear" w:color="auto" w:fill="auto"/>
                  <w:vAlign w:val="center"/>
                </w:tcPr>
                <w:p w14:paraId="41FDD92D">
                  <w:pPr>
                    <w:kinsoku w:val="0"/>
                    <w:overflowPunct w:val="0"/>
                    <w:autoSpaceDE w:val="0"/>
                    <w:autoSpaceDN w:val="0"/>
                    <w:adjustRightInd w:val="0"/>
                    <w:jc w:val="center"/>
                    <w:rPr>
                      <w:b/>
                      <w:bCs/>
                      <w:color w:val="auto"/>
                      <w:kern w:val="0"/>
                      <w:sz w:val="21"/>
                      <w:szCs w:val="21"/>
                      <w:highlight w:val="none"/>
                    </w:rPr>
                  </w:pPr>
                </w:p>
              </w:tc>
              <w:tc>
                <w:tcPr>
                  <w:tcW w:w="281" w:type="pct"/>
                  <w:vMerge w:val="continue"/>
                  <w:shd w:val="clear" w:color="auto" w:fill="auto"/>
                  <w:vAlign w:val="center"/>
                </w:tcPr>
                <w:p w14:paraId="74A59522">
                  <w:pPr>
                    <w:kinsoku w:val="0"/>
                    <w:overflowPunct w:val="0"/>
                    <w:autoSpaceDE w:val="0"/>
                    <w:autoSpaceDN w:val="0"/>
                    <w:adjustRightInd w:val="0"/>
                    <w:jc w:val="center"/>
                    <w:rPr>
                      <w:b/>
                      <w:bCs/>
                      <w:color w:val="auto"/>
                      <w:kern w:val="0"/>
                      <w:sz w:val="21"/>
                      <w:szCs w:val="21"/>
                      <w:highlight w:val="none"/>
                    </w:rPr>
                  </w:pPr>
                </w:p>
              </w:tc>
              <w:tc>
                <w:tcPr>
                  <w:tcW w:w="371" w:type="pct"/>
                  <w:vMerge w:val="continue"/>
                  <w:shd w:val="clear" w:color="auto" w:fill="auto"/>
                  <w:vAlign w:val="center"/>
                </w:tcPr>
                <w:p w14:paraId="5E7C94E5">
                  <w:pPr>
                    <w:kinsoku w:val="0"/>
                    <w:overflowPunct w:val="0"/>
                    <w:autoSpaceDE w:val="0"/>
                    <w:autoSpaceDN w:val="0"/>
                    <w:adjustRightInd w:val="0"/>
                    <w:jc w:val="center"/>
                    <w:rPr>
                      <w:b/>
                      <w:bCs/>
                      <w:color w:val="auto"/>
                      <w:kern w:val="0"/>
                      <w:sz w:val="21"/>
                      <w:szCs w:val="21"/>
                      <w:highlight w:val="none"/>
                    </w:rPr>
                  </w:pPr>
                </w:p>
              </w:tc>
              <w:tc>
                <w:tcPr>
                  <w:tcW w:w="272" w:type="pct"/>
                  <w:shd w:val="clear" w:color="auto" w:fill="auto"/>
                  <w:vAlign w:val="center"/>
                </w:tcPr>
                <w:p w14:paraId="7956D1D3">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声压级</w:t>
                  </w:r>
                </w:p>
                <w:p w14:paraId="685A0D73">
                  <w:pPr>
                    <w:kinsoku w:val="0"/>
                    <w:overflowPunct w:val="0"/>
                    <w:autoSpaceDE w:val="0"/>
                    <w:autoSpaceDN w:val="0"/>
                    <w:adjustRightInd w:val="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rPr>
                    <w:t>/dB</w:t>
                  </w:r>
                  <w:r>
                    <w:rPr>
                      <w:rFonts w:hint="eastAsia"/>
                      <w:b/>
                      <w:bCs/>
                      <w:color w:val="auto"/>
                      <w:kern w:val="0"/>
                      <w:sz w:val="21"/>
                      <w:szCs w:val="21"/>
                      <w:highlight w:val="none"/>
                      <w:lang w:eastAsia="zh-CN"/>
                    </w:rPr>
                    <w:t>（</w:t>
                  </w:r>
                  <w:r>
                    <w:rPr>
                      <w:rFonts w:hint="eastAsia"/>
                      <w:b/>
                      <w:bCs/>
                      <w:color w:val="auto"/>
                      <w:kern w:val="0"/>
                      <w:sz w:val="21"/>
                      <w:szCs w:val="21"/>
                      <w:highlight w:val="none"/>
                    </w:rPr>
                    <w:t>A</w:t>
                  </w:r>
                  <w:r>
                    <w:rPr>
                      <w:rFonts w:hint="eastAsia"/>
                      <w:b/>
                      <w:bCs/>
                      <w:color w:val="auto"/>
                      <w:kern w:val="0"/>
                      <w:sz w:val="21"/>
                      <w:szCs w:val="21"/>
                      <w:highlight w:val="none"/>
                      <w:lang w:eastAsia="zh-CN"/>
                    </w:rPr>
                    <w:t>）</w:t>
                  </w:r>
                </w:p>
              </w:tc>
              <w:tc>
                <w:tcPr>
                  <w:tcW w:w="269" w:type="pct"/>
                  <w:shd w:val="clear" w:color="auto" w:fill="auto"/>
                  <w:vAlign w:val="center"/>
                </w:tcPr>
                <w:p w14:paraId="29BC19C6">
                  <w:pPr>
                    <w:kinsoku w:val="0"/>
                    <w:overflowPunct w:val="0"/>
                    <w:autoSpaceDE w:val="0"/>
                    <w:autoSpaceDN w:val="0"/>
                    <w:adjustRightInd w:val="0"/>
                    <w:jc w:val="center"/>
                    <w:rPr>
                      <w:b/>
                      <w:bCs/>
                      <w:color w:val="auto"/>
                      <w:kern w:val="0"/>
                      <w:sz w:val="21"/>
                      <w:szCs w:val="21"/>
                      <w:highlight w:val="none"/>
                    </w:rPr>
                  </w:pPr>
                  <w:r>
                    <w:rPr>
                      <w:rFonts w:hint="eastAsia"/>
                      <w:b/>
                      <w:bCs/>
                      <w:color w:val="auto"/>
                      <w:kern w:val="0"/>
                      <w:sz w:val="21"/>
                      <w:szCs w:val="21"/>
                      <w:highlight w:val="none"/>
                    </w:rPr>
                    <w:t>建筑物外距离</w:t>
                  </w:r>
                </w:p>
              </w:tc>
            </w:tr>
            <w:tr w14:paraId="1878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65" w:type="pct"/>
                  <w:shd w:val="clear" w:color="auto" w:fill="auto"/>
                  <w:noWrap/>
                  <w:vAlign w:val="center"/>
                </w:tcPr>
                <w:p w14:paraId="0653458F">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rPr>
                    <w:t>1</w:t>
                  </w:r>
                </w:p>
              </w:tc>
              <w:tc>
                <w:tcPr>
                  <w:tcW w:w="441" w:type="pct"/>
                  <w:vMerge w:val="restart"/>
                  <w:shd w:val="clear" w:color="auto" w:fill="auto"/>
                  <w:noWrap/>
                  <w:vAlign w:val="center"/>
                </w:tcPr>
                <w:p w14:paraId="5EC9861C">
                  <w:pPr>
                    <w:kinsoku w:val="0"/>
                    <w:overflowPunct w:val="0"/>
                    <w:autoSpaceDE w:val="0"/>
                    <w:autoSpaceDN w:val="0"/>
                    <w:adjustRightInd w:val="0"/>
                    <w:jc w:val="center"/>
                    <w:rPr>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生产车间（生产装置区）</w:t>
                  </w:r>
                </w:p>
              </w:tc>
              <w:tc>
                <w:tcPr>
                  <w:tcW w:w="399" w:type="pct"/>
                  <w:shd w:val="clear" w:color="auto" w:fill="auto"/>
                  <w:vAlign w:val="center"/>
                </w:tcPr>
                <w:p w14:paraId="68BBD7DE">
                  <w:pPr>
                    <w:kinsoku w:val="0"/>
                    <w:overflowPunct w:val="0"/>
                    <w:autoSpaceDE w:val="0"/>
                    <w:autoSpaceDN w:val="0"/>
                    <w:adjustRightIn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真空泵机组（3台）</w:t>
                  </w:r>
                </w:p>
              </w:tc>
              <w:tc>
                <w:tcPr>
                  <w:tcW w:w="219" w:type="pct"/>
                  <w:shd w:val="clear" w:color="auto" w:fill="auto"/>
                  <w:noWrap/>
                  <w:vAlign w:val="center"/>
                </w:tcPr>
                <w:p w14:paraId="622CAF8E">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rPr>
                    <w:t>点源</w:t>
                  </w:r>
                </w:p>
              </w:tc>
              <w:tc>
                <w:tcPr>
                  <w:tcW w:w="439" w:type="pct"/>
                  <w:shd w:val="clear" w:color="auto" w:fill="auto"/>
                  <w:noWrap/>
                  <w:vAlign w:val="center"/>
                </w:tcPr>
                <w:p w14:paraId="3D1EA52F">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84.8</w:t>
                  </w:r>
                </w:p>
              </w:tc>
              <w:tc>
                <w:tcPr>
                  <w:tcW w:w="448" w:type="pct"/>
                  <w:vMerge w:val="restart"/>
                  <w:shd w:val="clear" w:color="auto" w:fill="auto"/>
                  <w:noWrap/>
                  <w:vAlign w:val="center"/>
                </w:tcPr>
                <w:p w14:paraId="795A069E">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rPr>
                    <w:t>低</w:t>
                  </w:r>
                  <w:r>
                    <w:rPr>
                      <w:rFonts w:hint="eastAsia" w:ascii="Times New Roman" w:hAnsi="Times New Roman" w:eastAsia="宋体" w:cs="Times New Roman"/>
                      <w:color w:val="auto"/>
                      <w:kern w:val="0"/>
                      <w:sz w:val="21"/>
                      <w:szCs w:val="21"/>
                      <w:highlight w:val="none"/>
                    </w:rPr>
                    <w:t>噪设备，基座减振，</w:t>
                  </w:r>
                  <w:r>
                    <w:rPr>
                      <w:rFonts w:hint="eastAsia" w:cs="Times New Roman"/>
                      <w:color w:val="auto"/>
                      <w:kern w:val="0"/>
                      <w:sz w:val="21"/>
                      <w:szCs w:val="21"/>
                      <w:highlight w:val="none"/>
                      <w:lang w:val="en-US" w:eastAsia="zh-CN"/>
                    </w:rPr>
                    <w:t>建筑隔声、</w:t>
                  </w:r>
                  <w:r>
                    <w:rPr>
                      <w:rFonts w:hint="eastAsia" w:ascii="Times New Roman" w:hAnsi="Times New Roman" w:eastAsia="宋体" w:cs="Times New Roman"/>
                      <w:color w:val="auto"/>
                      <w:kern w:val="0"/>
                      <w:sz w:val="21"/>
                      <w:szCs w:val="21"/>
                      <w:highlight w:val="none"/>
                    </w:rPr>
                    <w:t>厂房隔声</w:t>
                  </w:r>
                </w:p>
              </w:tc>
              <w:tc>
                <w:tcPr>
                  <w:tcW w:w="333" w:type="pct"/>
                  <w:shd w:val="clear" w:color="auto" w:fill="auto"/>
                  <w:noWrap/>
                  <w:vAlign w:val="center"/>
                </w:tcPr>
                <w:p w14:paraId="2394F941">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253</w:t>
                  </w:r>
                </w:p>
              </w:tc>
              <w:tc>
                <w:tcPr>
                  <w:tcW w:w="347" w:type="pct"/>
                  <w:shd w:val="clear" w:color="auto" w:fill="auto"/>
                  <w:noWrap/>
                  <w:vAlign w:val="center"/>
                </w:tcPr>
                <w:p w14:paraId="654BB370">
                  <w:pPr>
                    <w:kinsoku w:val="0"/>
                    <w:overflowPunct w:val="0"/>
                    <w:autoSpaceDE w:val="0"/>
                    <w:autoSpaceDN w:val="0"/>
                    <w:adjustRightIn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rPr>
                    <w:t>12</w:t>
                  </w:r>
                  <w:r>
                    <w:rPr>
                      <w:rFonts w:hint="eastAsia"/>
                      <w:color w:val="auto"/>
                      <w:kern w:val="0"/>
                      <w:sz w:val="21"/>
                      <w:szCs w:val="21"/>
                      <w:highlight w:val="none"/>
                      <w:lang w:val="en-US" w:eastAsia="zh-CN"/>
                    </w:rPr>
                    <w:t>2</w:t>
                  </w:r>
                </w:p>
              </w:tc>
              <w:tc>
                <w:tcPr>
                  <w:tcW w:w="323" w:type="pct"/>
                  <w:shd w:val="clear" w:color="auto" w:fill="auto"/>
                  <w:noWrap/>
                  <w:vAlign w:val="center"/>
                </w:tcPr>
                <w:p w14:paraId="760E6BCE">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0.25</w:t>
                  </w:r>
                </w:p>
              </w:tc>
              <w:tc>
                <w:tcPr>
                  <w:tcW w:w="322" w:type="pct"/>
                  <w:shd w:val="clear" w:color="auto" w:fill="auto"/>
                  <w:noWrap/>
                  <w:vAlign w:val="center"/>
                </w:tcPr>
                <w:p w14:paraId="1E866962">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670" w:type="dxa"/>
                  <w:shd w:val="clear" w:color="auto" w:fill="auto"/>
                  <w:noWrap/>
                  <w:vAlign w:val="center"/>
                </w:tcPr>
                <w:p w14:paraId="48BDA599">
                  <w:pPr>
                    <w:kinsoku w:val="0"/>
                    <w:overflowPunct w:val="0"/>
                    <w:autoSpaceDE w:val="0"/>
                    <w:autoSpaceDN w:val="0"/>
                    <w:adjustRightInd w:val="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84.8</w:t>
                  </w:r>
                </w:p>
              </w:tc>
              <w:tc>
                <w:tcPr>
                  <w:tcW w:w="281" w:type="pct"/>
                  <w:shd w:val="clear" w:color="auto" w:fill="auto"/>
                  <w:noWrap/>
                  <w:vAlign w:val="center"/>
                </w:tcPr>
                <w:p w14:paraId="24621582">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rPr>
                    <w:t>稳定声源</w:t>
                  </w:r>
                </w:p>
              </w:tc>
              <w:tc>
                <w:tcPr>
                  <w:tcW w:w="371" w:type="pct"/>
                  <w:shd w:val="clear" w:color="auto" w:fill="auto"/>
                  <w:noWrap/>
                  <w:vAlign w:val="center"/>
                </w:tcPr>
                <w:p w14:paraId="5994BC1C">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501" w:type="dxa"/>
                  <w:shd w:val="clear" w:color="auto" w:fill="auto"/>
                  <w:noWrap/>
                  <w:vAlign w:val="center"/>
                </w:tcPr>
                <w:p w14:paraId="51F484E0">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74.8</w:t>
                  </w:r>
                </w:p>
              </w:tc>
              <w:tc>
                <w:tcPr>
                  <w:tcW w:w="269" w:type="pct"/>
                  <w:shd w:val="clear" w:color="auto" w:fill="auto"/>
                  <w:noWrap/>
                  <w:vAlign w:val="center"/>
                </w:tcPr>
                <w:p w14:paraId="2A22F444">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rPr>
                    <w:t>1</w:t>
                  </w:r>
                </w:p>
              </w:tc>
            </w:tr>
            <w:tr w14:paraId="4BD6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shd w:val="clear" w:color="auto" w:fill="auto"/>
                  <w:noWrap/>
                  <w:vAlign w:val="center"/>
                </w:tcPr>
                <w:p w14:paraId="5E14726A">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rPr>
                    <w:t>2</w:t>
                  </w:r>
                </w:p>
              </w:tc>
              <w:tc>
                <w:tcPr>
                  <w:tcW w:w="441" w:type="pct"/>
                  <w:vMerge w:val="continue"/>
                  <w:shd w:val="clear" w:color="auto" w:fill="auto"/>
                  <w:noWrap/>
                  <w:vAlign w:val="center"/>
                </w:tcPr>
                <w:p w14:paraId="382840AC">
                  <w:pPr>
                    <w:kinsoku w:val="0"/>
                    <w:overflowPunct w:val="0"/>
                    <w:autoSpaceDE w:val="0"/>
                    <w:autoSpaceDN w:val="0"/>
                    <w:adjustRightInd w:val="0"/>
                    <w:jc w:val="center"/>
                    <w:rPr>
                      <w:color w:val="auto"/>
                      <w:kern w:val="0"/>
                      <w:sz w:val="21"/>
                      <w:szCs w:val="21"/>
                      <w:highlight w:val="none"/>
                    </w:rPr>
                  </w:pPr>
                </w:p>
              </w:tc>
              <w:tc>
                <w:tcPr>
                  <w:tcW w:w="399" w:type="pct"/>
                  <w:shd w:val="clear" w:color="auto" w:fill="auto"/>
                  <w:vAlign w:val="center"/>
                </w:tcPr>
                <w:p w14:paraId="209D8AB4">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lang w:val="en-US" w:eastAsia="zh-CN"/>
                    </w:rPr>
                    <w:t>进料泵（6台）</w:t>
                  </w:r>
                </w:p>
              </w:tc>
              <w:tc>
                <w:tcPr>
                  <w:tcW w:w="219" w:type="pct"/>
                  <w:shd w:val="clear" w:color="auto" w:fill="auto"/>
                  <w:noWrap/>
                  <w:vAlign w:val="center"/>
                </w:tcPr>
                <w:p w14:paraId="0625C96B">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rPr>
                    <w:t>点源</w:t>
                  </w:r>
                </w:p>
              </w:tc>
              <w:tc>
                <w:tcPr>
                  <w:tcW w:w="439" w:type="pct"/>
                  <w:shd w:val="clear" w:color="auto" w:fill="auto"/>
                  <w:noWrap/>
                  <w:vAlign w:val="center"/>
                </w:tcPr>
                <w:p w14:paraId="3044EF2A">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87.8</w:t>
                  </w:r>
                </w:p>
              </w:tc>
              <w:tc>
                <w:tcPr>
                  <w:tcW w:w="448" w:type="pct"/>
                  <w:vMerge w:val="continue"/>
                  <w:shd w:val="clear" w:color="auto" w:fill="auto"/>
                  <w:noWrap/>
                  <w:vAlign w:val="center"/>
                </w:tcPr>
                <w:p w14:paraId="3AD3B605">
                  <w:pPr>
                    <w:kinsoku w:val="0"/>
                    <w:overflowPunct w:val="0"/>
                    <w:autoSpaceDE w:val="0"/>
                    <w:autoSpaceDN w:val="0"/>
                    <w:adjustRightInd w:val="0"/>
                    <w:jc w:val="center"/>
                    <w:rPr>
                      <w:color w:val="auto"/>
                      <w:kern w:val="0"/>
                      <w:sz w:val="21"/>
                      <w:szCs w:val="21"/>
                      <w:highlight w:val="none"/>
                    </w:rPr>
                  </w:pPr>
                </w:p>
              </w:tc>
              <w:tc>
                <w:tcPr>
                  <w:tcW w:w="333" w:type="pct"/>
                  <w:shd w:val="clear" w:color="auto" w:fill="auto"/>
                  <w:noWrap/>
                  <w:vAlign w:val="center"/>
                </w:tcPr>
                <w:p w14:paraId="0462FB82">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highlight w:val="none"/>
                    </w:rPr>
                    <w:t>2</w:t>
                  </w:r>
                  <w:r>
                    <w:rPr>
                      <w:rFonts w:hint="eastAsia"/>
                      <w:color w:val="auto"/>
                      <w:highlight w:val="none"/>
                      <w:lang w:val="en-US" w:eastAsia="zh-CN"/>
                    </w:rPr>
                    <w:t>55</w:t>
                  </w:r>
                </w:p>
              </w:tc>
              <w:tc>
                <w:tcPr>
                  <w:tcW w:w="347" w:type="pct"/>
                  <w:shd w:val="clear" w:color="auto" w:fill="auto"/>
                  <w:noWrap/>
                  <w:vAlign w:val="center"/>
                </w:tcPr>
                <w:p w14:paraId="52C0A851">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highlight w:val="none"/>
                    </w:rPr>
                    <w:t>1</w:t>
                  </w:r>
                  <w:r>
                    <w:rPr>
                      <w:rFonts w:hint="eastAsia"/>
                      <w:color w:val="auto"/>
                      <w:highlight w:val="none"/>
                      <w:lang w:val="en-US" w:eastAsia="zh-CN"/>
                    </w:rPr>
                    <w:t>10</w:t>
                  </w:r>
                </w:p>
              </w:tc>
              <w:tc>
                <w:tcPr>
                  <w:tcW w:w="323" w:type="pct"/>
                  <w:shd w:val="clear" w:color="auto" w:fill="auto"/>
                  <w:noWrap/>
                  <w:vAlign w:val="center"/>
                </w:tcPr>
                <w:p w14:paraId="685F4521">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default"/>
                      <w:color w:val="auto"/>
                      <w:kern w:val="0"/>
                      <w:sz w:val="21"/>
                      <w:szCs w:val="21"/>
                      <w:highlight w:val="none"/>
                      <w:lang w:val="en-US" w:eastAsia="zh-CN"/>
                    </w:rPr>
                    <w:t>0.</w:t>
                  </w:r>
                  <w:r>
                    <w:rPr>
                      <w:rFonts w:hint="eastAsia"/>
                      <w:color w:val="auto"/>
                      <w:kern w:val="0"/>
                      <w:sz w:val="21"/>
                      <w:szCs w:val="21"/>
                      <w:highlight w:val="none"/>
                      <w:lang w:val="en-US" w:eastAsia="zh-CN"/>
                    </w:rPr>
                    <w:t>3</w:t>
                  </w:r>
                </w:p>
              </w:tc>
              <w:tc>
                <w:tcPr>
                  <w:tcW w:w="322" w:type="pct"/>
                  <w:shd w:val="clear" w:color="auto" w:fill="auto"/>
                  <w:noWrap/>
                  <w:vAlign w:val="center"/>
                </w:tcPr>
                <w:p w14:paraId="23F3D33C">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8.0</w:t>
                  </w:r>
                </w:p>
              </w:tc>
              <w:tc>
                <w:tcPr>
                  <w:tcW w:w="670" w:type="dxa"/>
                  <w:shd w:val="clear" w:color="auto" w:fill="auto"/>
                  <w:noWrap/>
                  <w:vAlign w:val="center"/>
                </w:tcPr>
                <w:p w14:paraId="188404C0">
                  <w:pPr>
                    <w:kinsoku w:val="0"/>
                    <w:overflowPunct w:val="0"/>
                    <w:autoSpaceDE w:val="0"/>
                    <w:autoSpaceDN w:val="0"/>
                    <w:adjustRightInd w:val="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69.7</w:t>
                  </w:r>
                </w:p>
              </w:tc>
              <w:tc>
                <w:tcPr>
                  <w:tcW w:w="281" w:type="pct"/>
                  <w:shd w:val="clear" w:color="auto" w:fill="auto"/>
                  <w:noWrap/>
                  <w:vAlign w:val="center"/>
                </w:tcPr>
                <w:p w14:paraId="3787E55D">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rPr>
                    <w:t>稳定声源</w:t>
                  </w:r>
                </w:p>
              </w:tc>
              <w:tc>
                <w:tcPr>
                  <w:tcW w:w="371" w:type="pct"/>
                  <w:shd w:val="clear" w:color="auto" w:fill="auto"/>
                  <w:noWrap/>
                  <w:vAlign w:val="center"/>
                </w:tcPr>
                <w:p w14:paraId="18A0876F">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501" w:type="dxa"/>
                  <w:shd w:val="clear" w:color="auto" w:fill="auto"/>
                  <w:noWrap/>
                  <w:vAlign w:val="center"/>
                </w:tcPr>
                <w:p w14:paraId="326B73E4">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59.7</w:t>
                  </w:r>
                </w:p>
              </w:tc>
              <w:tc>
                <w:tcPr>
                  <w:tcW w:w="269" w:type="pct"/>
                  <w:shd w:val="clear" w:color="auto" w:fill="auto"/>
                  <w:noWrap/>
                  <w:vAlign w:val="center"/>
                </w:tcPr>
                <w:p w14:paraId="566FE36F">
                  <w:pPr>
                    <w:kinsoku w:val="0"/>
                    <w:overflowPunct w:val="0"/>
                    <w:autoSpaceDE w:val="0"/>
                    <w:autoSpaceDN w:val="0"/>
                    <w:adjustRightInd w:val="0"/>
                    <w:jc w:val="center"/>
                    <w:rPr>
                      <w:color w:val="auto"/>
                      <w:kern w:val="0"/>
                      <w:sz w:val="21"/>
                      <w:szCs w:val="21"/>
                      <w:highlight w:val="none"/>
                    </w:rPr>
                  </w:pPr>
                  <w:r>
                    <w:rPr>
                      <w:rFonts w:hint="eastAsia"/>
                      <w:color w:val="auto"/>
                      <w:kern w:val="0"/>
                      <w:sz w:val="21"/>
                      <w:szCs w:val="21"/>
                      <w:highlight w:val="none"/>
                    </w:rPr>
                    <w:t>1</w:t>
                  </w:r>
                </w:p>
              </w:tc>
            </w:tr>
            <w:tr w14:paraId="0869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65" w:type="pct"/>
                  <w:shd w:val="clear" w:color="auto" w:fill="auto"/>
                  <w:noWrap/>
                  <w:vAlign w:val="center"/>
                </w:tcPr>
                <w:p w14:paraId="46CB9ACB">
                  <w:pPr>
                    <w:kinsoku w:val="0"/>
                    <w:overflowPunct w:val="0"/>
                    <w:autoSpaceDE w:val="0"/>
                    <w:autoSpaceDN w:val="0"/>
                    <w:adjustRightIn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441" w:type="pct"/>
                  <w:vMerge w:val="continue"/>
                  <w:shd w:val="clear" w:color="auto" w:fill="auto"/>
                  <w:noWrap/>
                  <w:vAlign w:val="center"/>
                </w:tcPr>
                <w:p w14:paraId="6ACC3D54">
                  <w:pPr>
                    <w:kinsoku w:val="0"/>
                    <w:overflowPunct w:val="0"/>
                    <w:autoSpaceDE w:val="0"/>
                    <w:autoSpaceDN w:val="0"/>
                    <w:adjustRightInd w:val="0"/>
                    <w:jc w:val="center"/>
                    <w:rPr>
                      <w:rFonts w:hint="eastAsia"/>
                      <w:color w:val="auto"/>
                      <w:kern w:val="0"/>
                      <w:sz w:val="21"/>
                      <w:szCs w:val="21"/>
                      <w:highlight w:val="none"/>
                      <w:lang w:val="en-US" w:eastAsia="zh-CN"/>
                    </w:rPr>
                  </w:pPr>
                </w:p>
              </w:tc>
              <w:tc>
                <w:tcPr>
                  <w:tcW w:w="399" w:type="pct"/>
                  <w:shd w:val="clear" w:color="auto" w:fill="auto"/>
                  <w:vAlign w:val="center"/>
                </w:tcPr>
                <w:p w14:paraId="1FB68126">
                  <w:pPr>
                    <w:kinsoku w:val="0"/>
                    <w:overflowPunct w:val="0"/>
                    <w:autoSpaceDE w:val="0"/>
                    <w:autoSpaceDN w:val="0"/>
                    <w:adjustRightInd w:val="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出料泵（9台）</w:t>
                  </w:r>
                </w:p>
              </w:tc>
              <w:tc>
                <w:tcPr>
                  <w:tcW w:w="219" w:type="pct"/>
                  <w:shd w:val="clear" w:color="auto" w:fill="auto"/>
                  <w:noWrap/>
                  <w:vAlign w:val="center"/>
                </w:tcPr>
                <w:p w14:paraId="074043A5">
                  <w:pPr>
                    <w:kinsoku w:val="0"/>
                    <w:overflowPunct w:val="0"/>
                    <w:autoSpaceDE w:val="0"/>
                    <w:autoSpaceDN w:val="0"/>
                    <w:adjustRightInd w:val="0"/>
                    <w:jc w:val="center"/>
                    <w:rPr>
                      <w:rFonts w:hint="eastAsia"/>
                      <w:color w:val="auto"/>
                      <w:kern w:val="0"/>
                      <w:sz w:val="21"/>
                      <w:szCs w:val="21"/>
                      <w:highlight w:val="none"/>
                    </w:rPr>
                  </w:pPr>
                  <w:r>
                    <w:rPr>
                      <w:rFonts w:hint="eastAsia"/>
                      <w:color w:val="auto"/>
                      <w:kern w:val="0"/>
                      <w:sz w:val="21"/>
                      <w:szCs w:val="21"/>
                      <w:highlight w:val="none"/>
                    </w:rPr>
                    <w:t>点源</w:t>
                  </w:r>
                </w:p>
              </w:tc>
              <w:tc>
                <w:tcPr>
                  <w:tcW w:w="439" w:type="pct"/>
                  <w:shd w:val="clear" w:color="auto" w:fill="auto"/>
                  <w:noWrap/>
                  <w:vAlign w:val="center"/>
                </w:tcPr>
                <w:p w14:paraId="0F9CBF11">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89.6</w:t>
                  </w:r>
                </w:p>
              </w:tc>
              <w:tc>
                <w:tcPr>
                  <w:tcW w:w="448" w:type="pct"/>
                  <w:vMerge w:val="continue"/>
                  <w:shd w:val="clear" w:color="auto" w:fill="auto"/>
                  <w:noWrap/>
                  <w:vAlign w:val="center"/>
                </w:tcPr>
                <w:p w14:paraId="7A093799">
                  <w:pPr>
                    <w:kinsoku w:val="0"/>
                    <w:overflowPunct w:val="0"/>
                    <w:autoSpaceDE w:val="0"/>
                    <w:autoSpaceDN w:val="0"/>
                    <w:adjustRightInd w:val="0"/>
                    <w:jc w:val="center"/>
                    <w:rPr>
                      <w:color w:val="auto"/>
                      <w:kern w:val="0"/>
                      <w:sz w:val="21"/>
                      <w:szCs w:val="21"/>
                      <w:highlight w:val="none"/>
                    </w:rPr>
                  </w:pPr>
                </w:p>
              </w:tc>
              <w:tc>
                <w:tcPr>
                  <w:tcW w:w="333" w:type="pct"/>
                  <w:shd w:val="clear" w:color="auto" w:fill="auto"/>
                  <w:noWrap/>
                  <w:vAlign w:val="center"/>
                </w:tcPr>
                <w:p w14:paraId="57D619FC">
                  <w:pPr>
                    <w:kinsoku w:val="0"/>
                    <w:overflowPunct w:val="0"/>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192</w:t>
                  </w:r>
                </w:p>
              </w:tc>
              <w:tc>
                <w:tcPr>
                  <w:tcW w:w="347" w:type="pct"/>
                  <w:shd w:val="clear" w:color="auto" w:fill="auto"/>
                  <w:noWrap/>
                  <w:vAlign w:val="center"/>
                </w:tcPr>
                <w:p w14:paraId="185674E3">
                  <w:pPr>
                    <w:kinsoku w:val="0"/>
                    <w:overflowPunct w:val="0"/>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110</w:t>
                  </w:r>
                </w:p>
              </w:tc>
              <w:tc>
                <w:tcPr>
                  <w:tcW w:w="323" w:type="pct"/>
                  <w:shd w:val="clear" w:color="auto" w:fill="auto"/>
                  <w:noWrap/>
                  <w:vAlign w:val="center"/>
                </w:tcPr>
                <w:p w14:paraId="05460B0E">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0.3</w:t>
                  </w:r>
                </w:p>
              </w:tc>
              <w:tc>
                <w:tcPr>
                  <w:tcW w:w="322" w:type="pct"/>
                  <w:shd w:val="clear" w:color="auto" w:fill="auto"/>
                  <w:noWrap/>
                  <w:vAlign w:val="center"/>
                </w:tcPr>
                <w:p w14:paraId="0B4E72A9">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4.0</w:t>
                  </w:r>
                </w:p>
              </w:tc>
              <w:tc>
                <w:tcPr>
                  <w:tcW w:w="670" w:type="dxa"/>
                  <w:shd w:val="clear" w:color="auto" w:fill="auto"/>
                  <w:noWrap/>
                  <w:vAlign w:val="center"/>
                </w:tcPr>
                <w:p w14:paraId="373A4F42">
                  <w:pPr>
                    <w:kinsoku w:val="0"/>
                    <w:overflowPunct w:val="0"/>
                    <w:autoSpaceDE w:val="0"/>
                    <w:autoSpaceDN w:val="0"/>
                    <w:adjustRightInd w:val="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77.6</w:t>
                  </w:r>
                </w:p>
              </w:tc>
              <w:tc>
                <w:tcPr>
                  <w:tcW w:w="281" w:type="pct"/>
                  <w:shd w:val="clear" w:color="auto" w:fill="auto"/>
                  <w:noWrap/>
                  <w:vAlign w:val="center"/>
                </w:tcPr>
                <w:p w14:paraId="587D4572">
                  <w:pPr>
                    <w:kinsoku w:val="0"/>
                    <w:overflowPunct w:val="0"/>
                    <w:autoSpaceDE w:val="0"/>
                    <w:autoSpaceDN w:val="0"/>
                    <w:adjustRightInd w:val="0"/>
                    <w:jc w:val="center"/>
                    <w:rPr>
                      <w:rFonts w:hint="eastAsia"/>
                      <w:color w:val="auto"/>
                      <w:kern w:val="0"/>
                      <w:sz w:val="21"/>
                      <w:szCs w:val="21"/>
                      <w:highlight w:val="none"/>
                    </w:rPr>
                  </w:pPr>
                  <w:r>
                    <w:rPr>
                      <w:rFonts w:hint="eastAsia"/>
                      <w:color w:val="auto"/>
                      <w:kern w:val="0"/>
                      <w:sz w:val="21"/>
                      <w:szCs w:val="21"/>
                      <w:highlight w:val="none"/>
                    </w:rPr>
                    <w:t>稳定声源</w:t>
                  </w:r>
                </w:p>
              </w:tc>
              <w:tc>
                <w:tcPr>
                  <w:tcW w:w="371" w:type="pct"/>
                  <w:shd w:val="clear" w:color="auto" w:fill="auto"/>
                  <w:noWrap/>
                  <w:vAlign w:val="center"/>
                </w:tcPr>
                <w:p w14:paraId="2039BB6C">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501" w:type="dxa"/>
                  <w:shd w:val="clear" w:color="auto" w:fill="auto"/>
                  <w:noWrap/>
                  <w:vAlign w:val="center"/>
                </w:tcPr>
                <w:p w14:paraId="62B93D9B">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67.6</w:t>
                  </w:r>
                </w:p>
              </w:tc>
              <w:tc>
                <w:tcPr>
                  <w:tcW w:w="269" w:type="pct"/>
                  <w:shd w:val="clear" w:color="auto" w:fill="auto"/>
                  <w:noWrap/>
                  <w:vAlign w:val="center"/>
                </w:tcPr>
                <w:p w14:paraId="4B5879E3">
                  <w:pPr>
                    <w:kinsoku w:val="0"/>
                    <w:overflowPunct w:val="0"/>
                    <w:autoSpaceDE w:val="0"/>
                    <w:autoSpaceDN w:val="0"/>
                    <w:adjustRightInd w:val="0"/>
                    <w:jc w:val="center"/>
                    <w:rPr>
                      <w:rFonts w:hint="eastAsia"/>
                      <w:color w:val="auto"/>
                      <w:kern w:val="0"/>
                      <w:sz w:val="21"/>
                      <w:szCs w:val="21"/>
                      <w:highlight w:val="none"/>
                    </w:rPr>
                  </w:pPr>
                </w:p>
                <w:p w14:paraId="01ECF93D">
                  <w:pPr>
                    <w:kinsoku w:val="0"/>
                    <w:overflowPunct w:val="0"/>
                    <w:autoSpaceDE w:val="0"/>
                    <w:autoSpaceDN w:val="0"/>
                    <w:adjustRightInd w:val="0"/>
                    <w:jc w:val="center"/>
                    <w:rPr>
                      <w:rFonts w:hint="eastAsia"/>
                      <w:color w:val="auto"/>
                      <w:kern w:val="0"/>
                      <w:sz w:val="21"/>
                      <w:szCs w:val="21"/>
                      <w:highlight w:val="none"/>
                    </w:rPr>
                  </w:pPr>
                </w:p>
              </w:tc>
            </w:tr>
            <w:tr w14:paraId="02F3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5" w:type="pct"/>
                  <w:shd w:val="clear" w:color="auto" w:fill="auto"/>
                  <w:noWrap/>
                  <w:vAlign w:val="center"/>
                </w:tcPr>
                <w:p w14:paraId="68006B62">
                  <w:pPr>
                    <w:kinsoku w:val="0"/>
                    <w:overflowPunct w:val="0"/>
                    <w:autoSpaceDE w:val="0"/>
                    <w:autoSpaceDN w:val="0"/>
                    <w:adjustRightInd w:val="0"/>
                    <w:jc w:val="center"/>
                    <w:rPr>
                      <w:rFonts w:hint="eastAsia"/>
                      <w:color w:val="auto"/>
                      <w:kern w:val="0"/>
                      <w:sz w:val="21"/>
                      <w:szCs w:val="21"/>
                      <w:highlight w:val="none"/>
                    </w:rPr>
                  </w:pPr>
                  <w:r>
                    <w:rPr>
                      <w:rFonts w:hint="eastAsia"/>
                      <w:color w:val="auto"/>
                      <w:kern w:val="0"/>
                      <w:sz w:val="21"/>
                      <w:szCs w:val="21"/>
                      <w:highlight w:val="none"/>
                      <w:lang w:val="en-US" w:eastAsia="zh-CN"/>
                    </w:rPr>
                    <w:t>4</w:t>
                  </w:r>
                </w:p>
              </w:tc>
              <w:tc>
                <w:tcPr>
                  <w:tcW w:w="441" w:type="pct"/>
                  <w:shd w:val="clear" w:color="auto" w:fill="auto"/>
                  <w:noWrap/>
                  <w:vAlign w:val="center"/>
                </w:tcPr>
                <w:p w14:paraId="18C7DF1D">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锅炉水处理间</w:t>
                  </w:r>
                </w:p>
              </w:tc>
              <w:tc>
                <w:tcPr>
                  <w:tcW w:w="399" w:type="pct"/>
                  <w:shd w:val="clear" w:color="auto" w:fill="auto"/>
                  <w:vAlign w:val="center"/>
                </w:tcPr>
                <w:p w14:paraId="1454BF88">
                  <w:pPr>
                    <w:kinsoku w:val="0"/>
                    <w:overflowPunct w:val="0"/>
                    <w:autoSpaceDE w:val="0"/>
                    <w:autoSpaceDN w:val="0"/>
                    <w:adjustRightInd w:val="0"/>
                    <w:jc w:val="center"/>
                    <w:rPr>
                      <w:rFonts w:hint="eastAsia"/>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软水制备装置及配套</w:t>
                  </w:r>
                  <w:r>
                    <w:rPr>
                      <w:rFonts w:hint="eastAsia" w:cs="Times New Roman"/>
                      <w:color w:val="auto"/>
                      <w:kern w:val="0"/>
                      <w:sz w:val="21"/>
                      <w:szCs w:val="21"/>
                      <w:highlight w:val="none"/>
                      <w:lang w:val="en-US" w:eastAsia="zh-CN"/>
                    </w:rPr>
                    <w:t>水泵</w:t>
                  </w:r>
                  <w:r>
                    <w:rPr>
                      <w:rFonts w:hint="eastAsia"/>
                      <w:color w:val="auto"/>
                      <w:kern w:val="0"/>
                      <w:sz w:val="21"/>
                      <w:szCs w:val="21"/>
                      <w:highlight w:val="none"/>
                      <w:lang w:eastAsia="zh-CN"/>
                    </w:rPr>
                    <w:t>（</w:t>
                  </w:r>
                  <w:r>
                    <w:rPr>
                      <w:rFonts w:hint="eastAsia"/>
                      <w:color w:val="auto"/>
                      <w:kern w:val="0"/>
                      <w:sz w:val="21"/>
                      <w:szCs w:val="21"/>
                      <w:highlight w:val="none"/>
                      <w:lang w:val="en-US" w:eastAsia="zh-CN"/>
                    </w:rPr>
                    <w:t>1台</w:t>
                  </w:r>
                  <w:r>
                    <w:rPr>
                      <w:rFonts w:hint="eastAsia"/>
                      <w:color w:val="auto"/>
                      <w:kern w:val="0"/>
                      <w:sz w:val="21"/>
                      <w:szCs w:val="21"/>
                      <w:highlight w:val="none"/>
                      <w:lang w:eastAsia="zh-CN"/>
                    </w:rPr>
                    <w:t>）</w:t>
                  </w:r>
                </w:p>
              </w:tc>
              <w:tc>
                <w:tcPr>
                  <w:tcW w:w="219" w:type="pct"/>
                  <w:shd w:val="clear" w:color="auto" w:fill="auto"/>
                  <w:noWrap/>
                  <w:vAlign w:val="center"/>
                </w:tcPr>
                <w:p w14:paraId="27B2E09F">
                  <w:pPr>
                    <w:kinsoku w:val="0"/>
                    <w:overflowPunct w:val="0"/>
                    <w:autoSpaceDE w:val="0"/>
                    <w:autoSpaceDN w:val="0"/>
                    <w:adjustRightInd w:val="0"/>
                    <w:jc w:val="center"/>
                    <w:rPr>
                      <w:rFonts w:hint="eastAsia"/>
                      <w:color w:val="auto"/>
                      <w:kern w:val="0"/>
                      <w:sz w:val="21"/>
                      <w:szCs w:val="21"/>
                      <w:highlight w:val="none"/>
                    </w:rPr>
                  </w:pPr>
                  <w:r>
                    <w:rPr>
                      <w:rFonts w:hint="eastAsia"/>
                      <w:color w:val="auto"/>
                      <w:kern w:val="0"/>
                      <w:sz w:val="21"/>
                      <w:szCs w:val="21"/>
                      <w:highlight w:val="none"/>
                    </w:rPr>
                    <w:t>点源</w:t>
                  </w:r>
                </w:p>
              </w:tc>
              <w:tc>
                <w:tcPr>
                  <w:tcW w:w="439" w:type="pct"/>
                  <w:shd w:val="clear" w:color="auto" w:fill="auto"/>
                  <w:noWrap/>
                  <w:vAlign w:val="center"/>
                </w:tcPr>
                <w:p w14:paraId="0E8F0131">
                  <w:pPr>
                    <w:kinsoku w:val="0"/>
                    <w:overflowPunct w:val="0"/>
                    <w:autoSpaceDE w:val="0"/>
                    <w:autoSpaceDN w:val="0"/>
                    <w:adjustRightIn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80</w:t>
                  </w:r>
                </w:p>
              </w:tc>
              <w:tc>
                <w:tcPr>
                  <w:tcW w:w="448" w:type="pct"/>
                  <w:vMerge w:val="continue"/>
                  <w:shd w:val="clear" w:color="auto" w:fill="auto"/>
                  <w:noWrap/>
                  <w:vAlign w:val="center"/>
                </w:tcPr>
                <w:p w14:paraId="09A980DA">
                  <w:pPr>
                    <w:kinsoku w:val="0"/>
                    <w:overflowPunct w:val="0"/>
                    <w:autoSpaceDE w:val="0"/>
                    <w:autoSpaceDN w:val="0"/>
                    <w:adjustRightInd w:val="0"/>
                    <w:jc w:val="center"/>
                    <w:rPr>
                      <w:color w:val="auto"/>
                      <w:kern w:val="0"/>
                      <w:sz w:val="21"/>
                      <w:szCs w:val="21"/>
                      <w:highlight w:val="none"/>
                    </w:rPr>
                  </w:pPr>
                </w:p>
              </w:tc>
              <w:tc>
                <w:tcPr>
                  <w:tcW w:w="333" w:type="pct"/>
                  <w:shd w:val="clear" w:color="auto" w:fill="auto"/>
                  <w:noWrap/>
                  <w:vAlign w:val="center"/>
                </w:tcPr>
                <w:p w14:paraId="51664BBB">
                  <w:pPr>
                    <w:kinsoku w:val="0"/>
                    <w:overflowPunct w:val="0"/>
                    <w:autoSpaceDE w:val="0"/>
                    <w:autoSpaceDN w:val="0"/>
                    <w:adjustRightInd w:val="0"/>
                    <w:jc w:val="center"/>
                    <w:rPr>
                      <w:rFonts w:hint="eastAsia"/>
                      <w:color w:val="auto"/>
                      <w:highlight w:val="none"/>
                    </w:rPr>
                  </w:pPr>
                  <w:r>
                    <w:rPr>
                      <w:rFonts w:hint="eastAsia"/>
                      <w:color w:val="auto"/>
                      <w:highlight w:val="none"/>
                    </w:rPr>
                    <w:t>339</w:t>
                  </w:r>
                </w:p>
              </w:tc>
              <w:tc>
                <w:tcPr>
                  <w:tcW w:w="347" w:type="pct"/>
                  <w:shd w:val="clear" w:color="auto" w:fill="auto"/>
                  <w:noWrap/>
                  <w:vAlign w:val="center"/>
                </w:tcPr>
                <w:p w14:paraId="62C902AC">
                  <w:pPr>
                    <w:kinsoku w:val="0"/>
                    <w:overflowPunct w:val="0"/>
                    <w:autoSpaceDE w:val="0"/>
                    <w:autoSpaceDN w:val="0"/>
                    <w:adjustRightInd w:val="0"/>
                    <w:jc w:val="center"/>
                    <w:rPr>
                      <w:rFonts w:hint="eastAsia"/>
                      <w:color w:val="auto"/>
                      <w:highlight w:val="none"/>
                    </w:rPr>
                  </w:pPr>
                  <w:r>
                    <w:rPr>
                      <w:rFonts w:hint="eastAsia"/>
                      <w:color w:val="auto"/>
                      <w:highlight w:val="none"/>
                    </w:rPr>
                    <w:t>187</w:t>
                  </w:r>
                </w:p>
              </w:tc>
              <w:tc>
                <w:tcPr>
                  <w:tcW w:w="323" w:type="pct"/>
                  <w:shd w:val="clear" w:color="auto" w:fill="auto"/>
                  <w:noWrap/>
                  <w:vAlign w:val="center"/>
                </w:tcPr>
                <w:p w14:paraId="1147AEF7">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0.3</w:t>
                  </w:r>
                </w:p>
              </w:tc>
              <w:tc>
                <w:tcPr>
                  <w:tcW w:w="322" w:type="pct"/>
                  <w:shd w:val="clear" w:color="auto" w:fill="auto"/>
                  <w:noWrap/>
                  <w:vAlign w:val="center"/>
                </w:tcPr>
                <w:p w14:paraId="528A2599">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670" w:type="dxa"/>
                  <w:shd w:val="clear" w:color="auto" w:fill="auto"/>
                  <w:noWrap/>
                  <w:vAlign w:val="center"/>
                </w:tcPr>
                <w:p w14:paraId="01358246">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80.0</w:t>
                  </w:r>
                </w:p>
              </w:tc>
              <w:tc>
                <w:tcPr>
                  <w:tcW w:w="281" w:type="pct"/>
                  <w:shd w:val="clear" w:color="auto" w:fill="auto"/>
                  <w:noWrap/>
                  <w:vAlign w:val="center"/>
                </w:tcPr>
                <w:p w14:paraId="732C4B80">
                  <w:pPr>
                    <w:kinsoku w:val="0"/>
                    <w:overflowPunct w:val="0"/>
                    <w:autoSpaceDE w:val="0"/>
                    <w:autoSpaceDN w:val="0"/>
                    <w:adjustRightInd w:val="0"/>
                    <w:jc w:val="center"/>
                    <w:rPr>
                      <w:rFonts w:hint="eastAsia"/>
                      <w:color w:val="auto"/>
                      <w:kern w:val="0"/>
                      <w:sz w:val="21"/>
                      <w:szCs w:val="21"/>
                      <w:highlight w:val="none"/>
                    </w:rPr>
                  </w:pPr>
                  <w:r>
                    <w:rPr>
                      <w:rFonts w:hint="eastAsia"/>
                      <w:color w:val="auto"/>
                      <w:kern w:val="0"/>
                      <w:sz w:val="21"/>
                      <w:szCs w:val="21"/>
                      <w:highlight w:val="none"/>
                    </w:rPr>
                    <w:t>稳定声源</w:t>
                  </w:r>
                </w:p>
              </w:tc>
              <w:tc>
                <w:tcPr>
                  <w:tcW w:w="371" w:type="pct"/>
                  <w:shd w:val="clear" w:color="auto" w:fill="auto"/>
                  <w:noWrap/>
                  <w:vAlign w:val="center"/>
                </w:tcPr>
                <w:p w14:paraId="5E24BC65">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501" w:type="dxa"/>
                  <w:shd w:val="clear" w:color="auto" w:fill="auto"/>
                  <w:noWrap/>
                  <w:vAlign w:val="center"/>
                </w:tcPr>
                <w:p w14:paraId="0EC8AFFF">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70</w:t>
                  </w:r>
                </w:p>
              </w:tc>
              <w:tc>
                <w:tcPr>
                  <w:tcW w:w="269" w:type="pct"/>
                  <w:shd w:val="clear" w:color="auto" w:fill="auto"/>
                  <w:noWrap/>
                  <w:vAlign w:val="center"/>
                </w:tcPr>
                <w:p w14:paraId="0C788279">
                  <w:pPr>
                    <w:kinsoku w:val="0"/>
                    <w:overflowPunct w:val="0"/>
                    <w:autoSpaceDE w:val="0"/>
                    <w:autoSpaceDN w:val="0"/>
                    <w:adjustRightIn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w:t>
                  </w:r>
                </w:p>
              </w:tc>
            </w:tr>
          </w:tbl>
          <w:p w14:paraId="45289589">
            <w:pPr>
              <w:numPr>
                <w:ilvl w:val="0"/>
                <w:numId w:val="26"/>
              </w:numPr>
              <w:spacing w:line="360" w:lineRule="auto"/>
              <w:ind w:left="0" w:leftChars="0" w:firstLine="482" w:firstLineChars="200"/>
              <w:rPr>
                <w:b/>
                <w:bCs/>
                <w:color w:val="auto"/>
                <w:kern w:val="0"/>
                <w:sz w:val="24"/>
                <w:szCs w:val="22"/>
                <w:highlight w:val="none"/>
              </w:rPr>
            </w:pPr>
            <w:r>
              <w:rPr>
                <w:b/>
                <w:bCs/>
                <w:color w:val="auto"/>
                <w:kern w:val="0"/>
                <w:sz w:val="24"/>
                <w:szCs w:val="22"/>
                <w:highlight w:val="none"/>
              </w:rPr>
              <w:t>噪声预测模式</w:t>
            </w:r>
          </w:p>
          <w:p w14:paraId="06EA7E66">
            <w:pPr>
              <w:spacing w:line="360" w:lineRule="auto"/>
              <w:ind w:firstLine="482" w:firstLineChars="200"/>
              <w:jc w:val="left"/>
              <w:rPr>
                <w:b/>
                <w:bCs/>
                <w:color w:val="auto"/>
                <w:kern w:val="0"/>
                <w:sz w:val="24"/>
                <w:szCs w:val="22"/>
                <w:highlight w:val="none"/>
              </w:rPr>
            </w:pPr>
            <w:r>
              <w:rPr>
                <w:rFonts w:hint="eastAsia"/>
                <w:b/>
                <w:bCs/>
                <w:color w:val="auto"/>
                <w:kern w:val="0"/>
                <w:sz w:val="24"/>
                <w:szCs w:val="22"/>
                <w:highlight w:val="none"/>
              </w:rPr>
              <w:t>1）室内声源等效室外声源声功率级</w:t>
            </w:r>
          </w:p>
          <w:p w14:paraId="5F9744A2">
            <w:pPr>
              <w:spacing w:line="360" w:lineRule="auto"/>
              <w:ind w:firstLine="480" w:firstLineChars="200"/>
              <w:jc w:val="left"/>
              <w:rPr>
                <w:color w:val="auto"/>
                <w:sz w:val="24"/>
                <w:highlight w:val="none"/>
              </w:rPr>
            </w:pPr>
            <w:r>
              <w:rPr>
                <w:rFonts w:hint="eastAsia"/>
                <w:color w:val="auto"/>
                <w:kern w:val="0"/>
                <w:sz w:val="24"/>
                <w:szCs w:val="22"/>
                <w:highlight w:val="none"/>
              </w:rPr>
              <w:t>室内声源等效室外声源声功率级计算方法：本项目新增</w:t>
            </w:r>
            <w:r>
              <w:rPr>
                <w:rFonts w:hint="eastAsia"/>
                <w:color w:val="auto"/>
                <w:kern w:val="0"/>
                <w:sz w:val="24"/>
                <w:szCs w:val="22"/>
                <w:highlight w:val="none"/>
                <w:lang w:val="en-US" w:eastAsia="zh-CN"/>
              </w:rPr>
              <w:t>设备均为室内设备，主要为生产工艺装置配套的电机、真空泵以及锅炉水处理间的软水制备装置配套水泵，</w:t>
            </w:r>
            <w:r>
              <w:rPr>
                <w:color w:val="auto"/>
                <w:sz w:val="24"/>
                <w:highlight w:val="none"/>
              </w:rPr>
              <w:t>室内声源可采用等效室外声源声功率级法进行计算。设靠近开口处（或窗户）室内、室外某倍频带的声压级或A声级分别为L</w:t>
            </w:r>
            <w:r>
              <w:rPr>
                <w:color w:val="auto"/>
                <w:sz w:val="24"/>
                <w:highlight w:val="none"/>
                <w:vertAlign w:val="subscript"/>
              </w:rPr>
              <w:t>p1</w:t>
            </w:r>
            <w:r>
              <w:rPr>
                <w:color w:val="auto"/>
                <w:sz w:val="24"/>
                <w:highlight w:val="none"/>
              </w:rPr>
              <w:t>和L</w:t>
            </w:r>
            <w:r>
              <w:rPr>
                <w:color w:val="auto"/>
                <w:sz w:val="24"/>
                <w:highlight w:val="none"/>
                <w:vertAlign w:val="subscript"/>
              </w:rPr>
              <w:t>p2</w:t>
            </w:r>
            <w:r>
              <w:rPr>
                <w:color w:val="auto"/>
                <w:sz w:val="24"/>
                <w:highlight w:val="none"/>
              </w:rPr>
              <w:t>。若声源所在室内声场为近似扩散声场，则室外的倍频带声压级可按式（B.1）近似求出：</w:t>
            </w:r>
          </w:p>
          <w:p w14:paraId="6162AA88">
            <w:pPr>
              <w:pStyle w:val="111"/>
              <w:ind w:firstLine="0" w:firstLineChars="0"/>
              <w:jc w:val="center"/>
              <w:rPr>
                <w:rFonts w:ascii="Times New Roman" w:hAnsi="Times New Roman"/>
                <w:color w:val="auto"/>
                <w:highlight w:val="none"/>
                <w:lang w:val="en-US"/>
              </w:rPr>
            </w:pPr>
            <w:r>
              <w:rPr>
                <w:rFonts w:ascii="Times New Roman" w:hAnsi="Times New Roman"/>
                <w:color w:val="auto"/>
                <w:highlight w:val="none"/>
                <w:lang w:val="en-US"/>
              </w:rPr>
              <w:t>L</w:t>
            </w:r>
            <w:r>
              <w:rPr>
                <w:rFonts w:ascii="Times New Roman" w:hAnsi="Times New Roman"/>
                <w:color w:val="auto"/>
                <w:highlight w:val="none"/>
                <w:vertAlign w:val="subscript"/>
                <w:lang w:val="en-US"/>
              </w:rPr>
              <w:t>p2</w:t>
            </w:r>
            <w:r>
              <w:rPr>
                <w:rFonts w:ascii="Times New Roman" w:hAnsi="Times New Roman"/>
                <w:color w:val="auto"/>
                <w:highlight w:val="none"/>
                <w:lang w:val="en-US"/>
              </w:rPr>
              <w:t>=L</w:t>
            </w:r>
            <w:r>
              <w:rPr>
                <w:rFonts w:ascii="Times New Roman" w:hAnsi="Times New Roman"/>
                <w:color w:val="auto"/>
                <w:highlight w:val="none"/>
                <w:vertAlign w:val="subscript"/>
                <w:lang w:val="en-US"/>
              </w:rPr>
              <w:t>p1</w:t>
            </w:r>
            <w:r>
              <w:rPr>
                <w:rFonts w:ascii="Times New Roman" w:hAnsi="Times New Roman"/>
                <w:color w:val="auto"/>
                <w:kern w:val="44"/>
                <w:highlight w:val="none"/>
                <w:lang w:val="en-US"/>
              </w:rPr>
              <w:t>－（TL+6）</w:t>
            </w:r>
            <w:r>
              <w:rPr>
                <w:rFonts w:ascii="Times New Roman" w:hAnsi="Times New Roman"/>
                <w:color w:val="auto"/>
                <w:highlight w:val="none"/>
                <w:lang w:val="en-US"/>
              </w:rPr>
              <w:t>（B.1）</w:t>
            </w:r>
          </w:p>
          <w:p w14:paraId="0B291C69">
            <w:pPr>
              <w:pStyle w:val="111"/>
              <w:rPr>
                <w:rFonts w:ascii="Times New Roman" w:hAnsi="Times New Roman"/>
                <w:color w:val="auto"/>
                <w:highlight w:val="none"/>
              </w:rPr>
            </w:pPr>
            <w:r>
              <w:rPr>
                <w:rFonts w:ascii="Times New Roman" w:hAnsi="Times New Roman"/>
                <w:color w:val="auto"/>
                <w:highlight w:val="none"/>
              </w:rPr>
              <w:t>式中：L</w:t>
            </w:r>
            <w:r>
              <w:rPr>
                <w:rFonts w:ascii="Times New Roman" w:hAnsi="Times New Roman"/>
                <w:color w:val="auto"/>
                <w:highlight w:val="none"/>
                <w:vertAlign w:val="subscript"/>
              </w:rPr>
              <w:t>p1</w:t>
            </w:r>
            <w:r>
              <w:rPr>
                <w:rFonts w:ascii="Times New Roman" w:hAnsi="Times New Roman"/>
                <w:color w:val="auto"/>
                <w:highlight w:val="none"/>
              </w:rPr>
              <w:t>——靠近开口处（或窗户）室内某倍频带的声压级或A声级，dB；</w:t>
            </w:r>
          </w:p>
          <w:p w14:paraId="03F161BA">
            <w:pPr>
              <w:pStyle w:val="111"/>
              <w:rPr>
                <w:rFonts w:ascii="Times New Roman" w:hAnsi="Times New Roman"/>
                <w:color w:val="auto"/>
                <w:highlight w:val="none"/>
              </w:rPr>
            </w:pPr>
            <w:r>
              <w:rPr>
                <w:rFonts w:ascii="Times New Roman" w:hAnsi="Times New Roman"/>
                <w:color w:val="auto"/>
                <w:highlight w:val="none"/>
              </w:rPr>
              <w:t>L</w:t>
            </w:r>
            <w:r>
              <w:rPr>
                <w:rFonts w:ascii="Times New Roman" w:hAnsi="Times New Roman"/>
                <w:color w:val="auto"/>
                <w:highlight w:val="none"/>
                <w:vertAlign w:val="subscript"/>
              </w:rPr>
              <w:t>p2</w:t>
            </w:r>
            <w:r>
              <w:rPr>
                <w:rFonts w:ascii="Times New Roman" w:hAnsi="Times New Roman"/>
                <w:color w:val="auto"/>
                <w:highlight w:val="none"/>
              </w:rPr>
              <w:t>——靠近开口处（或窗户）室外某倍频带的声压级或A声级，dB；</w:t>
            </w:r>
          </w:p>
          <w:p w14:paraId="7E8F89F7">
            <w:pPr>
              <w:pStyle w:val="111"/>
              <w:rPr>
                <w:rFonts w:ascii="Times New Roman" w:hAnsi="Times New Roman"/>
                <w:color w:val="auto"/>
                <w:highlight w:val="none"/>
              </w:rPr>
            </w:pPr>
            <w:r>
              <w:rPr>
                <w:rFonts w:ascii="Times New Roman" w:hAnsi="Times New Roman"/>
                <w:color w:val="auto"/>
                <w:highlight w:val="none"/>
              </w:rPr>
              <w:t>TL——隔墙（或窗户）倍频带或A声级的隔声量，dB。</w:t>
            </w:r>
          </w:p>
          <w:p w14:paraId="060CE03C">
            <w:pPr>
              <w:pStyle w:val="111"/>
              <w:rPr>
                <w:rFonts w:ascii="Times New Roman" w:hAnsi="Times New Roman"/>
                <w:color w:val="auto"/>
                <w:highlight w:val="none"/>
              </w:rPr>
            </w:pPr>
            <w:r>
              <w:rPr>
                <w:rFonts w:ascii="Times New Roman" w:hAnsi="Times New Roman"/>
                <w:color w:val="auto"/>
                <w:highlight w:val="none"/>
              </w:rPr>
              <w:t>也可按式（B.2）计算某一室内声源靠近围护结构处产生的倍频带声压级或A声级：</w:t>
            </w:r>
          </w:p>
          <w:p w14:paraId="236766FE">
            <w:pPr>
              <w:pStyle w:val="111"/>
              <w:ind w:firstLine="0" w:firstLineChars="0"/>
              <w:jc w:val="center"/>
              <w:rPr>
                <w:rFonts w:ascii="Times New Roman" w:hAnsi="Times New Roman"/>
                <w:color w:val="auto"/>
                <w:highlight w:val="none"/>
                <w:lang w:val="en-US"/>
              </w:rPr>
            </w:pPr>
            <w:r>
              <w:rPr>
                <w:rFonts w:ascii="Times New Roman" w:hAnsi="Times New Roman"/>
                <w:color w:val="auto"/>
                <w:position w:val="-28"/>
                <w:highlight w:val="none"/>
              </w:rPr>
              <w:object>
                <v:shape id="_x0000_i1026" o:spt="75" type="#_x0000_t75" style="height:34.55pt;width:132.95pt;" o:ole="t" filled="f" o:preferrelative="t" stroked="f" coordsize="21600,21600">
                  <v:path/>
                  <v:fill on="f" focussize="0,0"/>
                  <v:stroke on="f" joinstyle="miter"/>
                  <v:imagedata r:id="rId43" o:title=""/>
                  <o:lock v:ext="edit" aspectratio="t"/>
                  <w10:wrap type="none"/>
                  <w10:anchorlock/>
                </v:shape>
                <o:OLEObject Type="Embed" ProgID="Equation.KSEE3" ShapeID="_x0000_i1026" DrawAspect="Content" ObjectID="_1468075726" r:id="rId42">
                  <o:LockedField>false</o:LockedField>
                </o:OLEObject>
              </w:object>
            </w:r>
            <w:r>
              <w:rPr>
                <w:rFonts w:ascii="Times New Roman" w:hAnsi="Times New Roman"/>
                <w:color w:val="auto"/>
                <w:highlight w:val="none"/>
              </w:rPr>
              <w:t>（B.2）</w:t>
            </w:r>
          </w:p>
          <w:p w14:paraId="2A445EA6">
            <w:pPr>
              <w:pStyle w:val="111"/>
              <w:rPr>
                <w:rFonts w:ascii="Times New Roman" w:hAnsi="Times New Roman"/>
                <w:color w:val="auto"/>
                <w:highlight w:val="none"/>
              </w:rPr>
            </w:pPr>
            <w:r>
              <w:rPr>
                <w:rFonts w:ascii="Times New Roman" w:hAnsi="Times New Roman"/>
                <w:color w:val="auto"/>
                <w:highlight w:val="none"/>
              </w:rPr>
              <w:t>式中：L</w:t>
            </w:r>
            <w:r>
              <w:rPr>
                <w:rFonts w:ascii="Times New Roman" w:hAnsi="Times New Roman"/>
                <w:color w:val="auto"/>
                <w:highlight w:val="none"/>
                <w:vertAlign w:val="subscript"/>
              </w:rPr>
              <w:t>p1</w:t>
            </w:r>
            <w:r>
              <w:rPr>
                <w:rFonts w:ascii="Times New Roman" w:hAnsi="Times New Roman"/>
                <w:color w:val="auto"/>
                <w:highlight w:val="none"/>
              </w:rPr>
              <w:t>——靠近开口处（或窗户）室内某倍频带的声压级或A声级，dB；</w:t>
            </w:r>
          </w:p>
          <w:p w14:paraId="2AC29A25">
            <w:pPr>
              <w:pStyle w:val="119"/>
              <w:keepNext w:val="0"/>
              <w:keepLines w:val="0"/>
              <w:pageBreakBefore w:val="0"/>
              <w:widowControl/>
              <w:kinsoku/>
              <w:wordWrap/>
              <w:overflowPunct/>
              <w:topLinePunct w:val="0"/>
              <w:bidi w:val="0"/>
              <w:ind w:firstLine="480" w:firstLineChars="200"/>
              <w:textAlignment w:val="auto"/>
              <w:rPr>
                <w:rFonts w:ascii="Times New Roman" w:hAnsi="Times New Roman"/>
                <w:color w:val="auto"/>
                <w:highlight w:val="none"/>
              </w:rPr>
            </w:pPr>
            <w:r>
              <w:rPr>
                <w:rFonts w:ascii="Times New Roman" w:hAnsi="Times New Roman"/>
                <w:color w:val="auto"/>
                <w:highlight w:val="none"/>
              </w:rPr>
              <w:t>L</w:t>
            </w:r>
            <w:r>
              <w:rPr>
                <w:rFonts w:ascii="Times New Roman" w:hAnsi="Times New Roman"/>
                <w:color w:val="auto"/>
                <w:highlight w:val="none"/>
                <w:vertAlign w:val="subscript"/>
              </w:rPr>
              <w:t>w</w:t>
            </w:r>
            <w:r>
              <w:rPr>
                <w:rFonts w:ascii="Times New Roman" w:hAnsi="Times New Roman"/>
                <w:color w:val="auto"/>
                <w:highlight w:val="none"/>
              </w:rPr>
              <w:t>——点声源声功率级（A计权或倍频带），dB；</w:t>
            </w:r>
          </w:p>
          <w:p w14:paraId="43122D6B">
            <w:pPr>
              <w:pStyle w:val="119"/>
              <w:keepNext w:val="0"/>
              <w:keepLines w:val="0"/>
              <w:pageBreakBefore w:val="0"/>
              <w:widowControl/>
              <w:kinsoku/>
              <w:wordWrap/>
              <w:overflowPunct/>
              <w:topLinePunct w:val="0"/>
              <w:bidi w:val="0"/>
              <w:ind w:firstLine="480" w:firstLineChars="200"/>
              <w:textAlignment w:val="auto"/>
              <w:rPr>
                <w:rFonts w:ascii="Times New Roman" w:hAnsi="Times New Roman"/>
                <w:color w:val="auto"/>
                <w:highlight w:val="none"/>
              </w:rPr>
            </w:pPr>
            <w:r>
              <w:rPr>
                <w:rFonts w:ascii="Times New Roman" w:hAnsi="Times New Roman"/>
                <w:color w:val="auto"/>
                <w:highlight w:val="none"/>
              </w:rPr>
              <w:t>Q——指向性因数；通常对无指向性声源，当声源放在房间中心时，Q=1；当放在一面墙的中心时，Q=2；当放在两面墙夹角处时，Q=4；当放在三面墙夹角处时，Q=8；</w:t>
            </w:r>
          </w:p>
          <w:p w14:paraId="4CCC65DE">
            <w:pPr>
              <w:pStyle w:val="111"/>
              <w:keepNext w:val="0"/>
              <w:keepLines w:val="0"/>
              <w:pageBreakBefore w:val="0"/>
              <w:kinsoku/>
              <w:wordWrap/>
              <w:overflowPunct/>
              <w:topLinePunct w:val="0"/>
              <w:bidi w:val="0"/>
              <w:ind w:firstLine="480" w:firstLineChars="200"/>
              <w:textAlignment w:val="auto"/>
              <w:rPr>
                <w:rFonts w:ascii="Times New Roman" w:hAnsi="Times New Roman"/>
                <w:color w:val="auto"/>
                <w:highlight w:val="none"/>
              </w:rPr>
            </w:pPr>
            <w:r>
              <w:rPr>
                <w:rFonts w:ascii="Times New Roman" w:hAnsi="Times New Roman"/>
                <w:color w:val="auto"/>
                <w:highlight w:val="none"/>
              </w:rPr>
              <w:t>R——房间常数；</w:t>
            </w:r>
            <w:r>
              <w:rPr>
                <w:rFonts w:ascii="Times New Roman" w:hAnsi="Times New Roman"/>
                <w:color w:val="auto"/>
                <w:highlight w:val="none"/>
                <w:lang w:val="en-US"/>
              </w:rPr>
              <w:t>R=Sα/（1—α）</w:t>
            </w:r>
            <w:r>
              <w:rPr>
                <w:rFonts w:ascii="Times New Roman" w:hAnsi="Times New Roman"/>
                <w:color w:val="auto"/>
                <w:highlight w:val="none"/>
              </w:rPr>
              <w:t>，S为房间内表面面积，m</w:t>
            </w:r>
            <w:r>
              <w:rPr>
                <w:rFonts w:ascii="Times New Roman" w:hAnsi="Times New Roman"/>
                <w:color w:val="auto"/>
                <w:highlight w:val="none"/>
                <w:vertAlign w:val="superscript"/>
              </w:rPr>
              <w:t>2</w:t>
            </w:r>
            <w:r>
              <w:rPr>
                <w:rFonts w:ascii="Times New Roman" w:hAnsi="Times New Roman"/>
                <w:color w:val="auto"/>
                <w:highlight w:val="none"/>
              </w:rPr>
              <w:t>；α为平均吸声系数；</w:t>
            </w:r>
          </w:p>
          <w:p w14:paraId="0362800E">
            <w:pPr>
              <w:pStyle w:val="111"/>
              <w:keepNext w:val="0"/>
              <w:keepLines w:val="0"/>
              <w:pageBreakBefore w:val="0"/>
              <w:kinsoku/>
              <w:wordWrap/>
              <w:overflowPunct/>
              <w:topLinePunct w:val="0"/>
              <w:bidi w:val="0"/>
              <w:ind w:firstLine="480" w:firstLineChars="200"/>
              <w:textAlignment w:val="auto"/>
              <w:rPr>
                <w:rFonts w:ascii="Times New Roman" w:hAnsi="Times New Roman"/>
                <w:color w:val="auto"/>
                <w:highlight w:val="none"/>
              </w:rPr>
            </w:pPr>
            <w:r>
              <w:rPr>
                <w:rFonts w:ascii="Times New Roman" w:hAnsi="Times New Roman"/>
                <w:color w:val="auto"/>
                <w:highlight w:val="none"/>
              </w:rPr>
              <w:t>r——声源到靠近围护结构某点处的距离，m。</w:t>
            </w:r>
          </w:p>
          <w:p w14:paraId="5CE0945B">
            <w:pPr>
              <w:pStyle w:val="111"/>
              <w:rPr>
                <w:rFonts w:ascii="Times New Roman" w:hAnsi="Times New Roman"/>
                <w:color w:val="auto"/>
                <w:highlight w:val="none"/>
              </w:rPr>
            </w:pPr>
            <w:r>
              <w:rPr>
                <w:rFonts w:ascii="Times New Roman" w:hAnsi="Times New Roman"/>
                <w:color w:val="auto"/>
                <w:highlight w:val="none"/>
              </w:rPr>
              <w:t>然后按式（B.3）计算出所有室内声源在围护结构处产生的i倍频带叠加声压级：</w:t>
            </w:r>
          </w:p>
          <w:p w14:paraId="0336823F">
            <w:pPr>
              <w:pStyle w:val="111"/>
              <w:ind w:firstLine="0" w:firstLineChars="0"/>
              <w:jc w:val="center"/>
              <w:rPr>
                <w:rFonts w:ascii="Times New Roman" w:hAnsi="Times New Roman"/>
                <w:color w:val="auto"/>
                <w:highlight w:val="none"/>
                <w:lang w:val="en-US"/>
              </w:rPr>
            </w:pPr>
            <w:r>
              <w:rPr>
                <w:rFonts w:ascii="Times New Roman" w:hAnsi="Times New Roman"/>
                <w:color w:val="auto"/>
                <w:position w:val="-32"/>
                <w:highlight w:val="none"/>
              </w:rPr>
              <w:object>
                <v:shape id="_x0000_i1027" o:spt="75" type="#_x0000_t75" style="height:37.45pt;width:131.5pt;" o:ole="t" filled="f" o:preferrelative="t" stroked="f" coordsize="21600,21600">
                  <v:path/>
                  <v:fill on="f" focussize="0,0"/>
                  <v:stroke on="f" joinstyle="miter"/>
                  <v:imagedata r:id="rId45" o:title=""/>
                  <o:lock v:ext="edit" aspectratio="t"/>
                  <w10:wrap type="none"/>
                  <w10:anchorlock/>
                </v:shape>
                <o:OLEObject Type="Embed" ProgID="Equation.KSEE3" ShapeID="_x0000_i1027" DrawAspect="Content" ObjectID="_1468075727" r:id="rId44">
                  <o:LockedField>false</o:LockedField>
                </o:OLEObject>
              </w:object>
            </w:r>
            <w:r>
              <w:rPr>
                <w:rFonts w:ascii="Times New Roman" w:hAnsi="Times New Roman"/>
                <w:color w:val="auto"/>
                <w:highlight w:val="none"/>
              </w:rPr>
              <w:t>（B.</w:t>
            </w:r>
            <w:r>
              <w:rPr>
                <w:rFonts w:ascii="Times New Roman" w:hAnsi="Times New Roman"/>
                <w:color w:val="auto"/>
                <w:highlight w:val="none"/>
                <w:lang w:val="en-US"/>
              </w:rPr>
              <w:t>3</w:t>
            </w:r>
            <w:r>
              <w:rPr>
                <w:rFonts w:ascii="Times New Roman" w:hAnsi="Times New Roman"/>
                <w:color w:val="auto"/>
                <w:highlight w:val="none"/>
              </w:rPr>
              <w:t>）</w:t>
            </w:r>
          </w:p>
          <w:p w14:paraId="6D1E8E66">
            <w:pPr>
              <w:pStyle w:val="111"/>
              <w:rPr>
                <w:rFonts w:ascii="Times New Roman" w:hAnsi="Times New Roman"/>
                <w:color w:val="auto"/>
                <w:highlight w:val="none"/>
              </w:rPr>
            </w:pPr>
            <w:r>
              <w:rPr>
                <w:rFonts w:ascii="Times New Roman" w:hAnsi="Times New Roman"/>
                <w:color w:val="auto"/>
                <w:highlight w:val="none"/>
              </w:rPr>
              <w:t>式中：</w:t>
            </w:r>
            <w:r>
              <w:rPr>
                <w:rFonts w:ascii="Times New Roman" w:hAnsi="Times New Roman"/>
                <w:color w:val="auto"/>
                <w:highlight w:val="none"/>
                <w:lang w:val="en-US"/>
              </w:rPr>
              <w:t>L</w:t>
            </w:r>
            <w:r>
              <w:rPr>
                <w:rFonts w:ascii="Times New Roman" w:hAnsi="Times New Roman"/>
                <w:color w:val="auto"/>
                <w:highlight w:val="none"/>
                <w:vertAlign w:val="subscript"/>
                <w:lang w:val="en-US"/>
              </w:rPr>
              <w:t>P1i</w:t>
            </w:r>
            <w:r>
              <w:rPr>
                <w:rFonts w:hint="eastAsia" w:ascii="Times New Roman" w:hAnsi="Times New Roman"/>
                <w:color w:val="auto"/>
                <w:highlight w:val="none"/>
                <w:vertAlign w:val="subscript"/>
                <w:lang w:val="en-US" w:eastAsia="zh-CN"/>
              </w:rPr>
              <w:t>（</w:t>
            </w:r>
            <w:r>
              <w:rPr>
                <w:rFonts w:ascii="Times New Roman" w:hAnsi="Times New Roman"/>
                <w:color w:val="auto"/>
                <w:highlight w:val="none"/>
                <w:vertAlign w:val="subscript"/>
                <w:lang w:val="en-US"/>
              </w:rPr>
              <w:t>T</w:t>
            </w:r>
            <w:r>
              <w:rPr>
                <w:rFonts w:hint="eastAsia" w:ascii="Times New Roman" w:hAnsi="Times New Roman"/>
                <w:color w:val="auto"/>
                <w:highlight w:val="none"/>
                <w:vertAlign w:val="subscript"/>
                <w:lang w:val="en-US" w:eastAsia="zh-CN"/>
              </w:rPr>
              <w:t>）</w:t>
            </w:r>
            <w:r>
              <w:rPr>
                <w:rFonts w:ascii="Times New Roman" w:hAnsi="Times New Roman"/>
                <w:color w:val="auto"/>
                <w:highlight w:val="none"/>
              </w:rPr>
              <w:t>——靠近围护结构处室内N个声源i倍频带的叠加声压级，dB；</w:t>
            </w:r>
          </w:p>
          <w:p w14:paraId="20996C20">
            <w:pPr>
              <w:pStyle w:val="111"/>
              <w:rPr>
                <w:rFonts w:ascii="Times New Roman" w:hAnsi="Times New Roman"/>
                <w:color w:val="auto"/>
                <w:highlight w:val="none"/>
              </w:rPr>
            </w:pPr>
            <w:r>
              <w:rPr>
                <w:rFonts w:ascii="Times New Roman" w:hAnsi="Times New Roman"/>
                <w:color w:val="auto"/>
                <w:highlight w:val="none"/>
                <w:lang w:val="en-US"/>
              </w:rPr>
              <w:t>L</w:t>
            </w:r>
            <w:r>
              <w:rPr>
                <w:rFonts w:ascii="Times New Roman" w:hAnsi="Times New Roman"/>
                <w:color w:val="auto"/>
                <w:highlight w:val="none"/>
                <w:vertAlign w:val="subscript"/>
                <w:lang w:val="en-US"/>
              </w:rPr>
              <w:t>P1ij</w:t>
            </w:r>
            <w:r>
              <w:rPr>
                <w:rFonts w:ascii="Times New Roman" w:hAnsi="Times New Roman"/>
                <w:color w:val="auto"/>
                <w:highlight w:val="none"/>
              </w:rPr>
              <w:t>——室内j声源i倍频带的声压级，dB；</w:t>
            </w:r>
          </w:p>
          <w:p w14:paraId="0D396CA4">
            <w:pPr>
              <w:pStyle w:val="111"/>
              <w:rPr>
                <w:rFonts w:ascii="Times New Roman" w:hAnsi="Times New Roman"/>
                <w:color w:val="auto"/>
                <w:highlight w:val="none"/>
              </w:rPr>
            </w:pPr>
            <w:r>
              <w:rPr>
                <w:rFonts w:ascii="Times New Roman" w:hAnsi="Times New Roman"/>
                <w:color w:val="auto"/>
                <w:highlight w:val="none"/>
              </w:rPr>
              <w:t>N——室内声源总数。</w:t>
            </w:r>
          </w:p>
          <w:p w14:paraId="5DBFAC99">
            <w:pPr>
              <w:pStyle w:val="111"/>
              <w:rPr>
                <w:rFonts w:ascii="Times New Roman" w:hAnsi="Times New Roman"/>
                <w:color w:val="auto"/>
                <w:highlight w:val="none"/>
              </w:rPr>
            </w:pPr>
            <w:r>
              <w:rPr>
                <w:rFonts w:ascii="Times New Roman" w:hAnsi="Times New Roman"/>
                <w:color w:val="auto"/>
                <w:highlight w:val="none"/>
              </w:rPr>
              <w:t>在室内近似为扩散声场时，按式（B.4）计算出靠近室外围护结构处的声压级：</w:t>
            </w:r>
          </w:p>
          <w:p w14:paraId="2DEF9B54">
            <w:pPr>
              <w:pStyle w:val="111"/>
              <w:ind w:firstLine="0" w:firstLineChars="0"/>
              <w:jc w:val="center"/>
              <w:rPr>
                <w:rFonts w:ascii="Times New Roman" w:hAnsi="Times New Roman"/>
                <w:color w:val="auto"/>
                <w:highlight w:val="none"/>
                <w:lang w:val="en-US"/>
              </w:rPr>
            </w:pPr>
            <w:r>
              <w:rPr>
                <w:rFonts w:ascii="Times New Roman" w:hAnsi="Times New Roman"/>
                <w:color w:val="auto"/>
                <w:highlight w:val="none"/>
                <w:lang w:val="en-US"/>
              </w:rPr>
              <w:t>L</w:t>
            </w:r>
            <w:r>
              <w:rPr>
                <w:rFonts w:ascii="Times New Roman" w:hAnsi="Times New Roman"/>
                <w:color w:val="auto"/>
                <w:highlight w:val="none"/>
                <w:vertAlign w:val="subscript"/>
                <w:lang w:val="en-US"/>
              </w:rPr>
              <w:t>P2i</w:t>
            </w:r>
            <w:r>
              <w:rPr>
                <w:rFonts w:hint="eastAsia" w:ascii="Times New Roman" w:hAnsi="Times New Roman"/>
                <w:color w:val="auto"/>
                <w:highlight w:val="none"/>
                <w:lang w:val="en-US" w:eastAsia="zh-CN"/>
              </w:rPr>
              <w:t>（</w:t>
            </w:r>
            <w:r>
              <w:rPr>
                <w:rFonts w:ascii="Times New Roman" w:hAnsi="Times New Roman"/>
                <w:color w:val="auto"/>
                <w:highlight w:val="none"/>
                <w:lang w:val="en-US"/>
              </w:rPr>
              <w:t>T</w:t>
            </w:r>
            <w:r>
              <w:rPr>
                <w:rFonts w:hint="eastAsia" w:ascii="Times New Roman" w:hAnsi="Times New Roman"/>
                <w:color w:val="auto"/>
                <w:highlight w:val="none"/>
                <w:lang w:val="en-US" w:eastAsia="zh-CN"/>
              </w:rPr>
              <w:t>）</w:t>
            </w:r>
            <w:r>
              <w:rPr>
                <w:rFonts w:ascii="Times New Roman" w:hAnsi="Times New Roman"/>
                <w:color w:val="auto"/>
                <w:highlight w:val="none"/>
                <w:lang w:val="en-US"/>
              </w:rPr>
              <w:t>=L</w:t>
            </w:r>
            <w:r>
              <w:rPr>
                <w:rFonts w:ascii="Times New Roman" w:hAnsi="Times New Roman"/>
                <w:color w:val="auto"/>
                <w:highlight w:val="none"/>
                <w:vertAlign w:val="subscript"/>
                <w:lang w:val="en-US"/>
              </w:rPr>
              <w:t>P1i</w:t>
            </w:r>
            <w:r>
              <w:rPr>
                <w:rFonts w:hint="eastAsia" w:ascii="Times New Roman" w:hAnsi="Times New Roman"/>
                <w:color w:val="auto"/>
                <w:highlight w:val="none"/>
                <w:lang w:val="en-US" w:eastAsia="zh-CN"/>
              </w:rPr>
              <w:t>（</w:t>
            </w:r>
            <w:r>
              <w:rPr>
                <w:rFonts w:ascii="Times New Roman" w:hAnsi="Times New Roman"/>
                <w:color w:val="auto"/>
                <w:highlight w:val="none"/>
                <w:lang w:val="en-US"/>
              </w:rPr>
              <w:t>T</w:t>
            </w:r>
            <w:r>
              <w:rPr>
                <w:rFonts w:hint="eastAsia" w:ascii="Times New Roman" w:hAnsi="Times New Roman"/>
                <w:color w:val="auto"/>
                <w:highlight w:val="none"/>
                <w:lang w:val="en-US" w:eastAsia="zh-CN"/>
              </w:rPr>
              <w:t>）</w:t>
            </w:r>
            <w:r>
              <w:rPr>
                <w:rFonts w:ascii="Times New Roman" w:hAnsi="Times New Roman"/>
                <w:color w:val="auto"/>
                <w:highlight w:val="none"/>
                <w:lang w:val="en-US"/>
              </w:rPr>
              <w:t>—</w:t>
            </w:r>
            <w:r>
              <w:rPr>
                <w:rFonts w:hint="eastAsia" w:ascii="Times New Roman" w:hAnsi="Times New Roman"/>
                <w:color w:val="auto"/>
                <w:highlight w:val="none"/>
                <w:lang w:val="en-US" w:eastAsia="zh-CN"/>
              </w:rPr>
              <w:t>（</w:t>
            </w:r>
            <w:r>
              <w:rPr>
                <w:rFonts w:ascii="Times New Roman" w:hAnsi="Times New Roman"/>
                <w:color w:val="auto"/>
                <w:highlight w:val="none"/>
                <w:lang w:val="en-US"/>
              </w:rPr>
              <w:t>TL</w:t>
            </w:r>
            <w:r>
              <w:rPr>
                <w:rFonts w:ascii="Times New Roman" w:hAnsi="Times New Roman"/>
                <w:color w:val="auto"/>
                <w:highlight w:val="none"/>
                <w:vertAlign w:val="subscript"/>
                <w:lang w:val="en-US"/>
              </w:rPr>
              <w:t>i</w:t>
            </w:r>
            <w:r>
              <w:rPr>
                <w:rFonts w:ascii="Times New Roman" w:hAnsi="Times New Roman"/>
                <w:color w:val="auto"/>
                <w:highlight w:val="none"/>
                <w:lang w:val="en-US"/>
              </w:rPr>
              <w:t>+6</w:t>
            </w:r>
            <w:r>
              <w:rPr>
                <w:rFonts w:hint="eastAsia" w:ascii="Times New Roman" w:hAnsi="Times New Roman"/>
                <w:color w:val="auto"/>
                <w:highlight w:val="none"/>
                <w:lang w:val="en-US" w:eastAsia="zh-CN"/>
              </w:rPr>
              <w:t>）</w:t>
            </w:r>
            <w:r>
              <w:rPr>
                <w:rFonts w:ascii="Times New Roman" w:hAnsi="Times New Roman"/>
                <w:color w:val="auto"/>
                <w:highlight w:val="none"/>
                <w:lang w:val="en-US"/>
              </w:rPr>
              <w:t>（B.4）</w:t>
            </w:r>
          </w:p>
          <w:p w14:paraId="4646D62B">
            <w:pPr>
              <w:pStyle w:val="111"/>
              <w:rPr>
                <w:rFonts w:ascii="Times New Roman" w:hAnsi="Times New Roman"/>
                <w:color w:val="auto"/>
                <w:highlight w:val="none"/>
              </w:rPr>
            </w:pPr>
            <w:r>
              <w:rPr>
                <w:rFonts w:ascii="Times New Roman" w:hAnsi="Times New Roman"/>
                <w:color w:val="auto"/>
                <w:highlight w:val="none"/>
              </w:rPr>
              <w:t>式中：</w:t>
            </w:r>
            <w:r>
              <w:rPr>
                <w:rFonts w:ascii="Times New Roman" w:hAnsi="Times New Roman"/>
                <w:color w:val="auto"/>
                <w:highlight w:val="none"/>
                <w:lang w:val="en-US"/>
              </w:rPr>
              <w:t>L</w:t>
            </w:r>
            <w:r>
              <w:rPr>
                <w:rFonts w:ascii="Times New Roman" w:hAnsi="Times New Roman"/>
                <w:color w:val="auto"/>
                <w:highlight w:val="none"/>
                <w:vertAlign w:val="subscript"/>
                <w:lang w:val="en-US"/>
              </w:rPr>
              <w:t>P2i</w:t>
            </w:r>
            <w:r>
              <w:rPr>
                <w:rFonts w:hint="eastAsia" w:ascii="Times New Roman" w:hAnsi="Times New Roman"/>
                <w:color w:val="auto"/>
                <w:highlight w:val="none"/>
                <w:lang w:val="en-US" w:eastAsia="zh-CN"/>
              </w:rPr>
              <w:t>（</w:t>
            </w:r>
            <w:r>
              <w:rPr>
                <w:rFonts w:ascii="Times New Roman" w:hAnsi="Times New Roman"/>
                <w:color w:val="auto"/>
                <w:highlight w:val="none"/>
                <w:lang w:val="en-US"/>
              </w:rPr>
              <w:t>T</w:t>
            </w:r>
            <w:r>
              <w:rPr>
                <w:rFonts w:hint="eastAsia" w:ascii="Times New Roman" w:hAnsi="Times New Roman"/>
                <w:color w:val="auto"/>
                <w:highlight w:val="none"/>
                <w:lang w:val="en-US" w:eastAsia="zh-CN"/>
              </w:rPr>
              <w:t>）</w:t>
            </w:r>
            <w:r>
              <w:rPr>
                <w:rFonts w:ascii="Times New Roman" w:hAnsi="Times New Roman"/>
                <w:color w:val="auto"/>
                <w:highlight w:val="none"/>
              </w:rPr>
              <w:t>——靠近围护结构处室外N个声源i倍频带的叠加声压级，dB；</w:t>
            </w:r>
          </w:p>
          <w:p w14:paraId="1E634DC5">
            <w:pPr>
              <w:pStyle w:val="119"/>
              <w:widowControl/>
              <w:rPr>
                <w:rFonts w:ascii="Times New Roman" w:hAnsi="Times New Roman"/>
                <w:color w:val="auto"/>
                <w:highlight w:val="none"/>
              </w:rPr>
            </w:pPr>
            <w:r>
              <w:rPr>
                <w:rFonts w:ascii="Times New Roman" w:hAnsi="Times New Roman"/>
                <w:color w:val="auto"/>
                <w:highlight w:val="none"/>
                <w:lang w:val="en-US"/>
              </w:rPr>
              <w:t>L</w:t>
            </w:r>
            <w:r>
              <w:rPr>
                <w:rFonts w:ascii="Times New Roman" w:hAnsi="Times New Roman"/>
                <w:color w:val="auto"/>
                <w:highlight w:val="none"/>
                <w:vertAlign w:val="subscript"/>
                <w:lang w:val="en-US"/>
              </w:rPr>
              <w:t>P1i</w:t>
            </w:r>
            <w:r>
              <w:rPr>
                <w:rFonts w:hint="eastAsia"/>
                <w:color w:val="auto"/>
                <w:highlight w:val="none"/>
                <w:lang w:val="en-US" w:eastAsia="zh-CN"/>
              </w:rPr>
              <w:t>（</w:t>
            </w:r>
            <w:r>
              <w:rPr>
                <w:rFonts w:ascii="Times New Roman" w:hAnsi="Times New Roman"/>
                <w:color w:val="auto"/>
                <w:highlight w:val="none"/>
                <w:lang w:val="en-US"/>
              </w:rPr>
              <w:t>T</w:t>
            </w:r>
            <w:r>
              <w:rPr>
                <w:rFonts w:hint="eastAsia"/>
                <w:color w:val="auto"/>
                <w:highlight w:val="none"/>
                <w:lang w:val="en-US" w:eastAsia="zh-CN"/>
              </w:rPr>
              <w:t>）</w:t>
            </w:r>
            <w:r>
              <w:rPr>
                <w:rFonts w:ascii="Times New Roman" w:hAnsi="Times New Roman"/>
                <w:color w:val="auto"/>
                <w:highlight w:val="none"/>
              </w:rPr>
              <w:t>——靠近围护结构处室内N个声源i倍频带的叠加声压级，dB；</w:t>
            </w:r>
          </w:p>
          <w:p w14:paraId="330A038D">
            <w:pPr>
              <w:pStyle w:val="119"/>
              <w:widowControl/>
              <w:rPr>
                <w:rFonts w:ascii="Times New Roman" w:hAnsi="Times New Roman"/>
                <w:color w:val="auto"/>
                <w:highlight w:val="none"/>
              </w:rPr>
            </w:pPr>
            <w:r>
              <w:rPr>
                <w:rFonts w:ascii="Times New Roman" w:hAnsi="Times New Roman"/>
                <w:color w:val="auto"/>
                <w:highlight w:val="none"/>
                <w:lang w:val="en-US"/>
              </w:rPr>
              <w:t>TL</w:t>
            </w:r>
            <w:r>
              <w:rPr>
                <w:rFonts w:ascii="Times New Roman" w:hAnsi="Times New Roman"/>
                <w:color w:val="auto"/>
                <w:highlight w:val="none"/>
                <w:vertAlign w:val="subscript"/>
                <w:lang w:val="en-US"/>
              </w:rPr>
              <w:t>i</w:t>
            </w:r>
            <w:r>
              <w:rPr>
                <w:rFonts w:ascii="Times New Roman" w:hAnsi="Times New Roman"/>
                <w:color w:val="auto"/>
                <w:highlight w:val="none"/>
              </w:rPr>
              <w:t>——围护结构i倍频带的隔声量，dB。</w:t>
            </w:r>
          </w:p>
          <w:p w14:paraId="29E678EB">
            <w:pPr>
              <w:pStyle w:val="111"/>
              <w:rPr>
                <w:rFonts w:ascii="Times New Roman" w:hAnsi="Times New Roman"/>
                <w:color w:val="auto"/>
                <w:highlight w:val="none"/>
              </w:rPr>
            </w:pPr>
            <w:r>
              <w:rPr>
                <w:rFonts w:ascii="Times New Roman" w:hAnsi="Times New Roman"/>
                <w:color w:val="auto"/>
                <w:highlight w:val="none"/>
              </w:rPr>
              <w:t>然后按式（B.5）将室外声源的声压级和透过面积换算成等效的室外声源，计算出中心位置位于透声面积（S）处的等效声源的倍频带声功率级。</w:t>
            </w:r>
          </w:p>
          <w:p w14:paraId="3B3E25C4">
            <w:pPr>
              <w:pStyle w:val="111"/>
              <w:ind w:firstLine="0" w:firstLineChars="0"/>
              <w:jc w:val="center"/>
              <w:rPr>
                <w:rFonts w:ascii="Times New Roman" w:hAnsi="Times New Roman"/>
                <w:color w:val="auto"/>
                <w:highlight w:val="none"/>
                <w:lang w:val="en-US"/>
              </w:rPr>
            </w:pPr>
            <w:r>
              <w:rPr>
                <w:rFonts w:ascii="Times New Roman" w:hAnsi="Times New Roman"/>
                <w:color w:val="auto"/>
                <w:highlight w:val="none"/>
                <w:lang w:val="en-US"/>
              </w:rPr>
              <w:t>L</w:t>
            </w:r>
            <w:r>
              <w:rPr>
                <w:rFonts w:ascii="Times New Roman" w:hAnsi="Times New Roman"/>
                <w:color w:val="auto"/>
                <w:highlight w:val="none"/>
                <w:vertAlign w:val="subscript"/>
                <w:lang w:val="en-US"/>
              </w:rPr>
              <w:t>W</w:t>
            </w:r>
            <w:r>
              <w:rPr>
                <w:rFonts w:ascii="Times New Roman" w:hAnsi="Times New Roman"/>
                <w:color w:val="auto"/>
                <w:highlight w:val="none"/>
                <w:lang w:val="en-US"/>
              </w:rPr>
              <w:t>=L</w:t>
            </w:r>
            <w:r>
              <w:rPr>
                <w:rFonts w:ascii="Times New Roman" w:hAnsi="Times New Roman"/>
                <w:color w:val="auto"/>
                <w:highlight w:val="none"/>
                <w:vertAlign w:val="subscript"/>
                <w:lang w:val="en-US"/>
              </w:rPr>
              <w:t>P2</w:t>
            </w:r>
            <w:r>
              <w:rPr>
                <w:rFonts w:hint="eastAsia" w:ascii="Times New Roman" w:hAnsi="Times New Roman"/>
                <w:color w:val="auto"/>
                <w:highlight w:val="none"/>
                <w:lang w:val="en-US" w:eastAsia="zh-CN"/>
              </w:rPr>
              <w:t>（</w:t>
            </w:r>
            <w:r>
              <w:rPr>
                <w:rFonts w:ascii="Times New Roman" w:hAnsi="Times New Roman"/>
                <w:color w:val="auto"/>
                <w:highlight w:val="none"/>
                <w:lang w:val="en-US"/>
              </w:rPr>
              <w:t>T</w:t>
            </w:r>
            <w:r>
              <w:rPr>
                <w:rFonts w:hint="eastAsia" w:ascii="Times New Roman" w:hAnsi="Times New Roman"/>
                <w:color w:val="auto"/>
                <w:highlight w:val="none"/>
                <w:lang w:val="en-US" w:eastAsia="zh-CN"/>
              </w:rPr>
              <w:t>）</w:t>
            </w:r>
            <w:r>
              <w:rPr>
                <w:rFonts w:ascii="Times New Roman" w:hAnsi="Times New Roman"/>
                <w:color w:val="auto"/>
                <w:highlight w:val="none"/>
                <w:lang w:val="en-US"/>
              </w:rPr>
              <w:t>+10lgS（B.</w:t>
            </w:r>
            <w:r>
              <w:rPr>
                <w:rFonts w:hint="eastAsia" w:ascii="Times New Roman" w:hAnsi="Times New Roman"/>
                <w:color w:val="auto"/>
                <w:highlight w:val="none"/>
                <w:lang w:val="en-US"/>
              </w:rPr>
              <w:t>5</w:t>
            </w:r>
            <w:r>
              <w:rPr>
                <w:rFonts w:ascii="Times New Roman" w:hAnsi="Times New Roman"/>
                <w:color w:val="auto"/>
                <w:highlight w:val="none"/>
                <w:lang w:val="en-US"/>
              </w:rPr>
              <w:t>）</w:t>
            </w:r>
          </w:p>
          <w:p w14:paraId="162931CC">
            <w:pPr>
              <w:pStyle w:val="111"/>
              <w:rPr>
                <w:rFonts w:ascii="Times New Roman" w:hAnsi="Times New Roman"/>
                <w:color w:val="auto"/>
                <w:highlight w:val="none"/>
              </w:rPr>
            </w:pPr>
            <w:r>
              <w:rPr>
                <w:rFonts w:ascii="Times New Roman" w:hAnsi="Times New Roman"/>
                <w:color w:val="auto"/>
                <w:highlight w:val="none"/>
              </w:rPr>
              <w:t>式中：</w:t>
            </w:r>
            <w:r>
              <w:rPr>
                <w:rFonts w:ascii="Times New Roman" w:hAnsi="Times New Roman"/>
                <w:color w:val="auto"/>
                <w:highlight w:val="none"/>
                <w:lang w:val="en-US"/>
              </w:rPr>
              <w:t>L</w:t>
            </w:r>
            <w:r>
              <w:rPr>
                <w:rFonts w:ascii="Times New Roman" w:hAnsi="Times New Roman"/>
                <w:color w:val="auto"/>
                <w:highlight w:val="none"/>
                <w:vertAlign w:val="subscript"/>
                <w:lang w:val="en-US"/>
              </w:rPr>
              <w:t>W</w:t>
            </w:r>
            <w:r>
              <w:rPr>
                <w:rFonts w:ascii="Times New Roman" w:hAnsi="Times New Roman"/>
                <w:color w:val="auto"/>
                <w:highlight w:val="none"/>
              </w:rPr>
              <w:t>——中心位置位于透声面积（S）处的等效声源的倍频带声功率级，dB；</w:t>
            </w:r>
          </w:p>
          <w:p w14:paraId="4021255E">
            <w:pPr>
              <w:pStyle w:val="119"/>
              <w:widowControl/>
              <w:rPr>
                <w:rFonts w:ascii="Times New Roman" w:hAnsi="Times New Roman"/>
                <w:color w:val="auto"/>
                <w:highlight w:val="none"/>
              </w:rPr>
            </w:pPr>
            <w:r>
              <w:rPr>
                <w:rFonts w:ascii="Times New Roman" w:hAnsi="Times New Roman"/>
                <w:color w:val="auto"/>
                <w:highlight w:val="none"/>
                <w:lang w:val="en-US"/>
              </w:rPr>
              <w:t>L</w:t>
            </w:r>
            <w:r>
              <w:rPr>
                <w:rFonts w:ascii="Times New Roman" w:hAnsi="Times New Roman"/>
                <w:color w:val="auto"/>
                <w:highlight w:val="none"/>
                <w:vertAlign w:val="subscript"/>
                <w:lang w:val="en-US"/>
              </w:rPr>
              <w:t>P2</w:t>
            </w:r>
            <w:r>
              <w:rPr>
                <w:rFonts w:hint="eastAsia"/>
                <w:color w:val="auto"/>
                <w:highlight w:val="none"/>
                <w:lang w:val="en-US" w:eastAsia="zh-CN"/>
              </w:rPr>
              <w:t>（</w:t>
            </w:r>
            <w:r>
              <w:rPr>
                <w:rFonts w:ascii="Times New Roman" w:hAnsi="Times New Roman"/>
                <w:color w:val="auto"/>
                <w:highlight w:val="none"/>
                <w:lang w:val="en-US"/>
              </w:rPr>
              <w:t>T</w:t>
            </w:r>
            <w:r>
              <w:rPr>
                <w:rFonts w:hint="eastAsia"/>
                <w:color w:val="auto"/>
                <w:highlight w:val="none"/>
                <w:lang w:val="en-US" w:eastAsia="zh-CN"/>
              </w:rPr>
              <w:t>）</w:t>
            </w:r>
            <w:r>
              <w:rPr>
                <w:rFonts w:ascii="Times New Roman" w:hAnsi="Times New Roman"/>
                <w:color w:val="auto"/>
                <w:highlight w:val="none"/>
              </w:rPr>
              <w:t>——靠近围护结构处室外声源的声压级，dB；</w:t>
            </w:r>
          </w:p>
          <w:p w14:paraId="65A03081">
            <w:pPr>
              <w:pStyle w:val="119"/>
              <w:widowControl/>
              <w:rPr>
                <w:rFonts w:ascii="Times New Roman" w:hAnsi="Times New Roman"/>
                <w:color w:val="auto"/>
                <w:highlight w:val="none"/>
              </w:rPr>
            </w:pPr>
            <w:r>
              <w:rPr>
                <w:rFonts w:ascii="Times New Roman" w:hAnsi="Times New Roman"/>
                <w:color w:val="auto"/>
                <w:highlight w:val="none"/>
              </w:rPr>
              <w:t>S——透声面积，m</w:t>
            </w:r>
            <w:r>
              <w:rPr>
                <w:rFonts w:ascii="Times New Roman" w:hAnsi="Times New Roman"/>
                <w:color w:val="auto"/>
                <w:highlight w:val="none"/>
                <w:vertAlign w:val="superscript"/>
              </w:rPr>
              <w:t>2</w:t>
            </w:r>
            <w:r>
              <w:rPr>
                <w:rFonts w:ascii="Times New Roman" w:hAnsi="Times New Roman"/>
                <w:color w:val="auto"/>
                <w:highlight w:val="none"/>
              </w:rPr>
              <w:t>。</w:t>
            </w:r>
          </w:p>
          <w:p w14:paraId="71DBAC04">
            <w:pPr>
              <w:pStyle w:val="111"/>
              <w:rPr>
                <w:rFonts w:ascii="Times New Roman" w:hAnsi="Times New Roman"/>
                <w:color w:val="auto"/>
                <w:highlight w:val="none"/>
              </w:rPr>
            </w:pPr>
            <w:r>
              <w:rPr>
                <w:rFonts w:ascii="Times New Roman" w:hAnsi="Times New Roman"/>
                <w:color w:val="auto"/>
                <w:highlight w:val="none"/>
              </w:rPr>
              <w:t>然后按室外声源预测方法计算预测点处的A声级。</w:t>
            </w:r>
          </w:p>
          <w:p w14:paraId="0C48ABE1">
            <w:pPr>
              <w:pStyle w:val="111"/>
              <w:rPr>
                <w:rFonts w:ascii="Times New Roman" w:hAnsi="Times New Roman"/>
                <w:color w:val="auto"/>
                <w:highlight w:val="none"/>
                <w:lang w:val="en-US"/>
              </w:rPr>
            </w:pPr>
            <w:r>
              <w:rPr>
                <w:rFonts w:ascii="Times New Roman" w:hAnsi="Times New Roman"/>
                <w:color w:val="auto"/>
                <w:highlight w:val="none"/>
              </w:rPr>
              <w:t>噪声在室外空间的传播，由于受到遮挡物的隔断，各种介质的吸收与反射，以及空气介质的吸收等物理作用而逐渐减弱。为了简化计算条件并能考虑到最不利因素，计算时只考虑噪声源自身减振安装及随距离的衰减。</w:t>
            </w:r>
          </w:p>
          <w:p w14:paraId="76F1F0EE">
            <w:pPr>
              <w:pStyle w:val="119"/>
              <w:widowControl/>
              <w:ind w:firstLine="482"/>
              <w:rPr>
                <w:b/>
                <w:bCs/>
                <w:color w:val="auto"/>
                <w:highlight w:val="none"/>
              </w:rPr>
            </w:pPr>
            <w:r>
              <w:rPr>
                <w:b/>
                <w:bCs/>
                <w:color w:val="auto"/>
                <w:highlight w:val="none"/>
              </w:rPr>
              <w:t>2</w:t>
            </w:r>
            <w:r>
              <w:rPr>
                <w:rFonts w:hint="eastAsia" w:ascii="宋体" w:hAnsi="宋体" w:cs="宋体"/>
                <w:b/>
                <w:bCs/>
                <w:color w:val="auto"/>
                <w:highlight w:val="none"/>
              </w:rPr>
              <w:t>）室外声源在预测点产生的声级</w:t>
            </w:r>
          </w:p>
          <w:p w14:paraId="562588D3">
            <w:pPr>
              <w:pStyle w:val="119"/>
              <w:widowControl/>
              <w:ind w:firstLine="482"/>
              <w:rPr>
                <w:b/>
                <w:bCs/>
                <w:color w:val="auto"/>
                <w:highlight w:val="none"/>
              </w:rPr>
            </w:pPr>
            <w:r>
              <w:rPr>
                <w:rFonts w:hint="eastAsia" w:ascii="宋体" w:hAnsi="宋体" w:cs="宋体"/>
                <w:b/>
                <w:bCs/>
                <w:color w:val="auto"/>
                <w:highlight w:val="none"/>
              </w:rPr>
              <w:t>①基本公式</w:t>
            </w:r>
          </w:p>
          <w:p w14:paraId="3DD3F6B6">
            <w:pPr>
              <w:pStyle w:val="119"/>
              <w:widowControl/>
              <w:rPr>
                <w:b w:val="0"/>
                <w:bCs w:val="0"/>
                <w:color w:val="auto"/>
                <w:highlight w:val="none"/>
              </w:rPr>
            </w:pPr>
            <w:r>
              <w:rPr>
                <w:rFonts w:hint="eastAsia" w:ascii="宋体" w:hAnsi="宋体" w:cs="宋体"/>
                <w:color w:val="auto"/>
                <w:highlight w:val="none"/>
              </w:rPr>
              <w:t>户外声传</w:t>
            </w:r>
            <w:r>
              <w:rPr>
                <w:rFonts w:hint="eastAsia" w:ascii="宋体" w:hAnsi="宋体" w:cs="宋体"/>
                <w:b w:val="0"/>
                <w:bCs w:val="0"/>
                <w:color w:val="auto"/>
                <w:highlight w:val="none"/>
              </w:rPr>
              <w:t>播衰减包括几何发散（</w:t>
            </w:r>
            <w:r>
              <w:rPr>
                <w:b w:val="0"/>
                <w:bCs w:val="0"/>
                <w:i/>
                <w:iCs/>
                <w:color w:val="auto"/>
                <w:highlight w:val="none"/>
              </w:rPr>
              <w:t>A</w:t>
            </w:r>
            <w:r>
              <w:rPr>
                <w:b w:val="0"/>
                <w:bCs w:val="0"/>
                <w:i/>
                <w:iCs/>
                <w:color w:val="auto"/>
                <w:highlight w:val="none"/>
                <w:vertAlign w:val="subscript"/>
              </w:rPr>
              <w:t>div</w:t>
            </w:r>
            <w:r>
              <w:rPr>
                <w:rFonts w:hint="eastAsia" w:ascii="宋体" w:hAnsi="宋体" w:cs="宋体"/>
                <w:b w:val="0"/>
                <w:bCs w:val="0"/>
                <w:color w:val="auto"/>
                <w:highlight w:val="none"/>
              </w:rPr>
              <w:t>）、大气吸收（</w:t>
            </w:r>
            <w:r>
              <w:rPr>
                <w:b w:val="0"/>
                <w:bCs w:val="0"/>
                <w:i/>
                <w:iCs/>
                <w:color w:val="auto"/>
                <w:highlight w:val="none"/>
              </w:rPr>
              <w:t>A</w:t>
            </w:r>
            <w:r>
              <w:rPr>
                <w:b w:val="0"/>
                <w:bCs w:val="0"/>
                <w:i/>
                <w:iCs/>
                <w:color w:val="auto"/>
                <w:highlight w:val="none"/>
                <w:vertAlign w:val="subscript"/>
              </w:rPr>
              <w:t>atm</w:t>
            </w:r>
            <w:r>
              <w:rPr>
                <w:rFonts w:hint="eastAsia" w:ascii="宋体" w:hAnsi="宋体" w:cs="宋体"/>
                <w:b w:val="0"/>
                <w:bCs w:val="0"/>
                <w:color w:val="auto"/>
                <w:highlight w:val="none"/>
              </w:rPr>
              <w:t>）、地面效应（</w:t>
            </w:r>
            <w:r>
              <w:rPr>
                <w:b w:val="0"/>
                <w:bCs w:val="0"/>
                <w:i/>
                <w:iCs/>
                <w:color w:val="auto"/>
                <w:highlight w:val="none"/>
              </w:rPr>
              <w:t>A</w:t>
            </w:r>
            <w:r>
              <w:rPr>
                <w:b w:val="0"/>
                <w:bCs w:val="0"/>
                <w:i/>
                <w:iCs/>
                <w:color w:val="auto"/>
                <w:highlight w:val="none"/>
                <w:vertAlign w:val="subscript"/>
              </w:rPr>
              <w:t>gr</w:t>
            </w:r>
            <w:r>
              <w:rPr>
                <w:rFonts w:hint="eastAsia" w:ascii="宋体" w:hAnsi="宋体" w:cs="宋体"/>
                <w:b w:val="0"/>
                <w:bCs w:val="0"/>
                <w:color w:val="auto"/>
                <w:highlight w:val="none"/>
              </w:rPr>
              <w:t>）、屏障屏蔽（</w:t>
            </w:r>
            <w:r>
              <w:rPr>
                <w:rFonts w:ascii="Times New Roman" w:hAnsi="Times New Roman" w:eastAsia="宋体" w:cs="Times New Roman"/>
                <w:b w:val="0"/>
                <w:bCs w:val="0"/>
                <w:i/>
                <w:iCs/>
                <w:color w:val="auto"/>
                <w:highlight w:val="none"/>
              </w:rPr>
              <w:t>A</w:t>
            </w:r>
            <w:r>
              <w:rPr>
                <w:rFonts w:ascii="Times New Roman" w:hAnsi="Times New Roman" w:eastAsia="宋体" w:cs="Times New Roman"/>
                <w:b w:val="0"/>
                <w:bCs w:val="0"/>
                <w:i/>
                <w:iCs/>
                <w:color w:val="auto"/>
                <w:highlight w:val="none"/>
                <w:vertAlign w:val="subscript"/>
              </w:rPr>
              <w:t>bar</w:t>
            </w:r>
            <w:r>
              <w:rPr>
                <w:rFonts w:hint="eastAsia" w:ascii="宋体" w:hAnsi="宋体" w:cs="宋体"/>
                <w:b w:val="0"/>
                <w:bCs w:val="0"/>
                <w:color w:val="auto"/>
                <w:highlight w:val="none"/>
              </w:rPr>
              <w:t>）、其他多方面效应（</w:t>
            </w:r>
            <w:bookmarkStart w:id="34" w:name="OLE_LINK24"/>
            <w:r>
              <w:rPr>
                <w:b w:val="0"/>
                <w:bCs w:val="0"/>
                <w:i/>
                <w:iCs/>
                <w:color w:val="auto"/>
                <w:highlight w:val="none"/>
              </w:rPr>
              <w:t>A</w:t>
            </w:r>
            <w:r>
              <w:rPr>
                <w:b w:val="0"/>
                <w:bCs w:val="0"/>
                <w:i/>
                <w:iCs/>
                <w:color w:val="auto"/>
                <w:highlight w:val="none"/>
                <w:vertAlign w:val="subscript"/>
              </w:rPr>
              <w:t>misc</w:t>
            </w:r>
            <w:bookmarkEnd w:id="34"/>
            <w:r>
              <w:rPr>
                <w:rFonts w:hint="eastAsia" w:ascii="宋体" w:hAnsi="宋体" w:cs="宋体"/>
                <w:b w:val="0"/>
                <w:bCs w:val="0"/>
                <w:color w:val="auto"/>
                <w:highlight w:val="none"/>
              </w:rPr>
              <w:t>）引起的衰减。</w:t>
            </w:r>
          </w:p>
          <w:p w14:paraId="6799960B">
            <w:pPr>
              <w:pStyle w:val="119"/>
              <w:widowControl/>
              <w:rPr>
                <w:color w:val="auto"/>
                <w:highlight w:val="none"/>
              </w:rPr>
            </w:pPr>
            <w:r>
              <w:rPr>
                <w:rFonts w:hint="eastAsia" w:ascii="宋体" w:hAnsi="宋体" w:cs="宋体"/>
                <w:color w:val="auto"/>
                <w:highlight w:val="none"/>
              </w:rPr>
              <w:t>在环境影响评价中，应根据声源声功率级或参考位置处的声压级、户外声传播衰减，计算预测点的声级，按下式计算。</w:t>
            </w:r>
          </w:p>
          <w:p w14:paraId="781CA455">
            <w:pPr>
              <w:pStyle w:val="119"/>
              <w:widowControl/>
              <w:ind w:firstLine="0" w:firstLineChars="0"/>
              <w:jc w:val="center"/>
              <w:rPr>
                <w:i/>
                <w:color w:val="auto"/>
                <w:highlight w:val="none"/>
              </w:rPr>
            </w:pPr>
            <w:r>
              <w:rPr>
                <w:color w:val="auto"/>
                <w:highlight w:val="none"/>
              </w:rPr>
              <w:drawing>
                <wp:inline distT="0" distB="0" distL="114300" distR="114300">
                  <wp:extent cx="3467100" cy="266700"/>
                  <wp:effectExtent l="0" t="0" r="0" b="0"/>
                  <wp:docPr id="95" name="图片 4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6" descr="IMG_261"/>
                          <pic:cNvPicPr>
                            <a:picLocks noChangeAspect="1"/>
                          </pic:cNvPicPr>
                        </pic:nvPicPr>
                        <pic:blipFill>
                          <a:blip r:embed="rId46"/>
                          <a:stretch>
                            <a:fillRect/>
                          </a:stretch>
                        </pic:blipFill>
                        <pic:spPr>
                          <a:xfrm>
                            <a:off x="0" y="0"/>
                            <a:ext cx="3467100" cy="266700"/>
                          </a:xfrm>
                          <a:prstGeom prst="rect">
                            <a:avLst/>
                          </a:prstGeom>
                          <a:noFill/>
                          <a:ln w="9525">
                            <a:noFill/>
                          </a:ln>
                        </pic:spPr>
                      </pic:pic>
                    </a:graphicData>
                  </a:graphic>
                </wp:inline>
              </w:drawing>
            </w:r>
          </w:p>
          <w:p w14:paraId="239C695C">
            <w:pPr>
              <w:pStyle w:val="119"/>
              <w:widowControl/>
              <w:rPr>
                <w:color w:val="auto"/>
                <w:highlight w:val="none"/>
              </w:rPr>
            </w:pPr>
            <w:r>
              <w:rPr>
                <w:rFonts w:hint="eastAsia" w:ascii="宋体" w:hAnsi="宋体" w:cs="宋体"/>
                <w:color w:val="auto"/>
                <w:highlight w:val="none"/>
              </w:rPr>
              <w:t>式中：</w:t>
            </w:r>
            <w:r>
              <w:rPr>
                <w:rFonts w:hint="default" w:ascii="Times New Roman" w:hAnsi="Times New Roman" w:cs="Times New Roman"/>
                <w:i/>
                <w:iCs/>
                <w:color w:val="auto"/>
                <w:highlight w:val="none"/>
                <w:lang w:val="en-US" w:eastAsia="zh-CN"/>
              </w:rPr>
              <w:t>Lp</w:t>
            </w:r>
            <w:r>
              <w:rPr>
                <w:rFonts w:hint="eastAsia" w:cs="Times New Roman"/>
                <w:i w:val="0"/>
                <w:iCs w:val="0"/>
                <w:color w:val="auto"/>
                <w:highlight w:val="none"/>
                <w:lang w:val="en-US" w:eastAsia="zh-CN"/>
              </w:rPr>
              <w:t>（</w:t>
            </w:r>
            <w:r>
              <w:rPr>
                <w:rFonts w:hint="default" w:ascii="Times New Roman" w:hAnsi="Times New Roman" w:cs="Times New Roman"/>
                <w:i w:val="0"/>
                <w:iCs w:val="0"/>
                <w:color w:val="auto"/>
                <w:highlight w:val="none"/>
                <w:lang w:val="en-US" w:eastAsia="zh-CN"/>
              </w:rPr>
              <w:t>r</w:t>
            </w:r>
            <w:r>
              <w:rPr>
                <w:rFonts w:hint="eastAsia" w:cs="Times New Roman"/>
                <w:i w:val="0"/>
                <w:iCs w:val="0"/>
                <w:color w:val="auto"/>
                <w:highlight w:val="none"/>
                <w:lang w:val="en-US" w:eastAsia="zh-CN"/>
              </w:rPr>
              <w:t>）</w:t>
            </w:r>
            <w:r>
              <w:rPr>
                <w:color w:val="auto"/>
                <w:highlight w:val="none"/>
              </w:rPr>
              <w:t>——</w:t>
            </w:r>
            <w:r>
              <w:rPr>
                <w:rFonts w:hint="eastAsia" w:ascii="宋体" w:hAnsi="宋体" w:cs="宋体"/>
                <w:color w:val="auto"/>
                <w:highlight w:val="none"/>
              </w:rPr>
              <w:t>预测点处声压级，</w:t>
            </w:r>
            <w:r>
              <w:rPr>
                <w:color w:val="auto"/>
                <w:highlight w:val="none"/>
              </w:rPr>
              <w:t>dB</w:t>
            </w:r>
            <w:r>
              <w:rPr>
                <w:rFonts w:hint="eastAsia" w:ascii="宋体" w:hAnsi="宋体" w:cs="宋体"/>
                <w:color w:val="auto"/>
                <w:highlight w:val="none"/>
              </w:rPr>
              <w:t>；</w:t>
            </w:r>
          </w:p>
          <w:p w14:paraId="621497F2">
            <w:pPr>
              <w:pStyle w:val="119"/>
              <w:widowControl/>
              <w:rPr>
                <w:color w:val="auto"/>
                <w:highlight w:val="none"/>
              </w:rPr>
            </w:pPr>
            <w:r>
              <w:rPr>
                <w:rFonts w:hint="default" w:ascii="Times New Roman" w:hAnsi="Times New Roman" w:cs="Times New Roman"/>
                <w:i/>
                <w:iCs/>
                <w:color w:val="auto"/>
                <w:highlight w:val="none"/>
                <w:lang w:val="en-US" w:eastAsia="zh-CN"/>
              </w:rPr>
              <w:t>L</w:t>
            </w:r>
            <w:r>
              <w:rPr>
                <w:rFonts w:hint="eastAsia" w:ascii="Times New Roman" w:hAnsi="Times New Roman" w:cs="Times New Roman"/>
                <w:i/>
                <w:iCs/>
                <w:color w:val="auto"/>
                <w:highlight w:val="none"/>
                <w:lang w:val="en-US" w:eastAsia="zh-CN"/>
              </w:rPr>
              <w:t>w</w:t>
            </w:r>
            <w:r>
              <w:rPr>
                <w:color w:val="auto"/>
                <w:highlight w:val="none"/>
              </w:rPr>
              <w:t>——</w:t>
            </w:r>
            <w:r>
              <w:rPr>
                <w:rFonts w:hint="eastAsia" w:ascii="宋体" w:hAnsi="宋体" w:cs="宋体"/>
                <w:color w:val="auto"/>
                <w:highlight w:val="none"/>
              </w:rPr>
              <w:t>由点声源产生的声功率级（</w:t>
            </w:r>
            <w:r>
              <w:rPr>
                <w:color w:val="auto"/>
                <w:highlight w:val="none"/>
              </w:rPr>
              <w:t>A</w:t>
            </w:r>
            <w:r>
              <w:rPr>
                <w:rFonts w:hint="eastAsia" w:ascii="宋体" w:hAnsi="宋体" w:cs="宋体"/>
                <w:color w:val="auto"/>
                <w:highlight w:val="none"/>
              </w:rPr>
              <w:t>计权或倍频带），</w:t>
            </w:r>
            <w:r>
              <w:rPr>
                <w:color w:val="auto"/>
                <w:highlight w:val="none"/>
              </w:rPr>
              <w:t>dB</w:t>
            </w:r>
            <w:r>
              <w:rPr>
                <w:rFonts w:hint="eastAsia" w:ascii="宋体" w:hAnsi="宋体" w:cs="宋体"/>
                <w:color w:val="auto"/>
                <w:highlight w:val="none"/>
              </w:rPr>
              <w:t>；</w:t>
            </w:r>
          </w:p>
          <w:p w14:paraId="56A463D9">
            <w:pPr>
              <w:pStyle w:val="119"/>
              <w:keepNext w:val="0"/>
              <w:keepLines w:val="0"/>
              <w:pageBreakBefore w:val="0"/>
              <w:widowControl/>
              <w:kinsoku/>
              <w:wordWrap/>
              <w:overflowPunct/>
              <w:topLinePunct w:val="0"/>
              <w:autoSpaceDE/>
              <w:autoSpaceDN/>
              <w:bidi w:val="0"/>
              <w:adjustRightInd/>
              <w:snapToGrid/>
              <w:textAlignment w:val="auto"/>
              <w:rPr>
                <w:color w:val="auto"/>
                <w:highlight w:val="none"/>
              </w:rPr>
            </w:pPr>
            <w:r>
              <w:rPr>
                <w:rFonts w:hint="eastAsia" w:ascii="Times New Roman" w:hAnsi="Times New Roman" w:eastAsia="宋体" w:cs="Times New Roman"/>
                <w:i/>
                <w:iCs/>
                <w:color w:val="auto"/>
                <w:highlight w:val="none"/>
                <w:lang w:val="en-US" w:eastAsia="zh-CN"/>
              </w:rPr>
              <w:t>Dc</w:t>
            </w:r>
            <w:r>
              <w:rPr>
                <w:color w:val="auto"/>
                <w:highlight w:val="none"/>
              </w:rPr>
              <w:t>——</w:t>
            </w:r>
            <w:r>
              <w:rPr>
                <w:rFonts w:hint="eastAsia" w:ascii="宋体" w:hAnsi="宋体" w:cs="宋体"/>
                <w:color w:val="auto"/>
                <w:highlight w:val="none"/>
              </w:rPr>
              <w:t>指向性校正，它描述点声源的等效连续声压级与产生声功率级</w:t>
            </w:r>
            <w:r>
              <w:rPr>
                <w:i/>
                <w:iCs/>
                <w:color w:val="auto"/>
                <w:highlight w:val="none"/>
              </w:rPr>
              <w:t>Lw</w:t>
            </w:r>
            <w:r>
              <w:rPr>
                <w:rFonts w:hint="eastAsia" w:ascii="宋体" w:hAnsi="宋体" w:cs="宋体"/>
                <w:color w:val="auto"/>
                <w:highlight w:val="none"/>
              </w:rPr>
              <w:t>的全向点声源在规定方向的声级的偏差程度，</w:t>
            </w:r>
            <w:r>
              <w:rPr>
                <w:color w:val="auto"/>
                <w:highlight w:val="none"/>
              </w:rPr>
              <w:t>dB</w:t>
            </w:r>
            <w:r>
              <w:rPr>
                <w:rFonts w:hint="eastAsia" w:ascii="宋体" w:hAnsi="宋体" w:cs="宋体"/>
                <w:color w:val="auto"/>
                <w:highlight w:val="none"/>
              </w:rPr>
              <w:t>；</w:t>
            </w:r>
          </w:p>
          <w:p w14:paraId="6F3B616E">
            <w:pPr>
              <w:pStyle w:val="119"/>
              <w:widowControl/>
              <w:rPr>
                <w:color w:val="auto"/>
                <w:highlight w:val="none"/>
              </w:rPr>
            </w:pPr>
            <w:r>
              <w:rPr>
                <w:rFonts w:hint="eastAsia" w:ascii="Times New Roman" w:hAnsi="Times New Roman" w:eastAsia="宋体" w:cs="Times New Roman"/>
                <w:i/>
                <w:iCs/>
                <w:color w:val="auto"/>
                <w:highlight w:val="none"/>
              </w:rPr>
              <w:t>A</w:t>
            </w:r>
            <w:r>
              <w:rPr>
                <w:rFonts w:hint="eastAsia" w:ascii="Times New Roman" w:hAnsi="Times New Roman" w:eastAsia="宋体" w:cs="Times New Roman"/>
                <w:i/>
                <w:iCs/>
                <w:color w:val="auto"/>
                <w:highlight w:val="none"/>
                <w:vertAlign w:val="subscript"/>
              </w:rPr>
              <w:t>div</w:t>
            </w:r>
            <w:r>
              <w:rPr>
                <w:color w:val="auto"/>
                <w:highlight w:val="none"/>
              </w:rPr>
              <w:t>——</w:t>
            </w:r>
            <w:r>
              <w:rPr>
                <w:rFonts w:hint="eastAsia" w:ascii="宋体" w:hAnsi="宋体" w:cs="宋体"/>
                <w:color w:val="auto"/>
                <w:highlight w:val="none"/>
              </w:rPr>
              <w:t>几何发散引起的衰减，</w:t>
            </w:r>
            <w:r>
              <w:rPr>
                <w:color w:val="auto"/>
                <w:highlight w:val="none"/>
              </w:rPr>
              <w:t>dB</w:t>
            </w:r>
            <w:r>
              <w:rPr>
                <w:rFonts w:hint="eastAsia" w:ascii="宋体" w:hAnsi="宋体" w:cs="宋体"/>
                <w:color w:val="auto"/>
                <w:highlight w:val="none"/>
              </w:rPr>
              <w:t>；</w:t>
            </w:r>
          </w:p>
          <w:p w14:paraId="6B648772">
            <w:pPr>
              <w:pStyle w:val="119"/>
              <w:widowControl/>
              <w:rPr>
                <w:color w:val="auto"/>
                <w:highlight w:val="none"/>
              </w:rPr>
            </w:pPr>
            <w:r>
              <w:rPr>
                <w:b w:val="0"/>
                <w:bCs w:val="0"/>
                <w:i/>
                <w:iCs/>
                <w:color w:val="auto"/>
                <w:highlight w:val="none"/>
              </w:rPr>
              <w:t>A</w:t>
            </w:r>
            <w:r>
              <w:rPr>
                <w:b w:val="0"/>
                <w:bCs w:val="0"/>
                <w:i/>
                <w:iCs/>
                <w:color w:val="auto"/>
                <w:highlight w:val="none"/>
                <w:vertAlign w:val="subscript"/>
              </w:rPr>
              <w:t>atm</w:t>
            </w:r>
            <w:r>
              <w:rPr>
                <w:color w:val="auto"/>
                <w:highlight w:val="none"/>
              </w:rPr>
              <w:t>——</w:t>
            </w:r>
            <w:r>
              <w:rPr>
                <w:rFonts w:hint="eastAsia" w:ascii="宋体" w:hAnsi="宋体" w:cs="宋体"/>
                <w:color w:val="auto"/>
                <w:highlight w:val="none"/>
              </w:rPr>
              <w:t>大气吸收引起的衰减，</w:t>
            </w:r>
            <w:r>
              <w:rPr>
                <w:color w:val="auto"/>
                <w:highlight w:val="none"/>
              </w:rPr>
              <w:t>dB</w:t>
            </w:r>
            <w:r>
              <w:rPr>
                <w:rFonts w:hint="eastAsia" w:ascii="宋体" w:hAnsi="宋体" w:cs="宋体"/>
                <w:color w:val="auto"/>
                <w:highlight w:val="none"/>
              </w:rPr>
              <w:t>；</w:t>
            </w:r>
          </w:p>
          <w:p w14:paraId="6197263C">
            <w:pPr>
              <w:pStyle w:val="119"/>
              <w:widowControl/>
              <w:rPr>
                <w:color w:val="auto"/>
                <w:highlight w:val="none"/>
              </w:rPr>
            </w:pPr>
            <w:r>
              <w:rPr>
                <w:b w:val="0"/>
                <w:bCs w:val="0"/>
                <w:i/>
                <w:iCs/>
                <w:color w:val="auto"/>
                <w:highlight w:val="none"/>
              </w:rPr>
              <w:t>A</w:t>
            </w:r>
            <w:r>
              <w:rPr>
                <w:b w:val="0"/>
                <w:bCs w:val="0"/>
                <w:i/>
                <w:iCs/>
                <w:color w:val="auto"/>
                <w:highlight w:val="none"/>
                <w:vertAlign w:val="subscript"/>
              </w:rPr>
              <w:t>gr</w:t>
            </w:r>
            <w:r>
              <w:rPr>
                <w:color w:val="auto"/>
                <w:highlight w:val="none"/>
              </w:rPr>
              <w:t>——</w:t>
            </w:r>
            <w:r>
              <w:rPr>
                <w:rFonts w:hint="eastAsia" w:ascii="宋体" w:hAnsi="宋体" w:cs="宋体"/>
                <w:color w:val="auto"/>
                <w:highlight w:val="none"/>
              </w:rPr>
              <w:t>地面效应引起的衰减，</w:t>
            </w:r>
            <w:r>
              <w:rPr>
                <w:color w:val="auto"/>
                <w:highlight w:val="none"/>
              </w:rPr>
              <w:t>dB</w:t>
            </w:r>
            <w:r>
              <w:rPr>
                <w:rFonts w:hint="eastAsia" w:ascii="宋体" w:hAnsi="宋体" w:cs="宋体"/>
                <w:color w:val="auto"/>
                <w:highlight w:val="none"/>
              </w:rPr>
              <w:t>；</w:t>
            </w:r>
          </w:p>
          <w:p w14:paraId="69B2F85E">
            <w:pPr>
              <w:pStyle w:val="119"/>
              <w:widowControl/>
              <w:rPr>
                <w:color w:val="auto"/>
                <w:highlight w:val="none"/>
              </w:rPr>
            </w:pPr>
            <w:r>
              <w:rPr>
                <w:rFonts w:ascii="Times New Roman" w:hAnsi="Times New Roman" w:eastAsia="宋体" w:cs="Times New Roman"/>
                <w:b w:val="0"/>
                <w:bCs w:val="0"/>
                <w:i/>
                <w:iCs/>
                <w:color w:val="auto"/>
                <w:highlight w:val="none"/>
              </w:rPr>
              <w:t>A</w:t>
            </w:r>
            <w:r>
              <w:rPr>
                <w:rFonts w:ascii="Times New Roman" w:hAnsi="Times New Roman" w:eastAsia="宋体" w:cs="Times New Roman"/>
                <w:b w:val="0"/>
                <w:bCs w:val="0"/>
                <w:i/>
                <w:iCs/>
                <w:color w:val="auto"/>
                <w:highlight w:val="none"/>
                <w:vertAlign w:val="subscript"/>
              </w:rPr>
              <w:t>bar</w:t>
            </w:r>
            <w:r>
              <w:rPr>
                <w:color w:val="auto"/>
                <w:highlight w:val="none"/>
              </w:rPr>
              <w:t>——</w:t>
            </w:r>
            <w:r>
              <w:rPr>
                <w:rFonts w:hint="eastAsia" w:ascii="宋体" w:hAnsi="宋体" w:cs="宋体"/>
                <w:color w:val="auto"/>
                <w:highlight w:val="none"/>
              </w:rPr>
              <w:t>障碍物屏蔽引起的衰减，</w:t>
            </w:r>
            <w:r>
              <w:rPr>
                <w:color w:val="auto"/>
                <w:highlight w:val="none"/>
              </w:rPr>
              <w:t>dB</w:t>
            </w:r>
            <w:r>
              <w:rPr>
                <w:rFonts w:hint="eastAsia" w:ascii="宋体" w:hAnsi="宋体" w:cs="宋体"/>
                <w:color w:val="auto"/>
                <w:highlight w:val="none"/>
              </w:rPr>
              <w:t>；</w:t>
            </w:r>
          </w:p>
          <w:p w14:paraId="09E6F065">
            <w:pPr>
              <w:pStyle w:val="119"/>
              <w:widowControl/>
              <w:rPr>
                <w:color w:val="auto"/>
                <w:highlight w:val="none"/>
              </w:rPr>
            </w:pPr>
            <w:r>
              <w:rPr>
                <w:b w:val="0"/>
                <w:bCs w:val="0"/>
                <w:i/>
                <w:iCs/>
                <w:color w:val="auto"/>
                <w:highlight w:val="none"/>
              </w:rPr>
              <w:t>A</w:t>
            </w:r>
            <w:r>
              <w:rPr>
                <w:b w:val="0"/>
                <w:bCs w:val="0"/>
                <w:i/>
                <w:iCs/>
                <w:color w:val="auto"/>
                <w:highlight w:val="none"/>
                <w:vertAlign w:val="subscript"/>
              </w:rPr>
              <w:t>misc</w:t>
            </w:r>
            <w:r>
              <w:rPr>
                <w:color w:val="auto"/>
                <w:highlight w:val="none"/>
              </w:rPr>
              <w:t>——</w:t>
            </w:r>
            <w:r>
              <w:rPr>
                <w:rFonts w:hint="eastAsia" w:ascii="宋体" w:hAnsi="宋体" w:cs="宋体"/>
                <w:color w:val="auto"/>
                <w:highlight w:val="none"/>
              </w:rPr>
              <w:t>其他多方面效应引起的衰减，</w:t>
            </w:r>
            <w:r>
              <w:rPr>
                <w:color w:val="auto"/>
                <w:highlight w:val="none"/>
              </w:rPr>
              <w:t>dB</w:t>
            </w:r>
            <w:r>
              <w:rPr>
                <w:rFonts w:hint="eastAsia" w:ascii="宋体" w:hAnsi="宋体" w:cs="宋体"/>
                <w:color w:val="auto"/>
                <w:highlight w:val="none"/>
              </w:rPr>
              <w:t>。</w:t>
            </w:r>
          </w:p>
          <w:p w14:paraId="2A52E391">
            <w:pPr>
              <w:pStyle w:val="119"/>
              <w:widowControl/>
              <w:ind w:firstLine="482"/>
              <w:rPr>
                <w:b/>
                <w:bCs/>
                <w:color w:val="auto"/>
                <w:highlight w:val="none"/>
              </w:rPr>
            </w:pPr>
            <w:r>
              <w:rPr>
                <w:rFonts w:hint="eastAsia" w:ascii="宋体" w:hAnsi="宋体" w:cs="宋体"/>
                <w:b/>
                <w:bCs/>
                <w:color w:val="auto"/>
                <w:highlight w:val="none"/>
              </w:rPr>
              <w:t>②衰减项的计算</w:t>
            </w:r>
          </w:p>
          <w:p w14:paraId="0D436BD9">
            <w:pPr>
              <w:pStyle w:val="119"/>
              <w:widowControl/>
              <w:ind w:firstLine="482"/>
              <w:rPr>
                <w:b/>
                <w:bCs/>
                <w:color w:val="auto"/>
                <w:highlight w:val="none"/>
              </w:rPr>
            </w:pPr>
            <w:r>
              <w:rPr>
                <w:rFonts w:hint="eastAsia" w:ascii="宋体" w:hAnsi="宋体" w:cs="宋体"/>
                <w:b w:val="0"/>
                <w:bCs w:val="0"/>
                <w:color w:val="auto"/>
                <w:sz w:val="24"/>
                <w:szCs w:val="24"/>
                <w:highlight w:val="none"/>
              </w:rPr>
              <w:t>本项目</w:t>
            </w:r>
            <w:r>
              <w:rPr>
                <w:rFonts w:hint="eastAsia"/>
                <w:b w:val="0"/>
                <w:bCs w:val="0"/>
                <w:color w:val="auto"/>
                <w:sz w:val="24"/>
                <w:szCs w:val="24"/>
                <w:highlight w:val="none"/>
                <w:lang w:val="en-US" w:eastAsia="zh-CN"/>
              </w:rPr>
              <w:t>新增的</w:t>
            </w:r>
            <w:r>
              <w:rPr>
                <w:rFonts w:hint="eastAsia" w:ascii="宋体" w:hAnsi="宋体" w:cs="宋体"/>
                <w:b w:val="0"/>
                <w:bCs w:val="0"/>
                <w:color w:val="auto"/>
                <w:sz w:val="24"/>
                <w:szCs w:val="24"/>
                <w:highlight w:val="none"/>
              </w:rPr>
              <w:t>室外噪声源</w:t>
            </w:r>
            <w:r>
              <w:rPr>
                <w:rFonts w:hint="eastAsia" w:ascii="宋体" w:hAnsi="宋体" w:cs="宋体"/>
                <w:b w:val="0"/>
                <w:bCs w:val="0"/>
                <w:color w:val="auto"/>
                <w:sz w:val="24"/>
                <w:szCs w:val="24"/>
                <w:highlight w:val="none"/>
                <w:lang w:val="en-US" w:eastAsia="zh-CN"/>
              </w:rPr>
              <w:t>为室内声源叠加后的点声源，包括新增的生产车间和锅炉水处理间。</w:t>
            </w:r>
            <w:r>
              <w:rPr>
                <w:rFonts w:hint="eastAsia" w:ascii="宋体" w:hAnsi="宋体" w:cs="宋体"/>
                <w:b w:val="0"/>
                <w:bCs w:val="0"/>
                <w:color w:val="auto"/>
                <w:sz w:val="24"/>
                <w:szCs w:val="24"/>
                <w:highlight w:val="none"/>
              </w:rPr>
              <w:t>本次评价主要考虑几何发散（</w:t>
            </w:r>
            <w:r>
              <w:rPr>
                <w:b w:val="0"/>
                <w:bCs w:val="0"/>
                <w:i/>
                <w:iCs/>
                <w:color w:val="auto"/>
                <w:sz w:val="24"/>
                <w:szCs w:val="24"/>
                <w:highlight w:val="none"/>
              </w:rPr>
              <w:t>A</w:t>
            </w:r>
            <w:r>
              <w:rPr>
                <w:b w:val="0"/>
                <w:bCs w:val="0"/>
                <w:i/>
                <w:iCs/>
                <w:color w:val="auto"/>
                <w:sz w:val="24"/>
                <w:szCs w:val="24"/>
                <w:highlight w:val="none"/>
                <w:vertAlign w:val="subscript"/>
              </w:rPr>
              <w:t>div</w:t>
            </w:r>
            <w:r>
              <w:rPr>
                <w:rFonts w:hint="eastAsia" w:ascii="宋体" w:hAnsi="宋体" w:cs="宋体"/>
                <w:b w:val="0"/>
                <w:bCs w:val="0"/>
                <w:color w:val="auto"/>
                <w:sz w:val="24"/>
                <w:szCs w:val="24"/>
                <w:highlight w:val="none"/>
              </w:rPr>
              <w:t>）和声屏障（</w:t>
            </w:r>
            <w:r>
              <w:rPr>
                <w:b w:val="0"/>
                <w:bCs w:val="0"/>
                <w:i/>
                <w:iCs/>
                <w:color w:val="auto"/>
                <w:sz w:val="24"/>
                <w:szCs w:val="24"/>
                <w:highlight w:val="none"/>
              </w:rPr>
              <w:t>A</w:t>
            </w:r>
            <w:r>
              <w:rPr>
                <w:b w:val="0"/>
                <w:bCs w:val="0"/>
                <w:i/>
                <w:iCs/>
                <w:color w:val="auto"/>
                <w:sz w:val="24"/>
                <w:szCs w:val="24"/>
                <w:highlight w:val="none"/>
                <w:vertAlign w:val="subscript"/>
              </w:rPr>
              <w:t>bar</w:t>
            </w:r>
            <w:r>
              <w:rPr>
                <w:rFonts w:hint="eastAsia" w:ascii="宋体" w:hAnsi="宋体" w:cs="宋体"/>
                <w:b w:val="0"/>
                <w:bCs w:val="0"/>
                <w:color w:val="auto"/>
                <w:sz w:val="24"/>
                <w:szCs w:val="24"/>
                <w:highlight w:val="none"/>
              </w:rPr>
              <w:t>）引起的衰减，不考虑地面效应（</w:t>
            </w:r>
            <w:r>
              <w:rPr>
                <w:b w:val="0"/>
                <w:bCs w:val="0"/>
                <w:i/>
                <w:iCs/>
                <w:color w:val="auto"/>
                <w:sz w:val="24"/>
                <w:szCs w:val="24"/>
                <w:highlight w:val="none"/>
              </w:rPr>
              <w:t>A</w:t>
            </w:r>
            <w:r>
              <w:rPr>
                <w:b w:val="0"/>
                <w:bCs w:val="0"/>
                <w:i/>
                <w:iCs/>
                <w:color w:val="auto"/>
                <w:sz w:val="24"/>
                <w:szCs w:val="24"/>
                <w:highlight w:val="none"/>
                <w:vertAlign w:val="subscript"/>
              </w:rPr>
              <w:t>gr</w:t>
            </w:r>
            <w:r>
              <w:rPr>
                <w:rFonts w:hint="eastAsia" w:ascii="宋体" w:hAnsi="宋体" w:cs="宋体"/>
                <w:b w:val="0"/>
                <w:bCs w:val="0"/>
                <w:color w:val="auto"/>
                <w:sz w:val="24"/>
                <w:szCs w:val="24"/>
                <w:highlight w:val="none"/>
              </w:rPr>
              <w:t>）、大气吸收（</w:t>
            </w:r>
            <w:r>
              <w:rPr>
                <w:b w:val="0"/>
                <w:bCs w:val="0"/>
                <w:i/>
                <w:iCs/>
                <w:color w:val="auto"/>
                <w:sz w:val="24"/>
                <w:szCs w:val="24"/>
                <w:highlight w:val="none"/>
              </w:rPr>
              <w:t>A</w:t>
            </w:r>
            <w:r>
              <w:rPr>
                <w:b w:val="0"/>
                <w:bCs w:val="0"/>
                <w:i/>
                <w:iCs/>
                <w:color w:val="auto"/>
                <w:sz w:val="24"/>
                <w:szCs w:val="24"/>
                <w:highlight w:val="none"/>
                <w:vertAlign w:val="subscript"/>
              </w:rPr>
              <w:t>atm</w:t>
            </w:r>
            <w:r>
              <w:rPr>
                <w:rFonts w:hint="eastAsia" w:ascii="宋体" w:hAnsi="宋体" w:cs="宋体"/>
                <w:b w:val="0"/>
                <w:bCs w:val="0"/>
                <w:i w:val="0"/>
                <w:iCs w:val="0"/>
                <w:color w:val="auto"/>
                <w:sz w:val="24"/>
                <w:szCs w:val="24"/>
                <w:highlight w:val="none"/>
              </w:rPr>
              <w:t>）</w:t>
            </w:r>
            <w:r>
              <w:rPr>
                <w:rFonts w:hint="eastAsia" w:ascii="宋体" w:hAnsi="宋体" w:cs="宋体"/>
                <w:b w:val="0"/>
                <w:bCs w:val="0"/>
                <w:color w:val="auto"/>
                <w:sz w:val="24"/>
                <w:szCs w:val="24"/>
                <w:highlight w:val="none"/>
              </w:rPr>
              <w:t>和其他多方面（</w:t>
            </w:r>
            <w:r>
              <w:rPr>
                <w:b w:val="0"/>
                <w:bCs w:val="0"/>
                <w:i/>
                <w:iCs/>
                <w:color w:val="auto"/>
                <w:sz w:val="24"/>
                <w:szCs w:val="24"/>
                <w:highlight w:val="none"/>
              </w:rPr>
              <w:t>A</w:t>
            </w:r>
            <w:r>
              <w:rPr>
                <w:b w:val="0"/>
                <w:bCs w:val="0"/>
                <w:i/>
                <w:iCs/>
                <w:color w:val="auto"/>
                <w:sz w:val="24"/>
                <w:szCs w:val="24"/>
                <w:highlight w:val="none"/>
                <w:vertAlign w:val="subscript"/>
              </w:rPr>
              <w:t>misc</w:t>
            </w:r>
            <w:r>
              <w:rPr>
                <w:rFonts w:hint="eastAsia" w:ascii="宋体" w:hAnsi="宋体" w:cs="宋体"/>
                <w:b w:val="0"/>
                <w:bCs w:val="0"/>
                <w:color w:val="auto"/>
                <w:sz w:val="24"/>
                <w:szCs w:val="24"/>
                <w:highlight w:val="none"/>
              </w:rPr>
              <w:t>）引起的衰减。</w:t>
            </w:r>
          </w:p>
          <w:p w14:paraId="0D2A6612">
            <w:pPr>
              <w:pStyle w:val="119"/>
              <w:widowControl/>
              <w:rPr>
                <w:color w:val="auto"/>
                <w:highlight w:val="none"/>
              </w:rPr>
            </w:pPr>
            <w:r>
              <w:rPr>
                <w:color w:val="auto"/>
                <w:highlight w:val="none"/>
              </w:rPr>
              <w:t>A</w:t>
            </w:r>
            <w:r>
              <w:rPr>
                <w:rFonts w:hint="eastAsia" w:ascii="宋体" w:hAnsi="宋体" w:cs="宋体"/>
                <w:color w:val="auto"/>
                <w:highlight w:val="none"/>
              </w:rPr>
              <w:t>、几何发散（</w:t>
            </w:r>
            <w:r>
              <w:rPr>
                <w:color w:val="auto"/>
                <w:highlight w:val="none"/>
              </w:rPr>
              <w:t>A</w:t>
            </w:r>
            <w:r>
              <w:rPr>
                <w:color w:val="auto"/>
                <w:highlight w:val="none"/>
                <w:vertAlign w:val="subscript"/>
              </w:rPr>
              <w:t>div</w:t>
            </w:r>
            <w:r>
              <w:rPr>
                <w:rFonts w:hint="eastAsia" w:ascii="宋体" w:hAnsi="宋体" w:cs="宋体"/>
                <w:color w:val="auto"/>
                <w:highlight w:val="none"/>
              </w:rPr>
              <w:t>）衰减</w:t>
            </w:r>
          </w:p>
          <w:p w14:paraId="5BE451E3">
            <w:pPr>
              <w:pStyle w:val="119"/>
              <w:widowControl/>
              <w:rPr>
                <w:color w:val="auto"/>
                <w:highlight w:val="none"/>
              </w:rPr>
            </w:pPr>
            <w:r>
              <w:rPr>
                <w:rFonts w:hint="eastAsia" w:ascii="宋体" w:hAnsi="宋体" w:cs="宋体"/>
                <w:color w:val="auto"/>
                <w:highlight w:val="none"/>
              </w:rPr>
              <w:t>本项目声源为无指向性声源，几何发散衰减（</w:t>
            </w:r>
            <w:r>
              <w:rPr>
                <w:color w:val="auto"/>
                <w:highlight w:val="none"/>
              </w:rPr>
              <w:t>A</w:t>
            </w:r>
            <w:r>
              <w:rPr>
                <w:color w:val="auto"/>
                <w:highlight w:val="none"/>
                <w:vertAlign w:val="subscript"/>
              </w:rPr>
              <w:t>div</w:t>
            </w:r>
            <w:r>
              <w:rPr>
                <w:rFonts w:hint="eastAsia" w:ascii="宋体" w:hAnsi="宋体" w:cs="宋体"/>
                <w:color w:val="auto"/>
                <w:highlight w:val="none"/>
              </w:rPr>
              <w:t>）按下式计算：</w:t>
            </w:r>
          </w:p>
          <w:p w14:paraId="65E13402">
            <w:pPr>
              <w:pStyle w:val="119"/>
              <w:widowControl/>
              <w:ind w:firstLine="0" w:firstLineChars="0"/>
              <w:jc w:val="center"/>
              <w:rPr>
                <w:color w:val="auto"/>
                <w:highlight w:val="none"/>
              </w:rPr>
            </w:pPr>
            <w:r>
              <w:rPr>
                <w:color w:val="auto"/>
                <w:highlight w:val="none"/>
              </w:rPr>
              <w:drawing>
                <wp:inline distT="0" distB="0" distL="114300" distR="114300">
                  <wp:extent cx="1209675" cy="247650"/>
                  <wp:effectExtent l="0" t="0" r="9525" b="0"/>
                  <wp:docPr id="99" name="图片 5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5" descr="IMG_270"/>
                          <pic:cNvPicPr>
                            <a:picLocks noChangeAspect="1"/>
                          </pic:cNvPicPr>
                        </pic:nvPicPr>
                        <pic:blipFill>
                          <a:blip r:embed="rId47"/>
                          <a:stretch>
                            <a:fillRect/>
                          </a:stretch>
                        </pic:blipFill>
                        <pic:spPr>
                          <a:xfrm>
                            <a:off x="0" y="0"/>
                            <a:ext cx="1209675" cy="247650"/>
                          </a:xfrm>
                          <a:prstGeom prst="rect">
                            <a:avLst/>
                          </a:prstGeom>
                          <a:noFill/>
                          <a:ln w="9525">
                            <a:noFill/>
                          </a:ln>
                        </pic:spPr>
                      </pic:pic>
                    </a:graphicData>
                  </a:graphic>
                </wp:inline>
              </w:drawing>
            </w:r>
          </w:p>
          <w:p w14:paraId="421095CE">
            <w:pPr>
              <w:pStyle w:val="119"/>
              <w:widowControl/>
              <w:rPr>
                <w:color w:val="auto"/>
                <w:highlight w:val="none"/>
              </w:rPr>
            </w:pPr>
            <w:r>
              <w:rPr>
                <w:rFonts w:hint="eastAsia"/>
                <w:color w:val="auto"/>
                <w:highlight w:val="none"/>
                <w:lang w:val="en-US" w:eastAsia="zh-CN"/>
              </w:rPr>
              <w:t>式中：</w:t>
            </w:r>
            <w:r>
              <w:rPr>
                <w:rFonts w:hint="eastAsia"/>
                <w:color w:val="auto"/>
                <w:highlight w:val="none"/>
              </w:rPr>
              <w:t>r</w:t>
            </w:r>
            <w:r>
              <w:rPr>
                <w:color w:val="auto"/>
                <w:highlight w:val="none"/>
              </w:rPr>
              <w:t>——</w:t>
            </w:r>
            <w:r>
              <w:rPr>
                <w:rFonts w:hint="eastAsia"/>
                <w:color w:val="auto"/>
                <w:highlight w:val="none"/>
              </w:rPr>
              <w:t>预测点距声源的距离；</w:t>
            </w:r>
          </w:p>
          <w:p w14:paraId="07F5963D">
            <w:pPr>
              <w:pStyle w:val="119"/>
              <w:widowControl/>
              <w:rPr>
                <w:color w:val="auto"/>
                <w:highlight w:val="none"/>
              </w:rPr>
            </w:pPr>
            <w:r>
              <w:rPr>
                <w:rFonts w:hint="eastAsia"/>
                <w:color w:val="auto"/>
                <w:highlight w:val="none"/>
              </w:rPr>
              <w:t>r</w:t>
            </w:r>
            <w:r>
              <w:rPr>
                <w:rFonts w:hint="eastAsia"/>
                <w:color w:val="auto"/>
                <w:highlight w:val="none"/>
                <w:vertAlign w:val="subscript"/>
              </w:rPr>
              <w:t>0</w:t>
            </w:r>
            <w:r>
              <w:rPr>
                <w:color w:val="auto"/>
                <w:highlight w:val="none"/>
              </w:rPr>
              <w:t>——</w:t>
            </w:r>
            <w:r>
              <w:rPr>
                <w:rFonts w:hint="eastAsia"/>
                <w:color w:val="auto"/>
                <w:highlight w:val="none"/>
              </w:rPr>
              <w:t>参考位置距声源的距离。</w:t>
            </w:r>
          </w:p>
          <w:p w14:paraId="6302D2A5">
            <w:pPr>
              <w:pStyle w:val="119"/>
              <w:widowControl/>
              <w:rPr>
                <w:color w:val="auto"/>
                <w:highlight w:val="none"/>
              </w:rPr>
            </w:pPr>
            <w:r>
              <w:rPr>
                <w:color w:val="auto"/>
                <w:highlight w:val="none"/>
              </w:rPr>
              <w:t>B</w:t>
            </w:r>
            <w:r>
              <w:rPr>
                <w:rFonts w:hint="eastAsia" w:ascii="宋体" w:hAnsi="宋体" w:cs="宋体"/>
                <w:color w:val="auto"/>
                <w:highlight w:val="none"/>
              </w:rPr>
              <w:t>、声屏障（</w:t>
            </w:r>
            <w:r>
              <w:rPr>
                <w:color w:val="auto"/>
                <w:highlight w:val="none"/>
              </w:rPr>
              <w:t>A</w:t>
            </w:r>
            <w:r>
              <w:rPr>
                <w:color w:val="auto"/>
                <w:highlight w:val="none"/>
                <w:vertAlign w:val="subscript"/>
              </w:rPr>
              <w:t>bar</w:t>
            </w:r>
            <w:r>
              <w:rPr>
                <w:rFonts w:hint="eastAsia" w:ascii="宋体" w:hAnsi="宋体" w:cs="宋体"/>
                <w:color w:val="auto"/>
                <w:highlight w:val="none"/>
              </w:rPr>
              <w:t>）衰减</w:t>
            </w:r>
          </w:p>
          <w:p w14:paraId="5F3E5D52">
            <w:pPr>
              <w:pStyle w:val="119"/>
              <w:widowControl/>
              <w:rPr>
                <w:color w:val="auto"/>
                <w:highlight w:val="none"/>
              </w:rPr>
            </w:pPr>
            <w:r>
              <w:rPr>
                <w:rFonts w:hint="eastAsia" w:ascii="宋体" w:hAnsi="宋体" w:cs="宋体"/>
                <w:color w:val="auto"/>
                <w:highlight w:val="none"/>
              </w:rPr>
              <w:t>位于声源和预测点之间的实体障碍物，如围墙、建筑物、土坡或地堑等起声屏障作用，从而引起声能量的较大衰减。在环境影响评价中，可将各种形式的屏障简化为具有一定高度的薄屏障。</w:t>
            </w:r>
          </w:p>
          <w:p w14:paraId="08BA5B6B">
            <w:pPr>
              <w:pStyle w:val="119"/>
              <w:widowControl/>
              <w:rPr>
                <w:color w:val="auto"/>
                <w:highlight w:val="none"/>
              </w:rPr>
            </w:pPr>
            <w:r>
              <w:rPr>
                <w:rFonts w:hint="eastAsia" w:ascii="宋体" w:hAnsi="宋体" w:cs="宋体"/>
                <w:color w:val="auto"/>
                <w:highlight w:val="none"/>
              </w:rPr>
              <w:t>如下图所示，</w:t>
            </w:r>
            <w:r>
              <w:rPr>
                <w:color w:val="auto"/>
                <w:highlight w:val="none"/>
              </w:rPr>
              <w:t>S</w:t>
            </w:r>
            <w:r>
              <w:rPr>
                <w:rFonts w:hint="eastAsia" w:ascii="宋体" w:hAnsi="宋体" w:cs="宋体"/>
                <w:color w:val="auto"/>
                <w:highlight w:val="none"/>
              </w:rPr>
              <w:t>、</w:t>
            </w:r>
            <w:r>
              <w:rPr>
                <w:color w:val="auto"/>
                <w:highlight w:val="none"/>
              </w:rPr>
              <w:t>O</w:t>
            </w:r>
            <w:r>
              <w:rPr>
                <w:rFonts w:hint="eastAsia" w:ascii="宋体" w:hAnsi="宋体" w:cs="宋体"/>
                <w:color w:val="auto"/>
                <w:highlight w:val="none"/>
              </w:rPr>
              <w:t>、</w:t>
            </w:r>
            <w:r>
              <w:rPr>
                <w:color w:val="auto"/>
                <w:highlight w:val="none"/>
              </w:rPr>
              <w:t>P</w:t>
            </w:r>
            <w:r>
              <w:rPr>
                <w:rFonts w:hint="eastAsia" w:ascii="宋体" w:hAnsi="宋体" w:cs="宋体"/>
                <w:color w:val="auto"/>
                <w:highlight w:val="none"/>
              </w:rPr>
              <w:t>三点在同一平面内且垂直于地面。</w:t>
            </w:r>
          </w:p>
          <w:p w14:paraId="3598834D">
            <w:pPr>
              <w:pStyle w:val="119"/>
              <w:widowControl/>
              <w:ind w:firstLine="0" w:firstLineChars="0"/>
              <w:jc w:val="center"/>
              <w:rPr>
                <w:rFonts w:hint="eastAsia" w:eastAsia="宋体"/>
                <w:color w:val="auto"/>
                <w:highlight w:val="none"/>
                <w:lang w:eastAsia="zh-CN"/>
              </w:rPr>
            </w:pPr>
            <w:r>
              <w:rPr>
                <w:color w:val="auto"/>
                <w:highlight w:val="none"/>
              </w:rPr>
              <w:drawing>
                <wp:inline distT="0" distB="0" distL="114300" distR="114300">
                  <wp:extent cx="3009900" cy="1524000"/>
                  <wp:effectExtent l="0" t="0" r="0" b="0"/>
                  <wp:docPr id="72" name="图片 5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6" descr="IMG_271"/>
                          <pic:cNvPicPr>
                            <a:picLocks noChangeAspect="1"/>
                          </pic:cNvPicPr>
                        </pic:nvPicPr>
                        <pic:blipFill>
                          <a:blip r:embed="rId48"/>
                          <a:stretch>
                            <a:fillRect/>
                          </a:stretch>
                        </pic:blipFill>
                        <pic:spPr>
                          <a:xfrm>
                            <a:off x="0" y="0"/>
                            <a:ext cx="3009900" cy="1524000"/>
                          </a:xfrm>
                          <a:prstGeom prst="rect">
                            <a:avLst/>
                          </a:prstGeom>
                          <a:noFill/>
                          <a:ln w="9525">
                            <a:noFill/>
                          </a:ln>
                        </pic:spPr>
                      </pic:pic>
                    </a:graphicData>
                  </a:graphic>
                </wp:inline>
              </w:drawing>
            </w:r>
          </w:p>
          <w:p w14:paraId="64FDC681">
            <w:pPr>
              <w:pStyle w:val="24"/>
              <w:widowControl w:val="0"/>
              <w:adjustRightInd w:val="0"/>
              <w:snapToGrid w:val="0"/>
              <w:spacing w:before="0" w:beforeAutospacing="0" w:after="0" w:afterAutospacing="0" w:line="360" w:lineRule="auto"/>
              <w:jc w:val="center"/>
              <w:rPr>
                <w:rFonts w:ascii="Times New Roman" w:hAnsi="Times New Roman"/>
                <w:b/>
                <w:color w:val="auto"/>
                <w:sz w:val="21"/>
                <w:szCs w:val="21"/>
                <w:highlight w:val="none"/>
              </w:rPr>
            </w:pPr>
            <w:r>
              <w:rPr>
                <w:rFonts w:hint="eastAsia" w:cs="宋体"/>
                <w:b/>
                <w:color w:val="auto"/>
                <w:sz w:val="21"/>
                <w:szCs w:val="21"/>
                <w:highlight w:val="none"/>
                <w:lang w:bidi="ar"/>
              </w:rPr>
              <w:t>图</w:t>
            </w:r>
            <w:r>
              <w:rPr>
                <w:rFonts w:hint="eastAsia" w:ascii="Times New Roman" w:hAnsi="Times New Roman"/>
                <w:b/>
                <w:color w:val="auto"/>
                <w:sz w:val="21"/>
                <w:szCs w:val="21"/>
                <w:highlight w:val="none"/>
                <w:lang w:bidi="ar"/>
              </w:rPr>
              <w:t>4-1</w:t>
            </w:r>
            <w:r>
              <w:rPr>
                <w:rFonts w:hint="eastAsia" w:cs="宋体"/>
                <w:b/>
                <w:color w:val="auto"/>
                <w:sz w:val="21"/>
                <w:szCs w:val="21"/>
                <w:highlight w:val="none"/>
                <w:lang w:bidi="ar"/>
              </w:rPr>
              <w:t>无限长声屏障示意图</w:t>
            </w:r>
          </w:p>
          <w:p w14:paraId="5A918314">
            <w:pPr>
              <w:pStyle w:val="119"/>
              <w:widowControl/>
              <w:rPr>
                <w:color w:val="auto"/>
                <w:highlight w:val="none"/>
              </w:rPr>
            </w:pPr>
            <w:r>
              <w:rPr>
                <w:rFonts w:hint="eastAsia" w:ascii="宋体" w:hAnsi="宋体" w:cs="宋体"/>
                <w:color w:val="auto"/>
                <w:highlight w:val="none"/>
              </w:rPr>
              <w:t>定义</w:t>
            </w:r>
            <w:r>
              <w:rPr>
                <w:color w:val="auto"/>
                <w:highlight w:val="none"/>
              </w:rPr>
              <w:t>δ</w:t>
            </w:r>
            <w:r>
              <w:rPr>
                <w:rFonts w:hint="eastAsia" w:ascii="宋体" w:hAnsi="宋体" w:cs="宋体"/>
                <w:color w:val="auto"/>
                <w:highlight w:val="none"/>
              </w:rPr>
              <w:t>＝</w:t>
            </w:r>
            <w:r>
              <w:rPr>
                <w:color w:val="auto"/>
                <w:highlight w:val="none"/>
              </w:rPr>
              <w:t>SO</w:t>
            </w:r>
            <w:r>
              <w:rPr>
                <w:rFonts w:hint="eastAsia" w:ascii="宋体" w:hAnsi="宋体" w:cs="宋体"/>
                <w:color w:val="auto"/>
                <w:highlight w:val="none"/>
              </w:rPr>
              <w:t>＋</w:t>
            </w:r>
            <w:r>
              <w:rPr>
                <w:color w:val="auto"/>
                <w:highlight w:val="none"/>
              </w:rPr>
              <w:t>OP</w:t>
            </w:r>
            <w:r>
              <w:rPr>
                <w:rFonts w:hint="eastAsia" w:ascii="宋体" w:hAnsi="宋体" w:cs="宋体"/>
                <w:color w:val="auto"/>
                <w:highlight w:val="none"/>
              </w:rPr>
              <w:t>－</w:t>
            </w:r>
            <w:r>
              <w:rPr>
                <w:color w:val="auto"/>
                <w:highlight w:val="none"/>
              </w:rPr>
              <w:t>SP</w:t>
            </w:r>
            <w:r>
              <w:rPr>
                <w:rFonts w:hint="eastAsia" w:ascii="宋体" w:hAnsi="宋体" w:cs="宋体"/>
                <w:color w:val="auto"/>
                <w:highlight w:val="none"/>
              </w:rPr>
              <w:t>为声程差，</w:t>
            </w:r>
            <w:r>
              <w:rPr>
                <w:color w:val="auto"/>
                <w:highlight w:val="none"/>
              </w:rPr>
              <w:t>N</w:t>
            </w:r>
            <w:r>
              <w:rPr>
                <w:rFonts w:hint="eastAsia" w:ascii="宋体" w:hAnsi="宋体" w:cs="宋体"/>
                <w:color w:val="auto"/>
                <w:highlight w:val="none"/>
              </w:rPr>
              <w:t>＝</w:t>
            </w:r>
            <w:r>
              <w:rPr>
                <w:color w:val="auto"/>
                <w:highlight w:val="none"/>
              </w:rPr>
              <w:t>2δ/λ</w:t>
            </w:r>
            <w:r>
              <w:rPr>
                <w:rFonts w:hint="eastAsia" w:ascii="宋体" w:hAnsi="宋体" w:cs="宋体"/>
                <w:color w:val="auto"/>
                <w:highlight w:val="none"/>
              </w:rPr>
              <w:t>为菲涅尔数，其中</w:t>
            </w:r>
            <w:r>
              <w:rPr>
                <w:color w:val="auto"/>
                <w:highlight w:val="none"/>
              </w:rPr>
              <w:t>λ</w:t>
            </w:r>
            <w:r>
              <w:rPr>
                <w:rFonts w:hint="eastAsia" w:ascii="宋体" w:hAnsi="宋体" w:cs="宋体"/>
                <w:color w:val="auto"/>
                <w:highlight w:val="none"/>
              </w:rPr>
              <w:t>为声波波长。</w:t>
            </w:r>
          </w:p>
          <w:p w14:paraId="7595210E">
            <w:pPr>
              <w:pStyle w:val="119"/>
              <w:widowControl/>
              <w:rPr>
                <w:color w:val="auto"/>
                <w:highlight w:val="none"/>
              </w:rPr>
            </w:pPr>
            <w:r>
              <w:rPr>
                <w:rFonts w:hint="eastAsia" w:ascii="宋体" w:hAnsi="宋体" w:cs="宋体"/>
                <w:color w:val="auto"/>
                <w:highlight w:val="none"/>
              </w:rPr>
              <w:t>在噪声预测中，声屏障插入损失的计算方法需要根据实际情况作简化处理。</w:t>
            </w:r>
          </w:p>
          <w:p w14:paraId="20104644">
            <w:pPr>
              <w:pStyle w:val="119"/>
              <w:widowControl/>
              <w:ind w:firstLine="0" w:firstLineChars="0"/>
              <w:rPr>
                <w:color w:val="auto"/>
                <w:highlight w:val="none"/>
              </w:rPr>
            </w:pPr>
            <w:r>
              <w:rPr>
                <w:rFonts w:hint="eastAsia" w:ascii="宋体" w:hAnsi="宋体" w:cs="宋体"/>
                <w:color w:val="auto"/>
                <w:highlight w:val="none"/>
              </w:rPr>
              <w:t>屏障衰减</w:t>
            </w:r>
            <w:r>
              <w:rPr>
                <w:color w:val="auto"/>
                <w:highlight w:val="none"/>
              </w:rPr>
              <w:t>Abar</w:t>
            </w:r>
            <w:r>
              <w:rPr>
                <w:rFonts w:hint="eastAsia" w:ascii="宋体" w:hAnsi="宋体" w:cs="宋体"/>
                <w:color w:val="auto"/>
                <w:highlight w:val="none"/>
              </w:rPr>
              <w:t>在单绕射（即薄屏障）情况，衰减最大取</w:t>
            </w:r>
            <w:r>
              <w:rPr>
                <w:color w:val="auto"/>
                <w:highlight w:val="none"/>
              </w:rPr>
              <w:t>20dB</w:t>
            </w:r>
            <w:r>
              <w:rPr>
                <w:rFonts w:hint="eastAsia" w:ascii="宋体" w:hAnsi="宋体" w:cs="宋体"/>
                <w:color w:val="auto"/>
                <w:highlight w:val="none"/>
              </w:rPr>
              <w:t>；在双绕射（即厚屏障）情况，衰减最大取</w:t>
            </w:r>
            <w:r>
              <w:rPr>
                <w:color w:val="auto"/>
                <w:highlight w:val="none"/>
              </w:rPr>
              <w:t>25dB</w:t>
            </w:r>
            <w:r>
              <w:rPr>
                <w:rFonts w:hint="eastAsia" w:ascii="宋体" w:hAnsi="宋体" w:cs="宋体"/>
                <w:color w:val="auto"/>
                <w:highlight w:val="none"/>
              </w:rPr>
              <w:t>。</w:t>
            </w:r>
          </w:p>
          <w:p w14:paraId="2F5D3396">
            <w:pPr>
              <w:pStyle w:val="119"/>
              <w:widowControl/>
              <w:ind w:firstLine="482"/>
              <w:rPr>
                <w:color w:val="auto"/>
                <w:highlight w:val="none"/>
              </w:rPr>
            </w:pPr>
            <w:r>
              <w:rPr>
                <w:rFonts w:hint="eastAsia" w:ascii="宋体" w:hAnsi="宋体" w:cs="宋体"/>
                <w:b/>
                <w:bCs/>
                <w:color w:val="auto"/>
                <w:highlight w:val="none"/>
              </w:rPr>
              <w:t>本项目围墙遮挡隔声按薄屏障处理，隔声量</w:t>
            </w:r>
            <w:r>
              <w:rPr>
                <w:rFonts w:hint="eastAsia"/>
                <w:b/>
                <w:bCs/>
                <w:color w:val="auto"/>
                <w:highlight w:val="none"/>
              </w:rPr>
              <w:t>取</w:t>
            </w:r>
            <w:r>
              <w:rPr>
                <w:rFonts w:hint="eastAsia"/>
                <w:b/>
                <w:bCs/>
                <w:color w:val="auto"/>
                <w:highlight w:val="none"/>
                <w:lang w:val="en-US" w:eastAsia="zh-CN"/>
              </w:rPr>
              <w:t>1</w:t>
            </w:r>
            <w:r>
              <w:rPr>
                <w:rFonts w:hint="eastAsia"/>
                <w:b/>
                <w:bCs/>
                <w:color w:val="auto"/>
                <w:highlight w:val="none"/>
              </w:rPr>
              <w:t>0</w:t>
            </w:r>
            <w:r>
              <w:rPr>
                <w:b/>
                <w:bCs/>
                <w:color w:val="auto"/>
                <w:highlight w:val="none"/>
              </w:rPr>
              <w:t>dB</w:t>
            </w:r>
            <w:r>
              <w:rPr>
                <w:rFonts w:hint="eastAsia" w:ascii="宋体" w:hAnsi="宋体" w:cs="宋体"/>
                <w:b/>
                <w:bCs/>
                <w:color w:val="auto"/>
                <w:highlight w:val="none"/>
              </w:rPr>
              <w:t>。</w:t>
            </w:r>
          </w:p>
          <w:p w14:paraId="49787DFD">
            <w:pPr>
              <w:pStyle w:val="119"/>
              <w:widowControl/>
              <w:rPr>
                <w:color w:val="auto"/>
                <w:highlight w:val="none"/>
              </w:rPr>
            </w:pPr>
            <w:r>
              <w:rPr>
                <w:rFonts w:hint="eastAsia" w:ascii="宋体" w:hAnsi="宋体" w:cs="宋体"/>
                <w:color w:val="auto"/>
                <w:highlight w:val="none"/>
              </w:rPr>
              <w:t>③声源在预测点产生的等效声级贡献值（</w:t>
            </w:r>
            <w:r>
              <w:rPr>
                <w:i/>
                <w:iCs/>
                <w:color w:val="auto"/>
                <w:highlight w:val="none"/>
              </w:rPr>
              <w:t>L</w:t>
            </w:r>
            <w:r>
              <w:rPr>
                <w:i/>
                <w:iCs/>
                <w:color w:val="auto"/>
                <w:highlight w:val="none"/>
                <w:vertAlign w:val="subscript"/>
              </w:rPr>
              <w:t>eqg</w:t>
            </w:r>
            <w:r>
              <w:rPr>
                <w:rFonts w:hint="eastAsia" w:ascii="宋体" w:hAnsi="宋体" w:cs="宋体"/>
                <w:color w:val="auto"/>
                <w:highlight w:val="none"/>
              </w:rPr>
              <w:t>）</w:t>
            </w:r>
          </w:p>
          <w:p w14:paraId="33E182C6">
            <w:pPr>
              <w:pStyle w:val="119"/>
              <w:widowControl/>
              <w:rPr>
                <w:color w:val="auto"/>
                <w:highlight w:val="none"/>
              </w:rPr>
            </w:pPr>
            <w:r>
              <w:rPr>
                <w:rFonts w:hint="eastAsia" w:ascii="宋体" w:hAnsi="宋体" w:cs="宋体"/>
                <w:color w:val="auto"/>
                <w:highlight w:val="none"/>
              </w:rPr>
              <w:t>设第</w:t>
            </w:r>
            <w:r>
              <w:rPr>
                <w:color w:val="auto"/>
                <w:highlight w:val="none"/>
              </w:rPr>
              <w:t>i</w:t>
            </w:r>
            <w:r>
              <w:rPr>
                <w:rFonts w:hint="eastAsia" w:ascii="宋体" w:hAnsi="宋体" w:cs="宋体"/>
                <w:color w:val="auto"/>
                <w:highlight w:val="none"/>
              </w:rPr>
              <w:t>个室外声源在预测点产生的</w:t>
            </w:r>
            <w:r>
              <w:rPr>
                <w:color w:val="auto"/>
                <w:highlight w:val="none"/>
              </w:rPr>
              <w:t>A</w:t>
            </w:r>
            <w:r>
              <w:rPr>
                <w:rFonts w:hint="eastAsia" w:ascii="宋体" w:hAnsi="宋体" w:cs="宋体"/>
                <w:color w:val="auto"/>
                <w:highlight w:val="none"/>
              </w:rPr>
              <w:t>声</w:t>
            </w:r>
            <w:r>
              <w:rPr>
                <w:rFonts w:hint="default" w:ascii="Times New Roman" w:hAnsi="Times New Roman" w:cs="Times New Roman"/>
                <w:color w:val="auto"/>
                <w:highlight w:val="none"/>
              </w:rPr>
              <w:t>级为</w:t>
            </w:r>
            <w:r>
              <w:rPr>
                <w:rFonts w:hint="default" w:ascii="Times New Roman" w:hAnsi="Times New Roman" w:cs="Times New Roman"/>
                <w:i/>
                <w:iCs/>
                <w:color w:val="auto"/>
                <w:highlight w:val="none"/>
                <w:lang w:val="en-US" w:eastAsia="zh-CN"/>
              </w:rPr>
              <w:t>L</w:t>
            </w:r>
            <w:r>
              <w:rPr>
                <w:rFonts w:hint="default" w:ascii="Times New Roman" w:hAnsi="Times New Roman" w:cs="Times New Roman"/>
                <w:i/>
                <w:iCs/>
                <w:color w:val="auto"/>
                <w:highlight w:val="none"/>
                <w:vertAlign w:val="subscript"/>
                <w:lang w:val="en-US" w:eastAsia="zh-CN"/>
              </w:rPr>
              <w:t>Ai</w:t>
            </w:r>
            <w:r>
              <w:rPr>
                <w:rFonts w:hint="default" w:ascii="Times New Roman" w:hAnsi="Times New Roman" w:cs="Times New Roman"/>
                <w:color w:val="auto"/>
                <w:highlight w:val="none"/>
              </w:rPr>
              <w:t>，在T时间内该声源工作时间为</w:t>
            </w:r>
            <w:r>
              <w:rPr>
                <w:rFonts w:hint="default" w:ascii="Times New Roman" w:hAnsi="Times New Roman" w:cs="Times New Roman"/>
                <w:i/>
                <w:iCs/>
                <w:color w:val="auto"/>
                <w:highlight w:val="none"/>
                <w:lang w:val="en-US" w:eastAsia="zh-CN"/>
              </w:rPr>
              <w:t>t</w:t>
            </w:r>
            <w:r>
              <w:rPr>
                <w:rFonts w:hint="default" w:ascii="Times New Roman" w:hAnsi="Times New Roman" w:cs="Times New Roman"/>
                <w:i/>
                <w:iCs/>
                <w:color w:val="auto"/>
                <w:highlight w:val="none"/>
                <w:vertAlign w:val="subscript"/>
                <w:lang w:val="en-US" w:eastAsia="zh-CN"/>
              </w:rPr>
              <w:t>i</w:t>
            </w:r>
            <w:r>
              <w:rPr>
                <w:rFonts w:hint="default" w:ascii="Times New Roman" w:hAnsi="Times New Roman" w:cs="Times New Roman"/>
                <w:color w:val="auto"/>
                <w:highlight w:val="none"/>
              </w:rPr>
              <w:t>；</w:t>
            </w:r>
            <w:r>
              <w:rPr>
                <w:rFonts w:hint="eastAsia" w:ascii="宋体" w:hAnsi="宋体" w:cs="宋体"/>
                <w:color w:val="auto"/>
                <w:highlight w:val="none"/>
              </w:rPr>
              <w:t>第</w:t>
            </w:r>
            <w:r>
              <w:rPr>
                <w:color w:val="auto"/>
                <w:highlight w:val="none"/>
              </w:rPr>
              <w:t>j</w:t>
            </w:r>
            <w:r>
              <w:rPr>
                <w:rFonts w:hint="eastAsia" w:ascii="宋体" w:hAnsi="宋体" w:cs="宋体"/>
                <w:color w:val="auto"/>
                <w:highlight w:val="none"/>
              </w:rPr>
              <w:t>个等效室外声源在预测点产生的</w:t>
            </w:r>
            <w:r>
              <w:rPr>
                <w:color w:val="auto"/>
                <w:highlight w:val="none"/>
              </w:rPr>
              <w:t>A</w:t>
            </w:r>
            <w:r>
              <w:rPr>
                <w:rFonts w:hint="eastAsia" w:ascii="宋体" w:hAnsi="宋体" w:cs="宋体"/>
                <w:color w:val="auto"/>
                <w:highlight w:val="none"/>
              </w:rPr>
              <w:t>声级为</w:t>
            </w:r>
            <w:r>
              <w:rPr>
                <w:rFonts w:hint="default" w:ascii="Times New Roman" w:hAnsi="Times New Roman" w:cs="Times New Roman"/>
                <w:i/>
                <w:iCs/>
                <w:color w:val="auto"/>
                <w:highlight w:val="none"/>
                <w:lang w:val="en-US" w:eastAsia="zh-CN"/>
              </w:rPr>
              <w:t>L</w:t>
            </w:r>
            <w:r>
              <w:rPr>
                <w:rFonts w:hint="default" w:ascii="Times New Roman" w:hAnsi="Times New Roman" w:cs="Times New Roman"/>
                <w:i/>
                <w:iCs/>
                <w:color w:val="auto"/>
                <w:highlight w:val="none"/>
                <w:vertAlign w:val="subscript"/>
                <w:lang w:val="en-US" w:eastAsia="zh-CN"/>
              </w:rPr>
              <w:t>A</w:t>
            </w:r>
            <w:r>
              <w:rPr>
                <w:rFonts w:hint="eastAsia" w:ascii="Times New Roman" w:hAnsi="Times New Roman" w:cs="Times New Roman"/>
                <w:i/>
                <w:iCs/>
                <w:color w:val="auto"/>
                <w:highlight w:val="none"/>
                <w:vertAlign w:val="subscript"/>
                <w:lang w:val="en-US" w:eastAsia="zh-CN"/>
              </w:rPr>
              <w:t>j</w:t>
            </w:r>
            <w:r>
              <w:rPr>
                <w:rFonts w:hint="eastAsia" w:ascii="宋体" w:hAnsi="宋体" w:cs="宋体"/>
                <w:color w:val="auto"/>
                <w:highlight w:val="none"/>
              </w:rPr>
              <w:t>，在</w:t>
            </w:r>
            <w:r>
              <w:rPr>
                <w:color w:val="auto"/>
                <w:highlight w:val="none"/>
              </w:rPr>
              <w:t>T</w:t>
            </w:r>
            <w:r>
              <w:rPr>
                <w:rFonts w:hint="eastAsia" w:ascii="宋体" w:hAnsi="宋体" w:cs="宋体"/>
                <w:color w:val="auto"/>
                <w:highlight w:val="none"/>
              </w:rPr>
              <w:t>时间内该声源工作时间为</w:t>
            </w:r>
            <w:r>
              <w:rPr>
                <w:rFonts w:hint="default" w:ascii="Times New Roman" w:hAnsi="Times New Roman" w:cs="Times New Roman"/>
                <w:i/>
                <w:iCs/>
                <w:color w:val="auto"/>
                <w:highlight w:val="none"/>
                <w:lang w:val="en-US" w:eastAsia="zh-CN"/>
              </w:rPr>
              <w:t>t</w:t>
            </w:r>
            <w:r>
              <w:rPr>
                <w:rFonts w:hint="eastAsia" w:ascii="Times New Roman" w:hAnsi="Times New Roman" w:cs="Times New Roman"/>
                <w:i/>
                <w:iCs/>
                <w:color w:val="auto"/>
                <w:highlight w:val="none"/>
                <w:vertAlign w:val="subscript"/>
                <w:lang w:val="en-US" w:eastAsia="zh-CN"/>
              </w:rPr>
              <w:t>j</w:t>
            </w:r>
            <w:r>
              <w:rPr>
                <w:rFonts w:hint="eastAsia" w:ascii="宋体" w:hAnsi="宋体" w:cs="宋体"/>
                <w:color w:val="auto"/>
                <w:highlight w:val="none"/>
              </w:rPr>
              <w:t>，则拟建工程声源对预测点产生的贡献值（</w:t>
            </w:r>
            <w:r>
              <w:rPr>
                <w:color w:val="auto"/>
                <w:highlight w:val="none"/>
              </w:rPr>
              <w:t>Leqg</w:t>
            </w:r>
            <w:r>
              <w:rPr>
                <w:rFonts w:hint="eastAsia" w:ascii="宋体" w:hAnsi="宋体" w:cs="宋体"/>
                <w:color w:val="auto"/>
                <w:highlight w:val="none"/>
              </w:rPr>
              <w:t>）为：</w:t>
            </w:r>
          </w:p>
          <w:p w14:paraId="1E1A4D95">
            <w:pPr>
              <w:pStyle w:val="119"/>
              <w:widowControl/>
              <w:ind w:firstLine="0" w:firstLineChars="0"/>
              <w:jc w:val="center"/>
              <w:rPr>
                <w:rFonts w:hint="eastAsia" w:eastAsia="宋体"/>
                <w:color w:val="auto"/>
                <w:highlight w:val="none"/>
                <w:lang w:eastAsia="zh-CN"/>
              </w:rPr>
            </w:pPr>
            <w:r>
              <w:rPr>
                <w:color w:val="auto"/>
                <w:highlight w:val="none"/>
              </w:rPr>
              <w:drawing>
                <wp:inline distT="0" distB="0" distL="114300" distR="114300">
                  <wp:extent cx="3009900" cy="666750"/>
                  <wp:effectExtent l="0" t="0" r="0" b="0"/>
                  <wp:docPr id="50" name="图片 6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1" descr="IMG_276"/>
                          <pic:cNvPicPr>
                            <a:picLocks noChangeAspect="1"/>
                          </pic:cNvPicPr>
                        </pic:nvPicPr>
                        <pic:blipFill>
                          <a:blip r:embed="rId49"/>
                          <a:stretch>
                            <a:fillRect/>
                          </a:stretch>
                        </pic:blipFill>
                        <pic:spPr>
                          <a:xfrm>
                            <a:off x="0" y="0"/>
                            <a:ext cx="3009900" cy="666750"/>
                          </a:xfrm>
                          <a:prstGeom prst="rect">
                            <a:avLst/>
                          </a:prstGeom>
                          <a:noFill/>
                          <a:ln w="9525">
                            <a:noFill/>
                          </a:ln>
                        </pic:spPr>
                      </pic:pic>
                    </a:graphicData>
                  </a:graphic>
                </wp:inline>
              </w:drawing>
            </w:r>
          </w:p>
          <w:p w14:paraId="3C94EA62">
            <w:pPr>
              <w:pStyle w:val="119"/>
              <w:widowControl/>
              <w:rPr>
                <w:color w:val="auto"/>
                <w:highlight w:val="none"/>
              </w:rPr>
            </w:pPr>
            <w:r>
              <w:rPr>
                <w:rFonts w:hint="eastAsia" w:ascii="宋体" w:hAnsi="宋体" w:cs="宋体"/>
                <w:color w:val="auto"/>
                <w:highlight w:val="none"/>
              </w:rPr>
              <w:t>式中：</w:t>
            </w:r>
            <w:r>
              <w:rPr>
                <w:i/>
                <w:iCs/>
                <w:color w:val="auto"/>
                <w:highlight w:val="none"/>
              </w:rPr>
              <w:t>L</w:t>
            </w:r>
            <w:r>
              <w:rPr>
                <w:i/>
                <w:iCs/>
                <w:color w:val="auto"/>
                <w:highlight w:val="none"/>
                <w:vertAlign w:val="subscript"/>
              </w:rPr>
              <w:t>eqg</w:t>
            </w:r>
            <w:r>
              <w:rPr>
                <w:color w:val="auto"/>
                <w:highlight w:val="none"/>
              </w:rPr>
              <w:t>——</w:t>
            </w:r>
            <w:r>
              <w:rPr>
                <w:rFonts w:hint="eastAsia" w:ascii="宋体" w:hAnsi="宋体" w:cs="宋体"/>
                <w:color w:val="auto"/>
                <w:highlight w:val="none"/>
              </w:rPr>
              <w:t>建设项目声源在预测点产生的噪声贡献值，</w:t>
            </w:r>
            <w:r>
              <w:rPr>
                <w:color w:val="auto"/>
                <w:highlight w:val="none"/>
              </w:rPr>
              <w:t>dB</w:t>
            </w:r>
            <w:r>
              <w:rPr>
                <w:rFonts w:hint="eastAsia" w:ascii="宋体" w:hAnsi="宋体" w:cs="宋体"/>
                <w:color w:val="auto"/>
                <w:highlight w:val="none"/>
              </w:rPr>
              <w:t>；</w:t>
            </w:r>
          </w:p>
          <w:p w14:paraId="65A9D39B">
            <w:pPr>
              <w:pStyle w:val="119"/>
              <w:widowControl/>
              <w:rPr>
                <w:color w:val="auto"/>
                <w:highlight w:val="none"/>
              </w:rPr>
            </w:pPr>
            <w:r>
              <w:rPr>
                <w:color w:val="auto"/>
                <w:highlight w:val="none"/>
              </w:rPr>
              <w:t>T——</w:t>
            </w:r>
            <w:r>
              <w:rPr>
                <w:rFonts w:hint="eastAsia" w:ascii="宋体" w:hAnsi="宋体" w:cs="宋体"/>
                <w:color w:val="auto"/>
                <w:highlight w:val="none"/>
              </w:rPr>
              <w:t>用于计算等效声级的时间，</w:t>
            </w:r>
            <w:r>
              <w:rPr>
                <w:color w:val="auto"/>
                <w:highlight w:val="none"/>
              </w:rPr>
              <w:t>s</w:t>
            </w:r>
            <w:r>
              <w:rPr>
                <w:rFonts w:hint="eastAsia" w:ascii="宋体" w:hAnsi="宋体" w:cs="宋体"/>
                <w:color w:val="auto"/>
                <w:highlight w:val="none"/>
              </w:rPr>
              <w:t>；</w:t>
            </w:r>
          </w:p>
          <w:p w14:paraId="5832B2D8">
            <w:pPr>
              <w:pStyle w:val="119"/>
              <w:widowControl/>
              <w:rPr>
                <w:color w:val="auto"/>
                <w:highlight w:val="none"/>
              </w:rPr>
            </w:pPr>
            <w:r>
              <w:rPr>
                <w:color w:val="auto"/>
                <w:highlight w:val="none"/>
              </w:rPr>
              <w:t>N——</w:t>
            </w:r>
            <w:r>
              <w:rPr>
                <w:rFonts w:hint="eastAsia" w:ascii="宋体" w:hAnsi="宋体" w:cs="宋体"/>
                <w:color w:val="auto"/>
                <w:highlight w:val="none"/>
              </w:rPr>
              <w:t>室外声源个数；</w:t>
            </w:r>
          </w:p>
          <w:p w14:paraId="371E9A64">
            <w:pPr>
              <w:pStyle w:val="119"/>
              <w:widowControl/>
              <w:rPr>
                <w:color w:val="auto"/>
                <w:highlight w:val="none"/>
              </w:rPr>
            </w:pPr>
            <w:r>
              <w:rPr>
                <w:rFonts w:hint="default" w:ascii="Times New Roman" w:hAnsi="Times New Roman" w:cs="Times New Roman"/>
                <w:i/>
                <w:iCs/>
                <w:color w:val="auto"/>
                <w:highlight w:val="none"/>
                <w:lang w:val="en-US" w:eastAsia="zh-CN"/>
              </w:rPr>
              <w:t>t</w:t>
            </w:r>
            <w:r>
              <w:rPr>
                <w:rFonts w:hint="default" w:ascii="Times New Roman" w:hAnsi="Times New Roman" w:cs="Times New Roman"/>
                <w:i/>
                <w:iCs/>
                <w:color w:val="auto"/>
                <w:highlight w:val="none"/>
                <w:vertAlign w:val="subscript"/>
                <w:lang w:val="en-US" w:eastAsia="zh-CN"/>
              </w:rPr>
              <w:t>i</w:t>
            </w:r>
            <w:r>
              <w:rPr>
                <w:color w:val="auto"/>
                <w:highlight w:val="none"/>
              </w:rPr>
              <w:t>——</w:t>
            </w:r>
            <w:r>
              <w:rPr>
                <w:rFonts w:hint="eastAsia" w:ascii="宋体" w:hAnsi="宋体" w:cs="宋体"/>
                <w:color w:val="auto"/>
                <w:highlight w:val="none"/>
              </w:rPr>
              <w:t>在</w:t>
            </w:r>
            <w:r>
              <w:rPr>
                <w:color w:val="auto"/>
                <w:highlight w:val="none"/>
              </w:rPr>
              <w:t>T</w:t>
            </w:r>
            <w:r>
              <w:rPr>
                <w:rFonts w:hint="eastAsia" w:ascii="宋体" w:hAnsi="宋体" w:cs="宋体"/>
                <w:color w:val="auto"/>
                <w:highlight w:val="none"/>
              </w:rPr>
              <w:t>时间内</w:t>
            </w:r>
            <w:r>
              <w:rPr>
                <w:color w:val="auto"/>
                <w:highlight w:val="none"/>
              </w:rPr>
              <w:t>i</w:t>
            </w:r>
            <w:r>
              <w:rPr>
                <w:rFonts w:hint="eastAsia" w:ascii="宋体" w:hAnsi="宋体" w:cs="宋体"/>
                <w:color w:val="auto"/>
                <w:highlight w:val="none"/>
              </w:rPr>
              <w:t>声源工作时间，</w:t>
            </w:r>
            <w:r>
              <w:rPr>
                <w:color w:val="auto"/>
                <w:highlight w:val="none"/>
              </w:rPr>
              <w:t>s</w:t>
            </w:r>
            <w:r>
              <w:rPr>
                <w:rFonts w:hint="eastAsia" w:ascii="宋体" w:hAnsi="宋体" w:cs="宋体"/>
                <w:color w:val="auto"/>
                <w:highlight w:val="none"/>
              </w:rPr>
              <w:t>；</w:t>
            </w:r>
          </w:p>
          <w:p w14:paraId="5BE3EDF6">
            <w:pPr>
              <w:pStyle w:val="119"/>
              <w:widowControl/>
              <w:rPr>
                <w:color w:val="auto"/>
                <w:highlight w:val="none"/>
              </w:rPr>
            </w:pPr>
            <w:r>
              <w:rPr>
                <w:color w:val="auto"/>
                <w:highlight w:val="none"/>
              </w:rPr>
              <w:t>M——</w:t>
            </w:r>
            <w:r>
              <w:rPr>
                <w:rFonts w:hint="eastAsia" w:ascii="宋体" w:hAnsi="宋体" w:cs="宋体"/>
                <w:color w:val="auto"/>
                <w:highlight w:val="none"/>
              </w:rPr>
              <w:t>等效室外声源个数；</w:t>
            </w:r>
          </w:p>
          <w:p w14:paraId="0DA9896E">
            <w:pPr>
              <w:pStyle w:val="119"/>
              <w:widowControl/>
              <w:rPr>
                <w:color w:val="auto"/>
                <w:highlight w:val="none"/>
              </w:rPr>
            </w:pPr>
            <w:r>
              <w:rPr>
                <w:rFonts w:hint="default" w:ascii="Times New Roman" w:hAnsi="Times New Roman" w:cs="Times New Roman"/>
                <w:i/>
                <w:iCs/>
                <w:color w:val="auto"/>
                <w:highlight w:val="none"/>
                <w:lang w:val="en-US" w:eastAsia="zh-CN"/>
              </w:rPr>
              <w:t>t</w:t>
            </w:r>
            <w:r>
              <w:rPr>
                <w:rFonts w:hint="eastAsia" w:ascii="Times New Roman" w:hAnsi="Times New Roman" w:cs="Times New Roman"/>
                <w:i/>
                <w:iCs/>
                <w:color w:val="auto"/>
                <w:highlight w:val="none"/>
                <w:vertAlign w:val="subscript"/>
                <w:lang w:val="en-US" w:eastAsia="zh-CN"/>
              </w:rPr>
              <w:t>j</w:t>
            </w:r>
            <w:r>
              <w:rPr>
                <w:color w:val="auto"/>
                <w:highlight w:val="none"/>
              </w:rPr>
              <w:t>——</w:t>
            </w:r>
            <w:r>
              <w:rPr>
                <w:rFonts w:hint="eastAsia" w:ascii="宋体" w:hAnsi="宋体" w:cs="宋体"/>
                <w:color w:val="auto"/>
                <w:highlight w:val="none"/>
              </w:rPr>
              <w:t>在</w:t>
            </w:r>
            <w:r>
              <w:rPr>
                <w:color w:val="auto"/>
                <w:highlight w:val="none"/>
              </w:rPr>
              <w:t>T</w:t>
            </w:r>
            <w:r>
              <w:rPr>
                <w:rFonts w:hint="eastAsia" w:ascii="宋体" w:hAnsi="宋体" w:cs="宋体"/>
                <w:color w:val="auto"/>
                <w:highlight w:val="none"/>
              </w:rPr>
              <w:t>时间内</w:t>
            </w:r>
            <w:r>
              <w:rPr>
                <w:color w:val="auto"/>
                <w:highlight w:val="none"/>
              </w:rPr>
              <w:t>j</w:t>
            </w:r>
            <w:r>
              <w:rPr>
                <w:rFonts w:hint="eastAsia" w:ascii="宋体" w:hAnsi="宋体" w:cs="宋体"/>
                <w:color w:val="auto"/>
                <w:highlight w:val="none"/>
              </w:rPr>
              <w:t>声源工作时间，</w:t>
            </w:r>
            <w:r>
              <w:rPr>
                <w:color w:val="auto"/>
                <w:highlight w:val="none"/>
              </w:rPr>
              <w:t>s</w:t>
            </w:r>
            <w:r>
              <w:rPr>
                <w:rFonts w:hint="eastAsia" w:ascii="宋体" w:hAnsi="宋体" w:cs="宋体"/>
                <w:color w:val="auto"/>
                <w:highlight w:val="none"/>
              </w:rPr>
              <w:t>。</w:t>
            </w:r>
          </w:p>
          <w:p w14:paraId="39F3FC2C">
            <w:pPr>
              <w:spacing w:line="360" w:lineRule="auto"/>
              <w:ind w:firstLine="480" w:firstLineChars="200"/>
              <w:rPr>
                <w:color w:val="auto"/>
                <w:sz w:val="24"/>
                <w:highlight w:val="none"/>
              </w:rPr>
            </w:pPr>
            <w:r>
              <w:rPr>
                <w:color w:val="auto"/>
                <w:sz w:val="24"/>
                <w:highlight w:val="none"/>
              </w:rPr>
              <w:t>根据厂区设备布局情况，对各个作业区域噪声因距离衰减后的贡献值进行分析，采用上述公式，本项目主要噪声源对各预测受声点的贡献值预测见下表：</w:t>
            </w:r>
          </w:p>
          <w:p w14:paraId="1E3B0F69">
            <w:pPr>
              <w:pStyle w:val="41"/>
              <w:tabs>
                <w:tab w:val="left" w:pos="0"/>
                <w:tab w:val="clear" w:pos="397"/>
              </w:tabs>
              <w:rPr>
                <w:color w:val="auto"/>
                <w:szCs w:val="21"/>
                <w:highlight w:val="none"/>
              </w:rPr>
            </w:pPr>
            <w:r>
              <w:rPr>
                <w:color w:val="auto"/>
                <w:szCs w:val="21"/>
                <w:highlight w:val="none"/>
              </w:rPr>
              <w:t>本项目噪声源衰减预测结果单位：dB</w:t>
            </w:r>
            <w:r>
              <w:rPr>
                <w:rFonts w:hint="eastAsia"/>
                <w:color w:val="auto"/>
                <w:szCs w:val="21"/>
                <w:highlight w:val="none"/>
                <w:lang w:eastAsia="zh-CN"/>
              </w:rPr>
              <w:t>（</w:t>
            </w:r>
            <w:r>
              <w:rPr>
                <w:color w:val="auto"/>
                <w:szCs w:val="21"/>
                <w:highlight w:val="none"/>
              </w:rPr>
              <w:t>A</w:t>
            </w:r>
            <w:r>
              <w:rPr>
                <w:rFonts w:hint="eastAsia"/>
                <w:color w:val="auto"/>
                <w:szCs w:val="21"/>
                <w:highlight w:val="none"/>
                <w:lang w:eastAsia="zh-CN"/>
              </w:rPr>
              <w:t>）</w:t>
            </w:r>
          </w:p>
          <w:tbl>
            <w:tblPr>
              <w:tblStyle w:val="27"/>
              <w:tblW w:w="49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946"/>
              <w:gridCol w:w="906"/>
              <w:gridCol w:w="921"/>
              <w:gridCol w:w="842"/>
              <w:gridCol w:w="851"/>
              <w:gridCol w:w="842"/>
              <w:gridCol w:w="851"/>
              <w:gridCol w:w="843"/>
              <w:gridCol w:w="863"/>
            </w:tblGrid>
            <w:tr w14:paraId="73CA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12" w:type="pct"/>
                  <w:vMerge w:val="restart"/>
                  <w:vAlign w:val="center"/>
                </w:tcPr>
                <w:p w14:paraId="1BFC8A85">
                  <w:pPr>
                    <w:widowControl/>
                    <w:jc w:val="center"/>
                    <w:rPr>
                      <w:b/>
                      <w:color w:val="auto"/>
                      <w:kern w:val="0"/>
                      <w:szCs w:val="21"/>
                      <w:highlight w:val="none"/>
                    </w:rPr>
                  </w:pPr>
                  <w:r>
                    <w:rPr>
                      <w:b/>
                      <w:color w:val="auto"/>
                      <w:kern w:val="0"/>
                      <w:szCs w:val="21"/>
                      <w:highlight w:val="none"/>
                    </w:rPr>
                    <w:t>噪声源</w:t>
                  </w:r>
                </w:p>
              </w:tc>
              <w:tc>
                <w:tcPr>
                  <w:tcW w:w="515" w:type="pct"/>
                  <w:vMerge w:val="restart"/>
                  <w:vAlign w:val="center"/>
                </w:tcPr>
                <w:p w14:paraId="35B7B443">
                  <w:pPr>
                    <w:widowControl/>
                    <w:jc w:val="center"/>
                    <w:rPr>
                      <w:b/>
                      <w:color w:val="auto"/>
                      <w:kern w:val="0"/>
                      <w:szCs w:val="21"/>
                      <w:highlight w:val="none"/>
                    </w:rPr>
                  </w:pPr>
                  <w:r>
                    <w:rPr>
                      <w:b/>
                      <w:color w:val="auto"/>
                      <w:kern w:val="0"/>
                      <w:szCs w:val="21"/>
                      <w:highlight w:val="none"/>
                    </w:rPr>
                    <w:t>叠加后噪声源强</w:t>
                  </w:r>
                </w:p>
              </w:tc>
              <w:tc>
                <w:tcPr>
                  <w:tcW w:w="3772" w:type="pct"/>
                  <w:gridSpan w:val="8"/>
                  <w:vAlign w:val="center"/>
                </w:tcPr>
                <w:p w14:paraId="02F7BB6F">
                  <w:pPr>
                    <w:widowControl/>
                    <w:jc w:val="center"/>
                    <w:rPr>
                      <w:b/>
                      <w:color w:val="auto"/>
                      <w:kern w:val="0"/>
                      <w:szCs w:val="21"/>
                      <w:highlight w:val="none"/>
                    </w:rPr>
                  </w:pPr>
                  <w:r>
                    <w:rPr>
                      <w:b/>
                      <w:color w:val="auto"/>
                      <w:kern w:val="0"/>
                      <w:szCs w:val="21"/>
                      <w:highlight w:val="none"/>
                    </w:rPr>
                    <w:t>厂界</w:t>
                  </w:r>
                </w:p>
              </w:tc>
            </w:tr>
            <w:tr w14:paraId="0EE6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12" w:type="pct"/>
                  <w:vMerge w:val="continue"/>
                  <w:vAlign w:val="center"/>
                </w:tcPr>
                <w:p w14:paraId="55AD0B73">
                  <w:pPr>
                    <w:widowControl/>
                    <w:jc w:val="center"/>
                    <w:rPr>
                      <w:b/>
                      <w:color w:val="auto"/>
                      <w:kern w:val="0"/>
                      <w:szCs w:val="21"/>
                      <w:highlight w:val="none"/>
                    </w:rPr>
                  </w:pPr>
                </w:p>
              </w:tc>
              <w:tc>
                <w:tcPr>
                  <w:tcW w:w="515" w:type="pct"/>
                  <w:vMerge w:val="continue"/>
                  <w:vAlign w:val="center"/>
                </w:tcPr>
                <w:p w14:paraId="4DD19169">
                  <w:pPr>
                    <w:widowControl/>
                    <w:jc w:val="center"/>
                    <w:rPr>
                      <w:b/>
                      <w:color w:val="auto"/>
                      <w:kern w:val="0"/>
                      <w:szCs w:val="21"/>
                      <w:highlight w:val="none"/>
                    </w:rPr>
                  </w:pPr>
                </w:p>
              </w:tc>
              <w:tc>
                <w:tcPr>
                  <w:tcW w:w="996" w:type="pct"/>
                  <w:gridSpan w:val="2"/>
                  <w:vAlign w:val="center"/>
                </w:tcPr>
                <w:p w14:paraId="510514B7">
                  <w:pPr>
                    <w:widowControl/>
                    <w:jc w:val="center"/>
                    <w:rPr>
                      <w:b/>
                      <w:color w:val="auto"/>
                      <w:kern w:val="0"/>
                      <w:szCs w:val="21"/>
                      <w:highlight w:val="none"/>
                    </w:rPr>
                  </w:pPr>
                  <w:r>
                    <w:rPr>
                      <w:b/>
                      <w:color w:val="auto"/>
                      <w:kern w:val="0"/>
                      <w:szCs w:val="21"/>
                      <w:highlight w:val="none"/>
                    </w:rPr>
                    <w:t>东</w:t>
                  </w:r>
                </w:p>
              </w:tc>
              <w:tc>
                <w:tcPr>
                  <w:tcW w:w="923" w:type="pct"/>
                  <w:gridSpan w:val="2"/>
                  <w:vAlign w:val="center"/>
                </w:tcPr>
                <w:p w14:paraId="124B4A67">
                  <w:pPr>
                    <w:widowControl/>
                    <w:jc w:val="center"/>
                    <w:rPr>
                      <w:b/>
                      <w:color w:val="auto"/>
                      <w:kern w:val="0"/>
                      <w:szCs w:val="21"/>
                      <w:highlight w:val="none"/>
                    </w:rPr>
                  </w:pPr>
                  <w:r>
                    <w:rPr>
                      <w:b/>
                      <w:color w:val="auto"/>
                      <w:kern w:val="0"/>
                      <w:szCs w:val="21"/>
                      <w:highlight w:val="none"/>
                    </w:rPr>
                    <w:t>南</w:t>
                  </w:r>
                </w:p>
              </w:tc>
              <w:tc>
                <w:tcPr>
                  <w:tcW w:w="923" w:type="pct"/>
                  <w:gridSpan w:val="2"/>
                  <w:vAlign w:val="center"/>
                </w:tcPr>
                <w:p w14:paraId="707328A4">
                  <w:pPr>
                    <w:widowControl/>
                    <w:jc w:val="center"/>
                    <w:rPr>
                      <w:b/>
                      <w:color w:val="auto"/>
                      <w:kern w:val="0"/>
                      <w:szCs w:val="21"/>
                      <w:highlight w:val="none"/>
                    </w:rPr>
                  </w:pPr>
                  <w:r>
                    <w:rPr>
                      <w:b/>
                      <w:color w:val="auto"/>
                      <w:kern w:val="0"/>
                      <w:szCs w:val="21"/>
                      <w:highlight w:val="none"/>
                    </w:rPr>
                    <w:t>西</w:t>
                  </w:r>
                </w:p>
              </w:tc>
              <w:tc>
                <w:tcPr>
                  <w:tcW w:w="930" w:type="pct"/>
                  <w:gridSpan w:val="2"/>
                  <w:vAlign w:val="center"/>
                </w:tcPr>
                <w:p w14:paraId="0161D7B3">
                  <w:pPr>
                    <w:widowControl/>
                    <w:jc w:val="center"/>
                    <w:rPr>
                      <w:b/>
                      <w:color w:val="auto"/>
                      <w:kern w:val="0"/>
                      <w:szCs w:val="21"/>
                      <w:highlight w:val="none"/>
                    </w:rPr>
                  </w:pPr>
                  <w:r>
                    <w:rPr>
                      <w:b/>
                      <w:color w:val="auto"/>
                      <w:kern w:val="0"/>
                      <w:szCs w:val="21"/>
                      <w:highlight w:val="none"/>
                    </w:rPr>
                    <w:t>北</w:t>
                  </w:r>
                </w:p>
              </w:tc>
            </w:tr>
            <w:tr w14:paraId="60C2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12" w:type="pct"/>
                  <w:vMerge w:val="continue"/>
                  <w:vAlign w:val="center"/>
                </w:tcPr>
                <w:p w14:paraId="7BE3040B">
                  <w:pPr>
                    <w:widowControl/>
                    <w:jc w:val="center"/>
                    <w:rPr>
                      <w:b/>
                      <w:color w:val="auto"/>
                      <w:kern w:val="0"/>
                      <w:szCs w:val="21"/>
                      <w:highlight w:val="none"/>
                    </w:rPr>
                  </w:pPr>
                </w:p>
              </w:tc>
              <w:tc>
                <w:tcPr>
                  <w:tcW w:w="515" w:type="pct"/>
                  <w:vMerge w:val="continue"/>
                  <w:vAlign w:val="center"/>
                </w:tcPr>
                <w:p w14:paraId="42B6A720">
                  <w:pPr>
                    <w:widowControl/>
                    <w:jc w:val="center"/>
                    <w:rPr>
                      <w:b/>
                      <w:color w:val="auto"/>
                      <w:kern w:val="0"/>
                      <w:szCs w:val="21"/>
                      <w:highlight w:val="none"/>
                    </w:rPr>
                  </w:pPr>
                </w:p>
              </w:tc>
              <w:tc>
                <w:tcPr>
                  <w:tcW w:w="493" w:type="pct"/>
                  <w:vAlign w:val="center"/>
                </w:tcPr>
                <w:p w14:paraId="3CF01DA5">
                  <w:pPr>
                    <w:widowControl/>
                    <w:jc w:val="center"/>
                    <w:rPr>
                      <w:b/>
                      <w:color w:val="auto"/>
                      <w:kern w:val="0"/>
                      <w:szCs w:val="21"/>
                      <w:highlight w:val="none"/>
                    </w:rPr>
                  </w:pPr>
                  <w:r>
                    <w:rPr>
                      <w:b/>
                      <w:color w:val="auto"/>
                      <w:kern w:val="0"/>
                      <w:szCs w:val="21"/>
                      <w:highlight w:val="none"/>
                    </w:rPr>
                    <w:t>距离</w:t>
                  </w:r>
                  <w:r>
                    <w:rPr>
                      <w:rFonts w:hint="eastAsia"/>
                      <w:b/>
                      <w:color w:val="auto"/>
                      <w:kern w:val="0"/>
                      <w:szCs w:val="21"/>
                      <w:highlight w:val="none"/>
                    </w:rPr>
                    <w:t>/m</w:t>
                  </w:r>
                </w:p>
              </w:tc>
              <w:tc>
                <w:tcPr>
                  <w:tcW w:w="502" w:type="pct"/>
                  <w:vAlign w:val="center"/>
                </w:tcPr>
                <w:p w14:paraId="0158F8EC">
                  <w:pPr>
                    <w:widowControl/>
                    <w:jc w:val="center"/>
                    <w:rPr>
                      <w:b/>
                      <w:color w:val="auto"/>
                      <w:kern w:val="0"/>
                      <w:szCs w:val="21"/>
                      <w:highlight w:val="none"/>
                    </w:rPr>
                  </w:pPr>
                  <w:r>
                    <w:rPr>
                      <w:b/>
                      <w:color w:val="auto"/>
                      <w:kern w:val="0"/>
                      <w:szCs w:val="21"/>
                      <w:highlight w:val="none"/>
                    </w:rPr>
                    <w:t>贡献值</w:t>
                  </w:r>
                </w:p>
              </w:tc>
              <w:tc>
                <w:tcPr>
                  <w:tcW w:w="459" w:type="pct"/>
                  <w:vAlign w:val="center"/>
                </w:tcPr>
                <w:p w14:paraId="4A6AE839">
                  <w:pPr>
                    <w:widowControl/>
                    <w:jc w:val="center"/>
                    <w:rPr>
                      <w:b/>
                      <w:color w:val="auto"/>
                      <w:kern w:val="0"/>
                      <w:szCs w:val="21"/>
                      <w:highlight w:val="none"/>
                    </w:rPr>
                  </w:pPr>
                  <w:r>
                    <w:rPr>
                      <w:b/>
                      <w:color w:val="auto"/>
                      <w:kern w:val="0"/>
                      <w:szCs w:val="21"/>
                      <w:highlight w:val="none"/>
                    </w:rPr>
                    <w:t>距离</w:t>
                  </w:r>
                  <w:r>
                    <w:rPr>
                      <w:rFonts w:hint="eastAsia"/>
                      <w:b/>
                      <w:color w:val="auto"/>
                      <w:kern w:val="0"/>
                      <w:szCs w:val="21"/>
                      <w:highlight w:val="none"/>
                    </w:rPr>
                    <w:t>/m</w:t>
                  </w:r>
                </w:p>
              </w:tc>
              <w:tc>
                <w:tcPr>
                  <w:tcW w:w="463" w:type="pct"/>
                  <w:vAlign w:val="center"/>
                </w:tcPr>
                <w:p w14:paraId="5CAE9F61">
                  <w:pPr>
                    <w:widowControl/>
                    <w:jc w:val="center"/>
                    <w:rPr>
                      <w:b/>
                      <w:color w:val="auto"/>
                      <w:kern w:val="0"/>
                      <w:szCs w:val="21"/>
                      <w:highlight w:val="none"/>
                    </w:rPr>
                  </w:pPr>
                  <w:r>
                    <w:rPr>
                      <w:b/>
                      <w:color w:val="auto"/>
                      <w:kern w:val="0"/>
                      <w:szCs w:val="21"/>
                      <w:highlight w:val="none"/>
                    </w:rPr>
                    <w:t>贡献值</w:t>
                  </w:r>
                </w:p>
              </w:tc>
              <w:tc>
                <w:tcPr>
                  <w:tcW w:w="459" w:type="pct"/>
                  <w:vAlign w:val="center"/>
                </w:tcPr>
                <w:p w14:paraId="4F91734B">
                  <w:pPr>
                    <w:widowControl/>
                    <w:jc w:val="center"/>
                    <w:rPr>
                      <w:b/>
                      <w:color w:val="auto"/>
                      <w:kern w:val="0"/>
                      <w:szCs w:val="21"/>
                      <w:highlight w:val="none"/>
                    </w:rPr>
                  </w:pPr>
                  <w:r>
                    <w:rPr>
                      <w:b/>
                      <w:color w:val="auto"/>
                      <w:kern w:val="0"/>
                      <w:szCs w:val="21"/>
                      <w:highlight w:val="none"/>
                    </w:rPr>
                    <w:t>距离</w:t>
                  </w:r>
                  <w:r>
                    <w:rPr>
                      <w:rFonts w:hint="eastAsia"/>
                      <w:b/>
                      <w:color w:val="auto"/>
                      <w:kern w:val="0"/>
                      <w:szCs w:val="21"/>
                      <w:highlight w:val="none"/>
                    </w:rPr>
                    <w:t>/m</w:t>
                  </w:r>
                </w:p>
              </w:tc>
              <w:tc>
                <w:tcPr>
                  <w:tcW w:w="463" w:type="pct"/>
                  <w:vAlign w:val="center"/>
                </w:tcPr>
                <w:p w14:paraId="75478CE7">
                  <w:pPr>
                    <w:widowControl/>
                    <w:jc w:val="center"/>
                    <w:rPr>
                      <w:b/>
                      <w:color w:val="auto"/>
                      <w:kern w:val="0"/>
                      <w:szCs w:val="21"/>
                      <w:highlight w:val="none"/>
                    </w:rPr>
                  </w:pPr>
                  <w:r>
                    <w:rPr>
                      <w:b/>
                      <w:color w:val="auto"/>
                      <w:kern w:val="0"/>
                      <w:szCs w:val="21"/>
                      <w:highlight w:val="none"/>
                    </w:rPr>
                    <w:t>贡献值</w:t>
                  </w:r>
                </w:p>
              </w:tc>
              <w:tc>
                <w:tcPr>
                  <w:tcW w:w="459" w:type="pct"/>
                  <w:vAlign w:val="center"/>
                </w:tcPr>
                <w:p w14:paraId="5A40B98A">
                  <w:pPr>
                    <w:widowControl/>
                    <w:jc w:val="center"/>
                    <w:rPr>
                      <w:b/>
                      <w:color w:val="auto"/>
                      <w:kern w:val="0"/>
                      <w:szCs w:val="21"/>
                      <w:highlight w:val="none"/>
                    </w:rPr>
                  </w:pPr>
                  <w:r>
                    <w:rPr>
                      <w:b/>
                      <w:color w:val="auto"/>
                      <w:kern w:val="0"/>
                      <w:szCs w:val="21"/>
                      <w:highlight w:val="none"/>
                    </w:rPr>
                    <w:t>距离</w:t>
                  </w:r>
                  <w:r>
                    <w:rPr>
                      <w:rFonts w:hint="eastAsia"/>
                      <w:b/>
                      <w:color w:val="auto"/>
                      <w:kern w:val="0"/>
                      <w:szCs w:val="21"/>
                      <w:highlight w:val="none"/>
                    </w:rPr>
                    <w:t>/m</w:t>
                  </w:r>
                </w:p>
              </w:tc>
              <w:tc>
                <w:tcPr>
                  <w:tcW w:w="470" w:type="pct"/>
                  <w:vAlign w:val="center"/>
                </w:tcPr>
                <w:p w14:paraId="44F1FB6C">
                  <w:pPr>
                    <w:widowControl/>
                    <w:jc w:val="center"/>
                    <w:rPr>
                      <w:b/>
                      <w:color w:val="auto"/>
                      <w:kern w:val="0"/>
                      <w:szCs w:val="21"/>
                      <w:highlight w:val="none"/>
                    </w:rPr>
                  </w:pPr>
                  <w:r>
                    <w:rPr>
                      <w:b/>
                      <w:color w:val="auto"/>
                      <w:kern w:val="0"/>
                      <w:szCs w:val="21"/>
                      <w:highlight w:val="none"/>
                    </w:rPr>
                    <w:t>贡献值</w:t>
                  </w:r>
                </w:p>
              </w:tc>
            </w:tr>
            <w:tr w14:paraId="1798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12" w:type="pct"/>
                  <w:vAlign w:val="center"/>
                </w:tcPr>
                <w:p w14:paraId="29643C53">
                  <w:pPr>
                    <w:pStyle w:val="109"/>
                    <w:spacing w:line="240" w:lineRule="auto"/>
                    <w:rPr>
                      <w:rFonts w:hint="default" w:eastAsia="宋体"/>
                      <w:color w:val="auto"/>
                      <w:highlight w:val="none"/>
                      <w:lang w:val="en-US" w:eastAsia="zh-CN"/>
                    </w:rPr>
                  </w:pPr>
                  <w:r>
                    <w:rPr>
                      <w:rFonts w:hint="eastAsia"/>
                      <w:color w:val="auto"/>
                      <w:highlight w:val="none"/>
                      <w:lang w:val="en-US" w:eastAsia="zh-CN"/>
                    </w:rPr>
                    <w:t>生产车间</w:t>
                  </w:r>
                </w:p>
              </w:tc>
              <w:tc>
                <w:tcPr>
                  <w:tcW w:w="515" w:type="pct"/>
                  <w:vAlign w:val="center"/>
                </w:tcPr>
                <w:p w14:paraId="202F1F2D">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75.7</w:t>
                  </w:r>
                </w:p>
              </w:tc>
              <w:tc>
                <w:tcPr>
                  <w:tcW w:w="493" w:type="pct"/>
                  <w:noWrap/>
                  <w:vAlign w:val="center"/>
                </w:tcPr>
                <w:p w14:paraId="58121347">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125</w:t>
                  </w:r>
                </w:p>
              </w:tc>
              <w:tc>
                <w:tcPr>
                  <w:tcW w:w="502" w:type="pct"/>
                  <w:noWrap/>
                  <w:vAlign w:val="center"/>
                </w:tcPr>
                <w:p w14:paraId="629A9293">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33.8</w:t>
                  </w:r>
                </w:p>
              </w:tc>
              <w:tc>
                <w:tcPr>
                  <w:tcW w:w="459" w:type="pct"/>
                  <w:noWrap/>
                  <w:vAlign w:val="center"/>
                </w:tcPr>
                <w:p w14:paraId="20B07D65">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18</w:t>
                  </w:r>
                </w:p>
              </w:tc>
              <w:tc>
                <w:tcPr>
                  <w:tcW w:w="463" w:type="pct"/>
                  <w:noWrap/>
                  <w:vAlign w:val="center"/>
                </w:tcPr>
                <w:p w14:paraId="75292C97">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50.6</w:t>
                  </w:r>
                </w:p>
              </w:tc>
              <w:tc>
                <w:tcPr>
                  <w:tcW w:w="459" w:type="pct"/>
                  <w:noWrap/>
                  <w:vAlign w:val="center"/>
                </w:tcPr>
                <w:p w14:paraId="7DA9BE95">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135</w:t>
                  </w:r>
                </w:p>
              </w:tc>
              <w:tc>
                <w:tcPr>
                  <w:tcW w:w="463" w:type="pct"/>
                  <w:noWrap/>
                  <w:vAlign w:val="center"/>
                </w:tcPr>
                <w:p w14:paraId="74C9F330">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33.1</w:t>
                  </w:r>
                </w:p>
              </w:tc>
              <w:tc>
                <w:tcPr>
                  <w:tcW w:w="459" w:type="pct"/>
                  <w:noWrap/>
                  <w:vAlign w:val="center"/>
                </w:tcPr>
                <w:p w14:paraId="4791BB65">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99</w:t>
                  </w:r>
                </w:p>
              </w:tc>
              <w:tc>
                <w:tcPr>
                  <w:tcW w:w="470" w:type="pct"/>
                  <w:noWrap/>
                  <w:vAlign w:val="center"/>
                </w:tcPr>
                <w:p w14:paraId="137B8371">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35.8</w:t>
                  </w:r>
                </w:p>
              </w:tc>
            </w:tr>
            <w:tr w14:paraId="42B2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12" w:type="pct"/>
                  <w:vAlign w:val="center"/>
                </w:tcPr>
                <w:p w14:paraId="4833B973">
                  <w:pPr>
                    <w:pStyle w:val="109"/>
                    <w:spacing w:line="240" w:lineRule="auto"/>
                    <w:rPr>
                      <w:rFonts w:hint="default"/>
                      <w:color w:val="auto"/>
                      <w:highlight w:val="none"/>
                      <w:lang w:val="en-US" w:eastAsia="zh-CN"/>
                    </w:rPr>
                  </w:pPr>
                  <w:r>
                    <w:rPr>
                      <w:rFonts w:hint="eastAsia"/>
                      <w:color w:val="auto"/>
                      <w:highlight w:val="none"/>
                      <w:lang w:val="en-US" w:eastAsia="zh-CN"/>
                    </w:rPr>
                    <w:t>锅炉水处理车间</w:t>
                  </w:r>
                </w:p>
              </w:tc>
              <w:tc>
                <w:tcPr>
                  <w:tcW w:w="515" w:type="pct"/>
                  <w:vAlign w:val="center"/>
                </w:tcPr>
                <w:p w14:paraId="3E0D986D">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70</w:t>
                  </w:r>
                </w:p>
              </w:tc>
              <w:tc>
                <w:tcPr>
                  <w:tcW w:w="493" w:type="pct"/>
                  <w:noWrap/>
                  <w:vAlign w:val="center"/>
                </w:tcPr>
                <w:p w14:paraId="4F21AB27">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58</w:t>
                  </w:r>
                </w:p>
              </w:tc>
              <w:tc>
                <w:tcPr>
                  <w:tcW w:w="502" w:type="pct"/>
                  <w:noWrap/>
                  <w:vAlign w:val="center"/>
                </w:tcPr>
                <w:p w14:paraId="175F7DE1">
                  <w:pPr>
                    <w:widowControl/>
                    <w:jc w:val="center"/>
                    <w:textAlignment w:val="bottom"/>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34.7</w:t>
                  </w:r>
                </w:p>
              </w:tc>
              <w:tc>
                <w:tcPr>
                  <w:tcW w:w="459" w:type="pct"/>
                  <w:noWrap/>
                  <w:vAlign w:val="center"/>
                </w:tcPr>
                <w:p w14:paraId="636B9ABB">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117</w:t>
                  </w:r>
                </w:p>
              </w:tc>
              <w:tc>
                <w:tcPr>
                  <w:tcW w:w="463" w:type="pct"/>
                  <w:noWrap/>
                  <w:vAlign w:val="center"/>
                </w:tcPr>
                <w:p w14:paraId="1DB8B1B3">
                  <w:pPr>
                    <w:widowControl/>
                    <w:jc w:val="center"/>
                    <w:textAlignment w:val="bottom"/>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28.6</w:t>
                  </w:r>
                </w:p>
              </w:tc>
              <w:tc>
                <w:tcPr>
                  <w:tcW w:w="459" w:type="pct"/>
                  <w:noWrap/>
                  <w:vAlign w:val="center"/>
                </w:tcPr>
                <w:p w14:paraId="1432F9D9">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251</w:t>
                  </w:r>
                </w:p>
              </w:tc>
              <w:tc>
                <w:tcPr>
                  <w:tcW w:w="463" w:type="pct"/>
                  <w:noWrap/>
                  <w:vAlign w:val="center"/>
                </w:tcPr>
                <w:p w14:paraId="7BB1B3DC">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22.0</w:t>
                  </w:r>
                </w:p>
              </w:tc>
              <w:tc>
                <w:tcPr>
                  <w:tcW w:w="459" w:type="pct"/>
                  <w:noWrap/>
                  <w:vAlign w:val="center"/>
                </w:tcPr>
                <w:p w14:paraId="5FD2BB61">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10</w:t>
                  </w:r>
                </w:p>
              </w:tc>
              <w:tc>
                <w:tcPr>
                  <w:tcW w:w="470" w:type="pct"/>
                  <w:noWrap/>
                  <w:vAlign w:val="center"/>
                </w:tcPr>
                <w:p w14:paraId="1B155176">
                  <w:pPr>
                    <w:widowControl/>
                    <w:jc w:val="center"/>
                    <w:textAlignment w:val="bottom"/>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50</w:t>
                  </w:r>
                </w:p>
              </w:tc>
            </w:tr>
            <w:tr w14:paraId="41BF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12" w:type="pct"/>
                  <w:vAlign w:val="center"/>
                </w:tcPr>
                <w:p w14:paraId="4662A64A">
                  <w:pPr>
                    <w:kinsoku w:val="0"/>
                    <w:overflowPunct w:val="0"/>
                    <w:autoSpaceDE w:val="0"/>
                    <w:autoSpaceDN w:val="0"/>
                    <w:adjustRightIn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厂界围墙隔声量</w:t>
                  </w:r>
                </w:p>
              </w:tc>
              <w:tc>
                <w:tcPr>
                  <w:tcW w:w="4287" w:type="pct"/>
                  <w:gridSpan w:val="9"/>
                  <w:vAlign w:val="center"/>
                </w:tcPr>
                <w:p w14:paraId="5BD4955F">
                  <w:pPr>
                    <w:widowControl/>
                    <w:jc w:val="center"/>
                    <w:textAlignment w:val="bottom"/>
                    <w:rPr>
                      <w:rFonts w:hint="eastAsia" w:ascii="Times New Roman" w:hAnsi="Times New Roman" w:eastAsia="宋体" w:cs="Times New Roman"/>
                      <w:color w:val="auto"/>
                      <w:kern w:val="0"/>
                      <w:szCs w:val="21"/>
                      <w:highlight w:val="none"/>
                      <w:lang w:val="en-US" w:eastAsia="zh-CN" w:bidi="ar"/>
                    </w:rPr>
                  </w:pPr>
                  <w:r>
                    <w:rPr>
                      <w:rFonts w:hint="eastAsia"/>
                      <w:color w:val="auto"/>
                      <w:kern w:val="0"/>
                      <w:szCs w:val="21"/>
                      <w:highlight w:val="none"/>
                      <w:lang w:val="en-US" w:eastAsia="zh-CN" w:bidi="ar"/>
                    </w:rPr>
                    <w:t>10</w:t>
                  </w:r>
                </w:p>
              </w:tc>
            </w:tr>
            <w:tr w14:paraId="42BF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227" w:type="pct"/>
                  <w:gridSpan w:val="2"/>
                  <w:vAlign w:val="center"/>
                </w:tcPr>
                <w:p w14:paraId="6731ACAB">
                  <w:pPr>
                    <w:widowControl/>
                    <w:jc w:val="center"/>
                    <w:rPr>
                      <w:color w:val="auto"/>
                      <w:kern w:val="0"/>
                      <w:szCs w:val="21"/>
                      <w:highlight w:val="none"/>
                    </w:rPr>
                  </w:pPr>
                  <w:r>
                    <w:rPr>
                      <w:color w:val="auto"/>
                      <w:kern w:val="0"/>
                      <w:szCs w:val="21"/>
                      <w:highlight w:val="none"/>
                    </w:rPr>
                    <w:t>厂界噪声贡献值</w:t>
                  </w:r>
                </w:p>
              </w:tc>
              <w:tc>
                <w:tcPr>
                  <w:tcW w:w="1827" w:type="dxa"/>
                  <w:gridSpan w:val="2"/>
                  <w:vAlign w:val="center"/>
                </w:tcPr>
                <w:p w14:paraId="74B9D405">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27.3</w:t>
                  </w:r>
                </w:p>
              </w:tc>
              <w:tc>
                <w:tcPr>
                  <w:tcW w:w="1693" w:type="dxa"/>
                  <w:gridSpan w:val="2"/>
                  <w:vAlign w:val="center"/>
                </w:tcPr>
                <w:p w14:paraId="3FCBB158">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40.6</w:t>
                  </w:r>
                </w:p>
              </w:tc>
              <w:tc>
                <w:tcPr>
                  <w:tcW w:w="1693" w:type="dxa"/>
                  <w:gridSpan w:val="2"/>
                  <w:vAlign w:val="center"/>
                </w:tcPr>
                <w:p w14:paraId="4C078EC2">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1706" w:type="dxa"/>
                  <w:gridSpan w:val="2"/>
                  <w:vAlign w:val="center"/>
                </w:tcPr>
                <w:p w14:paraId="3B386C3F">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40.2</w:t>
                  </w:r>
                </w:p>
              </w:tc>
            </w:tr>
          </w:tbl>
          <w:p w14:paraId="77C782DD">
            <w:pPr>
              <w:spacing w:line="360" w:lineRule="auto"/>
              <w:ind w:firstLine="480" w:firstLineChars="200"/>
              <w:rPr>
                <w:rFonts w:hint="eastAsia" w:ascii="Calibri" w:hAnsi="Calibri"/>
                <w:color w:val="auto"/>
                <w:sz w:val="24"/>
                <w:highlight w:val="none"/>
                <w:lang w:val="en-US" w:eastAsia="zh-CN"/>
              </w:rPr>
            </w:pPr>
            <w:r>
              <w:rPr>
                <w:rFonts w:hint="eastAsia" w:ascii="Calibri" w:hAnsi="Calibri"/>
                <w:color w:val="auto"/>
                <w:sz w:val="24"/>
                <w:highlight w:val="none"/>
                <w:lang w:val="en-US" w:eastAsia="zh-CN"/>
              </w:rPr>
              <w:t>根据厂区2024年6月例行监测数据，本技改项目建成后全厂厂界噪声排放情况如下：</w:t>
            </w:r>
          </w:p>
          <w:p w14:paraId="17CF2E95">
            <w:pPr>
              <w:pStyle w:val="41"/>
              <w:tabs>
                <w:tab w:val="left" w:pos="0"/>
                <w:tab w:val="clear" w:pos="397"/>
              </w:tabs>
              <w:rPr>
                <w:rFonts w:hint="eastAsia"/>
                <w:bCs/>
                <w:color w:val="auto"/>
                <w:szCs w:val="21"/>
                <w:highlight w:val="none"/>
                <w:lang w:val="en-US" w:eastAsia="zh-CN"/>
              </w:rPr>
            </w:pPr>
            <w:r>
              <w:rPr>
                <w:rFonts w:hint="eastAsia"/>
                <w:bCs/>
                <w:color w:val="auto"/>
                <w:szCs w:val="21"/>
                <w:highlight w:val="none"/>
                <w:lang w:val="en-US" w:eastAsia="zh-CN"/>
              </w:rPr>
              <w:t>本项目建成后厂界噪声预测排放情况表</w:t>
            </w:r>
            <w:r>
              <w:rPr>
                <w:color w:val="auto"/>
                <w:szCs w:val="21"/>
                <w:highlight w:val="none"/>
              </w:rPr>
              <w:t>单位：dB</w:t>
            </w:r>
            <w:r>
              <w:rPr>
                <w:rFonts w:hint="eastAsia"/>
                <w:color w:val="auto"/>
                <w:szCs w:val="21"/>
                <w:highlight w:val="none"/>
                <w:lang w:eastAsia="zh-CN"/>
              </w:rPr>
              <w:t>（</w:t>
            </w:r>
            <w:r>
              <w:rPr>
                <w:color w:val="auto"/>
                <w:szCs w:val="21"/>
                <w:highlight w:val="none"/>
              </w:rPr>
              <w:t>A</w:t>
            </w:r>
            <w:r>
              <w:rPr>
                <w:rFonts w:hint="eastAsia"/>
                <w:color w:val="auto"/>
                <w:szCs w:val="21"/>
                <w:highlight w:val="none"/>
                <w:lang w:eastAsia="zh-CN"/>
              </w:rPr>
              <w:t>）</w:t>
            </w:r>
          </w:p>
          <w:tbl>
            <w:tblPr>
              <w:tblStyle w:val="27"/>
              <w:tblW w:w="49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945"/>
              <w:gridCol w:w="1028"/>
              <w:gridCol w:w="994"/>
              <w:gridCol w:w="962"/>
              <w:gridCol w:w="995"/>
              <w:gridCol w:w="1011"/>
              <w:gridCol w:w="1083"/>
              <w:gridCol w:w="863"/>
            </w:tblGrid>
            <w:tr w14:paraId="7965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7" w:hRule="atLeast"/>
              </w:trPr>
              <w:tc>
                <w:tcPr>
                  <w:tcW w:w="703" w:type="pct"/>
                  <w:vMerge w:val="restart"/>
                  <w:vAlign w:val="center"/>
                </w:tcPr>
                <w:p w14:paraId="72A41250">
                  <w:pPr>
                    <w:widowControl/>
                    <w:jc w:val="center"/>
                    <w:rPr>
                      <w:rFonts w:hint="eastAsia" w:eastAsia="宋体"/>
                      <w:b/>
                      <w:color w:val="auto"/>
                      <w:kern w:val="0"/>
                      <w:szCs w:val="21"/>
                      <w:highlight w:val="none"/>
                      <w:lang w:eastAsia="zh-CN"/>
                    </w:rPr>
                  </w:pPr>
                  <w:r>
                    <w:rPr>
                      <w:rFonts w:hint="eastAsia"/>
                      <w:b/>
                      <w:color w:val="auto"/>
                      <w:kern w:val="0"/>
                      <w:szCs w:val="21"/>
                      <w:highlight w:val="none"/>
                      <w:lang w:val="en-US" w:eastAsia="zh-CN"/>
                    </w:rPr>
                    <w:t>项目</w:t>
                  </w:r>
                </w:p>
              </w:tc>
              <w:tc>
                <w:tcPr>
                  <w:tcW w:w="4296" w:type="pct"/>
                  <w:gridSpan w:val="8"/>
                  <w:vAlign w:val="center"/>
                </w:tcPr>
                <w:p w14:paraId="40C2C887">
                  <w:pPr>
                    <w:widowControl/>
                    <w:jc w:val="center"/>
                    <w:rPr>
                      <w:b/>
                      <w:color w:val="auto"/>
                      <w:kern w:val="0"/>
                      <w:szCs w:val="21"/>
                      <w:highlight w:val="none"/>
                    </w:rPr>
                  </w:pPr>
                  <w:r>
                    <w:rPr>
                      <w:b/>
                      <w:color w:val="auto"/>
                      <w:kern w:val="0"/>
                      <w:szCs w:val="21"/>
                      <w:highlight w:val="none"/>
                    </w:rPr>
                    <w:t>厂界</w:t>
                  </w:r>
                </w:p>
              </w:tc>
            </w:tr>
            <w:tr w14:paraId="7B6F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03" w:type="pct"/>
                  <w:vMerge w:val="continue"/>
                  <w:vAlign w:val="center"/>
                </w:tcPr>
                <w:p w14:paraId="06B2915B">
                  <w:pPr>
                    <w:widowControl/>
                    <w:jc w:val="center"/>
                    <w:rPr>
                      <w:b/>
                      <w:color w:val="auto"/>
                      <w:kern w:val="0"/>
                      <w:szCs w:val="21"/>
                      <w:highlight w:val="none"/>
                    </w:rPr>
                  </w:pPr>
                </w:p>
              </w:tc>
              <w:tc>
                <w:tcPr>
                  <w:tcW w:w="1075" w:type="pct"/>
                  <w:gridSpan w:val="2"/>
                  <w:vAlign w:val="center"/>
                </w:tcPr>
                <w:p w14:paraId="15D2577B">
                  <w:pPr>
                    <w:widowControl/>
                    <w:jc w:val="center"/>
                    <w:rPr>
                      <w:b/>
                      <w:color w:val="auto"/>
                      <w:kern w:val="0"/>
                      <w:szCs w:val="21"/>
                      <w:highlight w:val="none"/>
                    </w:rPr>
                  </w:pPr>
                  <w:r>
                    <w:rPr>
                      <w:b/>
                      <w:color w:val="auto"/>
                      <w:kern w:val="0"/>
                      <w:szCs w:val="21"/>
                      <w:highlight w:val="none"/>
                    </w:rPr>
                    <w:t>东</w:t>
                  </w:r>
                </w:p>
              </w:tc>
              <w:tc>
                <w:tcPr>
                  <w:tcW w:w="1066" w:type="pct"/>
                  <w:gridSpan w:val="2"/>
                  <w:vAlign w:val="center"/>
                </w:tcPr>
                <w:p w14:paraId="719E22F2">
                  <w:pPr>
                    <w:widowControl/>
                    <w:jc w:val="center"/>
                    <w:rPr>
                      <w:b/>
                      <w:color w:val="auto"/>
                      <w:kern w:val="0"/>
                      <w:szCs w:val="21"/>
                      <w:highlight w:val="none"/>
                    </w:rPr>
                  </w:pPr>
                  <w:r>
                    <w:rPr>
                      <w:b/>
                      <w:color w:val="auto"/>
                      <w:kern w:val="0"/>
                      <w:szCs w:val="21"/>
                      <w:highlight w:val="none"/>
                    </w:rPr>
                    <w:t>南</w:t>
                  </w:r>
                </w:p>
              </w:tc>
              <w:tc>
                <w:tcPr>
                  <w:tcW w:w="1093" w:type="pct"/>
                  <w:gridSpan w:val="2"/>
                  <w:vAlign w:val="center"/>
                </w:tcPr>
                <w:p w14:paraId="4A4A51E7">
                  <w:pPr>
                    <w:widowControl/>
                    <w:jc w:val="center"/>
                    <w:rPr>
                      <w:b/>
                      <w:color w:val="auto"/>
                      <w:kern w:val="0"/>
                      <w:szCs w:val="21"/>
                      <w:highlight w:val="none"/>
                    </w:rPr>
                  </w:pPr>
                  <w:r>
                    <w:rPr>
                      <w:b/>
                      <w:color w:val="auto"/>
                      <w:kern w:val="0"/>
                      <w:szCs w:val="21"/>
                      <w:highlight w:val="none"/>
                    </w:rPr>
                    <w:t>西</w:t>
                  </w:r>
                </w:p>
              </w:tc>
              <w:tc>
                <w:tcPr>
                  <w:tcW w:w="1060" w:type="pct"/>
                  <w:gridSpan w:val="2"/>
                  <w:vAlign w:val="center"/>
                </w:tcPr>
                <w:p w14:paraId="088DA235">
                  <w:pPr>
                    <w:widowControl/>
                    <w:jc w:val="center"/>
                    <w:rPr>
                      <w:b/>
                      <w:color w:val="auto"/>
                      <w:kern w:val="0"/>
                      <w:szCs w:val="21"/>
                      <w:highlight w:val="none"/>
                    </w:rPr>
                  </w:pPr>
                  <w:r>
                    <w:rPr>
                      <w:b/>
                      <w:color w:val="auto"/>
                      <w:kern w:val="0"/>
                      <w:szCs w:val="21"/>
                      <w:highlight w:val="none"/>
                    </w:rPr>
                    <w:t>北</w:t>
                  </w:r>
                </w:p>
              </w:tc>
            </w:tr>
            <w:tr w14:paraId="7188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03" w:type="pct"/>
                  <w:vMerge w:val="continue"/>
                  <w:vAlign w:val="center"/>
                </w:tcPr>
                <w:p w14:paraId="3B77B93F">
                  <w:pPr>
                    <w:widowControl/>
                    <w:jc w:val="center"/>
                    <w:rPr>
                      <w:b/>
                      <w:color w:val="auto"/>
                      <w:kern w:val="0"/>
                      <w:szCs w:val="21"/>
                      <w:highlight w:val="none"/>
                    </w:rPr>
                  </w:pPr>
                </w:p>
              </w:tc>
              <w:tc>
                <w:tcPr>
                  <w:tcW w:w="515" w:type="pct"/>
                  <w:vAlign w:val="center"/>
                </w:tcPr>
                <w:p w14:paraId="1F7FDA59">
                  <w:pPr>
                    <w:widowControl/>
                    <w:jc w:val="center"/>
                    <w:rPr>
                      <w:rFonts w:hint="default" w:eastAsia="宋体"/>
                      <w:b/>
                      <w:color w:val="auto"/>
                      <w:kern w:val="0"/>
                      <w:szCs w:val="21"/>
                      <w:highlight w:val="none"/>
                      <w:lang w:val="en-US" w:eastAsia="zh-CN"/>
                    </w:rPr>
                  </w:pPr>
                  <w:r>
                    <w:rPr>
                      <w:rFonts w:hint="eastAsia"/>
                      <w:b/>
                      <w:color w:val="auto"/>
                      <w:kern w:val="0"/>
                      <w:szCs w:val="21"/>
                      <w:highlight w:val="none"/>
                      <w:lang w:val="en-US" w:eastAsia="zh-CN"/>
                    </w:rPr>
                    <w:t>昼间</w:t>
                  </w:r>
                </w:p>
              </w:tc>
              <w:tc>
                <w:tcPr>
                  <w:tcW w:w="560" w:type="pct"/>
                  <w:vAlign w:val="center"/>
                </w:tcPr>
                <w:p w14:paraId="5AAB709F">
                  <w:pPr>
                    <w:widowControl/>
                    <w:jc w:val="center"/>
                    <w:rPr>
                      <w:rFonts w:hint="eastAsia" w:eastAsia="宋体"/>
                      <w:b/>
                      <w:color w:val="auto"/>
                      <w:kern w:val="0"/>
                      <w:szCs w:val="21"/>
                      <w:highlight w:val="none"/>
                      <w:lang w:val="en-US" w:eastAsia="zh-CN"/>
                    </w:rPr>
                  </w:pPr>
                  <w:r>
                    <w:rPr>
                      <w:rFonts w:hint="eastAsia"/>
                      <w:b/>
                      <w:color w:val="auto"/>
                      <w:kern w:val="0"/>
                      <w:szCs w:val="21"/>
                      <w:highlight w:val="none"/>
                      <w:lang w:val="en-US" w:eastAsia="zh-CN"/>
                    </w:rPr>
                    <w:t>夜间</w:t>
                  </w:r>
                </w:p>
              </w:tc>
              <w:tc>
                <w:tcPr>
                  <w:tcW w:w="541" w:type="pct"/>
                  <w:vAlign w:val="center"/>
                </w:tcPr>
                <w:p w14:paraId="3BC3DAFC">
                  <w:pPr>
                    <w:widowControl/>
                    <w:jc w:val="center"/>
                    <w:rPr>
                      <w:b/>
                      <w:color w:val="auto"/>
                      <w:kern w:val="0"/>
                      <w:szCs w:val="21"/>
                      <w:highlight w:val="none"/>
                    </w:rPr>
                  </w:pPr>
                  <w:r>
                    <w:rPr>
                      <w:rFonts w:hint="eastAsia"/>
                      <w:b/>
                      <w:color w:val="auto"/>
                      <w:kern w:val="0"/>
                      <w:szCs w:val="21"/>
                      <w:highlight w:val="none"/>
                      <w:lang w:val="en-US" w:eastAsia="zh-CN"/>
                    </w:rPr>
                    <w:t>昼间</w:t>
                  </w:r>
                </w:p>
              </w:tc>
              <w:tc>
                <w:tcPr>
                  <w:tcW w:w="524" w:type="pct"/>
                  <w:vAlign w:val="center"/>
                </w:tcPr>
                <w:p w14:paraId="74E4E35A">
                  <w:pPr>
                    <w:widowControl/>
                    <w:jc w:val="center"/>
                    <w:rPr>
                      <w:b/>
                      <w:color w:val="auto"/>
                      <w:kern w:val="0"/>
                      <w:szCs w:val="21"/>
                      <w:highlight w:val="none"/>
                    </w:rPr>
                  </w:pPr>
                  <w:r>
                    <w:rPr>
                      <w:rFonts w:hint="eastAsia"/>
                      <w:b/>
                      <w:color w:val="auto"/>
                      <w:kern w:val="0"/>
                      <w:szCs w:val="21"/>
                      <w:highlight w:val="none"/>
                      <w:lang w:val="en-US" w:eastAsia="zh-CN"/>
                    </w:rPr>
                    <w:t>夜间</w:t>
                  </w:r>
                </w:p>
              </w:tc>
              <w:tc>
                <w:tcPr>
                  <w:tcW w:w="542" w:type="pct"/>
                  <w:vAlign w:val="center"/>
                </w:tcPr>
                <w:p w14:paraId="697ECD60">
                  <w:pPr>
                    <w:widowControl/>
                    <w:jc w:val="center"/>
                    <w:rPr>
                      <w:b/>
                      <w:color w:val="auto"/>
                      <w:kern w:val="0"/>
                      <w:szCs w:val="21"/>
                      <w:highlight w:val="none"/>
                    </w:rPr>
                  </w:pPr>
                  <w:r>
                    <w:rPr>
                      <w:rFonts w:hint="eastAsia"/>
                      <w:b/>
                      <w:color w:val="auto"/>
                      <w:kern w:val="0"/>
                      <w:szCs w:val="21"/>
                      <w:highlight w:val="none"/>
                      <w:lang w:val="en-US" w:eastAsia="zh-CN"/>
                    </w:rPr>
                    <w:t>昼间</w:t>
                  </w:r>
                </w:p>
              </w:tc>
              <w:tc>
                <w:tcPr>
                  <w:tcW w:w="551" w:type="pct"/>
                  <w:vAlign w:val="center"/>
                </w:tcPr>
                <w:p w14:paraId="129CE68B">
                  <w:pPr>
                    <w:widowControl/>
                    <w:jc w:val="center"/>
                    <w:rPr>
                      <w:b/>
                      <w:color w:val="auto"/>
                      <w:kern w:val="0"/>
                      <w:szCs w:val="21"/>
                      <w:highlight w:val="none"/>
                    </w:rPr>
                  </w:pPr>
                  <w:r>
                    <w:rPr>
                      <w:rFonts w:hint="eastAsia"/>
                      <w:b/>
                      <w:color w:val="auto"/>
                      <w:kern w:val="0"/>
                      <w:szCs w:val="21"/>
                      <w:highlight w:val="none"/>
                      <w:lang w:val="en-US" w:eastAsia="zh-CN"/>
                    </w:rPr>
                    <w:t>夜间</w:t>
                  </w:r>
                </w:p>
              </w:tc>
              <w:tc>
                <w:tcPr>
                  <w:tcW w:w="590" w:type="pct"/>
                  <w:vAlign w:val="center"/>
                </w:tcPr>
                <w:p w14:paraId="5E80EE5B">
                  <w:pPr>
                    <w:widowControl/>
                    <w:jc w:val="center"/>
                    <w:rPr>
                      <w:b/>
                      <w:color w:val="auto"/>
                      <w:kern w:val="0"/>
                      <w:szCs w:val="21"/>
                      <w:highlight w:val="none"/>
                    </w:rPr>
                  </w:pPr>
                  <w:r>
                    <w:rPr>
                      <w:rFonts w:hint="eastAsia"/>
                      <w:b/>
                      <w:color w:val="auto"/>
                      <w:kern w:val="0"/>
                      <w:szCs w:val="21"/>
                      <w:highlight w:val="none"/>
                      <w:lang w:val="en-US" w:eastAsia="zh-CN"/>
                    </w:rPr>
                    <w:t>昼间</w:t>
                  </w:r>
                </w:p>
              </w:tc>
              <w:tc>
                <w:tcPr>
                  <w:tcW w:w="470" w:type="pct"/>
                  <w:vAlign w:val="center"/>
                </w:tcPr>
                <w:p w14:paraId="2AD163E1">
                  <w:pPr>
                    <w:widowControl/>
                    <w:jc w:val="center"/>
                    <w:rPr>
                      <w:b/>
                      <w:color w:val="auto"/>
                      <w:kern w:val="0"/>
                      <w:szCs w:val="21"/>
                      <w:highlight w:val="none"/>
                    </w:rPr>
                  </w:pPr>
                  <w:r>
                    <w:rPr>
                      <w:rFonts w:hint="eastAsia"/>
                      <w:b/>
                      <w:color w:val="auto"/>
                      <w:kern w:val="0"/>
                      <w:szCs w:val="21"/>
                      <w:highlight w:val="none"/>
                      <w:lang w:val="en-US" w:eastAsia="zh-CN"/>
                    </w:rPr>
                    <w:t>夜间</w:t>
                  </w:r>
                </w:p>
              </w:tc>
            </w:tr>
            <w:tr w14:paraId="5093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703" w:type="pct"/>
                  <w:vAlign w:val="center"/>
                </w:tcPr>
                <w:p w14:paraId="1BD775F7">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贡献值</w:t>
                  </w:r>
                </w:p>
              </w:tc>
              <w:tc>
                <w:tcPr>
                  <w:tcW w:w="945" w:type="dxa"/>
                  <w:noWrap/>
                  <w:vAlign w:val="bottom"/>
                </w:tcPr>
                <w:p w14:paraId="4AE59847">
                  <w:pPr>
                    <w:keepNext w:val="0"/>
                    <w:keepLines w:val="0"/>
                    <w:widowControl/>
                    <w:suppressLineNumbers w:val="0"/>
                    <w:jc w:val="center"/>
                    <w:textAlignment w:val="bottom"/>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27.3</w:t>
                  </w:r>
                </w:p>
              </w:tc>
              <w:tc>
                <w:tcPr>
                  <w:tcW w:w="1028" w:type="dxa"/>
                  <w:noWrap/>
                  <w:vAlign w:val="bottom"/>
                </w:tcPr>
                <w:p w14:paraId="50D25E2D">
                  <w:pPr>
                    <w:keepNext w:val="0"/>
                    <w:keepLines w:val="0"/>
                    <w:widowControl/>
                    <w:suppressLineNumbers w:val="0"/>
                    <w:jc w:val="center"/>
                    <w:textAlignment w:val="bottom"/>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27.3</w:t>
                  </w:r>
                </w:p>
              </w:tc>
              <w:tc>
                <w:tcPr>
                  <w:tcW w:w="994" w:type="dxa"/>
                  <w:noWrap/>
                  <w:vAlign w:val="bottom"/>
                </w:tcPr>
                <w:p w14:paraId="4ECF9FF0">
                  <w:pPr>
                    <w:keepNext w:val="0"/>
                    <w:keepLines w:val="0"/>
                    <w:widowControl/>
                    <w:suppressLineNumbers w:val="0"/>
                    <w:jc w:val="center"/>
                    <w:textAlignment w:val="bottom"/>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40.6</w:t>
                  </w:r>
                </w:p>
              </w:tc>
              <w:tc>
                <w:tcPr>
                  <w:tcW w:w="962" w:type="dxa"/>
                  <w:noWrap/>
                  <w:vAlign w:val="bottom"/>
                </w:tcPr>
                <w:p w14:paraId="446C30E3">
                  <w:pPr>
                    <w:keepNext w:val="0"/>
                    <w:keepLines w:val="0"/>
                    <w:widowControl/>
                    <w:suppressLineNumbers w:val="0"/>
                    <w:jc w:val="center"/>
                    <w:textAlignment w:val="bottom"/>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40.6</w:t>
                  </w:r>
                </w:p>
              </w:tc>
              <w:tc>
                <w:tcPr>
                  <w:tcW w:w="995" w:type="dxa"/>
                  <w:noWrap/>
                  <w:vAlign w:val="bottom"/>
                </w:tcPr>
                <w:p w14:paraId="2113CCCC">
                  <w:pPr>
                    <w:keepNext w:val="0"/>
                    <w:keepLines w:val="0"/>
                    <w:widowControl/>
                    <w:suppressLineNumbers w:val="0"/>
                    <w:jc w:val="center"/>
                    <w:textAlignment w:val="bottom"/>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1011" w:type="dxa"/>
                  <w:noWrap/>
                  <w:vAlign w:val="bottom"/>
                </w:tcPr>
                <w:p w14:paraId="6CA3E7A7">
                  <w:pPr>
                    <w:keepNext w:val="0"/>
                    <w:keepLines w:val="0"/>
                    <w:widowControl/>
                    <w:suppressLineNumbers w:val="0"/>
                    <w:jc w:val="center"/>
                    <w:textAlignment w:val="bottom"/>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1083" w:type="dxa"/>
                  <w:noWrap/>
                  <w:vAlign w:val="bottom"/>
                </w:tcPr>
                <w:p w14:paraId="1BD6548A">
                  <w:pPr>
                    <w:keepNext w:val="0"/>
                    <w:keepLines w:val="0"/>
                    <w:widowControl/>
                    <w:suppressLineNumbers w:val="0"/>
                    <w:jc w:val="center"/>
                    <w:textAlignment w:val="bottom"/>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40.2</w:t>
                  </w:r>
                </w:p>
              </w:tc>
              <w:tc>
                <w:tcPr>
                  <w:tcW w:w="863" w:type="dxa"/>
                  <w:noWrap/>
                  <w:vAlign w:val="bottom"/>
                </w:tcPr>
                <w:p w14:paraId="4C35985E">
                  <w:pPr>
                    <w:keepNext w:val="0"/>
                    <w:keepLines w:val="0"/>
                    <w:widowControl/>
                    <w:suppressLineNumbers w:val="0"/>
                    <w:jc w:val="center"/>
                    <w:textAlignment w:val="bottom"/>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40.2</w:t>
                  </w:r>
                </w:p>
              </w:tc>
            </w:tr>
            <w:tr w14:paraId="5A10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703" w:type="pct"/>
                  <w:vAlign w:val="center"/>
                </w:tcPr>
                <w:p w14:paraId="0F8707A2">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背景值</w:t>
                  </w:r>
                </w:p>
              </w:tc>
              <w:tc>
                <w:tcPr>
                  <w:tcW w:w="515" w:type="pct"/>
                  <w:noWrap/>
                  <w:vAlign w:val="center"/>
                </w:tcPr>
                <w:p w14:paraId="7D1732E8">
                  <w:pPr>
                    <w:widowControl/>
                    <w:jc w:val="center"/>
                    <w:textAlignment w:val="bottom"/>
                    <w:rPr>
                      <w:rFonts w:hint="default" w:eastAsia="宋体"/>
                      <w:color w:val="auto"/>
                      <w:kern w:val="0"/>
                      <w:szCs w:val="21"/>
                      <w:highlight w:val="none"/>
                      <w:lang w:val="en-US" w:eastAsia="zh-CN" w:bidi="ar"/>
                    </w:rPr>
                  </w:pPr>
                  <w:r>
                    <w:rPr>
                      <w:rFonts w:hint="eastAsia"/>
                      <w:color w:val="auto"/>
                      <w:szCs w:val="21"/>
                      <w:highlight w:val="none"/>
                      <w:lang w:val="en-US" w:eastAsia="zh-CN"/>
                    </w:rPr>
                    <w:t>61</w:t>
                  </w:r>
                </w:p>
              </w:tc>
              <w:tc>
                <w:tcPr>
                  <w:tcW w:w="560" w:type="pct"/>
                  <w:noWrap/>
                  <w:vAlign w:val="center"/>
                </w:tcPr>
                <w:p w14:paraId="78D1B9A5">
                  <w:pPr>
                    <w:widowControl/>
                    <w:jc w:val="center"/>
                    <w:textAlignment w:val="bottom"/>
                    <w:rPr>
                      <w:rFonts w:hint="eastAsia"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53</w:t>
                  </w:r>
                </w:p>
              </w:tc>
              <w:tc>
                <w:tcPr>
                  <w:tcW w:w="541" w:type="pct"/>
                  <w:noWrap/>
                  <w:vAlign w:val="center"/>
                </w:tcPr>
                <w:p w14:paraId="3BB3EDDF">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53</w:t>
                  </w:r>
                </w:p>
              </w:tc>
              <w:tc>
                <w:tcPr>
                  <w:tcW w:w="524" w:type="pct"/>
                  <w:noWrap/>
                  <w:vAlign w:val="center"/>
                </w:tcPr>
                <w:p w14:paraId="63D317D7">
                  <w:pPr>
                    <w:widowControl/>
                    <w:jc w:val="center"/>
                    <w:textAlignment w:val="bottom"/>
                    <w:rPr>
                      <w:rFonts w:hint="eastAsia"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51</w:t>
                  </w:r>
                </w:p>
              </w:tc>
              <w:tc>
                <w:tcPr>
                  <w:tcW w:w="542" w:type="pct"/>
                  <w:noWrap/>
                  <w:vAlign w:val="center"/>
                </w:tcPr>
                <w:p w14:paraId="1257AC14">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57</w:t>
                  </w:r>
                </w:p>
              </w:tc>
              <w:tc>
                <w:tcPr>
                  <w:tcW w:w="551" w:type="pct"/>
                  <w:noWrap/>
                  <w:vAlign w:val="center"/>
                </w:tcPr>
                <w:p w14:paraId="3AFBBF20">
                  <w:pPr>
                    <w:widowControl/>
                    <w:jc w:val="center"/>
                    <w:textAlignment w:val="bottom"/>
                    <w:rPr>
                      <w:rFonts w:hint="eastAsia"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47</w:t>
                  </w:r>
                </w:p>
              </w:tc>
              <w:tc>
                <w:tcPr>
                  <w:tcW w:w="590" w:type="pct"/>
                  <w:noWrap/>
                  <w:vAlign w:val="center"/>
                </w:tcPr>
                <w:p w14:paraId="31396665">
                  <w:pPr>
                    <w:widowControl/>
                    <w:jc w:val="center"/>
                    <w:textAlignment w:val="bottom"/>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61</w:t>
                  </w:r>
                </w:p>
              </w:tc>
              <w:tc>
                <w:tcPr>
                  <w:tcW w:w="470" w:type="pct"/>
                  <w:noWrap/>
                  <w:vAlign w:val="center"/>
                </w:tcPr>
                <w:p w14:paraId="0125810E">
                  <w:pPr>
                    <w:widowControl/>
                    <w:jc w:val="center"/>
                    <w:textAlignment w:val="bottom"/>
                    <w:rPr>
                      <w:rFonts w:hint="eastAsia"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52</w:t>
                  </w:r>
                </w:p>
              </w:tc>
            </w:tr>
            <w:tr w14:paraId="192D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03" w:type="pct"/>
                  <w:vAlign w:val="center"/>
                </w:tcPr>
                <w:p w14:paraId="2E90ECF9">
                  <w:pPr>
                    <w:widowControl/>
                    <w:jc w:val="center"/>
                    <w:textAlignment w:val="bottom"/>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预测值</w:t>
                  </w:r>
                </w:p>
              </w:tc>
              <w:tc>
                <w:tcPr>
                  <w:tcW w:w="945" w:type="dxa"/>
                  <w:noWrap/>
                  <w:vAlign w:val="bottom"/>
                </w:tcPr>
                <w:p w14:paraId="32B2278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61.0 </w:t>
                  </w:r>
                </w:p>
              </w:tc>
              <w:tc>
                <w:tcPr>
                  <w:tcW w:w="1028" w:type="dxa"/>
                  <w:noWrap/>
                  <w:vAlign w:val="bottom"/>
                </w:tcPr>
                <w:p w14:paraId="67647D41">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53.0 </w:t>
                  </w:r>
                </w:p>
              </w:tc>
              <w:tc>
                <w:tcPr>
                  <w:tcW w:w="994" w:type="dxa"/>
                  <w:noWrap/>
                  <w:vAlign w:val="bottom"/>
                </w:tcPr>
                <w:p w14:paraId="0C802038">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53.2 </w:t>
                  </w:r>
                </w:p>
              </w:tc>
              <w:tc>
                <w:tcPr>
                  <w:tcW w:w="962" w:type="dxa"/>
                  <w:noWrap/>
                  <w:vAlign w:val="bottom"/>
                </w:tcPr>
                <w:p w14:paraId="2A062938">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51.4 </w:t>
                  </w:r>
                </w:p>
              </w:tc>
              <w:tc>
                <w:tcPr>
                  <w:tcW w:w="995" w:type="dxa"/>
                  <w:noWrap/>
                  <w:vAlign w:val="bottom"/>
                </w:tcPr>
                <w:p w14:paraId="4488765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57.0 </w:t>
                  </w:r>
                </w:p>
              </w:tc>
              <w:tc>
                <w:tcPr>
                  <w:tcW w:w="1011" w:type="dxa"/>
                  <w:noWrap/>
                  <w:vAlign w:val="bottom"/>
                </w:tcPr>
                <w:p w14:paraId="1DBFE6D5">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47.0 </w:t>
                  </w:r>
                </w:p>
              </w:tc>
              <w:tc>
                <w:tcPr>
                  <w:tcW w:w="1083" w:type="dxa"/>
                  <w:noWrap/>
                  <w:vAlign w:val="bottom"/>
                </w:tcPr>
                <w:p w14:paraId="28B30B9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61.0 </w:t>
                  </w:r>
                </w:p>
              </w:tc>
              <w:tc>
                <w:tcPr>
                  <w:tcW w:w="863" w:type="dxa"/>
                  <w:noWrap/>
                  <w:vAlign w:val="bottom"/>
                </w:tcPr>
                <w:p w14:paraId="3F81CFB6">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52.3 </w:t>
                  </w:r>
                </w:p>
              </w:tc>
            </w:tr>
            <w:tr w14:paraId="75CF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03" w:type="pct"/>
                  <w:vAlign w:val="center"/>
                </w:tcPr>
                <w:p w14:paraId="0D09C31B">
                  <w:pPr>
                    <w:widowControl/>
                    <w:jc w:val="center"/>
                    <w:rPr>
                      <w:color w:val="auto"/>
                      <w:kern w:val="0"/>
                      <w:szCs w:val="21"/>
                      <w:highlight w:val="none"/>
                    </w:rPr>
                  </w:pPr>
                  <w:r>
                    <w:rPr>
                      <w:rFonts w:hint="eastAsia"/>
                      <w:color w:val="auto"/>
                      <w:kern w:val="0"/>
                      <w:szCs w:val="21"/>
                      <w:highlight w:val="none"/>
                    </w:rPr>
                    <w:t>标准值</w:t>
                  </w:r>
                </w:p>
              </w:tc>
              <w:tc>
                <w:tcPr>
                  <w:tcW w:w="4296" w:type="pct"/>
                  <w:gridSpan w:val="8"/>
                  <w:vAlign w:val="center"/>
                </w:tcPr>
                <w:p w14:paraId="6788B17A">
                  <w:pPr>
                    <w:widowControl/>
                    <w:jc w:val="center"/>
                    <w:textAlignment w:val="bottom"/>
                    <w:rPr>
                      <w:color w:val="auto"/>
                      <w:kern w:val="0"/>
                      <w:szCs w:val="21"/>
                      <w:highlight w:val="none"/>
                      <w:lang w:bidi="ar"/>
                    </w:rPr>
                  </w:pPr>
                  <w:r>
                    <w:rPr>
                      <w:rFonts w:hint="eastAsia"/>
                      <w:color w:val="auto"/>
                      <w:kern w:val="0"/>
                      <w:szCs w:val="21"/>
                      <w:highlight w:val="none"/>
                      <w:lang w:bidi="ar"/>
                    </w:rPr>
                    <w:t>昼间：65夜间：55</w:t>
                  </w:r>
                </w:p>
              </w:tc>
            </w:tr>
            <w:tr w14:paraId="6EDE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03" w:type="pct"/>
                  <w:vAlign w:val="center"/>
                </w:tcPr>
                <w:p w14:paraId="77659D45">
                  <w:pPr>
                    <w:widowControl/>
                    <w:jc w:val="center"/>
                    <w:rPr>
                      <w:b/>
                      <w:bCs/>
                      <w:color w:val="auto"/>
                      <w:kern w:val="0"/>
                      <w:szCs w:val="21"/>
                      <w:highlight w:val="none"/>
                    </w:rPr>
                  </w:pPr>
                  <w:r>
                    <w:rPr>
                      <w:b/>
                      <w:bCs/>
                      <w:color w:val="auto"/>
                      <w:kern w:val="0"/>
                      <w:szCs w:val="21"/>
                      <w:highlight w:val="none"/>
                    </w:rPr>
                    <w:t>达标情况</w:t>
                  </w:r>
                </w:p>
              </w:tc>
              <w:tc>
                <w:tcPr>
                  <w:tcW w:w="4296" w:type="pct"/>
                  <w:gridSpan w:val="8"/>
                  <w:vAlign w:val="center"/>
                </w:tcPr>
                <w:p w14:paraId="76D2DFBD">
                  <w:pPr>
                    <w:widowControl/>
                    <w:jc w:val="center"/>
                    <w:rPr>
                      <w:b/>
                      <w:bCs/>
                      <w:color w:val="auto"/>
                      <w:kern w:val="0"/>
                      <w:szCs w:val="21"/>
                      <w:highlight w:val="none"/>
                    </w:rPr>
                  </w:pPr>
                  <w:r>
                    <w:rPr>
                      <w:b/>
                      <w:bCs/>
                      <w:color w:val="auto"/>
                      <w:kern w:val="0"/>
                      <w:szCs w:val="21"/>
                      <w:highlight w:val="none"/>
                    </w:rPr>
                    <w:t>达标</w:t>
                  </w:r>
                </w:p>
              </w:tc>
            </w:tr>
          </w:tbl>
          <w:p w14:paraId="548852E1">
            <w:pPr>
              <w:spacing w:line="360" w:lineRule="auto"/>
              <w:ind w:firstLine="482" w:firstLineChars="200"/>
              <w:rPr>
                <w:b/>
                <w:bCs/>
                <w:color w:val="auto"/>
                <w:kern w:val="0"/>
                <w:sz w:val="24"/>
                <w:szCs w:val="22"/>
                <w:highlight w:val="none"/>
              </w:rPr>
            </w:pPr>
            <w:r>
              <w:rPr>
                <w:b/>
                <w:bCs/>
                <w:color w:val="auto"/>
                <w:kern w:val="0"/>
                <w:sz w:val="24"/>
                <w:szCs w:val="22"/>
                <w:highlight w:val="none"/>
              </w:rPr>
              <w:t>（</w:t>
            </w:r>
            <w:r>
              <w:rPr>
                <w:rFonts w:hint="eastAsia"/>
                <w:b/>
                <w:bCs/>
                <w:color w:val="auto"/>
                <w:kern w:val="0"/>
                <w:sz w:val="24"/>
                <w:szCs w:val="22"/>
                <w:highlight w:val="none"/>
              </w:rPr>
              <w:t>3</w:t>
            </w:r>
            <w:r>
              <w:rPr>
                <w:b/>
                <w:bCs/>
                <w:color w:val="auto"/>
                <w:kern w:val="0"/>
                <w:sz w:val="24"/>
                <w:szCs w:val="22"/>
                <w:highlight w:val="none"/>
              </w:rPr>
              <w:t>）营运期噪声影响减缓措施</w:t>
            </w:r>
          </w:p>
          <w:p w14:paraId="36ABDA11">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根据《环境影响评价技术导则声环境》（HJ2.4-2021），建设单位主要从“噪声源控制措施</w:t>
            </w:r>
            <w:r>
              <w:rPr>
                <w:rFonts w:hint="eastAsia"/>
                <w:snapToGrid w:val="0"/>
                <w:color w:val="auto"/>
                <w:kern w:val="0"/>
                <w:sz w:val="24"/>
                <w:highlight w:val="none"/>
                <w:lang w:eastAsia="zh-CN"/>
              </w:rPr>
              <w:t>”“</w:t>
            </w:r>
            <w:r>
              <w:rPr>
                <w:rFonts w:hint="eastAsia"/>
                <w:snapToGrid w:val="0"/>
                <w:color w:val="auto"/>
                <w:kern w:val="0"/>
                <w:sz w:val="24"/>
                <w:highlight w:val="none"/>
              </w:rPr>
              <w:t>噪声传播途径控制措施”以及“管理措施”三个方面加强对项目噪声环境的管理，控制噪声源传播，从而确保厂界噪声达标。</w:t>
            </w:r>
          </w:p>
          <w:p w14:paraId="0DB3BEE5">
            <w:pPr>
              <w:adjustRightInd w:val="0"/>
              <w:snapToGrid w:val="0"/>
              <w:spacing w:line="360" w:lineRule="auto"/>
              <w:ind w:firstLine="480" w:firstLineChars="200"/>
              <w:rPr>
                <w:snapToGrid w:val="0"/>
                <w:color w:val="auto"/>
                <w:kern w:val="0"/>
                <w:sz w:val="24"/>
                <w:highlight w:val="none"/>
              </w:rPr>
            </w:pPr>
            <w:r>
              <w:rPr>
                <w:rFonts w:hint="eastAsia" w:ascii="宋体" w:hAnsi="宋体" w:cs="宋体"/>
                <w:snapToGrid w:val="0"/>
                <w:color w:val="auto"/>
                <w:kern w:val="0"/>
                <w:sz w:val="24"/>
                <w:highlight w:val="none"/>
              </w:rPr>
              <w:t>①</w:t>
            </w:r>
            <w:r>
              <w:rPr>
                <w:snapToGrid w:val="0"/>
                <w:color w:val="auto"/>
                <w:kern w:val="0"/>
                <w:sz w:val="24"/>
                <w:highlight w:val="none"/>
              </w:rPr>
              <w:t>建设单位在选用生产设备时应尽量选用低噪声设备；</w:t>
            </w:r>
          </w:p>
          <w:p w14:paraId="76525F58">
            <w:pPr>
              <w:adjustRightInd w:val="0"/>
              <w:snapToGrid w:val="0"/>
              <w:spacing w:line="360" w:lineRule="auto"/>
              <w:ind w:firstLine="480" w:firstLineChars="200"/>
              <w:rPr>
                <w:snapToGrid w:val="0"/>
                <w:color w:val="auto"/>
                <w:kern w:val="0"/>
                <w:sz w:val="24"/>
                <w:highlight w:val="none"/>
              </w:rPr>
            </w:pPr>
            <w:r>
              <w:rPr>
                <w:rFonts w:hint="eastAsia" w:ascii="宋体" w:hAnsi="宋体" w:cs="宋体"/>
                <w:snapToGrid w:val="0"/>
                <w:color w:val="auto"/>
                <w:kern w:val="0"/>
                <w:sz w:val="24"/>
                <w:highlight w:val="none"/>
              </w:rPr>
              <w:t>②</w:t>
            </w:r>
            <w:r>
              <w:rPr>
                <w:snapToGrid w:val="0"/>
                <w:color w:val="auto"/>
                <w:kern w:val="0"/>
                <w:sz w:val="24"/>
                <w:highlight w:val="none"/>
              </w:rPr>
              <w:t>合理布局设备设施，高噪声设备尽量集中在厂房中部并安装减振垫，</w:t>
            </w:r>
            <w:r>
              <w:rPr>
                <w:color w:val="auto"/>
                <w:kern w:val="0"/>
                <w:sz w:val="24"/>
                <w:szCs w:val="22"/>
                <w:highlight w:val="none"/>
              </w:rPr>
              <w:t>水泵采取减震，管道采取包扎措施</w:t>
            </w:r>
            <w:r>
              <w:rPr>
                <w:snapToGrid w:val="0"/>
                <w:color w:val="auto"/>
                <w:kern w:val="0"/>
                <w:sz w:val="24"/>
                <w:highlight w:val="none"/>
              </w:rPr>
              <w:t>；</w:t>
            </w:r>
          </w:p>
          <w:p w14:paraId="2A92856D">
            <w:pPr>
              <w:adjustRightInd w:val="0"/>
              <w:snapToGrid w:val="0"/>
              <w:spacing w:line="360" w:lineRule="auto"/>
              <w:ind w:firstLine="480" w:firstLineChars="200"/>
              <w:rPr>
                <w:snapToGrid w:val="0"/>
                <w:color w:val="auto"/>
                <w:kern w:val="0"/>
                <w:sz w:val="24"/>
                <w:highlight w:val="none"/>
              </w:rPr>
            </w:pPr>
            <w:r>
              <w:rPr>
                <w:rFonts w:hint="eastAsia" w:ascii="宋体" w:hAnsi="宋体" w:cs="宋体"/>
                <w:snapToGrid w:val="0"/>
                <w:color w:val="auto"/>
                <w:kern w:val="0"/>
                <w:sz w:val="24"/>
                <w:highlight w:val="none"/>
              </w:rPr>
              <w:t>③</w:t>
            </w:r>
            <w:r>
              <w:rPr>
                <w:snapToGrid w:val="0"/>
                <w:color w:val="auto"/>
                <w:kern w:val="0"/>
                <w:sz w:val="24"/>
                <w:highlight w:val="none"/>
              </w:rPr>
              <w:t>公司应加强设备的保养和维修，使设备随时处于良好的运行状态，减少设备噪声的产生。高噪声设备操作人员，操作时应佩戴防护头盔或耳套。</w:t>
            </w:r>
          </w:p>
          <w:p w14:paraId="65DBE312">
            <w:pPr>
              <w:adjustRightInd w:val="0"/>
              <w:snapToGrid w:val="0"/>
              <w:spacing w:line="360" w:lineRule="auto"/>
              <w:ind w:firstLine="480" w:firstLineChars="200"/>
              <w:rPr>
                <w:snapToGrid w:val="0"/>
                <w:color w:val="auto"/>
                <w:kern w:val="0"/>
                <w:sz w:val="24"/>
                <w:highlight w:val="none"/>
              </w:rPr>
            </w:pPr>
            <w:r>
              <w:rPr>
                <w:rFonts w:hint="eastAsia" w:ascii="宋体" w:hAnsi="宋体" w:cs="宋体"/>
                <w:snapToGrid w:val="0"/>
                <w:color w:val="auto"/>
                <w:sz w:val="24"/>
                <w:highlight w:val="none"/>
              </w:rPr>
              <w:t>④</w:t>
            </w:r>
            <w:r>
              <w:rPr>
                <w:snapToGrid w:val="0"/>
                <w:color w:val="auto"/>
                <w:sz w:val="24"/>
                <w:highlight w:val="none"/>
              </w:rPr>
              <w:t>加强绿化，厂房周围设置绿化带，所在厂区厂界四周布置绿化带，绿化树木采用比较高大的乔木和灌木，增加对噪声的阻挡作用，有效降低噪声强度。</w:t>
            </w:r>
          </w:p>
          <w:p w14:paraId="246D1122">
            <w:pPr>
              <w:spacing w:line="360" w:lineRule="auto"/>
              <w:ind w:firstLine="480" w:firstLineChars="200"/>
              <w:rPr>
                <w:color w:val="auto"/>
                <w:kern w:val="0"/>
                <w:sz w:val="24"/>
                <w:szCs w:val="22"/>
                <w:highlight w:val="none"/>
              </w:rPr>
            </w:pPr>
            <w:r>
              <w:rPr>
                <w:snapToGrid w:val="0"/>
                <w:color w:val="auto"/>
                <w:kern w:val="0"/>
                <w:sz w:val="24"/>
                <w:highlight w:val="none"/>
              </w:rPr>
              <w:t>综上所述，建设单位在采取相应的噪声控制措施后，本项目噪声排放对周围环境影响较小，噪声污染防治措施可行。</w:t>
            </w:r>
          </w:p>
          <w:p w14:paraId="0A8A58EB">
            <w:pPr>
              <w:adjustRightInd w:val="0"/>
              <w:spacing w:line="360" w:lineRule="auto"/>
              <w:ind w:firstLine="480" w:firstLineChars="200"/>
              <w:rPr>
                <w:color w:val="auto"/>
                <w:kern w:val="0"/>
                <w:sz w:val="24"/>
                <w:szCs w:val="22"/>
                <w:highlight w:val="none"/>
              </w:rPr>
            </w:pPr>
            <w:r>
              <w:rPr>
                <w:color w:val="auto"/>
                <w:kern w:val="0"/>
                <w:sz w:val="24"/>
                <w:szCs w:val="22"/>
                <w:highlight w:val="none"/>
              </w:rPr>
              <w:t>项目周围50m范围内无声环境敏感点，因此，本项目对周围声环境影响较小。</w:t>
            </w:r>
          </w:p>
          <w:p w14:paraId="58762B87">
            <w:pPr>
              <w:adjustRightInd w:val="0"/>
              <w:spacing w:line="360" w:lineRule="auto"/>
              <w:ind w:firstLine="482" w:firstLineChars="200"/>
              <w:rPr>
                <w:b/>
                <w:bCs/>
                <w:color w:val="auto"/>
                <w:kern w:val="0"/>
                <w:sz w:val="24"/>
                <w:szCs w:val="22"/>
                <w:highlight w:val="none"/>
              </w:rPr>
            </w:pPr>
            <w:r>
              <w:rPr>
                <w:rFonts w:hint="eastAsia"/>
                <w:b/>
                <w:bCs/>
                <w:color w:val="auto"/>
                <w:kern w:val="0"/>
                <w:sz w:val="24"/>
                <w:szCs w:val="22"/>
                <w:highlight w:val="none"/>
              </w:rPr>
              <w:t>（</w:t>
            </w:r>
            <w:r>
              <w:rPr>
                <w:rFonts w:hint="eastAsia"/>
                <w:b/>
                <w:bCs/>
                <w:color w:val="auto"/>
                <w:kern w:val="0"/>
                <w:sz w:val="24"/>
                <w:szCs w:val="22"/>
                <w:highlight w:val="none"/>
                <w:lang w:val="en-US" w:eastAsia="zh-CN"/>
              </w:rPr>
              <w:t>2</w:t>
            </w:r>
            <w:r>
              <w:rPr>
                <w:rFonts w:hint="eastAsia"/>
                <w:b/>
                <w:bCs/>
                <w:color w:val="auto"/>
                <w:kern w:val="0"/>
                <w:sz w:val="24"/>
                <w:szCs w:val="22"/>
                <w:highlight w:val="none"/>
              </w:rPr>
              <w:t>）监测计划</w:t>
            </w:r>
          </w:p>
          <w:p w14:paraId="7EC6F407">
            <w:pPr>
              <w:adjustRightInd w:val="0"/>
              <w:spacing w:line="360" w:lineRule="auto"/>
              <w:ind w:firstLine="480" w:firstLineChars="200"/>
              <w:rPr>
                <w:color w:val="auto"/>
                <w:kern w:val="0"/>
                <w:sz w:val="24"/>
                <w:szCs w:val="22"/>
                <w:highlight w:val="none"/>
              </w:rPr>
            </w:pPr>
            <w:r>
              <w:rPr>
                <w:color w:val="auto"/>
                <w:kern w:val="0"/>
                <w:sz w:val="24"/>
                <w:szCs w:val="22"/>
                <w:highlight w:val="none"/>
              </w:rPr>
              <w:t>本次环评根据《排污单位自行监测技术指南总则》（HJ819-2017）提出项目生产运行阶段的污染源监测计划，详见下表：</w:t>
            </w:r>
          </w:p>
          <w:p w14:paraId="3DD3822C">
            <w:pPr>
              <w:pStyle w:val="41"/>
              <w:rPr>
                <w:color w:val="auto"/>
                <w:highlight w:val="none"/>
              </w:rPr>
            </w:pPr>
            <w:r>
              <w:rPr>
                <w:color w:val="auto"/>
                <w:highlight w:val="none"/>
              </w:rPr>
              <w:t>噪声监测方案</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310"/>
              <w:gridCol w:w="1902"/>
              <w:gridCol w:w="1655"/>
              <w:gridCol w:w="4334"/>
            </w:tblGrid>
            <w:tr w14:paraId="3EA190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24" w:hRule="atLeast"/>
                <w:jc w:val="center"/>
              </w:trPr>
              <w:tc>
                <w:tcPr>
                  <w:tcW w:w="712" w:type="pct"/>
                  <w:vAlign w:val="center"/>
                </w:tcPr>
                <w:p w14:paraId="448EF0B0">
                  <w:pPr>
                    <w:wordWrap w:val="0"/>
                    <w:jc w:val="center"/>
                    <w:rPr>
                      <w:b/>
                      <w:bCs/>
                      <w:color w:val="auto"/>
                      <w:szCs w:val="21"/>
                      <w:highlight w:val="none"/>
                    </w:rPr>
                  </w:pPr>
                  <w:r>
                    <w:rPr>
                      <w:b/>
                      <w:bCs/>
                      <w:color w:val="auto"/>
                      <w:szCs w:val="21"/>
                      <w:highlight w:val="none"/>
                    </w:rPr>
                    <w:t>监测点位</w:t>
                  </w:r>
                </w:p>
              </w:tc>
              <w:tc>
                <w:tcPr>
                  <w:tcW w:w="1033" w:type="pct"/>
                  <w:vAlign w:val="center"/>
                </w:tcPr>
                <w:p w14:paraId="0C653239">
                  <w:pPr>
                    <w:wordWrap w:val="0"/>
                    <w:jc w:val="center"/>
                    <w:rPr>
                      <w:b/>
                      <w:bCs/>
                      <w:color w:val="auto"/>
                      <w:szCs w:val="21"/>
                      <w:highlight w:val="none"/>
                    </w:rPr>
                  </w:pPr>
                  <w:r>
                    <w:rPr>
                      <w:b/>
                      <w:bCs/>
                      <w:color w:val="auto"/>
                      <w:szCs w:val="21"/>
                      <w:highlight w:val="none"/>
                    </w:rPr>
                    <w:t>监测指标</w:t>
                  </w:r>
                </w:p>
              </w:tc>
              <w:tc>
                <w:tcPr>
                  <w:tcW w:w="899" w:type="pct"/>
                  <w:vAlign w:val="center"/>
                </w:tcPr>
                <w:p w14:paraId="2C9401E8">
                  <w:pPr>
                    <w:wordWrap w:val="0"/>
                    <w:jc w:val="center"/>
                    <w:rPr>
                      <w:b/>
                      <w:bCs/>
                      <w:color w:val="auto"/>
                      <w:szCs w:val="21"/>
                      <w:highlight w:val="none"/>
                    </w:rPr>
                  </w:pPr>
                  <w:r>
                    <w:rPr>
                      <w:b/>
                      <w:bCs/>
                      <w:color w:val="auto"/>
                      <w:szCs w:val="21"/>
                      <w:highlight w:val="none"/>
                    </w:rPr>
                    <w:t>监测频次</w:t>
                  </w:r>
                </w:p>
              </w:tc>
              <w:tc>
                <w:tcPr>
                  <w:tcW w:w="2354" w:type="pct"/>
                  <w:vAlign w:val="center"/>
                </w:tcPr>
                <w:p w14:paraId="67418B4C">
                  <w:pPr>
                    <w:wordWrap w:val="0"/>
                    <w:jc w:val="center"/>
                    <w:rPr>
                      <w:b/>
                      <w:bCs/>
                      <w:color w:val="auto"/>
                      <w:szCs w:val="21"/>
                      <w:highlight w:val="none"/>
                    </w:rPr>
                  </w:pPr>
                  <w:r>
                    <w:rPr>
                      <w:b/>
                      <w:bCs/>
                      <w:color w:val="auto"/>
                      <w:szCs w:val="21"/>
                      <w:highlight w:val="none"/>
                    </w:rPr>
                    <w:t>执行排放标准</w:t>
                  </w:r>
                </w:p>
              </w:tc>
            </w:tr>
            <w:tr w14:paraId="30231E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62" w:hRule="atLeast"/>
                <w:jc w:val="center"/>
              </w:trPr>
              <w:tc>
                <w:tcPr>
                  <w:tcW w:w="712" w:type="pct"/>
                  <w:vAlign w:val="center"/>
                </w:tcPr>
                <w:p w14:paraId="2B8FAC3B">
                  <w:pPr>
                    <w:wordWrap w:val="0"/>
                    <w:jc w:val="center"/>
                    <w:rPr>
                      <w:color w:val="auto"/>
                      <w:szCs w:val="21"/>
                      <w:highlight w:val="none"/>
                    </w:rPr>
                  </w:pPr>
                  <w:r>
                    <w:rPr>
                      <w:color w:val="auto"/>
                      <w:szCs w:val="21"/>
                      <w:highlight w:val="none"/>
                    </w:rPr>
                    <w:t>厂界</w:t>
                  </w:r>
                </w:p>
              </w:tc>
              <w:tc>
                <w:tcPr>
                  <w:tcW w:w="1033" w:type="pct"/>
                  <w:vAlign w:val="center"/>
                </w:tcPr>
                <w:p w14:paraId="41D5A1A6">
                  <w:pPr>
                    <w:wordWrap w:val="0"/>
                    <w:jc w:val="center"/>
                    <w:rPr>
                      <w:color w:val="auto"/>
                      <w:szCs w:val="21"/>
                      <w:highlight w:val="none"/>
                    </w:rPr>
                  </w:pPr>
                  <w:r>
                    <w:rPr>
                      <w:color w:val="auto"/>
                      <w:szCs w:val="21"/>
                      <w:highlight w:val="none"/>
                    </w:rPr>
                    <w:t>等效连续A声级</w:t>
                  </w:r>
                </w:p>
              </w:tc>
              <w:tc>
                <w:tcPr>
                  <w:tcW w:w="899" w:type="pct"/>
                  <w:vAlign w:val="center"/>
                </w:tcPr>
                <w:p w14:paraId="5C2E9422">
                  <w:pPr>
                    <w:wordWrap w:val="0"/>
                    <w:jc w:val="center"/>
                    <w:rPr>
                      <w:color w:val="auto"/>
                      <w:szCs w:val="21"/>
                      <w:highlight w:val="none"/>
                    </w:rPr>
                  </w:pPr>
                  <w:r>
                    <w:rPr>
                      <w:color w:val="auto"/>
                      <w:szCs w:val="21"/>
                      <w:highlight w:val="none"/>
                    </w:rPr>
                    <w:t>1</w:t>
                  </w:r>
                  <w:r>
                    <w:rPr>
                      <w:rFonts w:hint="eastAsia"/>
                      <w:color w:val="auto"/>
                      <w:szCs w:val="21"/>
                      <w:highlight w:val="none"/>
                    </w:rPr>
                    <w:t>季度</w:t>
                  </w:r>
                  <w:r>
                    <w:rPr>
                      <w:color w:val="auto"/>
                      <w:szCs w:val="21"/>
                      <w:highlight w:val="none"/>
                    </w:rPr>
                    <w:t>1次</w:t>
                  </w:r>
                </w:p>
              </w:tc>
              <w:tc>
                <w:tcPr>
                  <w:tcW w:w="2354" w:type="pct"/>
                  <w:vAlign w:val="center"/>
                </w:tcPr>
                <w:p w14:paraId="252E67BE">
                  <w:pPr>
                    <w:wordWrap w:val="0"/>
                    <w:jc w:val="center"/>
                    <w:rPr>
                      <w:color w:val="auto"/>
                      <w:szCs w:val="21"/>
                      <w:highlight w:val="none"/>
                    </w:rPr>
                  </w:pPr>
                  <w:r>
                    <w:rPr>
                      <w:color w:val="auto"/>
                      <w:szCs w:val="21"/>
                      <w:highlight w:val="none"/>
                    </w:rPr>
                    <w:t>《工业企业厂界环境噪声排放标准》（GB12348-2008）中3类标准限值</w:t>
                  </w:r>
                </w:p>
              </w:tc>
            </w:tr>
          </w:tbl>
          <w:p w14:paraId="738930C8">
            <w:pPr>
              <w:spacing w:line="360" w:lineRule="auto"/>
              <w:ind w:firstLine="482" w:firstLineChars="200"/>
              <w:jc w:val="left"/>
              <w:rPr>
                <w:b/>
                <w:color w:val="auto"/>
                <w:sz w:val="24"/>
                <w:highlight w:val="none"/>
              </w:rPr>
            </w:pPr>
            <w:r>
              <w:rPr>
                <w:b/>
                <w:color w:val="auto"/>
                <w:sz w:val="24"/>
                <w:highlight w:val="none"/>
                <w:lang w:bidi="ar"/>
              </w:rPr>
              <w:t>4、固体废弃物</w:t>
            </w:r>
          </w:p>
          <w:p w14:paraId="0FFFE5E4">
            <w:pPr>
              <w:spacing w:line="360" w:lineRule="auto"/>
              <w:ind w:firstLine="480" w:firstLineChars="200"/>
              <w:rPr>
                <w:rFonts w:hint="eastAsia"/>
                <w:b w:val="0"/>
                <w:bCs/>
                <w:color w:val="auto"/>
                <w:sz w:val="24"/>
                <w:highlight w:val="none"/>
                <w:lang w:val="en-US" w:eastAsia="zh-CN"/>
              </w:rPr>
            </w:pPr>
            <w:r>
              <w:rPr>
                <w:rFonts w:hint="eastAsia"/>
                <w:color w:val="auto"/>
                <w:sz w:val="24"/>
                <w:highlight w:val="none"/>
                <w:lang w:val="en-US" w:eastAsia="zh-CN"/>
              </w:rPr>
              <w:t>本项目运营期产生的固废包括一般固废和危险废物，一般固废主要为生活垃圾、废</w:t>
            </w:r>
            <w:r>
              <w:rPr>
                <w:b w:val="0"/>
                <w:bCs/>
                <w:color w:val="auto"/>
                <w:sz w:val="24"/>
                <w:highlight w:val="none"/>
              </w:rPr>
              <w:t>含油棉纱、手套</w:t>
            </w:r>
            <w:r>
              <w:rPr>
                <w:rFonts w:hint="eastAsia"/>
                <w:color w:val="auto"/>
                <w:sz w:val="24"/>
                <w:highlight w:val="none"/>
                <w:lang w:val="en-US" w:eastAsia="zh-CN"/>
              </w:rPr>
              <w:t>和预处理池污泥，危险废物包括</w:t>
            </w:r>
            <w:r>
              <w:rPr>
                <w:rFonts w:hint="eastAsia"/>
                <w:b w:val="0"/>
                <w:bCs/>
                <w:color w:val="auto"/>
                <w:sz w:val="24"/>
                <w:highlight w:val="none"/>
                <w:lang w:val="en-US" w:eastAsia="zh-CN"/>
              </w:rPr>
              <w:t>废润滑油、污水处理站污泥、废活性炭等。</w:t>
            </w:r>
          </w:p>
          <w:p w14:paraId="4BA4AEFD">
            <w:pPr>
              <w:keepNext w:val="0"/>
              <w:keepLines w:val="0"/>
              <w:pageBreakBefore w:val="0"/>
              <w:widowControl w:val="0"/>
              <w:numPr>
                <w:ilvl w:val="0"/>
                <w:numId w:val="29"/>
              </w:numPr>
              <w:kinsoku/>
              <w:wordWrap/>
              <w:overflowPunct/>
              <w:topLinePunct w:val="0"/>
              <w:autoSpaceDE/>
              <w:autoSpaceDN/>
              <w:bidi w:val="0"/>
              <w:spacing w:line="360" w:lineRule="auto"/>
              <w:ind w:left="0" w:leftChars="0" w:firstLine="480" w:firstLineChars="200"/>
              <w:textAlignment w:val="auto"/>
              <w:rPr>
                <w:color w:val="auto"/>
                <w:sz w:val="24"/>
                <w:highlight w:val="none"/>
              </w:rPr>
            </w:pPr>
            <w:r>
              <w:rPr>
                <w:rFonts w:hint="eastAsia"/>
                <w:color w:val="auto"/>
                <w:sz w:val="24"/>
                <w:highlight w:val="none"/>
                <w:lang w:val="en-US" w:eastAsia="zh-CN"/>
              </w:rPr>
              <w:t>生活垃圾</w:t>
            </w:r>
          </w:p>
          <w:p w14:paraId="537D4DD1">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员工在厂区生活办公会产生生活垃圾。本次技改新增员工24名，生活垃圾产生量按0.5kg/d·人计，则技改后新增垃圾产生量为12kg/d（3.6t/a），由环卫部门清运处理。</w:t>
            </w:r>
          </w:p>
          <w:p w14:paraId="63740142">
            <w:pPr>
              <w:keepNext w:val="0"/>
              <w:keepLines w:val="0"/>
              <w:pageBreakBefore w:val="0"/>
              <w:widowControl w:val="0"/>
              <w:numPr>
                <w:ilvl w:val="0"/>
                <w:numId w:val="29"/>
              </w:numPr>
              <w:kinsoku/>
              <w:wordWrap/>
              <w:overflowPunct/>
              <w:topLinePunct w:val="0"/>
              <w:autoSpaceDE/>
              <w:autoSpaceDN/>
              <w:bidi w:val="0"/>
              <w:spacing w:line="360" w:lineRule="auto"/>
              <w:ind w:left="0" w:leftChars="0" w:firstLine="480" w:firstLineChars="200"/>
              <w:textAlignment w:val="auto"/>
              <w:rPr>
                <w:rFonts w:hint="default" w:eastAsia="宋体" w:cs="Times New Roman"/>
                <w:color w:val="auto"/>
                <w:sz w:val="24"/>
                <w:highlight w:val="none"/>
                <w:lang w:val="en-US" w:eastAsia="zh-CN"/>
              </w:rPr>
            </w:pPr>
            <w:r>
              <w:rPr>
                <w:rFonts w:hint="eastAsia" w:eastAsia="宋体" w:cs="Times New Roman"/>
                <w:color w:val="auto"/>
                <w:sz w:val="24"/>
                <w:highlight w:val="none"/>
                <w:lang w:val="en-US" w:eastAsia="zh-CN"/>
              </w:rPr>
              <w:t>废含有棉纱、手套</w:t>
            </w:r>
          </w:p>
          <w:p w14:paraId="1356A808">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本项目在机器设备维修养护过程会产生一定的废含油棉纱、手套，约0.04t/a</w:t>
            </w:r>
            <w:r>
              <w:rPr>
                <w:rFonts w:hint="eastAsia" w:ascii="Times New Roman" w:hAnsi="Times New Roman" w:eastAsia="宋体" w:cs="Times New Roman"/>
                <w:color w:val="auto"/>
                <w:sz w:val="24"/>
                <w:highlight w:val="none"/>
                <w:lang w:val="en-US" w:eastAsia="zh-CN"/>
              </w:rPr>
              <w:t>，</w:t>
            </w:r>
            <w:r>
              <w:rPr>
                <w:rFonts w:hint="eastAsia" w:eastAsia="宋体" w:cs="Times New Roman"/>
                <w:color w:val="auto"/>
                <w:sz w:val="24"/>
                <w:highlight w:val="none"/>
                <w:lang w:val="en-US" w:eastAsia="zh-CN"/>
              </w:rPr>
              <w:t>该类危废量少且分散，不进行分类收集，</w:t>
            </w:r>
            <w:r>
              <w:rPr>
                <w:rFonts w:hint="default" w:ascii="Times New Roman" w:hAnsi="Times New Roman" w:eastAsia="宋体" w:cs="Times New Roman"/>
                <w:color w:val="auto"/>
                <w:sz w:val="24"/>
                <w:highlight w:val="none"/>
                <w:lang w:val="en-US" w:eastAsia="zh-CN"/>
              </w:rPr>
              <w:t>根据《</w:t>
            </w:r>
            <w:bookmarkStart w:id="35" w:name="OLE_LINK20"/>
            <w:r>
              <w:rPr>
                <w:rFonts w:hint="default" w:ascii="Times New Roman" w:hAnsi="Times New Roman" w:eastAsia="宋体" w:cs="Times New Roman"/>
                <w:color w:val="auto"/>
                <w:sz w:val="24"/>
                <w:highlight w:val="none"/>
                <w:lang w:val="en-US" w:eastAsia="zh-CN"/>
              </w:rPr>
              <w:t>国家危险废物名录</w:t>
            </w:r>
            <w:bookmarkEnd w:id="35"/>
            <w:r>
              <w:rPr>
                <w:rFonts w:hint="default" w:ascii="Times New Roman" w:hAnsi="Times New Roman" w:eastAsia="宋体" w:cs="Times New Roman"/>
                <w:color w:val="auto"/>
                <w:sz w:val="24"/>
                <w:highlight w:val="none"/>
                <w:lang w:val="en-US" w:eastAsia="zh-CN"/>
              </w:rPr>
              <w:t>》（202</w:t>
            </w:r>
            <w:bookmarkStart w:id="36" w:name="OLE_LINK21"/>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年</w:t>
            </w:r>
            <w:bookmarkEnd w:id="36"/>
            <w:r>
              <w:rPr>
                <w:rFonts w:hint="default" w:ascii="Times New Roman" w:hAnsi="Times New Roman" w:eastAsia="宋体" w:cs="Times New Roman"/>
                <w:color w:val="auto"/>
                <w:sz w:val="24"/>
                <w:highlight w:val="none"/>
                <w:lang w:val="en-US" w:eastAsia="zh-CN"/>
              </w:rPr>
              <w:t>版）</w:t>
            </w:r>
            <w:r>
              <w:rPr>
                <w:rFonts w:hint="eastAsia" w:eastAsia="宋体" w:cs="Times New Roman"/>
                <w:color w:val="auto"/>
                <w:sz w:val="24"/>
                <w:highlight w:val="none"/>
                <w:lang w:val="en-US" w:eastAsia="zh-CN"/>
              </w:rPr>
              <w:t>，该类（</w:t>
            </w:r>
            <w:r>
              <w:rPr>
                <w:rFonts w:hint="default" w:ascii="Times New Roman" w:hAnsi="Times New Roman" w:eastAsia="宋体" w:cs="Times New Roman"/>
                <w:color w:val="auto"/>
                <w:sz w:val="24"/>
                <w:highlight w:val="none"/>
                <w:lang w:val="en-US" w:eastAsia="zh-CN"/>
              </w:rPr>
              <w:t>HW49其他废物900-041-49</w:t>
            </w:r>
            <w:r>
              <w:rPr>
                <w:rFonts w:hint="eastAsia" w:eastAsia="宋体" w:cs="Times New Roman"/>
                <w:color w:val="auto"/>
                <w:sz w:val="24"/>
                <w:highlight w:val="none"/>
                <w:lang w:val="en-US" w:eastAsia="zh-CN"/>
              </w:rPr>
              <w:t>）固废全过程豁免危废管理，收集后直接交由环卫部们清运处置。</w:t>
            </w:r>
          </w:p>
          <w:p w14:paraId="6F581DC5">
            <w:pPr>
              <w:keepNext w:val="0"/>
              <w:keepLines w:val="0"/>
              <w:pageBreakBefore w:val="0"/>
              <w:widowControl w:val="0"/>
              <w:numPr>
                <w:ilvl w:val="0"/>
                <w:numId w:val="29"/>
              </w:numPr>
              <w:kinsoku/>
              <w:wordWrap/>
              <w:overflowPunct/>
              <w:topLinePunct w:val="0"/>
              <w:autoSpaceDE/>
              <w:autoSpaceDN/>
              <w:bidi w:val="0"/>
              <w:spacing w:line="360" w:lineRule="auto"/>
              <w:ind w:left="0" w:leftChars="0"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预处理池污泥</w:t>
            </w:r>
          </w:p>
          <w:p w14:paraId="51D3E5B1">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本项目新增的员工生活污水经隔油-预处理池进行预处理后进入厂区污水处理站，类比验收监测报告折算（0.04kg/d·人），本次新增预处理池污泥量约0.288t/a，交由环卫部门清运。</w:t>
            </w:r>
          </w:p>
          <w:p w14:paraId="3661534F">
            <w:pPr>
              <w:keepNext w:val="0"/>
              <w:keepLines w:val="0"/>
              <w:pageBreakBefore w:val="0"/>
              <w:widowControl w:val="0"/>
              <w:numPr>
                <w:ilvl w:val="0"/>
                <w:numId w:val="29"/>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废润滑油</w:t>
            </w:r>
          </w:p>
          <w:p w14:paraId="3C89E76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本次技改新增设备，运营过程中</w:t>
            </w:r>
            <w:r>
              <w:rPr>
                <w:rFonts w:hint="default" w:ascii="Times New Roman" w:hAnsi="Times New Roman" w:eastAsia="宋体" w:cs="Times New Roman"/>
                <w:color w:val="auto"/>
                <w:sz w:val="24"/>
                <w:highlight w:val="none"/>
                <w:lang w:val="en-US" w:eastAsia="zh-CN"/>
              </w:rPr>
              <w:t>采用润滑油维修养护机器设备时会产生少量的废润滑油，产生量约为0.05t/a，根据《国家危险废物名录》（</w:t>
            </w:r>
            <w:r>
              <w:rPr>
                <w:rFonts w:hint="eastAsia" w:cs="Times New Roman"/>
                <w:color w:val="auto"/>
                <w:sz w:val="24"/>
                <w:highlight w:val="none"/>
                <w:lang w:val="en-US" w:eastAsia="zh-CN"/>
              </w:rPr>
              <w:t>2025</w:t>
            </w:r>
            <w:r>
              <w:rPr>
                <w:rFonts w:hint="eastAsia" w:ascii="Times New Roman" w:hAnsi="Times New Roman" w:eastAsia="宋体"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版），</w:t>
            </w:r>
            <w:r>
              <w:rPr>
                <w:rFonts w:hint="eastAsia" w:cs="Times New Roman"/>
                <w:color w:val="auto"/>
                <w:sz w:val="24"/>
                <w:highlight w:val="none"/>
                <w:lang w:val="en-US" w:eastAsia="zh-CN"/>
              </w:rPr>
              <w:t>废润滑油</w:t>
            </w:r>
            <w:r>
              <w:rPr>
                <w:rFonts w:hint="default" w:ascii="Times New Roman" w:hAnsi="Times New Roman" w:eastAsia="宋体" w:cs="Times New Roman"/>
                <w:color w:val="auto"/>
                <w:sz w:val="24"/>
                <w:highlight w:val="none"/>
                <w:lang w:val="en-US" w:eastAsia="zh-CN"/>
              </w:rPr>
              <w:t>属于HW08</w:t>
            </w:r>
            <w:r>
              <w:rPr>
                <w:rFonts w:hint="eastAsia" w:cs="Times New Roman"/>
                <w:color w:val="auto"/>
                <w:sz w:val="24"/>
                <w:highlight w:val="none"/>
                <w:lang w:val="en-US" w:eastAsia="zh-CN"/>
              </w:rPr>
              <w:t>废矿物油与含矿物油废物“</w:t>
            </w:r>
            <w:r>
              <w:rPr>
                <w:rFonts w:hint="default" w:ascii="Times New Roman" w:hAnsi="Times New Roman" w:eastAsia="宋体" w:cs="Times New Roman"/>
                <w:color w:val="auto"/>
                <w:sz w:val="24"/>
                <w:highlight w:val="none"/>
                <w:lang w:val="en-US" w:eastAsia="zh-CN"/>
              </w:rPr>
              <w:t>900-2</w:t>
            </w:r>
            <w:r>
              <w:rPr>
                <w:rFonts w:hint="eastAsia" w:cs="Times New Roman"/>
                <w:color w:val="auto"/>
                <w:sz w:val="24"/>
                <w:highlight w:val="none"/>
                <w:lang w:val="en-US" w:eastAsia="zh-CN"/>
              </w:rPr>
              <w:t>49</w:t>
            </w:r>
            <w:r>
              <w:rPr>
                <w:rFonts w:hint="default" w:ascii="Times New Roman" w:hAnsi="Times New Roman" w:eastAsia="宋体" w:cs="Times New Roman"/>
                <w:color w:val="auto"/>
                <w:sz w:val="24"/>
                <w:highlight w:val="none"/>
                <w:lang w:val="en-US" w:eastAsia="zh-CN"/>
              </w:rPr>
              <w:t>-08</w:t>
            </w:r>
            <w:r>
              <w:rPr>
                <w:rFonts w:hint="eastAsia" w:cs="Times New Roman"/>
                <w:color w:val="auto"/>
                <w:sz w:val="24"/>
                <w:highlight w:val="none"/>
                <w:lang w:val="en-US" w:eastAsia="zh-CN"/>
              </w:rPr>
              <w:t>其他生产、销售、使用过程中产生的废矿物油及沾染矿物油的废弃包装物”</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产生</w:t>
            </w:r>
            <w:r>
              <w:rPr>
                <w:rFonts w:hint="default" w:ascii="Times New Roman" w:hAnsi="Times New Roman" w:eastAsia="宋体" w:cs="Times New Roman"/>
                <w:color w:val="auto"/>
                <w:sz w:val="24"/>
                <w:highlight w:val="none"/>
                <w:lang w:val="en-US" w:eastAsia="zh-CN"/>
              </w:rPr>
              <w:t>的废润滑油暂存于</w:t>
            </w:r>
            <w:r>
              <w:rPr>
                <w:rFonts w:hint="eastAsia" w:cs="Times New Roman"/>
                <w:color w:val="auto"/>
                <w:sz w:val="24"/>
                <w:highlight w:val="none"/>
                <w:lang w:val="en-US" w:eastAsia="zh-CN"/>
              </w:rPr>
              <w:t>危废贮存库</w:t>
            </w:r>
            <w:r>
              <w:rPr>
                <w:rFonts w:hint="default" w:ascii="Times New Roman" w:hAnsi="Times New Roman" w:eastAsia="宋体" w:cs="Times New Roman"/>
                <w:color w:val="auto"/>
                <w:sz w:val="24"/>
                <w:highlight w:val="none"/>
                <w:lang w:val="en-US" w:eastAsia="zh-CN"/>
              </w:rPr>
              <w:t>，定期交由有资质的单位处置</w:t>
            </w:r>
            <w:r>
              <w:rPr>
                <w:rFonts w:hint="eastAsia" w:cs="Times New Roman"/>
                <w:color w:val="auto"/>
                <w:sz w:val="24"/>
                <w:highlight w:val="none"/>
                <w:lang w:val="en-US" w:eastAsia="zh-CN"/>
              </w:rPr>
              <w:t>。</w:t>
            </w:r>
          </w:p>
          <w:p w14:paraId="4DAD8E7D">
            <w:pPr>
              <w:keepNext w:val="0"/>
              <w:keepLines w:val="0"/>
              <w:pageBreakBefore w:val="0"/>
              <w:widowControl w:val="0"/>
              <w:numPr>
                <w:ilvl w:val="0"/>
                <w:numId w:val="29"/>
              </w:numPr>
              <w:kinsoku/>
              <w:wordWrap/>
              <w:overflowPunct/>
              <w:topLinePunct w:val="0"/>
              <w:autoSpaceDE/>
              <w:autoSpaceDN/>
              <w:bidi w:val="0"/>
              <w:spacing w:line="360" w:lineRule="auto"/>
              <w:ind w:left="0" w:lef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污水处理站污泥</w:t>
            </w:r>
          </w:p>
          <w:p w14:paraId="6B85D58C">
            <w:p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本项目产生的综合废水最终均进入已建的污水处理站会产生污水处理污泥，本次技改新增废水量共16328.4m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/a，污泥产生量约0.264t/a，</w:t>
            </w:r>
            <w:bookmarkStart w:id="37" w:name="OLE_LINK25"/>
            <w:r>
              <w:rPr>
                <w:rFonts w:hint="eastAsia" w:cs="Times New Roman"/>
                <w:color w:val="auto"/>
                <w:sz w:val="24"/>
                <w:highlight w:val="none"/>
                <w:lang w:val="en-US" w:eastAsia="zh-CN"/>
              </w:rPr>
              <w:t>根据《国家危险废物名录》（2025年版），</w:t>
            </w:r>
            <w:bookmarkEnd w:id="37"/>
            <w:r>
              <w:rPr>
                <w:rFonts w:hint="eastAsia" w:cs="Times New Roman"/>
                <w:color w:val="auto"/>
                <w:sz w:val="24"/>
                <w:highlight w:val="none"/>
                <w:lang w:val="en-US" w:eastAsia="zh-CN"/>
              </w:rPr>
              <w:t>属于HW49其他废物</w:t>
            </w:r>
            <w:bookmarkStart w:id="38" w:name="OLE_LINK23"/>
            <w:r>
              <w:rPr>
                <w:rFonts w:hint="eastAsia" w:cs="Times New Roman"/>
                <w:color w:val="auto"/>
                <w:sz w:val="24"/>
                <w:highlight w:val="none"/>
                <w:lang w:val="en-US" w:eastAsia="zh-CN"/>
              </w:rPr>
              <w:t>“772-006-49</w:t>
            </w:r>
            <w:r>
              <w:rPr>
                <w:rFonts w:ascii="宋体" w:hAnsi="宋体" w:eastAsia="宋体" w:cs="宋体"/>
                <w:color w:val="auto"/>
                <w:sz w:val="24"/>
                <w:szCs w:val="24"/>
                <w:highlight w:val="none"/>
              </w:rPr>
              <w:t>采用物理、化学、物理化学或生物方法处理或处置毒性或感染性危险废物过程中产生的废水处理污泥、残渣（液）</w:t>
            </w:r>
            <w:r>
              <w:rPr>
                <w:rFonts w:hint="eastAsia" w:cs="Times New Roman"/>
                <w:color w:val="auto"/>
                <w:sz w:val="24"/>
                <w:highlight w:val="none"/>
                <w:lang w:val="en-US" w:eastAsia="zh-CN"/>
              </w:rPr>
              <w:t>”</w:t>
            </w:r>
            <w:bookmarkEnd w:id="38"/>
            <w:r>
              <w:rPr>
                <w:rFonts w:hint="eastAsia" w:cs="Times New Roman"/>
                <w:color w:val="auto"/>
                <w:sz w:val="24"/>
                <w:highlight w:val="none"/>
                <w:lang w:val="en-US" w:eastAsia="zh-CN"/>
              </w:rPr>
              <w:t>。产生的污水处理站污泥袋装收集</w:t>
            </w:r>
            <w:r>
              <w:rPr>
                <w:rFonts w:hint="default" w:ascii="Times New Roman" w:hAnsi="Times New Roman" w:eastAsia="宋体" w:cs="Times New Roman"/>
                <w:color w:val="auto"/>
                <w:sz w:val="24"/>
                <w:highlight w:val="none"/>
                <w:lang w:val="en-US" w:eastAsia="zh-CN"/>
              </w:rPr>
              <w:t>暂存于</w:t>
            </w:r>
            <w:r>
              <w:rPr>
                <w:rFonts w:hint="eastAsia" w:cs="Times New Roman"/>
                <w:color w:val="auto"/>
                <w:sz w:val="24"/>
                <w:highlight w:val="none"/>
                <w:lang w:val="en-US" w:eastAsia="zh-CN"/>
              </w:rPr>
              <w:t>危废贮存库</w:t>
            </w:r>
            <w:r>
              <w:rPr>
                <w:rFonts w:hint="default" w:ascii="Times New Roman" w:hAnsi="Times New Roman" w:eastAsia="宋体" w:cs="Times New Roman"/>
                <w:color w:val="auto"/>
                <w:sz w:val="24"/>
                <w:highlight w:val="none"/>
                <w:lang w:val="en-US" w:eastAsia="zh-CN"/>
              </w:rPr>
              <w:t>，定期交由有资质的单位处置</w:t>
            </w:r>
            <w:r>
              <w:rPr>
                <w:rFonts w:hint="eastAsia" w:cs="Times New Roman"/>
                <w:color w:val="auto"/>
                <w:sz w:val="24"/>
                <w:highlight w:val="none"/>
                <w:lang w:val="en-US" w:eastAsia="zh-CN"/>
              </w:rPr>
              <w:t>。</w:t>
            </w:r>
          </w:p>
          <w:p w14:paraId="63187AF4">
            <w:pPr>
              <w:keepNext w:val="0"/>
              <w:keepLines w:val="0"/>
              <w:pageBreakBefore w:val="0"/>
              <w:widowControl w:val="0"/>
              <w:numPr>
                <w:ilvl w:val="0"/>
                <w:numId w:val="29"/>
              </w:numPr>
              <w:kinsoku/>
              <w:wordWrap/>
              <w:overflowPunct/>
              <w:topLinePunct w:val="0"/>
              <w:autoSpaceDE/>
              <w:autoSpaceDN/>
              <w:bidi w:val="0"/>
              <w:spacing w:line="360" w:lineRule="auto"/>
              <w:ind w:left="0" w:leftChars="0" w:firstLine="480" w:firstLineChars="200"/>
              <w:textAlignment w:val="auto"/>
              <w:rPr>
                <w:color w:val="auto"/>
                <w:kern w:val="0"/>
                <w:sz w:val="24"/>
                <w:highlight w:val="none"/>
                <w:lang w:bidi="ar"/>
              </w:rPr>
            </w:pPr>
            <w:r>
              <w:rPr>
                <w:rFonts w:hint="eastAsia"/>
                <w:color w:val="auto"/>
                <w:kern w:val="0"/>
                <w:sz w:val="24"/>
                <w:highlight w:val="none"/>
                <w:lang w:bidi="ar"/>
              </w:rPr>
              <w:t>废活性炭</w:t>
            </w:r>
          </w:p>
          <w:p w14:paraId="765A8B56">
            <w:pPr>
              <w:widowControl/>
              <w:spacing w:line="360" w:lineRule="auto"/>
              <w:ind w:firstLine="480" w:firstLineChars="200"/>
              <w:jc w:val="left"/>
              <w:rPr>
                <w:rFonts w:hint="eastAsia"/>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bidi="ar"/>
              </w:rPr>
              <w:t>本项目厂区污水处理站恶臭采用“稀碱液循环洗涤+活性炭吸附”系统进行处置，会产生一定量的废活性炭</w:t>
            </w:r>
            <w:r>
              <w:rPr>
                <w:rFonts w:hint="eastAsia" w:cs="Times New Roman"/>
                <w:color w:val="auto"/>
                <w:kern w:val="0"/>
                <w:sz w:val="24"/>
                <w:highlight w:val="none"/>
                <w:lang w:eastAsia="zh-CN" w:bidi="ar"/>
              </w:rPr>
              <w:t>。</w:t>
            </w:r>
            <w:r>
              <w:rPr>
                <w:rFonts w:hint="eastAsia"/>
                <w:color w:val="auto"/>
                <w:kern w:val="0"/>
                <w:sz w:val="24"/>
                <w:highlight w:val="none"/>
                <w:lang w:bidi="ar"/>
              </w:rPr>
              <w:t>参照《四川省挥发性有机物治理之活性炭使用管理常见问题工具书》，可知采用一次性颗粒状活性炭处理挥发性有机物</w:t>
            </w:r>
            <w:r>
              <w:rPr>
                <w:rFonts w:hint="eastAsia"/>
                <w:color w:val="auto"/>
                <w:kern w:val="0"/>
                <w:sz w:val="24"/>
                <w:highlight w:val="none"/>
                <w:lang w:eastAsia="zh-CN" w:bidi="ar"/>
              </w:rPr>
              <w:t>（</w:t>
            </w:r>
            <w:r>
              <w:rPr>
                <w:rFonts w:hint="eastAsia"/>
                <w:color w:val="auto"/>
                <w:kern w:val="0"/>
                <w:sz w:val="24"/>
                <w:highlight w:val="none"/>
                <w:lang w:bidi="ar"/>
              </w:rPr>
              <w:t>VOCs</w:t>
            </w:r>
            <w:r>
              <w:rPr>
                <w:rFonts w:hint="eastAsia"/>
                <w:color w:val="auto"/>
                <w:kern w:val="0"/>
                <w:sz w:val="24"/>
                <w:highlight w:val="none"/>
                <w:lang w:eastAsia="zh-CN" w:bidi="ar"/>
              </w:rPr>
              <w:t>）</w:t>
            </w:r>
            <w:r>
              <w:rPr>
                <w:rFonts w:hint="eastAsia"/>
                <w:color w:val="auto"/>
                <w:kern w:val="0"/>
                <w:sz w:val="24"/>
                <w:highlight w:val="none"/>
                <w:lang w:bidi="ar"/>
              </w:rPr>
              <w:t>废气时通常年活性炭使用量不应低于VOCs产生量的5倍，即1吨VOCs产生量，需用5吨活性炭吸附。根据前文分析，</w:t>
            </w:r>
            <w:r>
              <w:rPr>
                <w:rFonts w:hint="eastAsia"/>
                <w:color w:val="auto"/>
                <w:kern w:val="0"/>
                <w:sz w:val="24"/>
                <w:highlight w:val="none"/>
                <w:lang w:val="en-US" w:eastAsia="zh-CN" w:bidi="ar"/>
              </w:rPr>
              <w:t>本项目污水处理站新增废气处理量约17.131kg/a，根据厂区实际运营及例行检测情况，收集的废气中75%被碱液吸收，5%被活性炭吸附处理，即本项目新增废气需活性炭吸附量约0.857kg/a，则活性炭年使用量应不低于4.285kg/a。</w:t>
            </w:r>
          </w:p>
          <w:p w14:paraId="691745CF">
            <w:pPr>
              <w:widowControl/>
              <w:spacing w:line="360" w:lineRule="auto"/>
              <w:ind w:firstLine="480" w:firstLineChars="200"/>
              <w:jc w:val="left"/>
              <w:rPr>
                <w:rFonts w:hint="eastAsia"/>
                <w:color w:val="auto"/>
                <w:sz w:val="24"/>
                <w:highlight w:val="none"/>
                <w:lang w:val="en-US" w:eastAsia="zh-CN"/>
              </w:rPr>
            </w:pPr>
            <w:r>
              <w:rPr>
                <w:rFonts w:hint="eastAsia"/>
                <w:color w:val="auto"/>
                <w:kern w:val="0"/>
                <w:sz w:val="24"/>
                <w:highlight w:val="none"/>
                <w:lang w:val="en-US" w:eastAsia="zh-CN" w:bidi="ar"/>
              </w:rPr>
              <w:t>同理</w:t>
            </w:r>
            <w:r>
              <w:rPr>
                <w:rFonts w:hint="eastAsia"/>
                <w:color w:val="auto"/>
                <w:kern w:val="0"/>
                <w:sz w:val="24"/>
                <w:highlight w:val="none"/>
                <w:lang w:bidi="ar"/>
              </w:rPr>
              <w:t>根据前文</w:t>
            </w:r>
            <w:r>
              <w:rPr>
                <w:rFonts w:hint="eastAsia"/>
                <w:color w:val="auto"/>
                <w:kern w:val="0"/>
                <w:sz w:val="24"/>
                <w:highlight w:val="none"/>
                <w:lang w:val="en-US" w:eastAsia="zh-CN" w:bidi="ar"/>
              </w:rPr>
              <w:t>可知</w:t>
            </w:r>
            <w:r>
              <w:rPr>
                <w:rFonts w:hint="eastAsia"/>
                <w:color w:val="auto"/>
                <w:kern w:val="0"/>
                <w:sz w:val="24"/>
                <w:highlight w:val="none"/>
                <w:lang w:bidi="ar"/>
              </w:rPr>
              <w:t>，</w:t>
            </w:r>
            <w:r>
              <w:rPr>
                <w:rFonts w:hint="eastAsia"/>
                <w:color w:val="auto"/>
                <w:kern w:val="0"/>
                <w:sz w:val="24"/>
                <w:highlight w:val="none"/>
                <w:lang w:val="en-US" w:eastAsia="zh-CN" w:bidi="ar"/>
              </w:rPr>
              <w:t>本项目建成后全厂废气处理量24.148kg/a，全厂废气需活性炭吸附量为6.035kg/a。</w:t>
            </w:r>
            <w:r>
              <w:rPr>
                <w:rFonts w:hint="eastAsia"/>
                <w:color w:val="auto"/>
                <w:sz w:val="24"/>
                <w:highlight w:val="none"/>
                <w:lang w:val="en-US" w:eastAsia="zh-CN"/>
              </w:rPr>
              <w:t>根据企业现有活性炭吸附装置，活性炭每3个月更换一次，填充量为8.5kg/次，年用活性炭量为34kg。参照VOCs活性炭更换周期计算公式：</w:t>
            </w:r>
          </w:p>
          <w:p w14:paraId="7445C884">
            <w:pPr>
              <w:widowControl/>
              <w:spacing w:line="360" w:lineRule="auto"/>
              <w:ind w:firstLine="480" w:firstLineChars="200"/>
              <w:jc w:val="center"/>
              <w:rPr>
                <w:rFonts w:hint="eastAsia"/>
                <w:color w:val="auto"/>
                <w:sz w:val="24"/>
                <w:highlight w:val="none"/>
                <w:lang w:val="en-US" w:eastAsia="zh-CN"/>
              </w:rPr>
            </w:pPr>
            <w:r>
              <w:rPr>
                <w:rFonts w:hint="eastAsia"/>
                <w:color w:val="auto"/>
                <w:sz w:val="24"/>
                <w:highlight w:val="none"/>
                <w:lang w:val="en-US" w:eastAsia="zh-CN"/>
              </w:rPr>
              <w:t>T=m</w:t>
            </w:r>
            <w:r>
              <w:rPr>
                <w:rFonts w:hint="default" w:ascii="Arial" w:hAnsi="Arial" w:cs="Arial"/>
                <w:color w:val="auto"/>
                <w:sz w:val="24"/>
                <w:highlight w:val="none"/>
                <w:lang w:val="en-US" w:eastAsia="zh-CN"/>
              </w:rPr>
              <w:t>×</w:t>
            </w:r>
            <w:r>
              <w:rPr>
                <w:rFonts w:hint="eastAsia"/>
                <w:color w:val="auto"/>
                <w:sz w:val="24"/>
                <w:highlight w:val="none"/>
                <w:lang w:val="en-US" w:eastAsia="zh-CN"/>
              </w:rPr>
              <w:t>s</w:t>
            </w:r>
            <w:r>
              <w:rPr>
                <w:rFonts w:hint="default" w:ascii="Arial" w:hAnsi="Arial" w:cs="Arial"/>
                <w:color w:val="auto"/>
                <w:sz w:val="24"/>
                <w:highlight w:val="none"/>
                <w:lang w:val="en-US" w:eastAsia="zh-CN"/>
              </w:rPr>
              <w:t>÷</w:t>
            </w:r>
            <w:r>
              <w:rPr>
                <w:rFonts w:hint="eastAsia" w:ascii="Arial" w:hAnsi="Arial" w:cs="Arial"/>
                <w:color w:val="auto"/>
                <w:sz w:val="24"/>
                <w:highlight w:val="none"/>
                <w:lang w:val="en-US" w:eastAsia="zh-CN"/>
              </w:rPr>
              <w:t>（</w:t>
            </w:r>
            <w:r>
              <w:rPr>
                <w:rFonts w:hint="eastAsia"/>
                <w:i/>
                <w:iCs/>
                <w:color w:val="auto"/>
                <w:sz w:val="24"/>
                <w:highlight w:val="none"/>
                <w:lang w:val="en-US" w:eastAsia="zh-CN"/>
              </w:rPr>
              <w:t>c</w:t>
            </w:r>
            <w:r>
              <w:rPr>
                <w:rFonts w:hint="default" w:ascii="Arial" w:hAnsi="Arial" w:cs="Arial"/>
                <w:color w:val="auto"/>
                <w:sz w:val="24"/>
                <w:highlight w:val="none"/>
                <w:lang w:val="en-US" w:eastAsia="zh-CN"/>
              </w:rPr>
              <w:t>×</w:t>
            </w:r>
            <w:r>
              <w:rPr>
                <w:rFonts w:hint="eastAsia"/>
                <w:color w:val="auto"/>
                <w:sz w:val="24"/>
                <w:highlight w:val="none"/>
                <w:lang w:val="en-US" w:eastAsia="zh-CN"/>
              </w:rPr>
              <w:t>10</w:t>
            </w:r>
            <w:r>
              <w:rPr>
                <w:rFonts w:hint="eastAsia"/>
                <w:color w:val="auto"/>
                <w:sz w:val="24"/>
                <w:highlight w:val="none"/>
                <w:vertAlign w:val="superscript"/>
                <w:lang w:val="en-US" w:eastAsia="zh-CN"/>
              </w:rPr>
              <w:t>-6</w:t>
            </w:r>
            <w:r>
              <w:rPr>
                <w:rFonts w:hint="default" w:ascii="Arial" w:hAnsi="Arial" w:cs="Arial"/>
                <w:color w:val="auto"/>
                <w:sz w:val="24"/>
                <w:highlight w:val="none"/>
                <w:lang w:val="en-US" w:eastAsia="zh-CN"/>
              </w:rPr>
              <w:t>×</w:t>
            </w:r>
            <w:r>
              <w:rPr>
                <w:rFonts w:hint="eastAsia"/>
                <w:color w:val="auto"/>
                <w:sz w:val="24"/>
                <w:highlight w:val="none"/>
                <w:lang w:val="en-US" w:eastAsia="zh-CN"/>
              </w:rPr>
              <w:t>Q</w:t>
            </w:r>
            <w:r>
              <w:rPr>
                <w:rFonts w:hint="default" w:ascii="Arial" w:hAnsi="Arial" w:cs="Arial"/>
                <w:color w:val="auto"/>
                <w:sz w:val="24"/>
                <w:highlight w:val="none"/>
                <w:lang w:val="en-US" w:eastAsia="zh-CN"/>
              </w:rPr>
              <w:t>×</w:t>
            </w:r>
            <w:r>
              <w:rPr>
                <w:rFonts w:hint="eastAsia"/>
                <w:color w:val="auto"/>
                <w:sz w:val="24"/>
                <w:highlight w:val="none"/>
                <w:lang w:val="en-US" w:eastAsia="zh-CN"/>
              </w:rPr>
              <w:t>t</w:t>
            </w:r>
            <w:r>
              <w:rPr>
                <w:rFonts w:hint="eastAsia" w:ascii="Arial" w:hAnsi="Arial" w:cs="Arial"/>
                <w:color w:val="auto"/>
                <w:sz w:val="24"/>
                <w:highlight w:val="none"/>
                <w:lang w:val="en-US" w:eastAsia="zh-CN"/>
              </w:rPr>
              <w:t>）</w:t>
            </w:r>
          </w:p>
          <w:p w14:paraId="2557A541">
            <w:pPr>
              <w:widowControl/>
              <w:spacing w:line="360" w:lineRule="auto"/>
              <w:ind w:firstLine="480" w:firstLineChars="200"/>
              <w:jc w:val="left"/>
              <w:rPr>
                <w:rFonts w:hint="eastAsia"/>
                <w:color w:val="auto"/>
                <w:sz w:val="24"/>
                <w:highlight w:val="none"/>
                <w:lang w:val="en-US" w:eastAsia="zh-CN"/>
              </w:rPr>
            </w:pPr>
            <w:r>
              <w:rPr>
                <w:rFonts w:hint="eastAsia"/>
                <w:color w:val="auto"/>
                <w:sz w:val="24"/>
                <w:highlight w:val="none"/>
                <w:lang w:val="en-US" w:eastAsia="zh-CN"/>
              </w:rPr>
              <w:t>式中：T——更换周期，天；</w:t>
            </w:r>
          </w:p>
          <w:p w14:paraId="0A6635B2">
            <w:pPr>
              <w:pStyle w:val="13"/>
              <w:rPr>
                <w:rFonts w:hint="eastAsia"/>
                <w:color w:val="auto"/>
                <w:sz w:val="24"/>
                <w:highlight w:val="none"/>
                <w:lang w:val="en-US" w:eastAsia="zh-CN"/>
              </w:rPr>
            </w:pPr>
            <w:r>
              <w:rPr>
                <w:rFonts w:hint="eastAsia"/>
                <w:color w:val="auto"/>
                <w:sz w:val="24"/>
                <w:highlight w:val="none"/>
                <w:lang w:val="en-US" w:eastAsia="zh-CN"/>
              </w:rPr>
              <w:t>m——活性炭的用量，千克；</w:t>
            </w:r>
          </w:p>
          <w:p w14:paraId="2258E265">
            <w:pPr>
              <w:pStyle w:val="13"/>
              <w:rPr>
                <w:rFonts w:hint="eastAsia"/>
                <w:color w:val="auto"/>
                <w:sz w:val="24"/>
                <w:highlight w:val="none"/>
                <w:lang w:val="en-US" w:eastAsia="zh-CN"/>
              </w:rPr>
            </w:pPr>
            <w:r>
              <w:rPr>
                <w:rFonts w:hint="eastAsia"/>
                <w:color w:val="auto"/>
                <w:sz w:val="24"/>
                <w:highlight w:val="none"/>
                <w:lang w:val="en-US" w:eastAsia="zh-CN"/>
              </w:rPr>
              <w:t>s——动态吸附量，%；本项目取值10%</w:t>
            </w:r>
          </w:p>
          <w:p w14:paraId="1265AF08">
            <w:pPr>
              <w:pStyle w:val="13"/>
              <w:rPr>
                <w:rFonts w:hint="default"/>
                <w:color w:val="auto"/>
                <w:sz w:val="24"/>
                <w:highlight w:val="none"/>
                <w:vertAlign w:val="baseline"/>
                <w:lang w:val="en-US" w:eastAsia="zh-CN"/>
              </w:rPr>
            </w:pPr>
            <w:r>
              <w:rPr>
                <w:rFonts w:hint="eastAsia"/>
                <w:color w:val="auto"/>
                <w:sz w:val="24"/>
                <w:highlight w:val="none"/>
                <w:lang w:val="en-US" w:eastAsia="zh-CN"/>
              </w:rPr>
              <w:t>c——活性炭削减的VOCs浓度，毫克/立方米</w:t>
            </w:r>
            <w:r>
              <w:rPr>
                <w:rFonts w:hint="eastAsia"/>
                <w:color w:val="auto"/>
                <w:sz w:val="24"/>
                <w:highlight w:val="none"/>
                <w:vertAlign w:val="baseline"/>
                <w:lang w:val="en-US" w:eastAsia="zh-CN"/>
              </w:rPr>
              <w:t>；全厂污水处理站活性炭吸附量的浓度约0.056</w:t>
            </w:r>
            <w:r>
              <w:rPr>
                <w:rFonts w:hint="eastAsia"/>
                <w:color w:val="auto"/>
                <w:sz w:val="24"/>
                <w:highlight w:val="none"/>
                <w:lang w:val="en-US" w:eastAsia="zh-CN"/>
              </w:rPr>
              <w:t>mg/m</w:t>
            </w:r>
            <w:r>
              <w:rPr>
                <w:rFonts w:hint="eastAsia"/>
                <w:color w:val="auto"/>
                <w:sz w:val="24"/>
                <w:highlight w:val="none"/>
                <w:vertAlign w:val="superscript"/>
                <w:lang w:val="en-US" w:eastAsia="zh-CN"/>
              </w:rPr>
              <w:t>3</w:t>
            </w:r>
          </w:p>
          <w:p w14:paraId="174BD826">
            <w:pPr>
              <w:pStyle w:val="13"/>
              <w:rPr>
                <w:rFonts w:hint="eastAsia"/>
                <w:color w:val="auto"/>
                <w:sz w:val="24"/>
                <w:highlight w:val="none"/>
                <w:lang w:val="en-US" w:eastAsia="zh-CN"/>
              </w:rPr>
            </w:pPr>
            <w:r>
              <w:rPr>
                <w:rFonts w:hint="eastAsia"/>
                <w:color w:val="auto"/>
                <w:sz w:val="24"/>
                <w:highlight w:val="none"/>
                <w:lang w:val="en-US" w:eastAsia="zh-CN"/>
              </w:rPr>
              <w:t>Q——风量，立方米/小时；厂区污水处理站风量为3000m</w:t>
            </w:r>
            <w:r>
              <w:rPr>
                <w:rFonts w:hint="eastAsia"/>
                <w:color w:val="auto"/>
                <w:sz w:val="24"/>
                <w:highlight w:val="none"/>
                <w:vertAlign w:val="superscript"/>
                <w:lang w:val="en-US" w:eastAsia="zh-CN"/>
              </w:rPr>
              <w:t>3</w:t>
            </w:r>
            <w:r>
              <w:rPr>
                <w:rFonts w:hint="eastAsia"/>
                <w:color w:val="auto"/>
                <w:sz w:val="24"/>
                <w:highlight w:val="none"/>
                <w:lang w:val="en-US" w:eastAsia="zh-CN"/>
              </w:rPr>
              <w:t>/h</w:t>
            </w:r>
          </w:p>
          <w:p w14:paraId="5A56087A">
            <w:pPr>
              <w:pStyle w:val="13"/>
              <w:rPr>
                <w:rFonts w:hint="default"/>
                <w:color w:val="auto"/>
                <w:sz w:val="24"/>
                <w:highlight w:val="none"/>
                <w:lang w:val="en-US" w:eastAsia="zh-CN"/>
              </w:rPr>
            </w:pPr>
            <w:r>
              <w:rPr>
                <w:rFonts w:hint="eastAsia"/>
                <w:color w:val="auto"/>
                <w:sz w:val="24"/>
                <w:highlight w:val="none"/>
                <w:lang w:val="en-US" w:eastAsia="zh-CN"/>
              </w:rPr>
              <w:t>t——运行时间，小时/天；厂区污水处理站运行时间为24h/d</w:t>
            </w:r>
          </w:p>
          <w:p w14:paraId="41B960F9">
            <w:pPr>
              <w:spacing w:line="360" w:lineRule="auto"/>
              <w:ind w:firstLine="480" w:firstLineChars="200"/>
              <w:rPr>
                <w:rFonts w:hint="eastAsia"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根据</w:t>
            </w:r>
            <w:r>
              <w:rPr>
                <w:rFonts w:hint="eastAsia"/>
                <w:color w:val="auto"/>
                <w:sz w:val="24"/>
                <w:highlight w:val="none"/>
                <w:lang w:val="en-US" w:eastAsia="zh-CN"/>
              </w:rPr>
              <w:t>上式计算可知，污水处理站废气活性炭的更换周期为845天，满足现有工程活性炭的更换频次，因此，本次技改后</w:t>
            </w:r>
            <w:r>
              <w:rPr>
                <w:rFonts w:hint="eastAsia" w:cs="Times New Roman"/>
                <w:color w:val="auto"/>
                <w:sz w:val="24"/>
                <w:highlight w:val="none"/>
                <w:lang w:val="en-US" w:eastAsia="zh-CN"/>
              </w:rPr>
              <w:t>废气吸附量即为</w:t>
            </w:r>
            <w:r>
              <w:rPr>
                <w:rFonts w:hint="eastAsia" w:ascii="Times New Roman" w:hAnsi="Times New Roman" w:cs="Times New Roman"/>
                <w:color w:val="auto"/>
                <w:sz w:val="24"/>
                <w:highlight w:val="none"/>
                <w:lang w:val="en-US" w:eastAsia="zh-CN"/>
              </w:rPr>
              <w:t>废</w:t>
            </w:r>
            <w:r>
              <w:rPr>
                <w:rFonts w:hint="default" w:ascii="Times New Roman" w:hAnsi="Times New Roman" w:cs="Times New Roman"/>
                <w:color w:val="auto"/>
                <w:sz w:val="24"/>
                <w:highlight w:val="none"/>
                <w:lang w:val="en-US" w:eastAsia="zh-CN"/>
              </w:rPr>
              <w:t>活性炭</w:t>
            </w:r>
            <w:r>
              <w:rPr>
                <w:rFonts w:hint="eastAsia" w:cs="Times New Roman"/>
                <w:color w:val="auto"/>
                <w:sz w:val="24"/>
                <w:highlight w:val="none"/>
                <w:lang w:val="en-US" w:eastAsia="zh-CN"/>
              </w:rPr>
              <w:t>增加量，</w:t>
            </w:r>
            <w:r>
              <w:rPr>
                <w:rFonts w:hint="eastAsia" w:ascii="Times New Roman" w:hAnsi="Times New Roman" w:cs="Times New Roman"/>
                <w:color w:val="auto"/>
                <w:sz w:val="24"/>
                <w:highlight w:val="none"/>
                <w:lang w:val="en-US" w:eastAsia="zh-CN"/>
              </w:rPr>
              <w:t>考虑最不利情况（环评预测量），</w:t>
            </w:r>
            <w:r>
              <w:rPr>
                <w:rFonts w:hint="eastAsia" w:cs="Times New Roman"/>
                <w:color w:val="auto"/>
                <w:sz w:val="24"/>
                <w:highlight w:val="none"/>
                <w:lang w:val="en-US" w:eastAsia="zh-CN"/>
              </w:rPr>
              <w:t>则废活性炭增加量为0.857kg</w:t>
            </w:r>
            <w:r>
              <w:rPr>
                <w:rFonts w:hint="eastAsia" w:ascii="Times New Roman" w:hAnsi="Times New Roman" w:cs="Times New Roman"/>
                <w:color w:val="auto"/>
                <w:sz w:val="24"/>
                <w:highlight w:val="none"/>
                <w:lang w:val="en-US" w:eastAsia="zh-CN"/>
              </w:rPr>
              <w:t>/a。</w:t>
            </w:r>
            <w:r>
              <w:rPr>
                <w:rFonts w:hint="eastAsia" w:cs="Times New Roman"/>
                <w:color w:val="auto"/>
                <w:sz w:val="24"/>
                <w:highlight w:val="none"/>
                <w:lang w:val="en-US" w:eastAsia="zh-CN"/>
              </w:rPr>
              <w:t>根据《国家危险废物名录》（2025年版），</w:t>
            </w:r>
            <w:r>
              <w:rPr>
                <w:rFonts w:hint="eastAsia"/>
                <w:color w:val="auto"/>
                <w:sz w:val="24"/>
                <w:highlight w:val="none"/>
                <w:lang w:val="en-US" w:eastAsia="zh-CN"/>
              </w:rPr>
              <w:t>废活性炭</w:t>
            </w:r>
            <w:r>
              <w:rPr>
                <w:rFonts w:hint="eastAsia"/>
                <w:color w:val="auto"/>
                <w:sz w:val="24"/>
                <w:highlight w:val="none"/>
              </w:rPr>
              <w:t>属于</w:t>
            </w:r>
            <w:r>
              <w:rPr>
                <w:rFonts w:hint="eastAsia"/>
                <w:color w:val="auto"/>
                <w:sz w:val="24"/>
                <w:highlight w:val="none"/>
                <w:lang w:val="en-US" w:eastAsia="zh-CN"/>
              </w:rPr>
              <w:t>HW49其他废物“900-039-49烟气、VOCs治理过程（不包括餐饮行业油烟治理过程）产生的废活性炭，化学原料和化学制品脱色（不包括有机合成食品添加剂脱色）、除杂、净化过程产生的废活性炭”</w:t>
            </w:r>
            <w:r>
              <w:rPr>
                <w:rFonts w:hint="eastAsia"/>
                <w:color w:val="auto"/>
                <w:sz w:val="24"/>
                <w:highlight w:val="none"/>
              </w:rPr>
              <w:t>。</w:t>
            </w:r>
            <w:r>
              <w:rPr>
                <w:rFonts w:hint="eastAsia" w:cs="Times New Roman"/>
                <w:color w:val="auto"/>
                <w:sz w:val="24"/>
                <w:highlight w:val="none"/>
                <w:lang w:val="en-US" w:eastAsia="zh-CN"/>
              </w:rPr>
              <w:t>产生的废活性炭采用封闭的收集袋或收集桶妥善收集后</w:t>
            </w:r>
            <w:r>
              <w:rPr>
                <w:rFonts w:hint="default" w:ascii="Times New Roman" w:hAnsi="Times New Roman" w:eastAsia="宋体" w:cs="Times New Roman"/>
                <w:color w:val="auto"/>
                <w:sz w:val="24"/>
                <w:highlight w:val="none"/>
                <w:lang w:val="en-US" w:eastAsia="zh-CN"/>
              </w:rPr>
              <w:t>暂存于</w:t>
            </w:r>
            <w:r>
              <w:rPr>
                <w:rFonts w:hint="eastAsia" w:cs="Times New Roman"/>
                <w:color w:val="auto"/>
                <w:sz w:val="24"/>
                <w:highlight w:val="none"/>
                <w:lang w:val="en-US" w:eastAsia="zh-CN"/>
              </w:rPr>
              <w:t>危废贮存库</w:t>
            </w:r>
            <w:r>
              <w:rPr>
                <w:rFonts w:hint="default" w:ascii="Times New Roman" w:hAnsi="Times New Roman" w:eastAsia="宋体" w:cs="Times New Roman"/>
                <w:color w:val="auto"/>
                <w:sz w:val="24"/>
                <w:highlight w:val="none"/>
                <w:lang w:val="en-US" w:eastAsia="zh-CN"/>
              </w:rPr>
              <w:t>，定期交由有资质的单位处置</w:t>
            </w:r>
            <w:r>
              <w:rPr>
                <w:rFonts w:hint="eastAsia" w:cs="Times New Roman"/>
                <w:color w:val="auto"/>
                <w:sz w:val="24"/>
                <w:highlight w:val="none"/>
                <w:lang w:val="en-US" w:eastAsia="zh-CN"/>
              </w:rPr>
              <w:t>。</w:t>
            </w:r>
          </w:p>
          <w:p w14:paraId="638EF385">
            <w:pPr>
              <w:spacing w:line="360" w:lineRule="auto"/>
              <w:ind w:firstLine="482" w:firstLineChars="200"/>
              <w:rPr>
                <w:b/>
                <w:color w:val="auto"/>
                <w:sz w:val="24"/>
                <w:highlight w:val="none"/>
              </w:rPr>
            </w:pPr>
            <w:r>
              <w:rPr>
                <w:rFonts w:hint="eastAsia"/>
                <w:b/>
                <w:color w:val="auto"/>
                <w:sz w:val="24"/>
                <w:highlight w:val="none"/>
              </w:rPr>
              <w:t>固废处置：</w:t>
            </w:r>
          </w:p>
          <w:p w14:paraId="17845662">
            <w:pPr>
              <w:spacing w:line="360" w:lineRule="auto"/>
              <w:ind w:firstLine="480" w:firstLineChars="200"/>
              <w:rPr>
                <w:bCs/>
                <w:color w:val="auto"/>
                <w:sz w:val="24"/>
                <w:highlight w:val="none"/>
              </w:rPr>
            </w:pPr>
            <w:r>
              <w:rPr>
                <w:rFonts w:hint="eastAsia"/>
                <w:bCs/>
                <w:color w:val="auto"/>
                <w:sz w:val="24"/>
                <w:highlight w:val="none"/>
              </w:rPr>
              <w:t>1）一般固废处理措施</w:t>
            </w:r>
          </w:p>
          <w:p w14:paraId="49323641">
            <w:pPr>
              <w:spacing w:line="360" w:lineRule="auto"/>
              <w:ind w:firstLine="480" w:firstLineChars="200"/>
              <w:rPr>
                <w:rFonts w:hint="eastAsia" w:eastAsia="宋体"/>
                <w:b/>
                <w:color w:val="auto"/>
                <w:sz w:val="24"/>
                <w:highlight w:val="none"/>
                <w:lang w:eastAsia="zh-CN"/>
              </w:rPr>
            </w:pPr>
            <w:r>
              <w:rPr>
                <w:rFonts w:hint="eastAsia"/>
                <w:bCs/>
                <w:color w:val="auto"/>
                <w:sz w:val="24"/>
                <w:highlight w:val="none"/>
              </w:rPr>
              <w:t>一般固废</w:t>
            </w:r>
            <w:r>
              <w:rPr>
                <w:rFonts w:hint="eastAsia"/>
                <w:bCs/>
                <w:color w:val="auto"/>
                <w:sz w:val="24"/>
                <w:highlight w:val="none"/>
                <w:lang w:val="en-US" w:eastAsia="zh-CN"/>
              </w:rPr>
              <w:t>采用垃圾桶收集后交由环卫部门定期清运</w:t>
            </w:r>
            <w:r>
              <w:rPr>
                <w:rFonts w:hint="eastAsia"/>
                <w:bCs/>
                <w:color w:val="auto"/>
                <w:sz w:val="24"/>
                <w:highlight w:val="none"/>
              </w:rPr>
              <w:t>。</w:t>
            </w:r>
          </w:p>
          <w:p w14:paraId="23021977">
            <w:pPr>
              <w:spacing w:line="360" w:lineRule="auto"/>
              <w:ind w:firstLine="480" w:firstLineChars="200"/>
              <w:rPr>
                <w:bCs/>
                <w:color w:val="auto"/>
                <w:sz w:val="24"/>
                <w:highlight w:val="none"/>
              </w:rPr>
            </w:pPr>
            <w:r>
              <w:rPr>
                <w:rFonts w:hint="eastAsia"/>
                <w:bCs/>
                <w:color w:val="auto"/>
                <w:sz w:val="24"/>
                <w:highlight w:val="none"/>
              </w:rPr>
              <w:t>2）</w:t>
            </w:r>
            <w:r>
              <w:rPr>
                <w:bCs/>
                <w:color w:val="auto"/>
                <w:sz w:val="24"/>
                <w:highlight w:val="none"/>
              </w:rPr>
              <w:t>危废处理措施</w:t>
            </w:r>
          </w:p>
          <w:p w14:paraId="13FB2B57">
            <w:pPr>
              <w:spacing w:line="360" w:lineRule="auto"/>
              <w:ind w:firstLine="480" w:firstLineChars="200"/>
              <w:rPr>
                <w:bCs/>
                <w:color w:val="auto"/>
                <w:sz w:val="24"/>
                <w:highlight w:val="none"/>
              </w:rPr>
            </w:pPr>
            <w:r>
              <w:rPr>
                <w:rFonts w:hint="eastAsia" w:ascii="Times New Roman" w:hAnsi="Times New Roman" w:eastAsia="宋体" w:cs="Times New Roman"/>
                <w:bCs/>
                <w:color w:val="auto"/>
                <w:sz w:val="24"/>
                <w:highlight w:val="none"/>
                <w:lang w:val="en-US" w:eastAsia="zh-CN"/>
              </w:rPr>
              <w:t>本次新建1</w:t>
            </w:r>
            <w:r>
              <w:rPr>
                <w:rFonts w:hint="eastAsia" w:cs="Times New Roman"/>
                <w:bCs/>
                <w:color w:val="auto"/>
                <w:sz w:val="24"/>
                <w:highlight w:val="none"/>
                <w:lang w:val="en-US" w:eastAsia="zh-CN"/>
              </w:rPr>
              <w:t>个危废贮存库</w:t>
            </w:r>
            <w:r>
              <w:rPr>
                <w:rFonts w:hint="eastAsia" w:ascii="Times New Roman" w:hAnsi="Times New Roman" w:eastAsia="宋体" w:cs="Times New Roman"/>
                <w:bCs/>
                <w:color w:val="auto"/>
                <w:sz w:val="24"/>
                <w:highlight w:val="none"/>
                <w:lang w:val="en-US" w:eastAsia="zh-CN"/>
              </w:rPr>
              <w:t>，</w:t>
            </w:r>
            <w:r>
              <w:rPr>
                <w:rFonts w:ascii="Times New Roman" w:hAnsi="Times New Roman" w:eastAsia="宋体" w:cs="Times New Roman"/>
                <w:bCs/>
                <w:color w:val="auto"/>
                <w:sz w:val="24"/>
                <w:highlight w:val="none"/>
              </w:rPr>
              <w:t>总占地面积为</w:t>
            </w:r>
            <w:r>
              <w:rPr>
                <w:rFonts w:hint="eastAsia" w:ascii="Times New Roman" w:hAnsi="Times New Roman" w:eastAsia="宋体" w:cs="Times New Roman"/>
                <w:bCs/>
                <w:color w:val="auto"/>
                <w:sz w:val="24"/>
                <w:highlight w:val="none"/>
                <w:lang w:val="en-US" w:eastAsia="zh-CN"/>
              </w:rPr>
              <w:t>2</w:t>
            </w:r>
            <w:r>
              <w:rPr>
                <w:rFonts w:hint="eastAsia" w:ascii="Times New Roman" w:hAnsi="Times New Roman" w:eastAsia="宋体" w:cs="Times New Roman"/>
                <w:bCs/>
                <w:color w:val="auto"/>
                <w:sz w:val="24"/>
                <w:highlight w:val="none"/>
              </w:rPr>
              <w:t>0</w:t>
            </w:r>
            <w:r>
              <w:rPr>
                <w:rFonts w:ascii="Times New Roman" w:hAnsi="Times New Roman" w:eastAsia="宋体" w:cs="Times New Roman"/>
                <w:bCs/>
                <w:color w:val="auto"/>
                <w:sz w:val="24"/>
                <w:highlight w:val="none"/>
              </w:rPr>
              <w:t>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现有危废</w:t>
            </w:r>
            <w:r>
              <w:rPr>
                <w:rFonts w:hint="eastAsia" w:cs="Times New Roman"/>
                <w:bCs/>
                <w:color w:val="auto"/>
                <w:sz w:val="24"/>
                <w:highlight w:val="none"/>
                <w:lang w:val="en-US" w:eastAsia="zh-CN"/>
              </w:rPr>
              <w:t>贮存库</w:t>
            </w:r>
            <w:r>
              <w:rPr>
                <w:rFonts w:hint="eastAsia" w:ascii="Times New Roman" w:hAnsi="Times New Roman" w:eastAsia="宋体" w:cs="Times New Roman"/>
                <w:bCs/>
                <w:color w:val="auto"/>
                <w:sz w:val="24"/>
                <w:highlight w:val="none"/>
                <w:lang w:val="en-US" w:eastAsia="zh-CN"/>
              </w:rPr>
              <w:t>在新建危废间建成后取消，</w:t>
            </w:r>
            <w:r>
              <w:rPr>
                <w:rFonts w:ascii="Times New Roman" w:hAnsi="Times New Roman" w:eastAsia="宋体" w:cs="Times New Roman"/>
                <w:bCs/>
                <w:color w:val="auto"/>
                <w:sz w:val="24"/>
                <w:highlight w:val="none"/>
              </w:rPr>
              <w:t>企业产生的危险废物</w:t>
            </w:r>
            <w:r>
              <w:rPr>
                <w:rFonts w:hint="eastAsia" w:ascii="Times New Roman" w:hAnsi="Times New Roman" w:eastAsia="宋体" w:cs="Times New Roman"/>
                <w:bCs/>
                <w:color w:val="auto"/>
                <w:sz w:val="24"/>
                <w:highlight w:val="none"/>
                <w:lang w:val="en-US" w:eastAsia="zh-CN"/>
              </w:rPr>
              <w:t>均</w:t>
            </w:r>
            <w:r>
              <w:rPr>
                <w:rFonts w:ascii="Times New Roman" w:hAnsi="Times New Roman" w:eastAsia="宋体" w:cs="Times New Roman"/>
                <w:bCs/>
                <w:color w:val="auto"/>
                <w:sz w:val="24"/>
                <w:highlight w:val="none"/>
              </w:rPr>
              <w:t>全部暂存于</w:t>
            </w:r>
            <w:r>
              <w:rPr>
                <w:rFonts w:hint="eastAsia" w:ascii="Times New Roman" w:hAnsi="Times New Roman" w:eastAsia="宋体" w:cs="Times New Roman"/>
                <w:bCs/>
                <w:color w:val="auto"/>
                <w:sz w:val="24"/>
                <w:highlight w:val="none"/>
                <w:lang w:val="en-US" w:eastAsia="zh-CN"/>
              </w:rPr>
              <w:t>北侧新建的</w:t>
            </w:r>
            <w:r>
              <w:rPr>
                <w:rFonts w:hint="eastAsia" w:cs="Times New Roman"/>
                <w:bCs/>
                <w:color w:val="auto"/>
                <w:sz w:val="24"/>
                <w:highlight w:val="none"/>
                <w:lang w:eastAsia="zh-CN"/>
              </w:rPr>
              <w:t>危废贮存库</w:t>
            </w:r>
            <w:r>
              <w:rPr>
                <w:rFonts w:ascii="Times New Roman" w:hAnsi="Times New Roman" w:eastAsia="宋体" w:cs="Times New Roman"/>
                <w:bCs/>
                <w:color w:val="auto"/>
                <w:sz w:val="24"/>
                <w:highlight w:val="none"/>
              </w:rPr>
              <w:t>内。</w:t>
            </w:r>
          </w:p>
          <w:p w14:paraId="7DCE8299">
            <w:pPr>
              <w:spacing w:line="360" w:lineRule="auto"/>
              <w:ind w:firstLine="480" w:firstLineChars="200"/>
              <w:rPr>
                <w:bCs/>
                <w:color w:val="auto"/>
                <w:sz w:val="24"/>
                <w:highlight w:val="none"/>
              </w:rPr>
            </w:pPr>
            <w:r>
              <w:rPr>
                <w:bCs/>
                <w:color w:val="auto"/>
                <w:sz w:val="24"/>
                <w:highlight w:val="none"/>
              </w:rPr>
              <w:t>本次评价主要从危险废物收集、贮存、运输环节提出污染防治措施要求，具体如下：</w:t>
            </w:r>
          </w:p>
          <w:p w14:paraId="20F8B086">
            <w:pPr>
              <w:spacing w:line="360" w:lineRule="auto"/>
              <w:ind w:firstLine="480" w:firstLineChars="200"/>
              <w:rPr>
                <w:rFonts w:hint="eastAsia" w:eastAsia="宋体"/>
                <w:bCs/>
                <w:color w:val="auto"/>
                <w:sz w:val="24"/>
                <w:highlight w:val="none"/>
                <w:lang w:val="en-US" w:eastAsia="zh-CN"/>
              </w:rPr>
            </w:pPr>
            <w:r>
              <w:rPr>
                <w:bCs/>
                <w:color w:val="auto"/>
                <w:sz w:val="24"/>
                <w:highlight w:val="none"/>
              </w:rPr>
              <w:t>危废的收集应使用符合国家标准的专用容器，容器壁应贴有标签，详细标明危废的名称、重量、成分、特性以及发生泄漏、扩散污染事故时的应急措施和补救方法。危险废物</w:t>
            </w:r>
            <w:r>
              <w:rPr>
                <w:rFonts w:hint="eastAsia"/>
                <w:bCs/>
                <w:color w:val="auto"/>
                <w:sz w:val="24"/>
                <w:highlight w:val="none"/>
                <w:lang w:val="en-US" w:eastAsia="zh-CN"/>
              </w:rPr>
              <w:t>贮存库</w:t>
            </w:r>
            <w:r>
              <w:rPr>
                <w:bCs/>
                <w:color w:val="auto"/>
                <w:sz w:val="24"/>
                <w:highlight w:val="none"/>
              </w:rPr>
              <w:t>需由专人负责收集</w:t>
            </w:r>
            <w:r>
              <w:rPr>
                <w:rFonts w:hint="eastAsia"/>
                <w:bCs/>
                <w:color w:val="auto"/>
                <w:sz w:val="24"/>
                <w:highlight w:val="none"/>
                <w:lang w:eastAsia="zh-CN"/>
              </w:rPr>
              <w:t>，</w:t>
            </w:r>
            <w:r>
              <w:rPr>
                <w:rFonts w:hint="eastAsia"/>
                <w:bCs/>
                <w:color w:val="auto"/>
                <w:sz w:val="24"/>
                <w:highlight w:val="none"/>
                <w:lang w:val="en-US" w:eastAsia="zh-CN"/>
              </w:rPr>
              <w:t>严格</w:t>
            </w:r>
            <w:r>
              <w:rPr>
                <w:rFonts w:hint="eastAsia" w:ascii="Times New Roman" w:hAnsi="Times New Roman" w:eastAsia="宋体" w:cs="Times New Roman"/>
                <w:bCs/>
                <w:color w:val="auto"/>
                <w:sz w:val="24"/>
                <w:highlight w:val="none"/>
                <w:lang w:val="en-US" w:eastAsia="zh-CN"/>
              </w:rPr>
              <w:t>按照</w:t>
            </w:r>
            <w:r>
              <w:rPr>
                <w:rFonts w:hint="eastAsia" w:ascii="Times New Roman" w:hAnsi="Times New Roman" w:eastAsia="宋体" w:cs="Times New Roman"/>
                <w:bCs/>
                <w:color w:val="auto"/>
                <w:sz w:val="24"/>
                <w:highlight w:val="none"/>
                <w:lang w:eastAsia="zh-CN"/>
              </w:rPr>
              <w:t>《危险废物识别标志设置技术规范》（HJ1276-2022）</w:t>
            </w:r>
            <w:r>
              <w:rPr>
                <w:rFonts w:hint="eastAsia" w:ascii="Times New Roman" w:hAnsi="Times New Roman" w:eastAsia="宋体" w:cs="Times New Roman"/>
                <w:bCs/>
                <w:color w:val="auto"/>
                <w:sz w:val="24"/>
                <w:highlight w:val="none"/>
                <w:lang w:val="en-US" w:eastAsia="zh-CN"/>
              </w:rPr>
              <w:t>要求进行危险废物分区贮存，张贴危废标识标牌，</w:t>
            </w:r>
            <w:r>
              <w:rPr>
                <w:bCs/>
                <w:color w:val="auto"/>
                <w:sz w:val="24"/>
                <w:highlight w:val="none"/>
              </w:rPr>
              <w:t>妥善储存</w:t>
            </w:r>
            <w:r>
              <w:rPr>
                <w:rFonts w:hint="eastAsia"/>
                <w:bCs/>
                <w:color w:val="auto"/>
                <w:sz w:val="24"/>
                <w:highlight w:val="none"/>
                <w:lang w:eastAsia="zh-CN"/>
              </w:rPr>
              <w:t>，</w:t>
            </w:r>
            <w:r>
              <w:rPr>
                <w:bCs/>
                <w:color w:val="auto"/>
                <w:sz w:val="24"/>
                <w:highlight w:val="none"/>
              </w:rPr>
              <w:t>严禁随意丢弃、填埋。</w:t>
            </w:r>
          </w:p>
          <w:p w14:paraId="502D5FA2">
            <w:pPr>
              <w:spacing w:line="360" w:lineRule="auto"/>
              <w:ind w:firstLine="480" w:firstLineChars="200"/>
              <w:rPr>
                <w:bCs/>
                <w:color w:val="auto"/>
                <w:sz w:val="24"/>
                <w:highlight w:val="none"/>
              </w:rPr>
            </w:pPr>
            <w:r>
              <w:rPr>
                <w:rFonts w:hint="eastAsia"/>
                <w:bCs/>
                <w:color w:val="auto"/>
                <w:sz w:val="24"/>
                <w:highlight w:val="none"/>
                <w:lang w:eastAsia="zh-CN"/>
              </w:rPr>
              <w:t>危废贮存库</w:t>
            </w:r>
            <w:r>
              <w:rPr>
                <w:bCs/>
                <w:color w:val="auto"/>
                <w:sz w:val="24"/>
                <w:highlight w:val="none"/>
              </w:rPr>
              <w:t>需严格按照</w:t>
            </w:r>
            <w:r>
              <w:rPr>
                <w:rFonts w:hint="eastAsia"/>
                <w:bCs/>
                <w:color w:val="auto"/>
                <w:sz w:val="24"/>
                <w:highlight w:val="none"/>
                <w:lang w:eastAsia="zh-CN"/>
              </w:rPr>
              <w:t>《</w:t>
            </w:r>
            <w:r>
              <w:rPr>
                <w:rFonts w:hint="eastAsia"/>
                <w:bCs/>
                <w:color w:val="auto"/>
                <w:sz w:val="24"/>
                <w:highlight w:val="none"/>
              </w:rPr>
              <w:t>危险废物贮存污染控制标准（GB18597</w:t>
            </w:r>
            <w:r>
              <w:rPr>
                <w:rFonts w:hint="eastAsia"/>
                <w:bCs/>
                <w:color w:val="auto"/>
                <w:sz w:val="24"/>
                <w:highlight w:val="none"/>
                <w:lang w:eastAsia="zh-CN"/>
              </w:rPr>
              <w:t>-</w:t>
            </w:r>
            <w:r>
              <w:rPr>
                <w:rFonts w:hint="eastAsia"/>
                <w:bCs/>
                <w:color w:val="auto"/>
                <w:sz w:val="24"/>
                <w:highlight w:val="none"/>
              </w:rPr>
              <w:t>2023）</w:t>
            </w:r>
            <w:r>
              <w:rPr>
                <w:rFonts w:hint="eastAsia"/>
                <w:bCs/>
                <w:color w:val="auto"/>
                <w:sz w:val="24"/>
                <w:highlight w:val="none"/>
                <w:lang w:eastAsia="zh-CN"/>
              </w:rPr>
              <w:t>》</w:t>
            </w:r>
            <w:r>
              <w:rPr>
                <w:bCs/>
                <w:color w:val="auto"/>
                <w:sz w:val="24"/>
                <w:highlight w:val="none"/>
              </w:rPr>
              <w:t>的要求做好防雨、防晒、防渗、防风措施，同时</w:t>
            </w:r>
            <w:r>
              <w:rPr>
                <w:rFonts w:hint="eastAsia"/>
                <w:bCs/>
                <w:color w:val="auto"/>
                <w:sz w:val="24"/>
                <w:highlight w:val="none"/>
                <w:lang w:eastAsia="zh-CN"/>
              </w:rPr>
              <w:t>危废贮存库</w:t>
            </w:r>
            <w:r>
              <w:rPr>
                <w:bCs/>
                <w:color w:val="auto"/>
                <w:sz w:val="24"/>
                <w:highlight w:val="none"/>
              </w:rPr>
              <w:t>应设置泄漏液体收集装置，即围堰，围堰容积不小于堵截最大容器的最大储量，围堰周围设置导流沟和事故装置，收集的泄漏的液体作为危废交有资质单位处置，确保危险废物不得污染地下水。</w:t>
            </w:r>
          </w:p>
          <w:p w14:paraId="78E08A8D">
            <w:pPr>
              <w:spacing w:line="360" w:lineRule="auto"/>
              <w:ind w:firstLine="480" w:firstLineChars="200"/>
              <w:rPr>
                <w:bCs/>
                <w:color w:val="auto"/>
                <w:sz w:val="24"/>
                <w:highlight w:val="none"/>
              </w:rPr>
            </w:pPr>
            <w:r>
              <w:rPr>
                <w:bCs/>
                <w:color w:val="auto"/>
                <w:sz w:val="24"/>
                <w:highlight w:val="none"/>
              </w:rPr>
              <w:t>危险废物转运时必须安全转移，防止撒漏，采用专用车运输。应严格按照《危险废物转移联单管理办法》规定办理危险废物转移手续，如实填写危险废物转移五联单，防止二次污染的产生。对危险废物产生量、种类、去向等进行详细登记，做到有据可查，确保污染物不进入地下水，污染环境。危废最终交给有资质的单位回收利用和安全处置</w:t>
            </w:r>
            <w:r>
              <w:rPr>
                <w:rFonts w:hint="eastAsia"/>
                <w:bCs/>
                <w:color w:val="auto"/>
                <w:sz w:val="24"/>
                <w:highlight w:val="none"/>
                <w:lang w:eastAsia="zh-CN"/>
              </w:rPr>
              <w:t>，</w:t>
            </w:r>
            <w:r>
              <w:rPr>
                <w:rFonts w:hint="eastAsia"/>
                <w:bCs/>
                <w:color w:val="auto"/>
                <w:sz w:val="24"/>
                <w:highlight w:val="none"/>
                <w:lang w:val="en-US" w:eastAsia="zh-CN"/>
              </w:rPr>
              <w:t>目前，企业</w:t>
            </w:r>
            <w:r>
              <w:rPr>
                <w:rFonts w:hint="default" w:ascii="Times New Roman" w:hAnsi="Times New Roman" w:eastAsia="宋体" w:cs="Times New Roman"/>
                <w:color w:val="auto"/>
                <w:sz w:val="24"/>
                <w:highlight w:val="none"/>
                <w:lang w:val="en-US" w:eastAsia="zh-CN"/>
              </w:rPr>
              <w:t>已与</w:t>
            </w:r>
            <w:r>
              <w:rPr>
                <w:rFonts w:hint="eastAsia" w:ascii="Times New Roman" w:hAnsi="Times New Roman" w:eastAsia="宋体" w:cs="Times New Roman"/>
                <w:color w:val="auto"/>
                <w:sz w:val="24"/>
                <w:highlight w:val="none"/>
                <w:lang w:val="en-US" w:eastAsia="zh-CN"/>
              </w:rPr>
              <w:t>四川省兴茂石化有限责任公司签订危废委托处置合同，</w:t>
            </w:r>
            <w:r>
              <w:rPr>
                <w:rFonts w:hint="eastAsia"/>
                <w:bCs/>
                <w:color w:val="auto"/>
                <w:sz w:val="24"/>
                <w:highlight w:val="none"/>
                <w:lang w:val="en-US" w:eastAsia="zh-CN"/>
              </w:rPr>
              <w:t>危废类别包括</w:t>
            </w:r>
            <w:r>
              <w:rPr>
                <w:bCs/>
                <w:color w:val="auto"/>
                <w:sz w:val="24"/>
                <w:highlight w:val="none"/>
              </w:rPr>
              <w:t>HW0</w:t>
            </w:r>
            <w:r>
              <w:rPr>
                <w:rFonts w:hint="eastAsia"/>
                <w:bCs/>
                <w:color w:val="auto"/>
                <w:sz w:val="24"/>
                <w:highlight w:val="none"/>
                <w:lang w:val="en-US" w:eastAsia="zh-CN"/>
              </w:rPr>
              <w:t>8</w:t>
            </w:r>
            <w:r>
              <w:rPr>
                <w:bCs/>
                <w:color w:val="auto"/>
                <w:sz w:val="24"/>
                <w:highlight w:val="none"/>
              </w:rPr>
              <w:t>、HW49，</w:t>
            </w:r>
            <w:r>
              <w:rPr>
                <w:rFonts w:hint="eastAsia"/>
                <w:bCs/>
                <w:color w:val="auto"/>
                <w:sz w:val="24"/>
                <w:highlight w:val="none"/>
              </w:rPr>
              <w:t>危废交由</w:t>
            </w:r>
            <w:r>
              <w:rPr>
                <w:rFonts w:hint="eastAsia"/>
                <w:bCs/>
                <w:color w:val="auto"/>
                <w:sz w:val="24"/>
                <w:highlight w:val="none"/>
                <w:lang w:val="en-US" w:eastAsia="zh-CN"/>
              </w:rPr>
              <w:t>该危废处置单位定期清运处置</w:t>
            </w:r>
            <w:r>
              <w:rPr>
                <w:rFonts w:hint="eastAsia"/>
                <w:bCs/>
                <w:color w:val="auto"/>
                <w:sz w:val="24"/>
                <w:highlight w:val="none"/>
              </w:rPr>
              <w:t>，</w:t>
            </w:r>
            <w:r>
              <w:rPr>
                <w:bCs/>
                <w:color w:val="auto"/>
                <w:sz w:val="24"/>
                <w:highlight w:val="none"/>
              </w:rPr>
              <w:t>危废协议见附件。</w:t>
            </w:r>
          </w:p>
          <w:p w14:paraId="72E29C41">
            <w:pPr>
              <w:spacing w:line="360" w:lineRule="auto"/>
              <w:ind w:firstLine="480" w:firstLineChars="200"/>
              <w:rPr>
                <w:bCs/>
                <w:color w:val="auto"/>
                <w:sz w:val="24"/>
                <w:highlight w:val="none"/>
              </w:rPr>
            </w:pPr>
            <w:r>
              <w:rPr>
                <w:bCs/>
                <w:color w:val="auto"/>
                <w:sz w:val="24"/>
                <w:highlight w:val="none"/>
              </w:rPr>
              <w:t>项目固体废物产生及处理情况见下表。</w:t>
            </w:r>
          </w:p>
          <w:p w14:paraId="37B3762F">
            <w:pPr>
              <w:pStyle w:val="41"/>
              <w:rPr>
                <w:bCs/>
                <w:color w:val="auto"/>
                <w:szCs w:val="21"/>
                <w:highlight w:val="none"/>
              </w:rPr>
            </w:pPr>
            <w:r>
              <w:rPr>
                <w:rFonts w:hint="eastAsia"/>
                <w:bCs/>
                <w:color w:val="auto"/>
                <w:szCs w:val="21"/>
                <w:highlight w:val="none"/>
                <w:lang w:val="en-US" w:eastAsia="zh-CN"/>
              </w:rPr>
              <w:t>技改新增</w:t>
            </w:r>
            <w:r>
              <w:rPr>
                <w:bCs/>
                <w:color w:val="auto"/>
                <w:szCs w:val="21"/>
                <w:highlight w:val="none"/>
              </w:rPr>
              <w:t>固体废弃物产生及处理情况表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1"/>
              <w:gridCol w:w="2154"/>
              <w:gridCol w:w="1746"/>
              <w:gridCol w:w="1177"/>
              <w:gridCol w:w="3442"/>
            </w:tblGrid>
            <w:tr w14:paraId="4D2C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370" w:type="pct"/>
                  <w:shd w:val="clear" w:color="auto" w:fill="auto"/>
                  <w:vAlign w:val="center"/>
                </w:tcPr>
                <w:p w14:paraId="061AC32A">
                  <w:pPr>
                    <w:jc w:val="center"/>
                    <w:rPr>
                      <w:color w:val="auto"/>
                      <w:szCs w:val="21"/>
                      <w:highlight w:val="none"/>
                    </w:rPr>
                  </w:pPr>
                  <w:r>
                    <w:rPr>
                      <w:b/>
                      <w:bCs/>
                      <w:color w:val="auto"/>
                      <w:szCs w:val="21"/>
                      <w:highlight w:val="none"/>
                    </w:rPr>
                    <w:t>序号</w:t>
                  </w:r>
                </w:p>
              </w:tc>
              <w:tc>
                <w:tcPr>
                  <w:tcW w:w="1170" w:type="pct"/>
                  <w:shd w:val="clear" w:color="auto" w:fill="auto"/>
                  <w:vAlign w:val="center"/>
                </w:tcPr>
                <w:p w14:paraId="1499C965">
                  <w:pPr>
                    <w:jc w:val="center"/>
                    <w:rPr>
                      <w:color w:val="auto"/>
                      <w:szCs w:val="21"/>
                      <w:highlight w:val="none"/>
                    </w:rPr>
                  </w:pPr>
                  <w:r>
                    <w:rPr>
                      <w:b/>
                      <w:bCs/>
                      <w:color w:val="auto"/>
                      <w:szCs w:val="21"/>
                      <w:highlight w:val="none"/>
                    </w:rPr>
                    <w:t>污染物名称</w:t>
                  </w:r>
                </w:p>
              </w:tc>
              <w:tc>
                <w:tcPr>
                  <w:tcW w:w="948" w:type="pct"/>
                  <w:shd w:val="clear" w:color="auto" w:fill="auto"/>
                  <w:vAlign w:val="center"/>
                </w:tcPr>
                <w:p w14:paraId="4FE989FF">
                  <w:pPr>
                    <w:jc w:val="center"/>
                    <w:rPr>
                      <w:rFonts w:hint="eastAsia" w:eastAsia="宋体"/>
                      <w:color w:val="auto"/>
                      <w:szCs w:val="21"/>
                      <w:highlight w:val="none"/>
                      <w:lang w:val="en-US" w:eastAsia="zh-CN"/>
                    </w:rPr>
                  </w:pPr>
                  <w:r>
                    <w:rPr>
                      <w:b/>
                      <w:bCs/>
                      <w:color w:val="auto"/>
                      <w:szCs w:val="21"/>
                      <w:highlight w:val="none"/>
                    </w:rPr>
                    <w:t>污染物</w:t>
                  </w:r>
                  <w:r>
                    <w:rPr>
                      <w:rFonts w:hint="eastAsia"/>
                      <w:b/>
                      <w:bCs/>
                      <w:color w:val="auto"/>
                      <w:szCs w:val="21"/>
                      <w:highlight w:val="none"/>
                      <w:lang w:val="en-US" w:eastAsia="zh-CN"/>
                    </w:rPr>
                    <w:t>种类</w:t>
                  </w:r>
                </w:p>
              </w:tc>
              <w:tc>
                <w:tcPr>
                  <w:tcW w:w="639" w:type="pct"/>
                  <w:shd w:val="clear" w:color="auto" w:fill="auto"/>
                  <w:vAlign w:val="center"/>
                </w:tcPr>
                <w:p w14:paraId="7E0BF26D">
                  <w:pPr>
                    <w:jc w:val="center"/>
                    <w:rPr>
                      <w:rFonts w:hint="default" w:eastAsia="宋体"/>
                      <w:color w:val="auto"/>
                      <w:szCs w:val="21"/>
                      <w:highlight w:val="none"/>
                      <w:lang w:val="en-US" w:eastAsia="zh-CN"/>
                    </w:rPr>
                  </w:pPr>
                  <w:r>
                    <w:rPr>
                      <w:b/>
                      <w:bCs/>
                      <w:color w:val="auto"/>
                      <w:szCs w:val="21"/>
                      <w:highlight w:val="none"/>
                    </w:rPr>
                    <w:t>产生量</w:t>
                  </w:r>
                  <w:r>
                    <w:rPr>
                      <w:rFonts w:hint="eastAsia"/>
                      <w:b/>
                      <w:bCs/>
                      <w:color w:val="auto"/>
                      <w:szCs w:val="21"/>
                      <w:highlight w:val="none"/>
                      <w:lang w:val="en-US" w:eastAsia="zh-CN"/>
                    </w:rPr>
                    <w:t>t/a</w:t>
                  </w:r>
                </w:p>
              </w:tc>
              <w:tc>
                <w:tcPr>
                  <w:tcW w:w="1870" w:type="pct"/>
                  <w:shd w:val="clear" w:color="auto" w:fill="auto"/>
                  <w:vAlign w:val="center"/>
                </w:tcPr>
                <w:p w14:paraId="3480BFC1">
                  <w:pPr>
                    <w:jc w:val="center"/>
                    <w:rPr>
                      <w:color w:val="auto"/>
                      <w:szCs w:val="21"/>
                      <w:highlight w:val="none"/>
                    </w:rPr>
                  </w:pPr>
                  <w:r>
                    <w:rPr>
                      <w:b/>
                      <w:bCs/>
                      <w:color w:val="auto"/>
                      <w:szCs w:val="21"/>
                      <w:highlight w:val="none"/>
                    </w:rPr>
                    <w:t>处置措施</w:t>
                  </w:r>
                </w:p>
              </w:tc>
            </w:tr>
            <w:tr w14:paraId="64B5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370" w:type="pct"/>
                  <w:shd w:val="clear" w:color="auto" w:fill="auto"/>
                  <w:vAlign w:val="center"/>
                </w:tcPr>
                <w:p w14:paraId="70C2D384">
                  <w:pPr>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1170" w:type="pct"/>
                  <w:shd w:val="clear" w:color="auto" w:fill="auto"/>
                  <w:vAlign w:val="center"/>
                </w:tcPr>
                <w:p w14:paraId="6D2C750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生活垃圾</w:t>
                  </w:r>
                </w:p>
              </w:tc>
              <w:tc>
                <w:tcPr>
                  <w:tcW w:w="948" w:type="pct"/>
                  <w:shd w:val="clear" w:color="auto" w:fill="auto"/>
                  <w:vAlign w:val="center"/>
                </w:tcPr>
                <w:p w14:paraId="191F6D3B">
                  <w:pPr>
                    <w:jc w:val="center"/>
                    <w:rPr>
                      <w:color w:val="auto"/>
                      <w:szCs w:val="21"/>
                      <w:highlight w:val="none"/>
                    </w:rPr>
                  </w:pPr>
                  <w:r>
                    <w:rPr>
                      <w:color w:val="auto"/>
                      <w:szCs w:val="21"/>
                      <w:highlight w:val="none"/>
                    </w:rPr>
                    <w:t>一般固废</w:t>
                  </w:r>
                </w:p>
              </w:tc>
              <w:tc>
                <w:tcPr>
                  <w:tcW w:w="639" w:type="pct"/>
                  <w:shd w:val="clear" w:color="auto" w:fill="auto"/>
                  <w:vAlign w:val="center"/>
                </w:tcPr>
                <w:p w14:paraId="3F7F529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3.6</w:t>
                  </w:r>
                </w:p>
              </w:tc>
              <w:tc>
                <w:tcPr>
                  <w:tcW w:w="1870" w:type="pct"/>
                  <w:shd w:val="clear" w:color="auto" w:fill="auto"/>
                  <w:vAlign w:val="center"/>
                </w:tcPr>
                <w:p w14:paraId="0F03F0E9">
                  <w:pPr>
                    <w:jc w:val="center"/>
                    <w:rPr>
                      <w:color w:val="auto"/>
                      <w:szCs w:val="21"/>
                      <w:highlight w:val="none"/>
                    </w:rPr>
                  </w:pPr>
                  <w:r>
                    <w:rPr>
                      <w:color w:val="auto"/>
                      <w:sz w:val="21"/>
                      <w:highlight w:val="none"/>
                    </w:rPr>
                    <w:t>分类收集后经园区环卫部门清运</w:t>
                  </w:r>
                </w:p>
              </w:tc>
            </w:tr>
            <w:tr w14:paraId="5EDE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370" w:type="pct"/>
                  <w:shd w:val="clear" w:color="auto" w:fill="auto"/>
                  <w:vAlign w:val="center"/>
                </w:tcPr>
                <w:p w14:paraId="6B97E9D7">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170" w:type="pct"/>
                  <w:shd w:val="clear" w:color="auto" w:fill="auto"/>
                  <w:vAlign w:val="center"/>
                </w:tcPr>
                <w:p w14:paraId="65A5AEAC">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预处理池污泥</w:t>
                  </w:r>
                </w:p>
              </w:tc>
              <w:tc>
                <w:tcPr>
                  <w:tcW w:w="948" w:type="pct"/>
                  <w:shd w:val="clear" w:color="auto" w:fill="auto"/>
                  <w:vAlign w:val="center"/>
                </w:tcPr>
                <w:p w14:paraId="6B46D29D">
                  <w:pPr>
                    <w:jc w:val="center"/>
                    <w:rPr>
                      <w:rFonts w:hint="default" w:eastAsia="宋体"/>
                      <w:color w:val="auto"/>
                      <w:szCs w:val="21"/>
                      <w:highlight w:val="none"/>
                      <w:lang w:val="en-US" w:eastAsia="zh-CN"/>
                    </w:rPr>
                  </w:pPr>
                  <w:r>
                    <w:rPr>
                      <w:rFonts w:hint="eastAsia"/>
                      <w:color w:val="auto"/>
                      <w:szCs w:val="21"/>
                      <w:highlight w:val="none"/>
                      <w:lang w:val="en-US" w:eastAsia="zh-CN"/>
                    </w:rPr>
                    <w:t>一般固废</w:t>
                  </w:r>
                </w:p>
              </w:tc>
              <w:tc>
                <w:tcPr>
                  <w:tcW w:w="639" w:type="pct"/>
                  <w:shd w:val="clear" w:color="auto" w:fill="auto"/>
                  <w:vAlign w:val="center"/>
                </w:tcPr>
                <w:p w14:paraId="4F4619F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0.288</w:t>
                  </w:r>
                </w:p>
              </w:tc>
              <w:tc>
                <w:tcPr>
                  <w:tcW w:w="1870" w:type="pct"/>
                  <w:shd w:val="clear" w:color="auto" w:fill="auto"/>
                  <w:vAlign w:val="center"/>
                </w:tcPr>
                <w:p w14:paraId="6F59762E">
                  <w:pPr>
                    <w:jc w:val="center"/>
                    <w:rPr>
                      <w:color w:val="auto"/>
                      <w:szCs w:val="21"/>
                      <w:highlight w:val="none"/>
                    </w:rPr>
                  </w:pPr>
                  <w:r>
                    <w:rPr>
                      <w:color w:val="auto"/>
                      <w:sz w:val="21"/>
                      <w:highlight w:val="none"/>
                    </w:rPr>
                    <w:t>环卫部门清运处理</w:t>
                  </w:r>
                </w:p>
              </w:tc>
            </w:tr>
            <w:tr w14:paraId="1135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370" w:type="pct"/>
                  <w:shd w:val="clear" w:color="auto" w:fill="auto"/>
                  <w:vAlign w:val="center"/>
                </w:tcPr>
                <w:p w14:paraId="5A14C28E">
                  <w:pPr>
                    <w:jc w:val="center"/>
                    <w:rPr>
                      <w:rFonts w:hint="eastAsia"/>
                      <w:color w:val="auto"/>
                      <w:szCs w:val="21"/>
                      <w:highlight w:val="none"/>
                      <w:lang w:val="en-US" w:eastAsia="zh-CN"/>
                    </w:rPr>
                  </w:pPr>
                  <w:r>
                    <w:rPr>
                      <w:rFonts w:hint="eastAsia"/>
                      <w:color w:val="auto"/>
                      <w:szCs w:val="21"/>
                      <w:highlight w:val="none"/>
                      <w:lang w:val="en-US" w:eastAsia="zh-CN"/>
                    </w:rPr>
                    <w:t>3</w:t>
                  </w:r>
                </w:p>
              </w:tc>
              <w:tc>
                <w:tcPr>
                  <w:tcW w:w="1170" w:type="pct"/>
                  <w:shd w:val="clear" w:color="auto" w:fill="auto"/>
                  <w:vAlign w:val="center"/>
                </w:tcPr>
                <w:p w14:paraId="46498680">
                  <w:pPr>
                    <w:pStyle w:val="120"/>
                    <w:spacing w:before="56" w:line="228" w:lineRule="auto"/>
                    <w:ind w:left="197" w:leftChars="0"/>
                    <w:jc w:val="center"/>
                    <w:rPr>
                      <w:rFonts w:hint="eastAsia" w:ascii="Times New Roman" w:hAnsi="Times New Roman" w:eastAsia="宋体" w:cs="Times New Roman"/>
                      <w:color w:val="auto"/>
                      <w:szCs w:val="21"/>
                      <w:highlight w:val="none"/>
                      <w:lang w:val="en-US" w:eastAsia="zh-CN"/>
                    </w:rPr>
                  </w:pPr>
                  <w:r>
                    <w:rPr>
                      <w:color w:val="auto"/>
                      <w:spacing w:val="8"/>
                      <w:sz w:val="20"/>
                      <w:szCs w:val="20"/>
                      <w:highlight w:val="none"/>
                    </w:rPr>
                    <w:t>废含油棉纱、手套</w:t>
                  </w:r>
                </w:p>
              </w:tc>
              <w:tc>
                <w:tcPr>
                  <w:tcW w:w="948" w:type="pct"/>
                  <w:shd w:val="clear" w:color="auto" w:fill="auto"/>
                  <w:vAlign w:val="center"/>
                </w:tcPr>
                <w:p w14:paraId="2B103EAD">
                  <w:pPr>
                    <w:pStyle w:val="120"/>
                    <w:spacing w:before="56" w:line="228" w:lineRule="auto"/>
                    <w:ind w:left="187" w:leftChars="0"/>
                    <w:jc w:val="center"/>
                    <w:rPr>
                      <w:rFonts w:hint="eastAsia"/>
                      <w:color w:val="auto"/>
                      <w:szCs w:val="21"/>
                      <w:highlight w:val="none"/>
                      <w:lang w:val="en-US" w:eastAsia="zh-CN"/>
                    </w:rPr>
                  </w:pPr>
                  <w:r>
                    <w:rPr>
                      <w:rFonts w:hint="eastAsia" w:ascii="Times New Roman" w:hAnsi="Times New Roman" w:eastAsia="宋体" w:cs="Times New Roman"/>
                      <w:color w:val="auto"/>
                      <w:sz w:val="20"/>
                      <w:szCs w:val="20"/>
                      <w:highlight w:val="none"/>
                      <w:lang w:val="en-US" w:eastAsia="zh-CN"/>
                    </w:rPr>
                    <w:t>一般固废（豁免</w:t>
                  </w:r>
                  <w:r>
                    <w:rPr>
                      <w:rFonts w:ascii="Times New Roman" w:hAnsi="Times New Roman" w:eastAsia="Times New Roman" w:cs="Times New Roman"/>
                      <w:color w:val="auto"/>
                      <w:sz w:val="20"/>
                      <w:szCs w:val="20"/>
                      <w:highlight w:val="none"/>
                    </w:rPr>
                    <w:t>HW</w:t>
                  </w:r>
                  <w:r>
                    <w:rPr>
                      <w:rFonts w:ascii="Times New Roman" w:hAnsi="Times New Roman" w:eastAsia="Times New Roman" w:cs="Times New Roman"/>
                      <w:color w:val="auto"/>
                      <w:spacing w:val="9"/>
                      <w:sz w:val="20"/>
                      <w:szCs w:val="20"/>
                      <w:highlight w:val="none"/>
                    </w:rPr>
                    <w:t>49</w:t>
                  </w:r>
                  <w:r>
                    <w:rPr>
                      <w:color w:val="auto"/>
                      <w:spacing w:val="9"/>
                      <w:sz w:val="20"/>
                      <w:szCs w:val="20"/>
                      <w:highlight w:val="none"/>
                    </w:rPr>
                    <w:t>类危废</w:t>
                  </w:r>
                  <w:r>
                    <w:rPr>
                      <w:rFonts w:hint="eastAsia" w:ascii="Times New Roman" w:hAnsi="Times New Roman" w:eastAsia="宋体" w:cs="Times New Roman"/>
                      <w:color w:val="auto"/>
                      <w:sz w:val="20"/>
                      <w:szCs w:val="20"/>
                      <w:highlight w:val="none"/>
                      <w:lang w:val="en-US" w:eastAsia="zh-CN"/>
                    </w:rPr>
                    <w:t>）</w:t>
                  </w:r>
                </w:p>
              </w:tc>
              <w:tc>
                <w:tcPr>
                  <w:tcW w:w="639" w:type="pct"/>
                  <w:shd w:val="clear" w:color="auto" w:fill="auto"/>
                  <w:vAlign w:val="center"/>
                </w:tcPr>
                <w:p w14:paraId="3EA85D4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szCs w:val="21"/>
                      <w:highlight w:val="none"/>
                      <w:lang w:val="en-US" w:eastAsia="zh-CN"/>
                    </w:rPr>
                  </w:pPr>
                  <w:r>
                    <w:rPr>
                      <w:rFonts w:ascii="Times New Roman" w:hAnsi="Times New Roman" w:eastAsia="Times New Roman" w:cs="Times New Roman"/>
                      <w:color w:val="auto"/>
                      <w:spacing w:val="2"/>
                      <w:sz w:val="20"/>
                      <w:szCs w:val="20"/>
                      <w:highlight w:val="none"/>
                    </w:rPr>
                    <w:t>0.04</w:t>
                  </w:r>
                </w:p>
              </w:tc>
              <w:tc>
                <w:tcPr>
                  <w:tcW w:w="1870" w:type="pct"/>
                  <w:shd w:val="clear" w:color="auto" w:fill="auto"/>
                  <w:vAlign w:val="center"/>
                </w:tcPr>
                <w:p w14:paraId="6C576D41">
                  <w:pPr>
                    <w:jc w:val="center"/>
                    <w:rPr>
                      <w:color w:val="auto"/>
                      <w:sz w:val="21"/>
                      <w:highlight w:val="none"/>
                    </w:rPr>
                  </w:pPr>
                  <w:r>
                    <w:rPr>
                      <w:color w:val="auto"/>
                      <w:sz w:val="21"/>
                      <w:highlight w:val="none"/>
                    </w:rPr>
                    <w:t>环卫部门清运处理</w:t>
                  </w:r>
                </w:p>
              </w:tc>
            </w:tr>
            <w:tr w14:paraId="4E9A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370" w:type="pct"/>
                  <w:shd w:val="clear" w:color="auto" w:fill="auto"/>
                  <w:vAlign w:val="center"/>
                </w:tcPr>
                <w:p w14:paraId="555293E9">
                  <w:pPr>
                    <w:jc w:val="center"/>
                    <w:rPr>
                      <w:color w:val="auto"/>
                      <w:szCs w:val="21"/>
                      <w:highlight w:val="none"/>
                    </w:rPr>
                  </w:pPr>
                  <w:r>
                    <w:rPr>
                      <w:rFonts w:hint="eastAsia"/>
                      <w:color w:val="auto"/>
                      <w:szCs w:val="21"/>
                      <w:highlight w:val="none"/>
                      <w:lang w:val="en-US" w:eastAsia="zh-CN"/>
                    </w:rPr>
                    <w:t>4</w:t>
                  </w:r>
                </w:p>
              </w:tc>
              <w:tc>
                <w:tcPr>
                  <w:tcW w:w="1170" w:type="pct"/>
                  <w:shd w:val="clear" w:color="auto" w:fill="auto"/>
                  <w:vAlign w:val="center"/>
                </w:tcPr>
                <w:p w14:paraId="02CEB313">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废润滑油</w:t>
                  </w:r>
                </w:p>
              </w:tc>
              <w:tc>
                <w:tcPr>
                  <w:tcW w:w="948" w:type="pct"/>
                  <w:shd w:val="clear" w:color="auto" w:fill="auto"/>
                  <w:vAlign w:val="center"/>
                </w:tcPr>
                <w:p w14:paraId="3DD88830">
                  <w:pPr>
                    <w:jc w:val="center"/>
                    <w:rPr>
                      <w:color w:val="auto"/>
                      <w:szCs w:val="21"/>
                      <w:highlight w:val="none"/>
                    </w:rPr>
                  </w:pPr>
                  <w:r>
                    <w:rPr>
                      <w:color w:val="auto"/>
                      <w:szCs w:val="21"/>
                      <w:highlight w:val="none"/>
                    </w:rPr>
                    <w:t>HW</w:t>
                  </w:r>
                  <w:r>
                    <w:rPr>
                      <w:rFonts w:hint="eastAsia"/>
                      <w:color w:val="auto"/>
                      <w:szCs w:val="21"/>
                      <w:highlight w:val="none"/>
                      <w:lang w:val="en-US" w:eastAsia="zh-CN"/>
                    </w:rPr>
                    <w:t>08</w:t>
                  </w:r>
                  <w:r>
                    <w:rPr>
                      <w:color w:val="auto"/>
                      <w:szCs w:val="21"/>
                      <w:highlight w:val="none"/>
                    </w:rPr>
                    <w:t>类危废</w:t>
                  </w:r>
                </w:p>
              </w:tc>
              <w:tc>
                <w:tcPr>
                  <w:tcW w:w="639" w:type="pct"/>
                  <w:shd w:val="clear" w:color="auto" w:fill="auto"/>
                  <w:vAlign w:val="center"/>
                </w:tcPr>
                <w:p w14:paraId="6B31A59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0.05</w:t>
                  </w:r>
                </w:p>
              </w:tc>
              <w:tc>
                <w:tcPr>
                  <w:tcW w:w="1870" w:type="pct"/>
                  <w:vMerge w:val="restart"/>
                  <w:shd w:val="clear" w:color="auto" w:fill="auto"/>
                  <w:vAlign w:val="center"/>
                </w:tcPr>
                <w:p w14:paraId="384EBC97">
                  <w:pPr>
                    <w:jc w:val="center"/>
                    <w:rPr>
                      <w:color w:val="auto"/>
                      <w:szCs w:val="21"/>
                      <w:highlight w:val="none"/>
                    </w:rPr>
                  </w:pPr>
                  <w:r>
                    <w:rPr>
                      <w:color w:val="auto"/>
                      <w:sz w:val="21"/>
                      <w:highlight w:val="none"/>
                    </w:rPr>
                    <w:t>收集后</w:t>
                  </w:r>
                  <w:r>
                    <w:rPr>
                      <w:color w:val="auto"/>
                      <w:szCs w:val="21"/>
                      <w:highlight w:val="none"/>
                    </w:rPr>
                    <w:t>暂存于</w:t>
                  </w:r>
                  <w:r>
                    <w:rPr>
                      <w:rFonts w:hint="eastAsia"/>
                      <w:color w:val="auto"/>
                      <w:szCs w:val="21"/>
                      <w:highlight w:val="none"/>
                      <w:lang w:eastAsia="zh-CN"/>
                    </w:rPr>
                    <w:t>危废贮存库</w:t>
                  </w:r>
                  <w:r>
                    <w:rPr>
                      <w:color w:val="auto"/>
                      <w:szCs w:val="21"/>
                      <w:highlight w:val="none"/>
                    </w:rPr>
                    <w:t>，定期交由有相应资质单位处置</w:t>
                  </w:r>
                  <w:r>
                    <w:rPr>
                      <w:rFonts w:hint="eastAsia"/>
                      <w:color w:val="auto"/>
                      <w:szCs w:val="21"/>
                      <w:highlight w:val="none"/>
                    </w:rPr>
                    <w:t>（</w:t>
                  </w:r>
                  <w:r>
                    <w:rPr>
                      <w:rFonts w:hint="eastAsia"/>
                      <w:color w:val="auto"/>
                      <w:szCs w:val="21"/>
                      <w:highlight w:val="none"/>
                      <w:lang w:val="en-US" w:eastAsia="zh-CN"/>
                    </w:rPr>
                    <w:t>目前</w:t>
                  </w:r>
                  <w:r>
                    <w:rPr>
                      <w:rFonts w:hint="eastAsia"/>
                      <w:color w:val="auto"/>
                      <w:szCs w:val="21"/>
                      <w:highlight w:val="none"/>
                    </w:rPr>
                    <w:t>已与四川省兴茂石化有限责任公司签订危废协议）</w:t>
                  </w:r>
                </w:p>
              </w:tc>
            </w:tr>
            <w:tr w14:paraId="23B2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370" w:type="pct"/>
                  <w:shd w:val="clear" w:color="auto" w:fill="auto"/>
                  <w:vAlign w:val="center"/>
                </w:tcPr>
                <w:p w14:paraId="0562A55B">
                  <w:pPr>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1170" w:type="pct"/>
                  <w:shd w:val="clear" w:color="auto" w:fill="auto"/>
                  <w:vAlign w:val="center"/>
                </w:tcPr>
                <w:p w14:paraId="3F41F12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污水处理站污泥</w:t>
                  </w:r>
                </w:p>
              </w:tc>
              <w:tc>
                <w:tcPr>
                  <w:tcW w:w="948" w:type="pct"/>
                  <w:shd w:val="clear" w:color="auto" w:fill="auto"/>
                  <w:vAlign w:val="center"/>
                </w:tcPr>
                <w:p w14:paraId="6D1DE79D">
                  <w:pPr>
                    <w:jc w:val="center"/>
                    <w:rPr>
                      <w:color w:val="auto"/>
                      <w:szCs w:val="21"/>
                      <w:highlight w:val="none"/>
                    </w:rPr>
                  </w:pPr>
                  <w:r>
                    <w:rPr>
                      <w:color w:val="auto"/>
                      <w:szCs w:val="21"/>
                      <w:highlight w:val="none"/>
                    </w:rPr>
                    <w:t>HW</w:t>
                  </w:r>
                  <w:r>
                    <w:rPr>
                      <w:rFonts w:hint="eastAsia"/>
                      <w:color w:val="auto"/>
                      <w:szCs w:val="21"/>
                      <w:highlight w:val="none"/>
                    </w:rPr>
                    <w:t>49</w:t>
                  </w:r>
                  <w:r>
                    <w:rPr>
                      <w:color w:val="auto"/>
                      <w:szCs w:val="21"/>
                      <w:highlight w:val="none"/>
                    </w:rPr>
                    <w:t>类危废</w:t>
                  </w:r>
                </w:p>
              </w:tc>
              <w:tc>
                <w:tcPr>
                  <w:tcW w:w="639" w:type="pct"/>
                  <w:shd w:val="clear" w:color="auto" w:fill="auto"/>
                  <w:vAlign w:val="center"/>
                </w:tcPr>
                <w:p w14:paraId="7BA3EE9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0.264</w:t>
                  </w:r>
                </w:p>
              </w:tc>
              <w:tc>
                <w:tcPr>
                  <w:tcW w:w="1870" w:type="pct"/>
                  <w:vMerge w:val="continue"/>
                  <w:shd w:val="clear" w:color="auto" w:fill="auto"/>
                  <w:vAlign w:val="center"/>
                </w:tcPr>
                <w:p w14:paraId="2F292821">
                  <w:pPr>
                    <w:jc w:val="center"/>
                    <w:rPr>
                      <w:color w:val="auto"/>
                      <w:szCs w:val="21"/>
                      <w:highlight w:val="none"/>
                    </w:rPr>
                  </w:pPr>
                </w:p>
              </w:tc>
            </w:tr>
            <w:tr w14:paraId="70B3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370" w:type="pct"/>
                  <w:shd w:val="clear" w:color="auto" w:fill="auto"/>
                  <w:vAlign w:val="center"/>
                </w:tcPr>
                <w:p w14:paraId="76AB3C30">
                  <w:pPr>
                    <w:jc w:val="center"/>
                    <w:rPr>
                      <w:rFonts w:hint="default" w:eastAsia="宋体"/>
                      <w:color w:val="auto"/>
                      <w:szCs w:val="21"/>
                      <w:highlight w:val="none"/>
                      <w:lang w:val="en-US" w:eastAsia="zh-CN"/>
                    </w:rPr>
                  </w:pPr>
                  <w:r>
                    <w:rPr>
                      <w:rFonts w:hint="eastAsia"/>
                      <w:color w:val="auto"/>
                      <w:szCs w:val="21"/>
                      <w:highlight w:val="none"/>
                      <w:lang w:val="en-US" w:eastAsia="zh-CN"/>
                    </w:rPr>
                    <w:t>6</w:t>
                  </w:r>
                </w:p>
              </w:tc>
              <w:tc>
                <w:tcPr>
                  <w:tcW w:w="1170" w:type="pct"/>
                  <w:shd w:val="clear" w:color="auto" w:fill="auto"/>
                  <w:vAlign w:val="center"/>
                </w:tcPr>
                <w:p w14:paraId="5284174F">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废活性炭</w:t>
                  </w:r>
                </w:p>
              </w:tc>
              <w:tc>
                <w:tcPr>
                  <w:tcW w:w="948" w:type="pct"/>
                  <w:shd w:val="clear" w:color="auto" w:fill="auto"/>
                  <w:vAlign w:val="center"/>
                </w:tcPr>
                <w:p w14:paraId="2C83C30B">
                  <w:pPr>
                    <w:jc w:val="center"/>
                    <w:rPr>
                      <w:color w:val="auto"/>
                      <w:szCs w:val="21"/>
                      <w:highlight w:val="none"/>
                    </w:rPr>
                  </w:pPr>
                  <w:r>
                    <w:rPr>
                      <w:color w:val="auto"/>
                      <w:szCs w:val="21"/>
                      <w:highlight w:val="none"/>
                    </w:rPr>
                    <w:t>HW49类危废</w:t>
                  </w:r>
                </w:p>
              </w:tc>
              <w:tc>
                <w:tcPr>
                  <w:tcW w:w="639" w:type="pct"/>
                  <w:shd w:val="clear" w:color="auto" w:fill="auto"/>
                  <w:vAlign w:val="center"/>
                </w:tcPr>
                <w:p w14:paraId="22C9CA5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0.0009</w:t>
                  </w:r>
                </w:p>
              </w:tc>
              <w:tc>
                <w:tcPr>
                  <w:tcW w:w="1870" w:type="pct"/>
                  <w:vMerge w:val="continue"/>
                  <w:shd w:val="clear" w:color="auto" w:fill="auto"/>
                  <w:vAlign w:val="center"/>
                </w:tcPr>
                <w:p w14:paraId="5931314E">
                  <w:pPr>
                    <w:jc w:val="center"/>
                    <w:rPr>
                      <w:color w:val="auto"/>
                      <w:szCs w:val="21"/>
                      <w:highlight w:val="none"/>
                    </w:rPr>
                  </w:pPr>
                </w:p>
              </w:tc>
            </w:tr>
          </w:tbl>
          <w:p w14:paraId="4DF411E7">
            <w:pPr>
              <w:spacing w:line="360" w:lineRule="auto"/>
              <w:ind w:firstLine="588" w:firstLineChars="245"/>
              <w:jc w:val="left"/>
              <w:rPr>
                <w:color w:val="auto"/>
                <w:sz w:val="24"/>
                <w:szCs w:val="21"/>
                <w:highlight w:val="none"/>
              </w:rPr>
            </w:pPr>
            <w:r>
              <w:rPr>
                <w:color w:val="auto"/>
                <w:sz w:val="24"/>
                <w:szCs w:val="21"/>
                <w:highlight w:val="none"/>
              </w:rPr>
              <w:t>根据《建设项目危险废物环境影响评价指南》的规定，对本项目产生的危险废物进行汇总。</w:t>
            </w:r>
          </w:p>
          <w:p w14:paraId="7F076926">
            <w:pPr>
              <w:pStyle w:val="41"/>
              <w:rPr>
                <w:color w:val="auto"/>
                <w:szCs w:val="21"/>
                <w:highlight w:val="none"/>
              </w:rPr>
            </w:pPr>
            <w:r>
              <w:rPr>
                <w:color w:val="auto"/>
                <w:szCs w:val="21"/>
                <w:highlight w:val="none"/>
              </w:rPr>
              <w:t>危险废物汇总表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724"/>
              <w:gridCol w:w="757"/>
              <w:gridCol w:w="788"/>
              <w:gridCol w:w="758"/>
              <w:gridCol w:w="884"/>
              <w:gridCol w:w="600"/>
              <w:gridCol w:w="1010"/>
              <w:gridCol w:w="885"/>
              <w:gridCol w:w="663"/>
              <w:gridCol w:w="695"/>
              <w:gridCol w:w="1017"/>
            </w:tblGrid>
            <w:tr w14:paraId="7FB7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26" w:type="pct"/>
                  <w:shd w:val="clear" w:color="auto" w:fill="auto"/>
                  <w:vAlign w:val="center"/>
                </w:tcPr>
                <w:p w14:paraId="6B11453D">
                  <w:pPr>
                    <w:adjustRightInd w:val="0"/>
                    <w:jc w:val="center"/>
                    <w:rPr>
                      <w:b/>
                      <w:color w:val="auto"/>
                      <w:highlight w:val="none"/>
                    </w:rPr>
                  </w:pPr>
                  <w:r>
                    <w:rPr>
                      <w:b/>
                      <w:color w:val="auto"/>
                      <w:highlight w:val="none"/>
                    </w:rPr>
                    <w:t>序号</w:t>
                  </w:r>
                </w:p>
              </w:tc>
              <w:tc>
                <w:tcPr>
                  <w:tcW w:w="393" w:type="pct"/>
                  <w:shd w:val="clear" w:color="auto" w:fill="auto"/>
                  <w:vAlign w:val="center"/>
                </w:tcPr>
                <w:p w14:paraId="22291A2A">
                  <w:pPr>
                    <w:adjustRightInd w:val="0"/>
                    <w:jc w:val="center"/>
                    <w:rPr>
                      <w:b/>
                      <w:color w:val="auto"/>
                      <w:highlight w:val="none"/>
                    </w:rPr>
                  </w:pPr>
                  <w:r>
                    <w:rPr>
                      <w:rFonts w:hint="eastAsia"/>
                      <w:b/>
                      <w:color w:val="auto"/>
                      <w:highlight w:val="none"/>
                      <w:lang w:val="en-US" w:eastAsia="zh-CN"/>
                    </w:rPr>
                    <w:t>危险废物</w:t>
                  </w:r>
                  <w:r>
                    <w:rPr>
                      <w:b/>
                      <w:color w:val="auto"/>
                      <w:highlight w:val="none"/>
                    </w:rPr>
                    <w:t>名称</w:t>
                  </w:r>
                </w:p>
              </w:tc>
              <w:tc>
                <w:tcPr>
                  <w:tcW w:w="411" w:type="pct"/>
                  <w:shd w:val="clear" w:color="auto" w:fill="auto"/>
                  <w:vAlign w:val="center"/>
                </w:tcPr>
                <w:p w14:paraId="74DCF104">
                  <w:pPr>
                    <w:adjustRightInd w:val="0"/>
                    <w:jc w:val="center"/>
                    <w:rPr>
                      <w:b/>
                      <w:color w:val="auto"/>
                      <w:highlight w:val="none"/>
                    </w:rPr>
                  </w:pPr>
                  <w:r>
                    <w:rPr>
                      <w:rFonts w:hint="eastAsia"/>
                      <w:b/>
                      <w:color w:val="auto"/>
                      <w:highlight w:val="none"/>
                      <w:lang w:val="en-US" w:eastAsia="zh-CN"/>
                    </w:rPr>
                    <w:t>危险废物</w:t>
                  </w:r>
                  <w:r>
                    <w:rPr>
                      <w:b/>
                      <w:color w:val="auto"/>
                      <w:highlight w:val="none"/>
                    </w:rPr>
                    <w:t>类别</w:t>
                  </w:r>
                </w:p>
              </w:tc>
              <w:tc>
                <w:tcPr>
                  <w:tcW w:w="428" w:type="pct"/>
                  <w:shd w:val="clear" w:color="auto" w:fill="auto"/>
                  <w:vAlign w:val="center"/>
                </w:tcPr>
                <w:p w14:paraId="119FD372">
                  <w:pPr>
                    <w:adjustRightInd w:val="0"/>
                    <w:jc w:val="center"/>
                    <w:rPr>
                      <w:b/>
                      <w:color w:val="auto"/>
                      <w:highlight w:val="none"/>
                    </w:rPr>
                  </w:pPr>
                  <w:r>
                    <w:rPr>
                      <w:rFonts w:hint="eastAsia"/>
                      <w:b/>
                      <w:color w:val="auto"/>
                      <w:highlight w:val="none"/>
                      <w:lang w:val="en-US" w:eastAsia="zh-CN"/>
                    </w:rPr>
                    <w:t>危险废物</w:t>
                  </w:r>
                  <w:r>
                    <w:rPr>
                      <w:b/>
                      <w:color w:val="auto"/>
                      <w:highlight w:val="none"/>
                    </w:rPr>
                    <w:t>代码</w:t>
                  </w:r>
                </w:p>
              </w:tc>
              <w:tc>
                <w:tcPr>
                  <w:tcW w:w="412" w:type="pct"/>
                  <w:shd w:val="clear" w:color="auto" w:fill="auto"/>
                  <w:vAlign w:val="center"/>
                </w:tcPr>
                <w:p w14:paraId="5D2F30E5">
                  <w:pPr>
                    <w:adjustRightInd w:val="0"/>
                    <w:jc w:val="center"/>
                    <w:rPr>
                      <w:b/>
                      <w:color w:val="auto"/>
                      <w:highlight w:val="none"/>
                    </w:rPr>
                  </w:pPr>
                  <w:r>
                    <w:rPr>
                      <w:b/>
                      <w:color w:val="auto"/>
                      <w:highlight w:val="none"/>
                    </w:rPr>
                    <w:t>产生量t/a</w:t>
                  </w:r>
                </w:p>
              </w:tc>
              <w:tc>
                <w:tcPr>
                  <w:tcW w:w="480" w:type="pct"/>
                  <w:shd w:val="clear" w:color="auto" w:fill="auto"/>
                  <w:vAlign w:val="center"/>
                </w:tcPr>
                <w:p w14:paraId="1253979A">
                  <w:pPr>
                    <w:adjustRightInd w:val="0"/>
                    <w:jc w:val="center"/>
                    <w:rPr>
                      <w:b/>
                      <w:color w:val="auto"/>
                      <w:highlight w:val="none"/>
                    </w:rPr>
                  </w:pPr>
                  <w:r>
                    <w:rPr>
                      <w:b/>
                      <w:color w:val="auto"/>
                      <w:highlight w:val="none"/>
                    </w:rPr>
                    <w:t>产生</w:t>
                  </w:r>
                  <w:r>
                    <w:rPr>
                      <w:rFonts w:hint="eastAsia"/>
                      <w:b/>
                      <w:color w:val="auto"/>
                      <w:highlight w:val="none"/>
                      <w:lang w:val="en-US" w:eastAsia="zh-CN"/>
                    </w:rPr>
                    <w:t>工序及装</w:t>
                  </w:r>
                  <w:r>
                    <w:rPr>
                      <w:b/>
                      <w:color w:val="auto"/>
                      <w:highlight w:val="none"/>
                    </w:rPr>
                    <w:t>置</w:t>
                  </w:r>
                </w:p>
              </w:tc>
              <w:tc>
                <w:tcPr>
                  <w:tcW w:w="326" w:type="pct"/>
                  <w:shd w:val="clear" w:color="auto" w:fill="auto"/>
                  <w:vAlign w:val="center"/>
                </w:tcPr>
                <w:p w14:paraId="50755F90">
                  <w:pPr>
                    <w:adjustRightInd w:val="0"/>
                    <w:jc w:val="center"/>
                    <w:rPr>
                      <w:b/>
                      <w:color w:val="auto"/>
                      <w:highlight w:val="none"/>
                    </w:rPr>
                  </w:pPr>
                  <w:r>
                    <w:rPr>
                      <w:b/>
                      <w:color w:val="auto"/>
                      <w:highlight w:val="none"/>
                    </w:rPr>
                    <w:t>形态</w:t>
                  </w:r>
                </w:p>
              </w:tc>
              <w:tc>
                <w:tcPr>
                  <w:tcW w:w="549" w:type="pct"/>
                  <w:shd w:val="clear" w:color="auto" w:fill="auto"/>
                  <w:vAlign w:val="center"/>
                </w:tcPr>
                <w:p w14:paraId="2C903DF0">
                  <w:pPr>
                    <w:adjustRightInd w:val="0"/>
                    <w:jc w:val="center"/>
                    <w:rPr>
                      <w:rFonts w:hint="default" w:eastAsia="宋体"/>
                      <w:b/>
                      <w:color w:val="auto"/>
                      <w:highlight w:val="none"/>
                      <w:lang w:val="en-US" w:eastAsia="zh-CN"/>
                    </w:rPr>
                  </w:pPr>
                  <w:r>
                    <w:rPr>
                      <w:rFonts w:hint="eastAsia"/>
                      <w:b/>
                      <w:color w:val="auto"/>
                      <w:highlight w:val="none"/>
                      <w:lang w:val="en-US" w:eastAsia="zh-CN"/>
                    </w:rPr>
                    <w:t>主要成分</w:t>
                  </w:r>
                </w:p>
              </w:tc>
              <w:tc>
                <w:tcPr>
                  <w:tcW w:w="481" w:type="pct"/>
                  <w:shd w:val="clear" w:color="auto" w:fill="auto"/>
                  <w:vAlign w:val="center"/>
                </w:tcPr>
                <w:p w14:paraId="0AF6F0F3">
                  <w:pPr>
                    <w:adjustRightInd w:val="0"/>
                    <w:jc w:val="center"/>
                    <w:rPr>
                      <w:b/>
                      <w:color w:val="auto"/>
                      <w:highlight w:val="none"/>
                    </w:rPr>
                  </w:pPr>
                  <w:r>
                    <w:rPr>
                      <w:b/>
                      <w:color w:val="auto"/>
                      <w:highlight w:val="none"/>
                    </w:rPr>
                    <w:t>有害</w:t>
                  </w:r>
                </w:p>
                <w:p w14:paraId="00ACA59E">
                  <w:pPr>
                    <w:adjustRightInd w:val="0"/>
                    <w:jc w:val="center"/>
                    <w:rPr>
                      <w:b/>
                      <w:color w:val="auto"/>
                      <w:highlight w:val="none"/>
                    </w:rPr>
                  </w:pPr>
                  <w:r>
                    <w:rPr>
                      <w:b/>
                      <w:color w:val="auto"/>
                      <w:highlight w:val="none"/>
                    </w:rPr>
                    <w:t>成分</w:t>
                  </w:r>
                </w:p>
              </w:tc>
              <w:tc>
                <w:tcPr>
                  <w:tcW w:w="360" w:type="pct"/>
                  <w:shd w:val="clear" w:color="auto" w:fill="auto"/>
                  <w:vAlign w:val="center"/>
                </w:tcPr>
                <w:p w14:paraId="6A5A7A9B">
                  <w:pPr>
                    <w:adjustRightInd w:val="0"/>
                    <w:jc w:val="center"/>
                    <w:rPr>
                      <w:rFonts w:hint="default" w:eastAsia="宋体"/>
                      <w:b/>
                      <w:color w:val="auto"/>
                      <w:highlight w:val="none"/>
                      <w:lang w:val="en-US" w:eastAsia="zh-CN"/>
                    </w:rPr>
                  </w:pPr>
                  <w:r>
                    <w:rPr>
                      <w:rFonts w:hint="eastAsia"/>
                      <w:b/>
                      <w:color w:val="auto"/>
                      <w:highlight w:val="none"/>
                      <w:lang w:val="en-US" w:eastAsia="zh-CN"/>
                    </w:rPr>
                    <w:t>产废周期</w:t>
                  </w:r>
                </w:p>
              </w:tc>
              <w:tc>
                <w:tcPr>
                  <w:tcW w:w="377" w:type="pct"/>
                  <w:shd w:val="clear" w:color="auto" w:fill="auto"/>
                  <w:vAlign w:val="center"/>
                </w:tcPr>
                <w:p w14:paraId="67058146">
                  <w:pPr>
                    <w:adjustRightInd w:val="0"/>
                    <w:jc w:val="center"/>
                    <w:rPr>
                      <w:rFonts w:hint="default" w:eastAsia="宋体"/>
                      <w:b/>
                      <w:color w:val="auto"/>
                      <w:highlight w:val="none"/>
                      <w:lang w:val="en-US" w:eastAsia="zh-CN"/>
                    </w:rPr>
                  </w:pPr>
                  <w:r>
                    <w:rPr>
                      <w:rFonts w:hint="eastAsia"/>
                      <w:b/>
                      <w:color w:val="auto"/>
                      <w:highlight w:val="none"/>
                      <w:lang w:val="en-US" w:eastAsia="zh-CN"/>
                    </w:rPr>
                    <w:t>危险特性</w:t>
                  </w:r>
                </w:p>
              </w:tc>
              <w:tc>
                <w:tcPr>
                  <w:tcW w:w="552" w:type="pct"/>
                  <w:shd w:val="clear" w:color="auto" w:fill="auto"/>
                  <w:vAlign w:val="center"/>
                </w:tcPr>
                <w:p w14:paraId="1AD46358">
                  <w:pPr>
                    <w:adjustRightInd w:val="0"/>
                    <w:jc w:val="center"/>
                    <w:rPr>
                      <w:b/>
                      <w:color w:val="auto"/>
                      <w:highlight w:val="none"/>
                    </w:rPr>
                  </w:pPr>
                  <w:r>
                    <w:rPr>
                      <w:b/>
                      <w:color w:val="auto"/>
                      <w:highlight w:val="none"/>
                    </w:rPr>
                    <w:t>污染防治措施</w:t>
                  </w:r>
                </w:p>
              </w:tc>
            </w:tr>
            <w:tr w14:paraId="6D56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226" w:type="pct"/>
                  <w:shd w:val="clear" w:color="auto" w:fill="auto"/>
                  <w:vAlign w:val="center"/>
                </w:tcPr>
                <w:p w14:paraId="7F01E7A6">
                  <w:pPr>
                    <w:adjustRightInd w:val="0"/>
                    <w:jc w:val="center"/>
                    <w:rPr>
                      <w:rFonts w:hint="eastAsia" w:eastAsia="宋体"/>
                      <w:color w:val="auto"/>
                      <w:highlight w:val="none"/>
                      <w:lang w:val="en-US" w:eastAsia="zh-CN"/>
                    </w:rPr>
                  </w:pPr>
                  <w:r>
                    <w:rPr>
                      <w:rFonts w:hint="eastAsia"/>
                      <w:color w:val="auto"/>
                      <w:highlight w:val="none"/>
                      <w:lang w:val="en-US" w:eastAsia="zh-CN"/>
                    </w:rPr>
                    <w:t>1</w:t>
                  </w:r>
                </w:p>
              </w:tc>
              <w:tc>
                <w:tcPr>
                  <w:tcW w:w="393" w:type="pct"/>
                  <w:shd w:val="clear" w:color="auto" w:fill="auto"/>
                  <w:vAlign w:val="center"/>
                </w:tcPr>
                <w:p w14:paraId="1E17FF55">
                  <w:pPr>
                    <w:jc w:val="center"/>
                    <w:rPr>
                      <w:color w:val="auto"/>
                      <w:szCs w:val="21"/>
                      <w:highlight w:val="none"/>
                    </w:rPr>
                  </w:pPr>
                  <w:r>
                    <w:rPr>
                      <w:rFonts w:hint="eastAsia" w:ascii="Times New Roman" w:hAnsi="Times New Roman" w:eastAsia="宋体" w:cs="Times New Roman"/>
                      <w:color w:val="auto"/>
                      <w:szCs w:val="21"/>
                      <w:highlight w:val="none"/>
                      <w:lang w:val="en-US" w:eastAsia="zh-CN"/>
                    </w:rPr>
                    <w:t>废润滑油</w:t>
                  </w:r>
                </w:p>
              </w:tc>
              <w:tc>
                <w:tcPr>
                  <w:tcW w:w="411" w:type="pct"/>
                  <w:shd w:val="clear" w:color="auto" w:fill="auto"/>
                  <w:vAlign w:val="center"/>
                </w:tcPr>
                <w:p w14:paraId="431C7747">
                  <w:pPr>
                    <w:jc w:val="center"/>
                    <w:rPr>
                      <w:rFonts w:hint="default" w:eastAsia="宋体"/>
                      <w:color w:val="auto"/>
                      <w:szCs w:val="21"/>
                      <w:highlight w:val="none"/>
                      <w:lang w:val="en-US" w:eastAsia="zh-CN"/>
                    </w:rPr>
                  </w:pPr>
                  <w:r>
                    <w:rPr>
                      <w:color w:val="auto"/>
                      <w:szCs w:val="21"/>
                      <w:highlight w:val="none"/>
                    </w:rPr>
                    <w:t>HW</w:t>
                  </w:r>
                  <w:r>
                    <w:rPr>
                      <w:rFonts w:hint="eastAsia"/>
                      <w:color w:val="auto"/>
                      <w:szCs w:val="21"/>
                      <w:highlight w:val="none"/>
                      <w:lang w:val="en-US" w:eastAsia="zh-CN"/>
                    </w:rPr>
                    <w:t>08</w:t>
                  </w:r>
                </w:p>
              </w:tc>
              <w:tc>
                <w:tcPr>
                  <w:tcW w:w="428" w:type="pct"/>
                  <w:shd w:val="clear" w:color="auto" w:fill="auto"/>
                  <w:vAlign w:val="center"/>
                </w:tcPr>
                <w:p w14:paraId="07D1296B">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900-2</w:t>
                  </w:r>
                  <w:r>
                    <w:rPr>
                      <w:rFonts w:hint="eastAsia" w:cs="Times New Roman"/>
                      <w:color w:val="auto"/>
                      <w:szCs w:val="21"/>
                      <w:highlight w:val="none"/>
                      <w:lang w:val="en-US" w:eastAsia="zh-CN"/>
                    </w:rPr>
                    <w:t>49</w:t>
                  </w:r>
                  <w:r>
                    <w:rPr>
                      <w:rFonts w:hint="default" w:ascii="Times New Roman" w:hAnsi="Times New Roman" w:eastAsia="宋体" w:cs="Times New Roman"/>
                      <w:color w:val="auto"/>
                      <w:szCs w:val="21"/>
                      <w:highlight w:val="none"/>
                      <w:lang w:val="en-US" w:eastAsia="zh-CN"/>
                    </w:rPr>
                    <w:t>-08</w:t>
                  </w:r>
                </w:p>
              </w:tc>
              <w:tc>
                <w:tcPr>
                  <w:tcW w:w="412" w:type="pct"/>
                  <w:shd w:val="clear" w:color="auto" w:fill="auto"/>
                  <w:vAlign w:val="center"/>
                </w:tcPr>
                <w:p w14:paraId="6A4BA2A7">
                  <w:pPr>
                    <w:jc w:val="center"/>
                    <w:rPr>
                      <w:rFonts w:hint="default" w:eastAsia="宋体"/>
                      <w:color w:val="auto"/>
                      <w:szCs w:val="21"/>
                      <w:highlight w:val="none"/>
                      <w:lang w:val="en-US" w:eastAsia="zh-CN"/>
                    </w:rPr>
                  </w:pPr>
                  <w:r>
                    <w:rPr>
                      <w:rFonts w:hint="eastAsia"/>
                      <w:color w:val="auto"/>
                      <w:szCs w:val="21"/>
                      <w:highlight w:val="none"/>
                      <w:lang w:val="en-US" w:eastAsia="zh-CN"/>
                    </w:rPr>
                    <w:t>0.05</w:t>
                  </w:r>
                </w:p>
              </w:tc>
              <w:tc>
                <w:tcPr>
                  <w:tcW w:w="480" w:type="pct"/>
                  <w:shd w:val="clear" w:color="auto" w:fill="auto"/>
                  <w:vAlign w:val="center"/>
                </w:tcPr>
                <w:p w14:paraId="1A4E081A">
                  <w:pPr>
                    <w:adjustRightIn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设备维修保养</w:t>
                  </w:r>
                </w:p>
              </w:tc>
              <w:tc>
                <w:tcPr>
                  <w:tcW w:w="326" w:type="pct"/>
                  <w:shd w:val="clear" w:color="auto" w:fill="auto"/>
                  <w:vAlign w:val="center"/>
                </w:tcPr>
                <w:p w14:paraId="53E35149">
                  <w:pPr>
                    <w:adjustRightInd w:val="0"/>
                    <w:jc w:val="center"/>
                    <w:rPr>
                      <w:color w:val="auto"/>
                      <w:highlight w:val="none"/>
                    </w:rPr>
                  </w:pPr>
                  <w:r>
                    <w:rPr>
                      <w:color w:val="auto"/>
                      <w:highlight w:val="none"/>
                    </w:rPr>
                    <w:t>液体</w:t>
                  </w:r>
                </w:p>
              </w:tc>
              <w:tc>
                <w:tcPr>
                  <w:tcW w:w="549" w:type="pct"/>
                  <w:shd w:val="clear" w:color="auto" w:fill="auto"/>
                  <w:vAlign w:val="center"/>
                </w:tcPr>
                <w:p w14:paraId="29BAB3C5">
                  <w:pPr>
                    <w:adjustRightInd w:val="0"/>
                    <w:jc w:val="center"/>
                    <w:rPr>
                      <w:rFonts w:hint="default" w:eastAsia="宋体"/>
                      <w:color w:val="auto"/>
                      <w:highlight w:val="none"/>
                      <w:lang w:val="en-US" w:eastAsia="zh-CN"/>
                    </w:rPr>
                  </w:pPr>
                  <w:r>
                    <w:rPr>
                      <w:rFonts w:hint="eastAsia"/>
                      <w:color w:val="auto"/>
                      <w:highlight w:val="none"/>
                      <w:lang w:val="en-US" w:eastAsia="zh-CN"/>
                    </w:rPr>
                    <w:t>油类</w:t>
                  </w:r>
                </w:p>
              </w:tc>
              <w:tc>
                <w:tcPr>
                  <w:tcW w:w="481" w:type="pct"/>
                  <w:shd w:val="clear" w:color="auto" w:fill="auto"/>
                  <w:vAlign w:val="center"/>
                </w:tcPr>
                <w:p w14:paraId="05549E5D">
                  <w:pPr>
                    <w:adjustRightInd w:val="0"/>
                    <w:jc w:val="center"/>
                    <w:rPr>
                      <w:color w:val="auto"/>
                      <w:highlight w:val="none"/>
                    </w:rPr>
                  </w:pPr>
                  <w:r>
                    <w:rPr>
                      <w:rFonts w:hint="eastAsia"/>
                      <w:color w:val="auto"/>
                      <w:highlight w:val="none"/>
                      <w:lang w:val="en-US" w:eastAsia="zh-CN"/>
                    </w:rPr>
                    <w:t>烷烃类</w:t>
                  </w:r>
                </w:p>
              </w:tc>
              <w:tc>
                <w:tcPr>
                  <w:tcW w:w="360" w:type="pct"/>
                  <w:shd w:val="clear" w:color="auto" w:fill="auto"/>
                  <w:vAlign w:val="center"/>
                </w:tcPr>
                <w:p w14:paraId="527BDD40">
                  <w:pPr>
                    <w:adjustRightInd w:val="0"/>
                    <w:jc w:val="center"/>
                    <w:rPr>
                      <w:rFonts w:hint="default"/>
                      <w:color w:val="auto"/>
                      <w:highlight w:val="none"/>
                      <w:lang w:val="en-US" w:eastAsia="zh-CN"/>
                    </w:rPr>
                  </w:pPr>
                  <w:r>
                    <w:rPr>
                      <w:rFonts w:hint="eastAsia"/>
                      <w:color w:val="auto"/>
                      <w:highlight w:val="none"/>
                      <w:lang w:val="en-US" w:eastAsia="zh-CN"/>
                    </w:rPr>
                    <w:t>2个月</w:t>
                  </w:r>
                </w:p>
              </w:tc>
              <w:tc>
                <w:tcPr>
                  <w:tcW w:w="377" w:type="pct"/>
                  <w:shd w:val="clear" w:color="auto" w:fill="auto"/>
                  <w:vAlign w:val="center"/>
                </w:tcPr>
                <w:p w14:paraId="45A33A17">
                  <w:pPr>
                    <w:adjustRightInd w:val="0"/>
                    <w:jc w:val="center"/>
                    <w:rPr>
                      <w:rFonts w:hint="default"/>
                      <w:color w:val="auto"/>
                      <w:highlight w:val="none"/>
                      <w:lang w:val="en-US" w:eastAsia="zh-CN"/>
                    </w:rPr>
                  </w:pPr>
                  <w:r>
                    <w:rPr>
                      <w:rFonts w:hint="eastAsia"/>
                      <w:color w:val="auto"/>
                      <w:highlight w:val="none"/>
                      <w:lang w:val="en-US" w:eastAsia="zh-CN"/>
                    </w:rPr>
                    <w:t>T，I</w:t>
                  </w:r>
                </w:p>
              </w:tc>
              <w:tc>
                <w:tcPr>
                  <w:tcW w:w="552" w:type="pct"/>
                  <w:vMerge w:val="restart"/>
                  <w:shd w:val="clear" w:color="auto" w:fill="auto"/>
                  <w:vAlign w:val="center"/>
                </w:tcPr>
                <w:p w14:paraId="198F0C16">
                  <w:pPr>
                    <w:adjustRightInd w:val="0"/>
                    <w:jc w:val="center"/>
                    <w:rPr>
                      <w:color w:val="auto"/>
                      <w:highlight w:val="none"/>
                    </w:rPr>
                  </w:pPr>
                  <w:r>
                    <w:rPr>
                      <w:rFonts w:hint="eastAsia"/>
                      <w:color w:val="auto"/>
                      <w:highlight w:val="none"/>
                      <w:lang w:val="en-US" w:eastAsia="zh-CN"/>
                    </w:rPr>
                    <w:t>分类收集后暂存于</w:t>
                  </w:r>
                  <w:r>
                    <w:rPr>
                      <w:rFonts w:hint="eastAsia"/>
                      <w:color w:val="auto"/>
                      <w:highlight w:val="none"/>
                      <w:lang w:eastAsia="zh-CN"/>
                    </w:rPr>
                    <w:t>危废贮存库</w:t>
                  </w:r>
                  <w:r>
                    <w:rPr>
                      <w:color w:val="auto"/>
                      <w:szCs w:val="21"/>
                      <w:highlight w:val="none"/>
                    </w:rPr>
                    <w:t>，交由有相应资质单位处置</w:t>
                  </w:r>
                  <w:r>
                    <w:rPr>
                      <w:rFonts w:hint="eastAsia"/>
                      <w:color w:val="auto"/>
                      <w:szCs w:val="21"/>
                      <w:highlight w:val="none"/>
                    </w:rPr>
                    <w:t>（已与四川省兴茂石化有限责任公司签订危废协议）</w:t>
                  </w:r>
                </w:p>
              </w:tc>
            </w:tr>
            <w:tr w14:paraId="68A6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226" w:type="pct"/>
                  <w:shd w:val="clear" w:color="auto" w:fill="auto"/>
                  <w:vAlign w:val="center"/>
                </w:tcPr>
                <w:p w14:paraId="1CF0DC7E">
                  <w:pPr>
                    <w:adjustRightInd w:val="0"/>
                    <w:jc w:val="center"/>
                    <w:rPr>
                      <w:color w:val="auto"/>
                      <w:highlight w:val="none"/>
                    </w:rPr>
                  </w:pPr>
                  <w:r>
                    <w:rPr>
                      <w:color w:val="auto"/>
                      <w:highlight w:val="none"/>
                    </w:rPr>
                    <w:t>2</w:t>
                  </w:r>
                </w:p>
              </w:tc>
              <w:tc>
                <w:tcPr>
                  <w:tcW w:w="393" w:type="pct"/>
                  <w:shd w:val="clear" w:color="auto" w:fill="auto"/>
                  <w:vAlign w:val="center"/>
                </w:tcPr>
                <w:p w14:paraId="584CB8A7">
                  <w:pPr>
                    <w:jc w:val="center"/>
                    <w:rPr>
                      <w:rFonts w:hint="eastAsia"/>
                      <w:color w:val="auto"/>
                      <w:szCs w:val="21"/>
                      <w:highlight w:val="none"/>
                    </w:rPr>
                  </w:pPr>
                  <w:r>
                    <w:rPr>
                      <w:rFonts w:hint="eastAsia" w:ascii="Times New Roman" w:hAnsi="Times New Roman" w:eastAsia="宋体" w:cs="Times New Roman"/>
                      <w:color w:val="auto"/>
                      <w:szCs w:val="21"/>
                      <w:highlight w:val="none"/>
                      <w:lang w:val="en-US" w:eastAsia="zh-CN"/>
                    </w:rPr>
                    <w:t>污水处理站污泥</w:t>
                  </w:r>
                </w:p>
              </w:tc>
              <w:tc>
                <w:tcPr>
                  <w:tcW w:w="411" w:type="pct"/>
                  <w:shd w:val="clear" w:color="auto" w:fill="auto"/>
                  <w:vAlign w:val="center"/>
                </w:tcPr>
                <w:p w14:paraId="69B9B7EB">
                  <w:pPr>
                    <w:jc w:val="center"/>
                    <w:rPr>
                      <w:color w:val="auto"/>
                      <w:szCs w:val="21"/>
                      <w:highlight w:val="none"/>
                    </w:rPr>
                  </w:pPr>
                  <w:r>
                    <w:rPr>
                      <w:color w:val="auto"/>
                      <w:szCs w:val="21"/>
                      <w:highlight w:val="none"/>
                    </w:rPr>
                    <w:t>HW</w:t>
                  </w:r>
                  <w:r>
                    <w:rPr>
                      <w:rFonts w:hint="eastAsia"/>
                      <w:color w:val="auto"/>
                      <w:szCs w:val="21"/>
                      <w:highlight w:val="none"/>
                    </w:rPr>
                    <w:t>49</w:t>
                  </w:r>
                </w:p>
              </w:tc>
              <w:tc>
                <w:tcPr>
                  <w:tcW w:w="428" w:type="pct"/>
                  <w:shd w:val="clear" w:color="auto" w:fill="auto"/>
                  <w:vAlign w:val="center"/>
                </w:tcPr>
                <w:p w14:paraId="00AEC302">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772-006-49</w:t>
                  </w:r>
                </w:p>
              </w:tc>
              <w:tc>
                <w:tcPr>
                  <w:tcW w:w="412" w:type="pct"/>
                  <w:shd w:val="clear" w:color="auto" w:fill="auto"/>
                  <w:vAlign w:val="center"/>
                </w:tcPr>
                <w:p w14:paraId="313E6CD3">
                  <w:pPr>
                    <w:adjustRightInd w:val="0"/>
                    <w:jc w:val="center"/>
                    <w:rPr>
                      <w:rFonts w:hint="default"/>
                      <w:color w:val="auto"/>
                      <w:highlight w:val="none"/>
                      <w:lang w:val="en-US"/>
                    </w:rPr>
                  </w:pPr>
                  <w:r>
                    <w:rPr>
                      <w:rFonts w:hint="eastAsia"/>
                      <w:color w:val="auto"/>
                      <w:highlight w:val="none"/>
                      <w:lang w:val="en-US" w:eastAsia="zh-CN"/>
                    </w:rPr>
                    <w:t>0.264</w:t>
                  </w:r>
                </w:p>
              </w:tc>
              <w:tc>
                <w:tcPr>
                  <w:tcW w:w="480" w:type="pct"/>
                  <w:shd w:val="clear" w:color="auto" w:fill="auto"/>
                  <w:vAlign w:val="center"/>
                </w:tcPr>
                <w:p w14:paraId="60E9F8E4">
                  <w:pPr>
                    <w:adjustRightIn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污水处理站污泥压滤</w:t>
                  </w:r>
                </w:p>
              </w:tc>
              <w:tc>
                <w:tcPr>
                  <w:tcW w:w="326" w:type="pct"/>
                  <w:shd w:val="clear" w:color="auto" w:fill="auto"/>
                  <w:vAlign w:val="center"/>
                </w:tcPr>
                <w:p w14:paraId="1C4DD9DA">
                  <w:pPr>
                    <w:adjustRightInd w:val="0"/>
                    <w:jc w:val="center"/>
                    <w:rPr>
                      <w:color w:val="auto"/>
                      <w:highlight w:val="none"/>
                    </w:rPr>
                  </w:pPr>
                  <w:r>
                    <w:rPr>
                      <w:rFonts w:hint="eastAsia"/>
                      <w:color w:val="auto"/>
                      <w:highlight w:val="none"/>
                      <w:lang w:val="en-US" w:eastAsia="zh-CN"/>
                    </w:rPr>
                    <w:t>固</w:t>
                  </w:r>
                  <w:r>
                    <w:rPr>
                      <w:color w:val="auto"/>
                      <w:highlight w:val="none"/>
                    </w:rPr>
                    <w:t>体</w:t>
                  </w:r>
                </w:p>
              </w:tc>
              <w:tc>
                <w:tcPr>
                  <w:tcW w:w="549" w:type="pct"/>
                  <w:shd w:val="clear" w:color="auto" w:fill="auto"/>
                  <w:vAlign w:val="center"/>
                </w:tcPr>
                <w:p w14:paraId="1430345B">
                  <w:pPr>
                    <w:adjustRightInd w:val="0"/>
                    <w:jc w:val="center"/>
                    <w:rPr>
                      <w:rFonts w:hint="default"/>
                      <w:color w:val="auto"/>
                      <w:highlight w:val="none"/>
                      <w:lang w:val="en-US" w:eastAsia="zh-CN"/>
                    </w:rPr>
                  </w:pPr>
                  <w:r>
                    <w:rPr>
                      <w:rFonts w:hint="eastAsia"/>
                      <w:color w:val="auto"/>
                      <w:highlight w:val="none"/>
                      <w:lang w:val="en-US" w:eastAsia="zh-CN"/>
                    </w:rPr>
                    <w:t>有机残片、细菌菌体、无机颗粒、胶体</w:t>
                  </w:r>
                </w:p>
              </w:tc>
              <w:tc>
                <w:tcPr>
                  <w:tcW w:w="481" w:type="pct"/>
                  <w:shd w:val="clear" w:color="auto" w:fill="auto"/>
                  <w:vAlign w:val="center"/>
                </w:tcPr>
                <w:p w14:paraId="67F37492">
                  <w:pPr>
                    <w:adjustRightInd w:val="0"/>
                    <w:jc w:val="center"/>
                    <w:rPr>
                      <w:rFonts w:hint="default" w:eastAsia="宋体"/>
                      <w:color w:val="auto"/>
                      <w:highlight w:val="none"/>
                      <w:lang w:val="en-US" w:eastAsia="zh-CN"/>
                    </w:rPr>
                  </w:pPr>
                  <w:r>
                    <w:rPr>
                      <w:color w:val="auto"/>
                      <w:highlight w:val="none"/>
                    </w:rPr>
                    <w:t>有机溶剂</w:t>
                  </w:r>
                  <w:r>
                    <w:rPr>
                      <w:rFonts w:hint="eastAsia"/>
                      <w:color w:val="auto"/>
                      <w:highlight w:val="none"/>
                      <w:lang w:eastAsia="zh-CN"/>
                    </w:rPr>
                    <w:t>、</w:t>
                  </w:r>
                  <w:r>
                    <w:rPr>
                      <w:rFonts w:hint="eastAsia"/>
                      <w:color w:val="auto"/>
                      <w:highlight w:val="none"/>
                      <w:lang w:val="en-US" w:eastAsia="zh-CN"/>
                    </w:rPr>
                    <w:t>酸碱试剂成分等</w:t>
                  </w:r>
                </w:p>
              </w:tc>
              <w:tc>
                <w:tcPr>
                  <w:tcW w:w="360" w:type="pct"/>
                  <w:shd w:val="clear" w:color="auto" w:fill="auto"/>
                  <w:vAlign w:val="center"/>
                </w:tcPr>
                <w:p w14:paraId="4863E6B8">
                  <w:pPr>
                    <w:adjustRightInd w:val="0"/>
                    <w:jc w:val="center"/>
                    <w:rPr>
                      <w:rFonts w:hint="eastAsia" w:eastAsia="宋体"/>
                      <w:color w:val="auto"/>
                      <w:highlight w:val="none"/>
                      <w:lang w:val="en-US" w:eastAsia="zh-CN"/>
                    </w:rPr>
                  </w:pPr>
                  <w:r>
                    <w:rPr>
                      <w:rFonts w:hint="eastAsia"/>
                      <w:color w:val="auto"/>
                      <w:highlight w:val="none"/>
                      <w:lang w:val="en-US" w:eastAsia="zh-CN"/>
                    </w:rPr>
                    <w:t>每天</w:t>
                  </w:r>
                </w:p>
              </w:tc>
              <w:tc>
                <w:tcPr>
                  <w:tcW w:w="377" w:type="pct"/>
                  <w:shd w:val="clear" w:color="auto" w:fill="auto"/>
                  <w:vAlign w:val="center"/>
                </w:tcPr>
                <w:p w14:paraId="004585F9">
                  <w:pPr>
                    <w:adjustRightInd w:val="0"/>
                    <w:jc w:val="center"/>
                    <w:rPr>
                      <w:rFonts w:hint="default" w:eastAsia="宋体"/>
                      <w:color w:val="auto"/>
                      <w:highlight w:val="none"/>
                      <w:lang w:val="en-US" w:eastAsia="zh-CN"/>
                    </w:rPr>
                  </w:pPr>
                  <w:r>
                    <w:rPr>
                      <w:rFonts w:hint="eastAsia"/>
                      <w:color w:val="auto"/>
                      <w:highlight w:val="none"/>
                      <w:lang w:val="en-US" w:eastAsia="zh-CN"/>
                    </w:rPr>
                    <w:t>T/Tn</w:t>
                  </w:r>
                </w:p>
              </w:tc>
              <w:tc>
                <w:tcPr>
                  <w:tcW w:w="552" w:type="pct"/>
                  <w:vMerge w:val="continue"/>
                  <w:shd w:val="clear" w:color="auto" w:fill="auto"/>
                  <w:vAlign w:val="center"/>
                </w:tcPr>
                <w:p w14:paraId="0749AF50">
                  <w:pPr>
                    <w:adjustRightInd w:val="0"/>
                    <w:jc w:val="center"/>
                    <w:rPr>
                      <w:color w:val="auto"/>
                      <w:highlight w:val="none"/>
                    </w:rPr>
                  </w:pPr>
                </w:p>
              </w:tc>
            </w:tr>
            <w:tr w14:paraId="4D8E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226" w:type="pct"/>
                  <w:shd w:val="clear" w:color="auto" w:fill="auto"/>
                  <w:vAlign w:val="center"/>
                </w:tcPr>
                <w:p w14:paraId="5E1272A1">
                  <w:pPr>
                    <w:adjustRightInd w:val="0"/>
                    <w:jc w:val="center"/>
                    <w:rPr>
                      <w:rFonts w:hint="eastAsia" w:eastAsia="宋体"/>
                      <w:color w:val="auto"/>
                      <w:highlight w:val="none"/>
                      <w:lang w:eastAsia="zh-CN"/>
                    </w:rPr>
                  </w:pPr>
                  <w:r>
                    <w:rPr>
                      <w:color w:val="auto"/>
                      <w:highlight w:val="none"/>
                    </w:rPr>
                    <w:t>3</w:t>
                  </w:r>
                </w:p>
              </w:tc>
              <w:tc>
                <w:tcPr>
                  <w:tcW w:w="393" w:type="pct"/>
                  <w:shd w:val="clear" w:color="auto" w:fill="auto"/>
                  <w:vAlign w:val="center"/>
                </w:tcPr>
                <w:p w14:paraId="1B96480A">
                  <w:pPr>
                    <w:jc w:val="center"/>
                    <w:rPr>
                      <w:color w:val="auto"/>
                      <w:szCs w:val="21"/>
                      <w:highlight w:val="none"/>
                    </w:rPr>
                  </w:pPr>
                  <w:r>
                    <w:rPr>
                      <w:rFonts w:hint="eastAsia"/>
                      <w:color w:val="auto"/>
                      <w:szCs w:val="21"/>
                      <w:highlight w:val="none"/>
                    </w:rPr>
                    <w:t>废活性炭</w:t>
                  </w:r>
                </w:p>
              </w:tc>
              <w:tc>
                <w:tcPr>
                  <w:tcW w:w="411" w:type="pct"/>
                  <w:shd w:val="clear" w:color="auto" w:fill="auto"/>
                  <w:vAlign w:val="center"/>
                </w:tcPr>
                <w:p w14:paraId="183B5405">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HW49</w:t>
                  </w:r>
                </w:p>
              </w:tc>
              <w:tc>
                <w:tcPr>
                  <w:tcW w:w="428" w:type="pct"/>
                  <w:shd w:val="clear" w:color="auto" w:fill="auto"/>
                  <w:vAlign w:val="center"/>
                </w:tcPr>
                <w:p w14:paraId="201400EF">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900-0</w:t>
                  </w:r>
                  <w:r>
                    <w:rPr>
                      <w:rFonts w:hint="eastAsia" w:cs="Times New Roman"/>
                      <w:color w:val="auto"/>
                      <w:szCs w:val="21"/>
                      <w:highlight w:val="none"/>
                      <w:lang w:val="en-US" w:eastAsia="zh-CN"/>
                    </w:rPr>
                    <w:t>39</w:t>
                  </w:r>
                  <w:r>
                    <w:rPr>
                      <w:rFonts w:hint="eastAsia" w:ascii="Times New Roman" w:hAnsi="Times New Roman" w:eastAsia="宋体" w:cs="Times New Roman"/>
                      <w:color w:val="auto"/>
                      <w:szCs w:val="21"/>
                      <w:highlight w:val="none"/>
                      <w:lang w:val="en-US" w:eastAsia="zh-CN"/>
                    </w:rPr>
                    <w:t>-49</w:t>
                  </w:r>
                </w:p>
              </w:tc>
              <w:tc>
                <w:tcPr>
                  <w:tcW w:w="412" w:type="pct"/>
                  <w:shd w:val="clear" w:color="auto" w:fill="auto"/>
                  <w:vAlign w:val="center"/>
                </w:tcPr>
                <w:p w14:paraId="4F874A36">
                  <w:pPr>
                    <w:jc w:val="center"/>
                    <w:rPr>
                      <w:rFonts w:hint="default" w:eastAsia="宋体"/>
                      <w:color w:val="auto"/>
                      <w:szCs w:val="21"/>
                      <w:highlight w:val="none"/>
                      <w:lang w:val="en-US" w:eastAsia="zh-CN"/>
                    </w:rPr>
                  </w:pPr>
                  <w:r>
                    <w:rPr>
                      <w:rFonts w:hint="eastAsia"/>
                      <w:color w:val="auto"/>
                      <w:szCs w:val="21"/>
                      <w:highlight w:val="none"/>
                      <w:lang w:val="en-US" w:eastAsia="zh-CN"/>
                    </w:rPr>
                    <w:t>0.0009</w:t>
                  </w:r>
                </w:p>
              </w:tc>
              <w:tc>
                <w:tcPr>
                  <w:tcW w:w="480" w:type="pct"/>
                  <w:shd w:val="clear" w:color="auto" w:fill="auto"/>
                  <w:vAlign w:val="center"/>
                </w:tcPr>
                <w:p w14:paraId="086797F5">
                  <w:pPr>
                    <w:adjustRightIn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废气处理设施活性炭更换</w:t>
                  </w:r>
                </w:p>
              </w:tc>
              <w:tc>
                <w:tcPr>
                  <w:tcW w:w="326" w:type="pct"/>
                  <w:shd w:val="clear" w:color="auto" w:fill="auto"/>
                  <w:vAlign w:val="center"/>
                </w:tcPr>
                <w:p w14:paraId="63A13576">
                  <w:pPr>
                    <w:adjustRightInd w:val="0"/>
                    <w:jc w:val="center"/>
                    <w:rPr>
                      <w:color w:val="auto"/>
                      <w:highlight w:val="none"/>
                    </w:rPr>
                  </w:pPr>
                  <w:r>
                    <w:rPr>
                      <w:color w:val="auto"/>
                      <w:highlight w:val="none"/>
                    </w:rPr>
                    <w:t>固态</w:t>
                  </w:r>
                </w:p>
              </w:tc>
              <w:tc>
                <w:tcPr>
                  <w:tcW w:w="549" w:type="pct"/>
                  <w:shd w:val="clear" w:color="auto" w:fill="auto"/>
                  <w:vAlign w:val="center"/>
                </w:tcPr>
                <w:p w14:paraId="41558F29">
                  <w:pPr>
                    <w:adjustRightInd w:val="0"/>
                    <w:jc w:val="center"/>
                    <w:rPr>
                      <w:rFonts w:hint="default" w:eastAsia="宋体"/>
                      <w:color w:val="auto"/>
                      <w:highlight w:val="none"/>
                      <w:lang w:val="en-US" w:eastAsia="zh-CN"/>
                    </w:rPr>
                  </w:pPr>
                  <w:r>
                    <w:rPr>
                      <w:rFonts w:hint="eastAsia"/>
                      <w:color w:val="auto"/>
                      <w:highlight w:val="none"/>
                      <w:lang w:val="en-US" w:eastAsia="zh-CN"/>
                    </w:rPr>
                    <w:t>碳、恶臭气体成分</w:t>
                  </w:r>
                </w:p>
              </w:tc>
              <w:tc>
                <w:tcPr>
                  <w:tcW w:w="481" w:type="pct"/>
                  <w:shd w:val="clear" w:color="auto" w:fill="auto"/>
                  <w:vAlign w:val="center"/>
                </w:tcPr>
                <w:p w14:paraId="595540B6">
                  <w:pPr>
                    <w:adjustRightInd w:val="0"/>
                    <w:jc w:val="center"/>
                    <w:rPr>
                      <w:color w:val="auto"/>
                      <w:highlight w:val="none"/>
                    </w:rPr>
                  </w:pPr>
                  <w:r>
                    <w:rPr>
                      <w:rFonts w:hint="eastAsia"/>
                      <w:color w:val="auto"/>
                      <w:highlight w:val="none"/>
                      <w:lang w:val="en-US" w:eastAsia="zh-CN"/>
                    </w:rPr>
                    <w:t>恶臭气体</w:t>
                  </w:r>
                  <w:r>
                    <w:rPr>
                      <w:color w:val="auto"/>
                      <w:highlight w:val="none"/>
                    </w:rPr>
                    <w:t>成分</w:t>
                  </w:r>
                </w:p>
              </w:tc>
              <w:tc>
                <w:tcPr>
                  <w:tcW w:w="360" w:type="pct"/>
                  <w:shd w:val="clear" w:color="auto" w:fill="auto"/>
                  <w:vAlign w:val="center"/>
                </w:tcPr>
                <w:p w14:paraId="5C7ABADC">
                  <w:pPr>
                    <w:adjustRightInd w:val="0"/>
                    <w:jc w:val="center"/>
                    <w:rPr>
                      <w:rFonts w:hint="default"/>
                      <w:color w:val="auto"/>
                      <w:highlight w:val="none"/>
                      <w:lang w:val="en-US" w:eastAsia="zh-CN"/>
                    </w:rPr>
                  </w:pPr>
                  <w:r>
                    <w:rPr>
                      <w:rFonts w:hint="eastAsia"/>
                      <w:color w:val="auto"/>
                      <w:highlight w:val="none"/>
                      <w:lang w:val="en-US" w:eastAsia="zh-CN"/>
                    </w:rPr>
                    <w:t>3个月</w:t>
                  </w:r>
                </w:p>
              </w:tc>
              <w:tc>
                <w:tcPr>
                  <w:tcW w:w="377" w:type="pct"/>
                  <w:shd w:val="clear" w:color="auto" w:fill="auto"/>
                  <w:vAlign w:val="center"/>
                </w:tcPr>
                <w:p w14:paraId="2470CA01">
                  <w:pPr>
                    <w:adjustRightInd w:val="0"/>
                    <w:jc w:val="center"/>
                    <w:rPr>
                      <w:rFonts w:hint="eastAsia"/>
                      <w:color w:val="auto"/>
                      <w:highlight w:val="none"/>
                      <w:lang w:val="en-US" w:eastAsia="zh-CN"/>
                    </w:rPr>
                  </w:pPr>
                  <w:r>
                    <w:rPr>
                      <w:rFonts w:hint="eastAsia"/>
                      <w:color w:val="auto"/>
                      <w:highlight w:val="none"/>
                      <w:lang w:val="en-US" w:eastAsia="zh-CN"/>
                    </w:rPr>
                    <w:t>T/Tn</w:t>
                  </w:r>
                </w:p>
              </w:tc>
              <w:tc>
                <w:tcPr>
                  <w:tcW w:w="552" w:type="pct"/>
                  <w:vMerge w:val="continue"/>
                  <w:shd w:val="clear" w:color="auto" w:fill="auto"/>
                  <w:vAlign w:val="center"/>
                </w:tcPr>
                <w:p w14:paraId="713803D1">
                  <w:pPr>
                    <w:adjustRightInd w:val="0"/>
                    <w:jc w:val="center"/>
                    <w:rPr>
                      <w:color w:val="auto"/>
                      <w:highlight w:val="none"/>
                    </w:rPr>
                  </w:pPr>
                </w:p>
              </w:tc>
            </w:tr>
          </w:tbl>
          <w:p w14:paraId="1DDAA642">
            <w:pPr>
              <w:pStyle w:val="41"/>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项目危险废物贮存场所基本情况表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987"/>
              <w:gridCol w:w="1137"/>
              <w:gridCol w:w="1163"/>
              <w:gridCol w:w="1355"/>
              <w:gridCol w:w="882"/>
              <w:gridCol w:w="768"/>
              <w:gridCol w:w="1011"/>
              <w:gridCol w:w="719"/>
              <w:gridCol w:w="694"/>
            </w:tblGrid>
            <w:tr w14:paraId="7488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62" w:type="pct"/>
                  <w:shd w:val="clear" w:color="auto" w:fill="auto"/>
                  <w:vAlign w:val="center"/>
                </w:tcPr>
                <w:p w14:paraId="493C55F8">
                  <w:pPr>
                    <w:adjustRightInd w:val="0"/>
                    <w:jc w:val="center"/>
                    <w:rPr>
                      <w:b/>
                      <w:color w:val="auto"/>
                      <w:highlight w:val="none"/>
                    </w:rPr>
                  </w:pPr>
                  <w:r>
                    <w:rPr>
                      <w:b/>
                      <w:color w:val="auto"/>
                      <w:highlight w:val="none"/>
                    </w:rPr>
                    <w:t>序号</w:t>
                  </w:r>
                </w:p>
              </w:tc>
              <w:tc>
                <w:tcPr>
                  <w:tcW w:w="536" w:type="pct"/>
                  <w:shd w:val="clear" w:color="auto" w:fill="auto"/>
                  <w:vAlign w:val="center"/>
                </w:tcPr>
                <w:p w14:paraId="68B769BF">
                  <w:pPr>
                    <w:adjustRightInd w:val="0"/>
                    <w:jc w:val="center"/>
                    <w:rPr>
                      <w:rFonts w:hint="default" w:eastAsia="宋体"/>
                      <w:b/>
                      <w:color w:val="auto"/>
                      <w:highlight w:val="none"/>
                      <w:lang w:val="en-US" w:eastAsia="zh-CN"/>
                    </w:rPr>
                  </w:pPr>
                  <w:r>
                    <w:rPr>
                      <w:rFonts w:hint="eastAsia"/>
                      <w:b/>
                      <w:color w:val="auto"/>
                      <w:highlight w:val="none"/>
                      <w:lang w:val="en-US" w:eastAsia="zh-CN"/>
                    </w:rPr>
                    <w:t>贮存场所名称</w:t>
                  </w:r>
                </w:p>
              </w:tc>
              <w:tc>
                <w:tcPr>
                  <w:tcW w:w="618" w:type="pct"/>
                  <w:shd w:val="clear" w:color="auto" w:fill="auto"/>
                  <w:vAlign w:val="center"/>
                </w:tcPr>
                <w:p w14:paraId="4336E9FA">
                  <w:pPr>
                    <w:adjustRightInd w:val="0"/>
                    <w:jc w:val="center"/>
                    <w:rPr>
                      <w:rFonts w:hint="default" w:eastAsia="宋体"/>
                      <w:b/>
                      <w:color w:val="auto"/>
                      <w:highlight w:val="none"/>
                      <w:lang w:val="en-US" w:eastAsia="zh-CN"/>
                    </w:rPr>
                  </w:pPr>
                  <w:r>
                    <w:rPr>
                      <w:rFonts w:hint="eastAsia"/>
                      <w:b/>
                      <w:color w:val="auto"/>
                      <w:highlight w:val="none"/>
                      <w:lang w:val="en-US" w:eastAsia="zh-CN"/>
                    </w:rPr>
                    <w:t>危险废物名称</w:t>
                  </w:r>
                </w:p>
              </w:tc>
              <w:tc>
                <w:tcPr>
                  <w:tcW w:w="632" w:type="pct"/>
                  <w:shd w:val="clear" w:color="auto" w:fill="auto"/>
                  <w:vAlign w:val="center"/>
                </w:tcPr>
                <w:p w14:paraId="2BD9905D">
                  <w:pPr>
                    <w:adjustRightInd w:val="0"/>
                    <w:jc w:val="center"/>
                    <w:rPr>
                      <w:rFonts w:hint="default" w:eastAsia="宋体"/>
                      <w:b/>
                      <w:color w:val="auto"/>
                      <w:highlight w:val="none"/>
                      <w:lang w:val="en-US" w:eastAsia="zh-CN"/>
                    </w:rPr>
                  </w:pPr>
                  <w:r>
                    <w:rPr>
                      <w:rFonts w:hint="eastAsia"/>
                      <w:b/>
                      <w:color w:val="auto"/>
                      <w:highlight w:val="none"/>
                      <w:lang w:val="en-US" w:eastAsia="zh-CN"/>
                    </w:rPr>
                    <w:t>危险废物类别</w:t>
                  </w:r>
                </w:p>
              </w:tc>
              <w:tc>
                <w:tcPr>
                  <w:tcW w:w="736" w:type="pct"/>
                  <w:shd w:val="clear" w:color="auto" w:fill="auto"/>
                  <w:vAlign w:val="center"/>
                </w:tcPr>
                <w:p w14:paraId="3669787D">
                  <w:pPr>
                    <w:adjustRightInd w:val="0"/>
                    <w:jc w:val="center"/>
                    <w:rPr>
                      <w:rFonts w:hint="default" w:eastAsia="宋体"/>
                      <w:b/>
                      <w:color w:val="auto"/>
                      <w:highlight w:val="none"/>
                      <w:lang w:val="en-US" w:eastAsia="zh-CN"/>
                    </w:rPr>
                  </w:pPr>
                  <w:r>
                    <w:rPr>
                      <w:rFonts w:hint="eastAsia"/>
                      <w:b/>
                      <w:color w:val="auto"/>
                      <w:highlight w:val="none"/>
                      <w:lang w:val="en-US" w:eastAsia="zh-CN"/>
                    </w:rPr>
                    <w:t>危险废物代码</w:t>
                  </w:r>
                </w:p>
              </w:tc>
              <w:tc>
                <w:tcPr>
                  <w:tcW w:w="479" w:type="pct"/>
                  <w:shd w:val="clear" w:color="auto" w:fill="auto"/>
                  <w:vAlign w:val="center"/>
                </w:tcPr>
                <w:p w14:paraId="38F51F46">
                  <w:pPr>
                    <w:adjustRightInd w:val="0"/>
                    <w:jc w:val="center"/>
                    <w:rPr>
                      <w:rFonts w:hint="eastAsia" w:eastAsia="宋体"/>
                      <w:b/>
                      <w:color w:val="auto"/>
                      <w:highlight w:val="none"/>
                      <w:lang w:eastAsia="zh-CN"/>
                    </w:rPr>
                  </w:pPr>
                  <w:r>
                    <w:rPr>
                      <w:rFonts w:hint="eastAsia"/>
                      <w:b/>
                      <w:color w:val="auto"/>
                      <w:highlight w:val="none"/>
                      <w:lang w:val="en-US" w:eastAsia="zh-CN"/>
                    </w:rPr>
                    <w:t>位置</w:t>
                  </w:r>
                </w:p>
              </w:tc>
              <w:tc>
                <w:tcPr>
                  <w:tcW w:w="417" w:type="pct"/>
                  <w:shd w:val="clear" w:color="auto" w:fill="auto"/>
                  <w:vAlign w:val="center"/>
                </w:tcPr>
                <w:p w14:paraId="25A8BEAC">
                  <w:pPr>
                    <w:adjustRightInd w:val="0"/>
                    <w:jc w:val="center"/>
                    <w:rPr>
                      <w:rFonts w:hint="default" w:eastAsia="宋体"/>
                      <w:b/>
                      <w:color w:val="auto"/>
                      <w:highlight w:val="none"/>
                      <w:lang w:val="en-US" w:eastAsia="zh-CN"/>
                    </w:rPr>
                  </w:pPr>
                  <w:r>
                    <w:rPr>
                      <w:rFonts w:hint="eastAsia"/>
                      <w:b/>
                      <w:color w:val="auto"/>
                      <w:highlight w:val="none"/>
                      <w:lang w:val="en-US" w:eastAsia="zh-CN"/>
                    </w:rPr>
                    <w:t>占地面积</w:t>
                  </w:r>
                </w:p>
              </w:tc>
              <w:tc>
                <w:tcPr>
                  <w:tcW w:w="549" w:type="pct"/>
                  <w:shd w:val="clear" w:color="auto" w:fill="auto"/>
                  <w:vAlign w:val="center"/>
                </w:tcPr>
                <w:p w14:paraId="32131C28">
                  <w:pPr>
                    <w:adjustRightInd w:val="0"/>
                    <w:jc w:val="center"/>
                    <w:rPr>
                      <w:rFonts w:hint="default" w:eastAsia="宋体"/>
                      <w:b/>
                      <w:color w:val="auto"/>
                      <w:highlight w:val="none"/>
                      <w:lang w:val="en-US" w:eastAsia="zh-CN"/>
                    </w:rPr>
                  </w:pPr>
                  <w:r>
                    <w:rPr>
                      <w:rFonts w:hint="eastAsia"/>
                      <w:b/>
                      <w:color w:val="auto"/>
                      <w:highlight w:val="none"/>
                      <w:lang w:val="en-US" w:eastAsia="zh-CN"/>
                    </w:rPr>
                    <w:t>贮存方式</w:t>
                  </w:r>
                </w:p>
              </w:tc>
              <w:tc>
                <w:tcPr>
                  <w:tcW w:w="390" w:type="pct"/>
                  <w:shd w:val="clear" w:color="auto" w:fill="auto"/>
                  <w:vAlign w:val="center"/>
                </w:tcPr>
                <w:p w14:paraId="7F84964B">
                  <w:pPr>
                    <w:adjustRightInd w:val="0"/>
                    <w:jc w:val="center"/>
                    <w:rPr>
                      <w:rFonts w:hint="default" w:eastAsia="宋体"/>
                      <w:b/>
                      <w:color w:val="auto"/>
                      <w:highlight w:val="none"/>
                      <w:lang w:val="en-US" w:eastAsia="zh-CN"/>
                    </w:rPr>
                  </w:pPr>
                  <w:r>
                    <w:rPr>
                      <w:rFonts w:hint="eastAsia" w:eastAsia="宋体"/>
                      <w:b/>
                      <w:color w:val="auto"/>
                      <w:highlight w:val="none"/>
                      <w:lang w:val="en-US" w:eastAsia="zh-CN"/>
                    </w:rPr>
                    <w:t>贮存能力</w:t>
                  </w:r>
                </w:p>
              </w:tc>
              <w:tc>
                <w:tcPr>
                  <w:tcW w:w="377" w:type="pct"/>
                  <w:shd w:val="clear" w:color="auto" w:fill="auto"/>
                  <w:vAlign w:val="center"/>
                </w:tcPr>
                <w:p w14:paraId="18E08C92">
                  <w:pPr>
                    <w:adjustRightInd w:val="0"/>
                    <w:jc w:val="center"/>
                    <w:rPr>
                      <w:rFonts w:hint="default" w:eastAsia="宋体"/>
                      <w:b/>
                      <w:color w:val="auto"/>
                      <w:highlight w:val="none"/>
                      <w:lang w:val="en-US" w:eastAsia="zh-CN"/>
                    </w:rPr>
                  </w:pPr>
                  <w:r>
                    <w:rPr>
                      <w:rFonts w:hint="eastAsia" w:eastAsia="宋体"/>
                      <w:b/>
                      <w:color w:val="auto"/>
                      <w:highlight w:val="none"/>
                      <w:lang w:val="en-US" w:eastAsia="zh-CN"/>
                    </w:rPr>
                    <w:t>贮存周期</w:t>
                  </w:r>
                </w:p>
              </w:tc>
            </w:tr>
            <w:tr w14:paraId="636F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 w:type="pct"/>
                  <w:shd w:val="clear" w:color="auto" w:fill="auto"/>
                  <w:vAlign w:val="center"/>
                </w:tcPr>
                <w:p w14:paraId="2974F441">
                  <w:pPr>
                    <w:adjustRightInd w:val="0"/>
                    <w:jc w:val="center"/>
                    <w:rPr>
                      <w:rFonts w:hint="eastAsia" w:eastAsia="宋体"/>
                      <w:color w:val="auto"/>
                      <w:highlight w:val="none"/>
                      <w:lang w:val="en-US" w:eastAsia="zh-CN"/>
                    </w:rPr>
                  </w:pPr>
                  <w:r>
                    <w:rPr>
                      <w:rFonts w:hint="eastAsia"/>
                      <w:color w:val="auto"/>
                      <w:highlight w:val="none"/>
                      <w:lang w:val="en-US" w:eastAsia="zh-CN"/>
                    </w:rPr>
                    <w:t>1</w:t>
                  </w:r>
                </w:p>
              </w:tc>
              <w:tc>
                <w:tcPr>
                  <w:tcW w:w="536" w:type="pct"/>
                  <w:vMerge w:val="restart"/>
                  <w:shd w:val="clear" w:color="auto" w:fill="auto"/>
                  <w:vAlign w:val="center"/>
                </w:tcPr>
                <w:p w14:paraId="0CF89DDA">
                  <w:pPr>
                    <w:jc w:val="center"/>
                    <w:rPr>
                      <w:rFonts w:hint="eastAsia"/>
                      <w:color w:val="auto"/>
                      <w:szCs w:val="21"/>
                      <w:highlight w:val="none"/>
                    </w:rPr>
                  </w:pPr>
                  <w:r>
                    <w:rPr>
                      <w:rFonts w:hint="eastAsia"/>
                      <w:color w:val="auto"/>
                      <w:szCs w:val="21"/>
                      <w:highlight w:val="none"/>
                      <w:lang w:val="en-US" w:eastAsia="zh-CN"/>
                    </w:rPr>
                    <w:t>危废贮存库</w:t>
                  </w:r>
                </w:p>
              </w:tc>
              <w:tc>
                <w:tcPr>
                  <w:tcW w:w="618" w:type="pct"/>
                  <w:shd w:val="clear" w:color="auto" w:fill="auto"/>
                  <w:vAlign w:val="center"/>
                </w:tcPr>
                <w:p w14:paraId="199ABEAE">
                  <w:pPr>
                    <w:jc w:val="center"/>
                    <w:rPr>
                      <w:rFonts w:hint="default" w:eastAsia="宋体"/>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废润滑油</w:t>
                  </w:r>
                </w:p>
              </w:tc>
              <w:tc>
                <w:tcPr>
                  <w:tcW w:w="632" w:type="pct"/>
                  <w:shd w:val="clear" w:color="auto" w:fill="auto"/>
                  <w:vAlign w:val="center"/>
                </w:tcPr>
                <w:p w14:paraId="39EEC911">
                  <w:pPr>
                    <w:jc w:val="center"/>
                    <w:rPr>
                      <w:rFonts w:ascii="Times New Roman" w:hAnsi="Times New Roman" w:eastAsia="宋体" w:cs="Times New Roman"/>
                      <w:color w:val="auto"/>
                      <w:szCs w:val="21"/>
                      <w:highlight w:val="none"/>
                    </w:rPr>
                  </w:pPr>
                  <w:r>
                    <w:rPr>
                      <w:color w:val="auto"/>
                      <w:szCs w:val="21"/>
                      <w:highlight w:val="none"/>
                    </w:rPr>
                    <w:t>HW</w:t>
                  </w:r>
                  <w:r>
                    <w:rPr>
                      <w:rFonts w:hint="eastAsia"/>
                      <w:color w:val="auto"/>
                      <w:szCs w:val="21"/>
                      <w:highlight w:val="none"/>
                      <w:lang w:val="en-US" w:eastAsia="zh-CN"/>
                    </w:rPr>
                    <w:t>08</w:t>
                  </w:r>
                </w:p>
              </w:tc>
              <w:tc>
                <w:tcPr>
                  <w:tcW w:w="736" w:type="pct"/>
                  <w:shd w:val="clear" w:color="auto" w:fill="auto"/>
                  <w:vAlign w:val="center"/>
                </w:tcPr>
                <w:p w14:paraId="3FA7CCC0">
                  <w:pPr>
                    <w:jc w:val="center"/>
                    <w:rPr>
                      <w:rFonts w:hint="default" w:eastAsia="宋体"/>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900-2</w:t>
                  </w:r>
                  <w:r>
                    <w:rPr>
                      <w:rFonts w:hint="eastAsia" w:cs="Times New Roman"/>
                      <w:color w:val="auto"/>
                      <w:szCs w:val="21"/>
                      <w:highlight w:val="none"/>
                      <w:lang w:val="en-US" w:eastAsia="zh-CN"/>
                    </w:rPr>
                    <w:t>49</w:t>
                  </w:r>
                  <w:r>
                    <w:rPr>
                      <w:rFonts w:hint="default" w:ascii="Times New Roman" w:hAnsi="Times New Roman" w:eastAsia="宋体" w:cs="Times New Roman"/>
                      <w:color w:val="auto"/>
                      <w:szCs w:val="21"/>
                      <w:highlight w:val="none"/>
                      <w:lang w:val="en-US" w:eastAsia="zh-CN"/>
                    </w:rPr>
                    <w:t>-08</w:t>
                  </w:r>
                </w:p>
              </w:tc>
              <w:tc>
                <w:tcPr>
                  <w:tcW w:w="479" w:type="pct"/>
                  <w:vMerge w:val="restart"/>
                  <w:shd w:val="clear" w:color="auto" w:fill="auto"/>
                  <w:vAlign w:val="center"/>
                </w:tcPr>
                <w:p w14:paraId="57233A25">
                  <w:pPr>
                    <w:adjustRightInd w:val="0"/>
                    <w:jc w:val="center"/>
                    <w:rPr>
                      <w:rFonts w:hint="default" w:eastAsia="宋体"/>
                      <w:color w:val="auto"/>
                      <w:highlight w:val="none"/>
                      <w:lang w:val="en-US" w:eastAsia="zh-CN"/>
                    </w:rPr>
                  </w:pPr>
                  <w:r>
                    <w:rPr>
                      <w:rFonts w:hint="eastAsia" w:eastAsia="宋体"/>
                      <w:color w:val="auto"/>
                      <w:highlight w:val="none"/>
                      <w:lang w:val="en-US" w:eastAsia="zh-CN"/>
                    </w:rPr>
                    <w:t>厂区北侧污水处理站旁</w:t>
                  </w:r>
                </w:p>
              </w:tc>
              <w:tc>
                <w:tcPr>
                  <w:tcW w:w="417" w:type="pct"/>
                  <w:vMerge w:val="restart"/>
                  <w:shd w:val="clear" w:color="auto" w:fill="auto"/>
                  <w:vAlign w:val="center"/>
                </w:tcPr>
                <w:p w14:paraId="5CF83056">
                  <w:pPr>
                    <w:adjustRightInd w:val="0"/>
                    <w:jc w:val="center"/>
                    <w:rPr>
                      <w:color w:val="auto"/>
                      <w:highlight w:val="none"/>
                    </w:rPr>
                  </w:pPr>
                  <w:r>
                    <w:rPr>
                      <w:rFonts w:hint="eastAsia"/>
                      <w:color w:val="auto"/>
                      <w:highlight w:val="none"/>
                      <w:lang w:val="en-US" w:eastAsia="zh-CN"/>
                    </w:rPr>
                    <w:t>20m</w:t>
                  </w:r>
                  <w:r>
                    <w:rPr>
                      <w:rFonts w:hint="eastAsia"/>
                      <w:color w:val="auto"/>
                      <w:highlight w:val="none"/>
                      <w:vertAlign w:val="superscript"/>
                      <w:lang w:val="en-US" w:eastAsia="zh-CN"/>
                    </w:rPr>
                    <w:t>2</w:t>
                  </w:r>
                </w:p>
              </w:tc>
              <w:tc>
                <w:tcPr>
                  <w:tcW w:w="549" w:type="pct"/>
                  <w:shd w:val="clear" w:color="auto" w:fill="auto"/>
                  <w:vAlign w:val="center"/>
                </w:tcPr>
                <w:p w14:paraId="112CEFA6">
                  <w:pPr>
                    <w:adjustRightInd w:val="0"/>
                    <w:jc w:val="center"/>
                    <w:rPr>
                      <w:rFonts w:hint="eastAsia" w:eastAsia="宋体"/>
                      <w:color w:val="auto"/>
                      <w:highlight w:val="none"/>
                      <w:lang w:val="en-US" w:eastAsia="zh-CN"/>
                    </w:rPr>
                  </w:pPr>
                  <w:r>
                    <w:rPr>
                      <w:rFonts w:hint="eastAsia"/>
                      <w:color w:val="auto"/>
                      <w:highlight w:val="none"/>
                      <w:lang w:val="en-US" w:eastAsia="zh-CN"/>
                    </w:rPr>
                    <w:t>桶装</w:t>
                  </w:r>
                </w:p>
              </w:tc>
              <w:tc>
                <w:tcPr>
                  <w:tcW w:w="390" w:type="pct"/>
                  <w:vMerge w:val="restart"/>
                  <w:shd w:val="clear" w:color="auto" w:fill="auto"/>
                  <w:vAlign w:val="center"/>
                </w:tcPr>
                <w:p w14:paraId="1000060D">
                  <w:pPr>
                    <w:adjustRightInd w:val="0"/>
                    <w:jc w:val="center"/>
                    <w:rPr>
                      <w:rFonts w:hint="eastAsia"/>
                      <w:color w:val="auto"/>
                      <w:highlight w:val="none"/>
                      <w:lang w:val="en-US" w:eastAsia="zh-CN"/>
                    </w:rPr>
                  </w:pPr>
                  <w:r>
                    <w:rPr>
                      <w:rFonts w:hint="eastAsia"/>
                      <w:color w:val="auto"/>
                      <w:highlight w:val="none"/>
                      <w:lang w:val="en-US" w:eastAsia="zh-CN"/>
                    </w:rPr>
                    <w:t>50m</w:t>
                  </w:r>
                  <w:r>
                    <w:rPr>
                      <w:rFonts w:hint="eastAsia"/>
                      <w:color w:val="auto"/>
                      <w:highlight w:val="none"/>
                      <w:vertAlign w:val="superscript"/>
                      <w:lang w:val="en-US" w:eastAsia="zh-CN"/>
                    </w:rPr>
                    <w:t>3</w:t>
                  </w:r>
                </w:p>
              </w:tc>
              <w:tc>
                <w:tcPr>
                  <w:tcW w:w="377" w:type="pct"/>
                  <w:vMerge w:val="restart"/>
                  <w:shd w:val="clear" w:color="auto" w:fill="auto"/>
                  <w:vAlign w:val="center"/>
                </w:tcPr>
                <w:p w14:paraId="69295E4A">
                  <w:pPr>
                    <w:adjustRightInd w:val="0"/>
                    <w:jc w:val="center"/>
                    <w:rPr>
                      <w:rFonts w:hint="eastAsia"/>
                      <w:color w:val="auto"/>
                      <w:highlight w:val="none"/>
                      <w:lang w:val="en-US" w:eastAsia="zh-CN"/>
                    </w:rPr>
                  </w:pPr>
                  <w:r>
                    <w:rPr>
                      <w:rFonts w:hint="eastAsia"/>
                      <w:color w:val="auto"/>
                      <w:highlight w:val="none"/>
                      <w:lang w:val="en-US" w:eastAsia="zh-CN"/>
                    </w:rPr>
                    <w:t>半年</w:t>
                  </w:r>
                </w:p>
              </w:tc>
            </w:tr>
            <w:tr w14:paraId="2452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62" w:type="pct"/>
                  <w:shd w:val="clear" w:color="auto" w:fill="auto"/>
                  <w:vAlign w:val="center"/>
                </w:tcPr>
                <w:p w14:paraId="749919F9">
                  <w:pPr>
                    <w:adjustRightInd w:val="0"/>
                    <w:jc w:val="center"/>
                    <w:rPr>
                      <w:color w:val="auto"/>
                      <w:highlight w:val="none"/>
                    </w:rPr>
                  </w:pPr>
                  <w:r>
                    <w:rPr>
                      <w:color w:val="auto"/>
                      <w:highlight w:val="none"/>
                    </w:rPr>
                    <w:t>2</w:t>
                  </w:r>
                </w:p>
              </w:tc>
              <w:tc>
                <w:tcPr>
                  <w:tcW w:w="536" w:type="pct"/>
                  <w:vMerge w:val="continue"/>
                  <w:shd w:val="clear" w:color="auto" w:fill="auto"/>
                  <w:vAlign w:val="center"/>
                </w:tcPr>
                <w:p w14:paraId="2CCB96CE">
                  <w:pPr>
                    <w:jc w:val="center"/>
                    <w:rPr>
                      <w:rFonts w:hint="eastAsia"/>
                      <w:color w:val="auto"/>
                      <w:szCs w:val="21"/>
                      <w:highlight w:val="none"/>
                    </w:rPr>
                  </w:pPr>
                </w:p>
              </w:tc>
              <w:tc>
                <w:tcPr>
                  <w:tcW w:w="618" w:type="pct"/>
                  <w:shd w:val="clear" w:color="auto" w:fill="auto"/>
                  <w:vAlign w:val="center"/>
                </w:tcPr>
                <w:p w14:paraId="6FE073D2">
                  <w:pPr>
                    <w:jc w:val="center"/>
                    <w:rPr>
                      <w:color w:val="auto"/>
                      <w:szCs w:val="21"/>
                      <w:highlight w:val="none"/>
                    </w:rPr>
                  </w:pPr>
                  <w:r>
                    <w:rPr>
                      <w:rFonts w:hint="eastAsia" w:ascii="Times New Roman" w:hAnsi="Times New Roman" w:eastAsia="宋体" w:cs="Times New Roman"/>
                      <w:color w:val="auto"/>
                      <w:szCs w:val="21"/>
                      <w:highlight w:val="none"/>
                      <w:lang w:val="en-US" w:eastAsia="zh-CN"/>
                    </w:rPr>
                    <w:t>污水处理站污泥</w:t>
                  </w:r>
                </w:p>
              </w:tc>
              <w:tc>
                <w:tcPr>
                  <w:tcW w:w="632" w:type="pct"/>
                  <w:shd w:val="clear" w:color="auto" w:fill="auto"/>
                  <w:vAlign w:val="center"/>
                </w:tcPr>
                <w:p w14:paraId="31B22CAA">
                  <w:pPr>
                    <w:jc w:val="center"/>
                    <w:rPr>
                      <w:rFonts w:hint="eastAsia" w:ascii="Times New Roman" w:hAnsi="Times New Roman" w:eastAsia="宋体" w:cs="Times New Roman"/>
                      <w:color w:val="auto"/>
                      <w:szCs w:val="21"/>
                      <w:highlight w:val="none"/>
                    </w:rPr>
                  </w:pPr>
                  <w:r>
                    <w:rPr>
                      <w:color w:val="auto"/>
                      <w:szCs w:val="21"/>
                      <w:highlight w:val="none"/>
                    </w:rPr>
                    <w:t>HW</w:t>
                  </w:r>
                  <w:r>
                    <w:rPr>
                      <w:rFonts w:hint="eastAsia"/>
                      <w:color w:val="auto"/>
                      <w:szCs w:val="21"/>
                      <w:highlight w:val="none"/>
                    </w:rPr>
                    <w:t>49</w:t>
                  </w:r>
                </w:p>
              </w:tc>
              <w:tc>
                <w:tcPr>
                  <w:tcW w:w="736" w:type="pct"/>
                  <w:shd w:val="clear" w:color="auto" w:fill="auto"/>
                  <w:vAlign w:val="center"/>
                </w:tcPr>
                <w:p w14:paraId="59B0D4F9">
                  <w:pPr>
                    <w:jc w:val="center"/>
                    <w:rPr>
                      <w:rFonts w:hint="default"/>
                      <w:color w:val="auto"/>
                      <w:highlight w:val="none"/>
                      <w:lang w:val="en-US"/>
                    </w:rPr>
                  </w:pPr>
                  <w:r>
                    <w:rPr>
                      <w:rFonts w:hint="eastAsia" w:ascii="Times New Roman" w:hAnsi="Times New Roman" w:eastAsia="宋体" w:cs="Times New Roman"/>
                      <w:color w:val="auto"/>
                      <w:szCs w:val="21"/>
                      <w:highlight w:val="none"/>
                      <w:lang w:val="en-US" w:eastAsia="zh-CN"/>
                    </w:rPr>
                    <w:t>722-006-49</w:t>
                  </w:r>
                </w:p>
              </w:tc>
              <w:tc>
                <w:tcPr>
                  <w:tcW w:w="479" w:type="pct"/>
                  <w:vMerge w:val="continue"/>
                  <w:shd w:val="clear" w:color="auto" w:fill="auto"/>
                  <w:vAlign w:val="center"/>
                </w:tcPr>
                <w:p w14:paraId="6DD42C98">
                  <w:pPr>
                    <w:adjustRightInd w:val="0"/>
                    <w:jc w:val="center"/>
                    <w:rPr>
                      <w:rFonts w:hint="eastAsia" w:eastAsia="宋体"/>
                      <w:color w:val="auto"/>
                      <w:highlight w:val="none"/>
                      <w:lang w:eastAsia="zh-CN"/>
                    </w:rPr>
                  </w:pPr>
                </w:p>
              </w:tc>
              <w:tc>
                <w:tcPr>
                  <w:tcW w:w="417" w:type="pct"/>
                  <w:vMerge w:val="continue"/>
                  <w:shd w:val="clear" w:color="auto" w:fill="auto"/>
                  <w:vAlign w:val="center"/>
                </w:tcPr>
                <w:p w14:paraId="24201AB1">
                  <w:pPr>
                    <w:adjustRightInd w:val="0"/>
                    <w:jc w:val="center"/>
                    <w:rPr>
                      <w:color w:val="auto"/>
                      <w:highlight w:val="none"/>
                    </w:rPr>
                  </w:pPr>
                </w:p>
              </w:tc>
              <w:tc>
                <w:tcPr>
                  <w:tcW w:w="549" w:type="pct"/>
                  <w:shd w:val="clear" w:color="auto" w:fill="auto"/>
                  <w:vAlign w:val="center"/>
                </w:tcPr>
                <w:p w14:paraId="2AF198D5">
                  <w:pPr>
                    <w:adjustRightInd w:val="0"/>
                    <w:jc w:val="center"/>
                    <w:rPr>
                      <w:rFonts w:hint="default" w:eastAsia="宋体"/>
                      <w:color w:val="auto"/>
                      <w:highlight w:val="none"/>
                      <w:lang w:val="en-US" w:eastAsia="zh-CN"/>
                    </w:rPr>
                  </w:pPr>
                  <w:r>
                    <w:rPr>
                      <w:rFonts w:hint="eastAsia"/>
                      <w:color w:val="auto"/>
                      <w:highlight w:val="none"/>
                      <w:lang w:val="en-US" w:eastAsia="zh-CN"/>
                    </w:rPr>
                    <w:t>袋</w:t>
                  </w:r>
                  <w:r>
                    <w:rPr>
                      <w:rFonts w:hint="eastAsia" w:eastAsia="宋体"/>
                      <w:color w:val="auto"/>
                      <w:highlight w:val="none"/>
                      <w:lang w:val="en-US" w:eastAsia="zh-CN"/>
                    </w:rPr>
                    <w:t>装</w:t>
                  </w:r>
                </w:p>
              </w:tc>
              <w:tc>
                <w:tcPr>
                  <w:tcW w:w="390" w:type="pct"/>
                  <w:vMerge w:val="continue"/>
                  <w:shd w:val="clear" w:color="auto" w:fill="auto"/>
                  <w:vAlign w:val="center"/>
                </w:tcPr>
                <w:p w14:paraId="270669DB">
                  <w:pPr>
                    <w:adjustRightInd w:val="0"/>
                    <w:jc w:val="center"/>
                    <w:rPr>
                      <w:color w:val="auto"/>
                      <w:highlight w:val="none"/>
                    </w:rPr>
                  </w:pPr>
                </w:p>
              </w:tc>
              <w:tc>
                <w:tcPr>
                  <w:tcW w:w="377" w:type="pct"/>
                  <w:vMerge w:val="continue"/>
                  <w:shd w:val="clear" w:color="auto" w:fill="auto"/>
                  <w:vAlign w:val="center"/>
                </w:tcPr>
                <w:p w14:paraId="03431644">
                  <w:pPr>
                    <w:adjustRightInd w:val="0"/>
                    <w:jc w:val="center"/>
                    <w:rPr>
                      <w:color w:val="auto"/>
                      <w:highlight w:val="none"/>
                    </w:rPr>
                  </w:pPr>
                </w:p>
              </w:tc>
            </w:tr>
            <w:tr w14:paraId="1393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262" w:type="pct"/>
                  <w:shd w:val="clear" w:color="auto" w:fill="auto"/>
                  <w:vAlign w:val="center"/>
                </w:tcPr>
                <w:p w14:paraId="7FE99522">
                  <w:pPr>
                    <w:adjustRightInd w:val="0"/>
                    <w:jc w:val="center"/>
                    <w:rPr>
                      <w:rFonts w:hint="eastAsia" w:eastAsia="宋体"/>
                      <w:color w:val="auto"/>
                      <w:highlight w:val="none"/>
                      <w:lang w:eastAsia="zh-CN"/>
                    </w:rPr>
                  </w:pPr>
                  <w:r>
                    <w:rPr>
                      <w:color w:val="auto"/>
                      <w:highlight w:val="none"/>
                    </w:rPr>
                    <w:t>3</w:t>
                  </w:r>
                </w:p>
              </w:tc>
              <w:tc>
                <w:tcPr>
                  <w:tcW w:w="536" w:type="pct"/>
                  <w:vMerge w:val="continue"/>
                  <w:shd w:val="clear" w:color="auto" w:fill="auto"/>
                  <w:vAlign w:val="center"/>
                </w:tcPr>
                <w:p w14:paraId="4340B58A">
                  <w:pPr>
                    <w:jc w:val="center"/>
                    <w:rPr>
                      <w:color w:val="auto"/>
                      <w:szCs w:val="21"/>
                      <w:highlight w:val="none"/>
                    </w:rPr>
                  </w:pPr>
                </w:p>
              </w:tc>
              <w:tc>
                <w:tcPr>
                  <w:tcW w:w="618" w:type="pct"/>
                  <w:shd w:val="clear" w:color="auto" w:fill="auto"/>
                  <w:vAlign w:val="center"/>
                </w:tcPr>
                <w:p w14:paraId="073087E2">
                  <w:pPr>
                    <w:jc w:val="center"/>
                    <w:rPr>
                      <w:rFonts w:hint="eastAsia" w:ascii="Times New Roman" w:hAnsi="Times New Roman" w:eastAsia="宋体" w:cs="Times New Roman"/>
                      <w:color w:val="auto"/>
                      <w:szCs w:val="21"/>
                      <w:highlight w:val="none"/>
                      <w:lang w:val="en-US" w:eastAsia="zh-CN"/>
                    </w:rPr>
                  </w:pPr>
                  <w:r>
                    <w:rPr>
                      <w:rFonts w:hint="eastAsia"/>
                      <w:color w:val="auto"/>
                      <w:szCs w:val="21"/>
                      <w:highlight w:val="none"/>
                    </w:rPr>
                    <w:t>废活性炭</w:t>
                  </w:r>
                </w:p>
              </w:tc>
              <w:tc>
                <w:tcPr>
                  <w:tcW w:w="632" w:type="pct"/>
                  <w:shd w:val="clear" w:color="auto" w:fill="auto"/>
                  <w:vAlign w:val="center"/>
                </w:tcPr>
                <w:p w14:paraId="4459E516">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HW49</w:t>
                  </w:r>
                </w:p>
              </w:tc>
              <w:tc>
                <w:tcPr>
                  <w:tcW w:w="736" w:type="pct"/>
                  <w:shd w:val="clear" w:color="auto" w:fill="auto"/>
                  <w:vAlign w:val="center"/>
                </w:tcPr>
                <w:p w14:paraId="0E84AB36">
                  <w:pPr>
                    <w:jc w:val="center"/>
                    <w:rPr>
                      <w:rFonts w:hint="default" w:eastAsia="宋体"/>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900-0</w:t>
                  </w:r>
                  <w:r>
                    <w:rPr>
                      <w:rFonts w:hint="eastAsia" w:cs="Times New Roman"/>
                      <w:color w:val="auto"/>
                      <w:szCs w:val="21"/>
                      <w:highlight w:val="none"/>
                      <w:lang w:val="en-US" w:eastAsia="zh-CN"/>
                    </w:rPr>
                    <w:t>39</w:t>
                  </w:r>
                  <w:r>
                    <w:rPr>
                      <w:rFonts w:hint="eastAsia" w:ascii="Times New Roman" w:hAnsi="Times New Roman" w:eastAsia="宋体" w:cs="Times New Roman"/>
                      <w:color w:val="auto"/>
                      <w:szCs w:val="21"/>
                      <w:highlight w:val="none"/>
                      <w:lang w:val="en-US" w:eastAsia="zh-CN"/>
                    </w:rPr>
                    <w:t>-49</w:t>
                  </w:r>
                </w:p>
              </w:tc>
              <w:tc>
                <w:tcPr>
                  <w:tcW w:w="479" w:type="pct"/>
                  <w:vMerge w:val="continue"/>
                  <w:shd w:val="clear" w:color="auto" w:fill="auto"/>
                  <w:vAlign w:val="center"/>
                </w:tcPr>
                <w:p w14:paraId="10A58243">
                  <w:pPr>
                    <w:adjustRightInd w:val="0"/>
                    <w:jc w:val="center"/>
                    <w:rPr>
                      <w:color w:val="auto"/>
                      <w:szCs w:val="21"/>
                      <w:highlight w:val="none"/>
                    </w:rPr>
                  </w:pPr>
                </w:p>
              </w:tc>
              <w:tc>
                <w:tcPr>
                  <w:tcW w:w="417" w:type="pct"/>
                  <w:vMerge w:val="continue"/>
                  <w:shd w:val="clear" w:color="auto" w:fill="auto"/>
                  <w:vAlign w:val="center"/>
                </w:tcPr>
                <w:p w14:paraId="61D37827">
                  <w:pPr>
                    <w:adjustRightInd w:val="0"/>
                    <w:jc w:val="center"/>
                    <w:rPr>
                      <w:color w:val="auto"/>
                      <w:highlight w:val="none"/>
                    </w:rPr>
                  </w:pPr>
                </w:p>
              </w:tc>
              <w:tc>
                <w:tcPr>
                  <w:tcW w:w="549" w:type="pct"/>
                  <w:shd w:val="clear" w:color="auto" w:fill="auto"/>
                  <w:vAlign w:val="center"/>
                </w:tcPr>
                <w:p w14:paraId="1864EFD1">
                  <w:pPr>
                    <w:adjustRightInd w:val="0"/>
                    <w:jc w:val="center"/>
                    <w:rPr>
                      <w:rFonts w:hint="eastAsia" w:eastAsia="宋体"/>
                      <w:color w:val="auto"/>
                      <w:highlight w:val="none"/>
                      <w:lang w:val="en-US" w:eastAsia="zh-CN"/>
                    </w:rPr>
                  </w:pPr>
                  <w:r>
                    <w:rPr>
                      <w:rFonts w:hint="eastAsia"/>
                      <w:color w:val="auto"/>
                      <w:highlight w:val="none"/>
                      <w:lang w:val="en-US" w:eastAsia="zh-CN"/>
                    </w:rPr>
                    <w:t>袋装</w:t>
                  </w:r>
                </w:p>
              </w:tc>
              <w:tc>
                <w:tcPr>
                  <w:tcW w:w="390" w:type="pct"/>
                  <w:vMerge w:val="continue"/>
                  <w:shd w:val="clear" w:color="auto" w:fill="auto"/>
                  <w:vAlign w:val="center"/>
                </w:tcPr>
                <w:p w14:paraId="4727E94B">
                  <w:pPr>
                    <w:adjustRightInd w:val="0"/>
                    <w:jc w:val="center"/>
                    <w:rPr>
                      <w:rFonts w:hint="eastAsia"/>
                      <w:color w:val="auto"/>
                      <w:highlight w:val="none"/>
                      <w:lang w:val="en-US" w:eastAsia="zh-CN"/>
                    </w:rPr>
                  </w:pPr>
                </w:p>
              </w:tc>
              <w:tc>
                <w:tcPr>
                  <w:tcW w:w="377" w:type="pct"/>
                  <w:vMerge w:val="continue"/>
                  <w:shd w:val="clear" w:color="auto" w:fill="auto"/>
                  <w:vAlign w:val="center"/>
                </w:tcPr>
                <w:p w14:paraId="36372DCB">
                  <w:pPr>
                    <w:adjustRightInd w:val="0"/>
                    <w:jc w:val="center"/>
                    <w:rPr>
                      <w:rFonts w:hint="default"/>
                      <w:color w:val="auto"/>
                      <w:highlight w:val="none"/>
                      <w:lang w:val="en-US" w:eastAsia="zh-CN"/>
                    </w:rPr>
                  </w:pPr>
                </w:p>
              </w:tc>
            </w:tr>
          </w:tbl>
          <w:p w14:paraId="30F37D3F">
            <w:pPr>
              <w:spacing w:line="360" w:lineRule="auto"/>
              <w:ind w:firstLine="480" w:firstLineChars="200"/>
              <w:rPr>
                <w:b w:val="0"/>
                <w:bCs/>
                <w:color w:val="auto"/>
                <w:sz w:val="24"/>
                <w:szCs w:val="20"/>
                <w:highlight w:val="none"/>
              </w:rPr>
            </w:pPr>
            <w:r>
              <w:rPr>
                <w:rFonts w:hint="eastAsia"/>
                <w:b w:val="0"/>
                <w:bCs/>
                <w:color w:val="auto"/>
                <w:sz w:val="24"/>
                <w:highlight w:val="none"/>
                <w:lang w:val="en-US" w:eastAsia="zh-CN"/>
              </w:rPr>
              <w:t>综上，本项目产生的危废严格落实上述措施后，可得到妥善处置，不致造成二次污染。</w:t>
            </w:r>
          </w:p>
          <w:p w14:paraId="340B314E">
            <w:pPr>
              <w:spacing w:line="360" w:lineRule="auto"/>
              <w:ind w:firstLine="482" w:firstLineChars="200"/>
              <w:rPr>
                <w:b/>
                <w:color w:val="auto"/>
                <w:sz w:val="24"/>
                <w:highlight w:val="none"/>
              </w:rPr>
            </w:pPr>
            <w:r>
              <w:rPr>
                <w:b/>
                <w:color w:val="auto"/>
                <w:sz w:val="24"/>
                <w:highlight w:val="none"/>
                <w:lang w:bidi="ar"/>
              </w:rPr>
              <w:t>5、</w:t>
            </w:r>
            <w:r>
              <w:rPr>
                <w:rFonts w:hint="eastAsia"/>
                <w:b/>
                <w:color w:val="auto"/>
                <w:spacing w:val="-10"/>
                <w:sz w:val="24"/>
                <w:highlight w:val="none"/>
              </w:rPr>
              <w:t>地下水和土壤环境影响分析</w:t>
            </w:r>
          </w:p>
          <w:p w14:paraId="137664EF">
            <w:pPr>
              <w:spacing w:line="360" w:lineRule="auto"/>
              <w:ind w:firstLine="480" w:firstLineChars="200"/>
              <w:rPr>
                <w:color w:val="auto"/>
                <w:sz w:val="24"/>
                <w:highlight w:val="none"/>
              </w:rPr>
            </w:pPr>
            <w:r>
              <w:rPr>
                <w:rFonts w:hint="eastAsia"/>
                <w:bCs/>
                <w:color w:val="auto"/>
                <w:sz w:val="24"/>
                <w:highlight w:val="none"/>
              </w:rPr>
              <w:t>本项目处于</w:t>
            </w:r>
            <w:r>
              <w:rPr>
                <w:rFonts w:hint="eastAsia"/>
                <w:bCs/>
                <w:color w:val="auto"/>
                <w:sz w:val="24"/>
                <w:highlight w:val="none"/>
                <w:lang w:val="en-US" w:eastAsia="zh-CN"/>
              </w:rPr>
              <w:t>遂宁市</w:t>
            </w:r>
            <w:r>
              <w:rPr>
                <w:rFonts w:hint="eastAsia"/>
                <w:color w:val="auto"/>
                <w:sz w:val="24"/>
                <w:szCs w:val="32"/>
                <w:highlight w:val="none"/>
                <w:lang w:eastAsia="zh-CN"/>
              </w:rPr>
              <w:t>大英县工业集中发展区梁家坝</w:t>
            </w:r>
            <w:r>
              <w:rPr>
                <w:rFonts w:hint="eastAsia"/>
                <w:bCs/>
                <w:color w:val="auto"/>
                <w:sz w:val="24"/>
                <w:highlight w:val="none"/>
              </w:rPr>
              <w:t>，周边</w:t>
            </w:r>
            <w:r>
              <w:rPr>
                <w:rFonts w:hint="eastAsia"/>
                <w:bCs/>
                <w:color w:val="auto"/>
                <w:sz w:val="24"/>
                <w:highlight w:val="none"/>
                <w:lang w:val="en-US" w:eastAsia="zh-CN"/>
              </w:rPr>
              <w:t>均为工业</w:t>
            </w:r>
            <w:r>
              <w:rPr>
                <w:rFonts w:hint="eastAsia"/>
                <w:bCs/>
                <w:color w:val="auto"/>
                <w:sz w:val="24"/>
                <w:highlight w:val="none"/>
              </w:rPr>
              <w:t>企业</w:t>
            </w:r>
            <w:r>
              <w:rPr>
                <w:rFonts w:hint="eastAsia"/>
                <w:bCs/>
                <w:color w:val="auto"/>
                <w:sz w:val="24"/>
                <w:highlight w:val="none"/>
                <w:lang w:val="en-US" w:eastAsia="zh-CN"/>
              </w:rPr>
              <w:t>或待建空地（工业用地），项目所在区域</w:t>
            </w:r>
            <w:r>
              <w:rPr>
                <w:rFonts w:hint="eastAsia"/>
                <w:bCs/>
                <w:color w:val="auto"/>
                <w:sz w:val="24"/>
                <w:highlight w:val="none"/>
              </w:rPr>
              <w:t>不涉及饮用水源保护地。同时，项目所在地无特殊（如温泉、矿泉水等）地下水资源保护区。</w:t>
            </w:r>
            <w:r>
              <w:rPr>
                <w:rFonts w:hint="eastAsia"/>
                <w:bCs/>
                <w:color w:val="auto"/>
                <w:sz w:val="24"/>
                <w:highlight w:val="none"/>
                <w:lang w:val="en-US" w:eastAsia="zh-CN"/>
              </w:rPr>
              <w:t>但本项目涉及多种化学品，必须强化项目防渗措施，防止项目区域地下水因项目建设而受到污染</w:t>
            </w:r>
            <w:r>
              <w:rPr>
                <w:color w:val="auto"/>
                <w:kern w:val="0"/>
                <w:sz w:val="24"/>
                <w:highlight w:val="none"/>
              </w:rPr>
              <w:t>。</w:t>
            </w:r>
          </w:p>
          <w:p w14:paraId="1273D939">
            <w:pPr>
              <w:spacing w:line="360" w:lineRule="auto"/>
              <w:ind w:firstLine="480"/>
              <w:rPr>
                <w:color w:val="auto"/>
                <w:sz w:val="24"/>
                <w:highlight w:val="none"/>
              </w:rPr>
            </w:pPr>
            <w:r>
              <w:rPr>
                <w:rFonts w:hint="eastAsia"/>
                <w:bCs/>
                <w:color w:val="auto"/>
                <w:sz w:val="24"/>
                <w:highlight w:val="none"/>
              </w:rPr>
              <w:t>地下水污染预防措施应按照“源头控制、分区控制、污染监控、应急响应”的主动与被动防渗相结合的防渗原则。在做好防止和减少“跑、冒、滴、漏”等源头防污措施的基础上，对厂区内各单元进行分区防渗处理。</w:t>
            </w:r>
            <w:r>
              <w:rPr>
                <w:rFonts w:hint="eastAsia"/>
                <w:bCs/>
                <w:color w:val="auto"/>
                <w:sz w:val="24"/>
                <w:highlight w:val="none"/>
                <w:lang w:val="en-US" w:eastAsia="zh-CN"/>
              </w:rPr>
              <w:t>评价要求将本次技改新增占地区域进行分区防渗，</w:t>
            </w:r>
            <w:r>
              <w:rPr>
                <w:rFonts w:hint="eastAsia"/>
                <w:bCs/>
                <w:color w:val="auto"/>
                <w:sz w:val="24"/>
                <w:highlight w:val="none"/>
              </w:rPr>
              <w:t>防渗分区分为重点防渗区、一般防渗区和简单防渗区</w:t>
            </w:r>
            <w:r>
              <w:rPr>
                <w:rFonts w:hint="eastAsia"/>
                <w:bCs/>
                <w:color w:val="auto"/>
                <w:sz w:val="24"/>
                <w:highlight w:val="none"/>
                <w:lang w:eastAsia="zh-CN"/>
              </w:rPr>
              <w:t>，</w:t>
            </w:r>
            <w:r>
              <w:rPr>
                <w:rFonts w:hint="eastAsia"/>
                <w:bCs/>
                <w:color w:val="auto"/>
                <w:sz w:val="24"/>
                <w:highlight w:val="none"/>
                <w:lang w:val="en-US" w:eastAsia="zh-CN"/>
              </w:rPr>
              <w:t>其他现有工程占地区域已完成分区防渗并通过环保验收，保持现有防渗分区即可。因此</w:t>
            </w:r>
            <w:r>
              <w:rPr>
                <w:rFonts w:hint="eastAsia"/>
                <w:b w:val="0"/>
                <w:bCs/>
                <w:color w:val="auto"/>
                <w:sz w:val="24"/>
                <w:highlight w:val="none"/>
                <w:lang w:val="en-US" w:eastAsia="zh-CN"/>
              </w:rPr>
              <w:t>，</w:t>
            </w:r>
            <w:r>
              <w:rPr>
                <w:rFonts w:hint="eastAsia"/>
                <w:b w:val="0"/>
                <w:bCs/>
                <w:color w:val="auto"/>
                <w:sz w:val="24"/>
                <w:highlight w:val="none"/>
              </w:rPr>
              <w:t>本项目</w:t>
            </w:r>
            <w:r>
              <w:rPr>
                <w:rFonts w:hint="eastAsia"/>
                <w:b/>
                <w:bCs w:val="0"/>
                <w:color w:val="auto"/>
                <w:sz w:val="24"/>
                <w:highlight w:val="none"/>
              </w:rPr>
              <w:t>新增防渗措施</w:t>
            </w:r>
            <w:r>
              <w:rPr>
                <w:rFonts w:hint="eastAsia"/>
                <w:b w:val="0"/>
                <w:bCs/>
                <w:color w:val="auto"/>
                <w:sz w:val="24"/>
                <w:highlight w:val="none"/>
                <w:lang w:val="en-US" w:eastAsia="zh-CN"/>
              </w:rPr>
              <w:t>的</w:t>
            </w:r>
            <w:r>
              <w:rPr>
                <w:rFonts w:hint="eastAsia"/>
                <w:b w:val="0"/>
                <w:bCs/>
                <w:color w:val="auto"/>
                <w:sz w:val="24"/>
                <w:highlight w:val="none"/>
              </w:rPr>
              <w:t>具体</w:t>
            </w:r>
            <w:r>
              <w:rPr>
                <w:b w:val="0"/>
                <w:bCs/>
                <w:color w:val="auto"/>
                <w:sz w:val="24"/>
                <w:highlight w:val="none"/>
              </w:rPr>
              <w:t>分区情况如下：</w:t>
            </w:r>
          </w:p>
          <w:p w14:paraId="731B1843">
            <w:pPr>
              <w:adjustRightInd w:val="0"/>
              <w:snapToGrid w:val="0"/>
              <w:spacing w:line="360" w:lineRule="auto"/>
              <w:ind w:firstLine="482" w:firstLineChars="200"/>
              <w:jc w:val="left"/>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rPr>
              <w:t>重点防渗区：</w:t>
            </w:r>
            <w:r>
              <w:rPr>
                <w:rFonts w:hint="eastAsia" w:ascii="Times New Roman" w:hAnsi="Times New Roman" w:eastAsia="宋体" w:cs="Times New Roman"/>
                <w:b w:val="0"/>
                <w:bCs w:val="0"/>
                <w:i w:val="0"/>
                <w:iCs w:val="0"/>
                <w:color w:val="auto"/>
                <w:sz w:val="24"/>
                <w:highlight w:val="none"/>
                <w:u w:val="single"/>
              </w:rPr>
              <w:t>包</w:t>
            </w:r>
            <w:r>
              <w:rPr>
                <w:rFonts w:hint="eastAsia" w:ascii="Times New Roman" w:hAnsi="Times New Roman" w:eastAsia="宋体" w:cs="Times New Roman"/>
                <w:b w:val="0"/>
                <w:bCs w:val="0"/>
                <w:i w:val="0"/>
                <w:iCs w:val="0"/>
                <w:color w:val="auto"/>
                <w:sz w:val="24"/>
                <w:highlight w:val="none"/>
                <w:u w:val="single"/>
                <w:lang w:val="en-US" w:eastAsia="zh-CN"/>
              </w:rPr>
              <w:t>括生产车间（生产装置区、成品暂存间、灌装间等）、维修间、</w:t>
            </w:r>
            <w:r>
              <w:rPr>
                <w:rFonts w:hint="eastAsia" w:cs="Times New Roman"/>
                <w:b w:val="0"/>
                <w:bCs w:val="0"/>
                <w:i w:val="0"/>
                <w:iCs w:val="0"/>
                <w:color w:val="auto"/>
                <w:sz w:val="24"/>
                <w:highlight w:val="none"/>
                <w:u w:val="single"/>
                <w:lang w:val="en-US" w:eastAsia="zh-CN"/>
              </w:rPr>
              <w:t>危废贮存库</w:t>
            </w:r>
            <w:r>
              <w:rPr>
                <w:rFonts w:hint="eastAsia" w:ascii="Times New Roman" w:hAnsi="Times New Roman" w:eastAsia="宋体" w:cs="Times New Roman"/>
                <w:b w:val="0"/>
                <w:bCs w:val="0"/>
                <w:i w:val="0"/>
                <w:iCs w:val="0"/>
                <w:color w:val="auto"/>
                <w:sz w:val="24"/>
                <w:highlight w:val="none"/>
                <w:u w:val="single"/>
                <w:lang w:val="en-US" w:eastAsia="zh-CN"/>
              </w:rPr>
              <w:t>。</w:t>
            </w:r>
            <w:r>
              <w:rPr>
                <w:rFonts w:hint="eastAsia" w:ascii="Times New Roman" w:hAnsi="Times New Roman" w:eastAsia="宋体" w:cs="Times New Roman"/>
                <w:b w:val="0"/>
                <w:bCs w:val="0"/>
                <w:color w:val="auto"/>
                <w:sz w:val="24"/>
                <w:highlight w:val="none"/>
                <w:lang w:val="en-US" w:eastAsia="zh-CN"/>
              </w:rPr>
              <w:t>其中生产车间内地面采用混凝土砼基基础硬化，收缩缝采用玻纤布+沥青，管线采用碳钢无缝管线连接，</w:t>
            </w:r>
            <w:r>
              <w:rPr>
                <w:rFonts w:hint="eastAsia" w:cs="Times New Roman"/>
                <w:b w:val="0"/>
                <w:bCs w:val="0"/>
                <w:color w:val="auto"/>
                <w:sz w:val="24"/>
                <w:szCs w:val="24"/>
                <w:highlight w:val="none"/>
                <w:u w:val="none"/>
                <w:lang w:val="en-US" w:eastAsia="zh-CN"/>
              </w:rPr>
              <w:t>车间内的罐体周围设置不低于150mm的围堰，</w:t>
            </w:r>
            <w:r>
              <w:rPr>
                <w:rFonts w:hint="eastAsia" w:ascii="Times New Roman" w:hAnsi="Times New Roman" w:eastAsia="宋体" w:cs="Times New Roman"/>
                <w:b w:val="0"/>
                <w:bCs w:val="0"/>
                <w:color w:val="auto"/>
                <w:sz w:val="24"/>
                <w:szCs w:val="24"/>
                <w:highlight w:val="none"/>
                <w:u w:val="none"/>
                <w:lang w:val="en-US" w:eastAsia="zh-CN"/>
              </w:rPr>
              <w:t>车间外四周设置排污沟及围堰，围堰和排污沟采用粘土铺底+10-15cm水泥硬化+2mm厚高密度聚乙烯材料作重点防渗处理</w:t>
            </w:r>
            <w:r>
              <w:rPr>
                <w:rFonts w:hint="eastAsia" w:ascii="Times New Roman" w:hAnsi="Times New Roman" w:eastAsia="宋体" w:cs="Times New Roman"/>
                <w:b w:val="0"/>
                <w:bCs w:val="0"/>
                <w:color w:val="auto"/>
                <w:sz w:val="24"/>
                <w:highlight w:val="none"/>
                <w:lang w:val="en-US" w:eastAsia="zh-CN"/>
              </w:rPr>
              <w:t>；维修间和</w:t>
            </w:r>
            <w:r>
              <w:rPr>
                <w:rFonts w:hint="eastAsia" w:cs="Times New Roman"/>
                <w:b w:val="0"/>
                <w:bCs w:val="0"/>
                <w:color w:val="auto"/>
                <w:sz w:val="24"/>
                <w:highlight w:val="none"/>
                <w:lang w:val="en-US" w:eastAsia="zh-CN"/>
              </w:rPr>
              <w:t>危废贮存库</w:t>
            </w:r>
            <w:r>
              <w:rPr>
                <w:rFonts w:hint="eastAsia" w:ascii="Times New Roman" w:hAnsi="Times New Roman" w:eastAsia="宋体" w:cs="Times New Roman"/>
                <w:b w:val="0"/>
                <w:bCs w:val="0"/>
                <w:color w:val="auto"/>
                <w:sz w:val="24"/>
                <w:highlight w:val="none"/>
                <w:lang w:val="en-US" w:eastAsia="zh-CN"/>
              </w:rPr>
              <w:t>通过地面硬化，采用混凝土砼基基础，收缩缝均采用玻纤布+沥青；四周设置排污沟及围堰，围堰和排污沟</w:t>
            </w:r>
            <w:r>
              <w:rPr>
                <w:rFonts w:hint="eastAsia" w:cs="Times New Roman"/>
                <w:b w:val="0"/>
                <w:bCs w:val="0"/>
                <w:color w:val="auto"/>
                <w:sz w:val="24"/>
                <w:highlight w:val="none"/>
                <w:lang w:val="en-US" w:eastAsia="zh-CN"/>
              </w:rPr>
              <w:t>采用</w:t>
            </w:r>
            <w:r>
              <w:rPr>
                <w:rFonts w:hint="eastAsia" w:ascii="Times New Roman" w:hAnsi="Times New Roman" w:eastAsia="宋体" w:cs="Times New Roman"/>
                <w:b w:val="0"/>
                <w:bCs w:val="0"/>
                <w:color w:val="auto"/>
                <w:sz w:val="24"/>
                <w:highlight w:val="none"/>
                <w:lang w:val="en-US" w:eastAsia="zh-CN"/>
              </w:rPr>
              <w:t>粘土铺底，再在上层铺10-15cm的水泥进行硬化，用2mm厚的高密度聚乙烯材料作防渗处理。落实上述防渗措施后，防渗系数可达到</w:t>
            </w:r>
            <w:r>
              <w:rPr>
                <w:rFonts w:hint="eastAsia"/>
                <w:bCs/>
                <w:color w:val="auto"/>
                <w:sz w:val="24"/>
                <w:highlight w:val="none"/>
              </w:rPr>
              <w:t>K</w:t>
            </w:r>
            <w:r>
              <w:rPr>
                <w:rFonts w:hint="eastAsia" w:ascii="Times New Roman" w:hAnsi="Times New Roman" w:eastAsia="宋体" w:cs="Times New Roman"/>
                <w:b w:val="0"/>
                <w:bCs w:val="0"/>
                <w:color w:val="auto"/>
                <w:sz w:val="24"/>
                <w:highlight w:val="none"/>
                <w:lang w:val="en-US" w:eastAsia="zh-CN"/>
              </w:rPr>
              <w:t>≤</w:t>
            </w:r>
            <w:r>
              <w:rPr>
                <w:rFonts w:hint="eastAsia"/>
                <w:bCs/>
                <w:color w:val="auto"/>
                <w:sz w:val="24"/>
                <w:highlight w:val="none"/>
              </w:rPr>
              <w:t>1.0×</w:t>
            </w:r>
            <w:r>
              <w:rPr>
                <w:rFonts w:hint="eastAsia" w:ascii="Times New Roman" w:hAnsi="Times New Roman" w:eastAsia="宋体" w:cs="Times New Roman"/>
                <w:b w:val="0"/>
                <w:bCs w:val="0"/>
                <w:color w:val="auto"/>
                <w:sz w:val="24"/>
                <w:highlight w:val="none"/>
                <w:lang w:val="en-US" w:eastAsia="zh-CN"/>
              </w:rPr>
              <w:t>10</w:t>
            </w:r>
            <w:r>
              <w:rPr>
                <w:rFonts w:hint="eastAsia" w:ascii="Times New Roman" w:hAnsi="Times New Roman" w:eastAsia="宋体" w:cs="Times New Roman"/>
                <w:b w:val="0"/>
                <w:bCs w:val="0"/>
                <w:color w:val="auto"/>
                <w:sz w:val="24"/>
                <w:highlight w:val="none"/>
                <w:vertAlign w:val="superscript"/>
                <w:lang w:val="en-US" w:eastAsia="zh-CN"/>
              </w:rPr>
              <w:t>-10</w:t>
            </w:r>
            <w:r>
              <w:rPr>
                <w:rFonts w:hint="eastAsia" w:ascii="Times New Roman" w:hAnsi="Times New Roman" w:eastAsia="宋体" w:cs="Times New Roman"/>
                <w:b w:val="0"/>
                <w:bCs w:val="0"/>
                <w:color w:val="auto"/>
                <w:sz w:val="24"/>
                <w:highlight w:val="none"/>
                <w:vertAlign w:val="baseline"/>
                <w:lang w:val="en-US" w:eastAsia="zh-CN"/>
              </w:rPr>
              <w:t>cm/s</w:t>
            </w:r>
            <w:r>
              <w:rPr>
                <w:rFonts w:hint="eastAsia" w:ascii="Times New Roman" w:hAnsi="Times New Roman" w:eastAsia="宋体" w:cs="Times New Roman"/>
                <w:b w:val="0"/>
                <w:bCs w:val="0"/>
                <w:color w:val="auto"/>
                <w:sz w:val="24"/>
                <w:highlight w:val="none"/>
                <w:lang w:val="en-US" w:eastAsia="zh-CN"/>
              </w:rPr>
              <w:t>，能够满足重点防渗要求。</w:t>
            </w:r>
          </w:p>
          <w:p w14:paraId="538791D9">
            <w:pPr>
              <w:adjustRightInd w:val="0"/>
              <w:snapToGrid w:val="0"/>
              <w:spacing w:line="360" w:lineRule="auto"/>
              <w:ind w:firstLine="482" w:firstLineChars="200"/>
              <w:jc w:val="left"/>
              <w:rPr>
                <w:bCs/>
                <w:color w:val="auto"/>
                <w:sz w:val="24"/>
                <w:highlight w:val="none"/>
              </w:rPr>
            </w:pPr>
            <w:r>
              <w:rPr>
                <w:rFonts w:hint="eastAsia"/>
                <w:b/>
                <w:bCs/>
                <w:color w:val="auto"/>
                <w:sz w:val="24"/>
                <w:highlight w:val="none"/>
              </w:rPr>
              <w:t>一般防渗区：</w:t>
            </w:r>
            <w:r>
              <w:rPr>
                <w:rFonts w:hint="eastAsia" w:ascii="Times New Roman" w:hAnsi="Times New Roman" w:eastAsia="宋体" w:cs="Times New Roman"/>
                <w:b w:val="0"/>
                <w:bCs w:val="0"/>
                <w:color w:val="auto"/>
                <w:sz w:val="24"/>
                <w:highlight w:val="none"/>
                <w:u w:val="single"/>
                <w:lang w:val="en-US" w:eastAsia="zh-CN"/>
              </w:rPr>
              <w:t>包括</w:t>
            </w:r>
            <w:r>
              <w:rPr>
                <w:rFonts w:hint="default" w:ascii="Times New Roman" w:hAnsi="Times New Roman" w:cs="Times New Roman"/>
                <w:bCs/>
                <w:color w:val="auto"/>
                <w:sz w:val="24"/>
                <w:highlight w:val="none"/>
                <w:u w:val="single"/>
                <w:lang w:val="en-US" w:eastAsia="zh-CN"/>
              </w:rPr>
              <w:t>备件库</w:t>
            </w:r>
            <w:r>
              <w:rPr>
                <w:rFonts w:hint="eastAsia" w:ascii="Times New Roman" w:hAnsi="Times New Roman" w:cs="Times New Roman"/>
                <w:bCs/>
                <w:color w:val="auto"/>
                <w:sz w:val="24"/>
                <w:highlight w:val="none"/>
                <w:u w:val="single"/>
                <w:lang w:val="en-US" w:eastAsia="zh-CN"/>
              </w:rPr>
              <w:t>、锅炉房水处理间以及生产车间其他区域</w:t>
            </w:r>
            <w:r>
              <w:rPr>
                <w:rFonts w:hint="eastAsia"/>
                <w:bCs/>
                <w:color w:val="auto"/>
                <w:sz w:val="24"/>
                <w:highlight w:val="none"/>
                <w:u w:val="single"/>
              </w:rPr>
              <w:t>。</w:t>
            </w:r>
            <w:r>
              <w:rPr>
                <w:rFonts w:hint="eastAsia" w:ascii="Times New Roman" w:hAnsi="Times New Roman" w:eastAsia="宋体" w:cs="Times New Roman"/>
                <w:bCs/>
                <w:color w:val="auto"/>
                <w:sz w:val="24"/>
                <w:highlight w:val="none"/>
                <w:lang w:val="en-US" w:eastAsia="zh-CN"/>
              </w:rPr>
              <w:t>采用抗混凝土</w:t>
            </w:r>
            <w:r>
              <w:rPr>
                <w:rFonts w:hint="eastAsia" w:cs="Times New Roman"/>
                <w:bCs/>
                <w:color w:val="auto"/>
                <w:sz w:val="24"/>
                <w:highlight w:val="none"/>
                <w:lang w:val="en-US" w:eastAsia="zh-CN"/>
              </w:rPr>
              <w:t>浇筑</w:t>
            </w:r>
            <w:r>
              <w:rPr>
                <w:rFonts w:hint="eastAsia" w:ascii="Times New Roman" w:hAnsi="Times New Roman" w:eastAsia="宋体" w:cs="Times New Roman"/>
                <w:bCs/>
                <w:color w:val="auto"/>
                <w:sz w:val="24"/>
                <w:highlight w:val="none"/>
                <w:lang w:val="en-US" w:eastAsia="zh-CN"/>
              </w:rPr>
              <w:t>硬化+抗渗混凝土防渗，达到防渗系统</w:t>
            </w:r>
            <w:r>
              <w:rPr>
                <w:rFonts w:hint="eastAsia"/>
                <w:bCs/>
                <w:color w:val="auto"/>
                <w:sz w:val="24"/>
                <w:highlight w:val="none"/>
              </w:rPr>
              <w:t>K≤1.0×10</w:t>
            </w:r>
            <w:r>
              <w:rPr>
                <w:rFonts w:hint="eastAsia"/>
                <w:bCs/>
                <w:color w:val="auto"/>
                <w:sz w:val="24"/>
                <w:highlight w:val="none"/>
                <w:vertAlign w:val="superscript"/>
              </w:rPr>
              <w:t>-7</w:t>
            </w:r>
            <w:r>
              <w:rPr>
                <w:rFonts w:hint="eastAsia"/>
                <w:bCs/>
                <w:color w:val="auto"/>
                <w:sz w:val="24"/>
                <w:highlight w:val="none"/>
              </w:rPr>
              <w:t>cm/s</w:t>
            </w:r>
            <w:r>
              <w:rPr>
                <w:rFonts w:hint="eastAsia"/>
                <w:bCs/>
                <w:color w:val="auto"/>
                <w:sz w:val="24"/>
                <w:highlight w:val="none"/>
                <w:lang w:val="en-US" w:eastAsia="zh-CN"/>
              </w:rPr>
              <w:t>的</w:t>
            </w:r>
            <w:r>
              <w:rPr>
                <w:rFonts w:hint="eastAsia"/>
                <w:bCs/>
                <w:color w:val="auto"/>
                <w:sz w:val="24"/>
                <w:highlight w:val="none"/>
              </w:rPr>
              <w:t>防渗要求。</w:t>
            </w:r>
          </w:p>
          <w:p w14:paraId="6F60E7AE">
            <w:pPr>
              <w:adjustRightInd w:val="0"/>
              <w:snapToGrid w:val="0"/>
              <w:spacing w:line="360" w:lineRule="auto"/>
              <w:ind w:firstLine="482" w:firstLineChars="200"/>
              <w:jc w:val="left"/>
              <w:rPr>
                <w:bCs/>
                <w:color w:val="auto"/>
                <w:sz w:val="24"/>
                <w:highlight w:val="none"/>
              </w:rPr>
            </w:pPr>
            <w:r>
              <w:rPr>
                <w:rFonts w:hint="eastAsia"/>
                <w:b/>
                <w:bCs/>
                <w:color w:val="auto"/>
                <w:sz w:val="24"/>
                <w:highlight w:val="none"/>
              </w:rPr>
              <w:t>简单防渗区：</w:t>
            </w:r>
            <w:r>
              <w:rPr>
                <w:rFonts w:hint="eastAsia"/>
                <w:bCs/>
                <w:color w:val="auto"/>
                <w:sz w:val="24"/>
                <w:highlight w:val="none"/>
                <w:u w:val="single"/>
                <w:lang w:val="en-US" w:eastAsia="zh-CN"/>
              </w:rPr>
              <w:t>除了上述重点和一般防渗区外的硬化广场和路面区域</w:t>
            </w:r>
            <w:r>
              <w:rPr>
                <w:rFonts w:hint="eastAsia"/>
                <w:bCs/>
                <w:color w:val="auto"/>
                <w:sz w:val="24"/>
                <w:highlight w:val="none"/>
                <w:u w:val="single"/>
              </w:rPr>
              <w:t>。</w:t>
            </w:r>
            <w:r>
              <w:rPr>
                <w:rFonts w:hint="eastAsia"/>
                <w:bCs/>
                <w:color w:val="auto"/>
                <w:sz w:val="24"/>
                <w:highlight w:val="none"/>
                <w:u w:val="none"/>
                <w:lang w:val="en-US" w:eastAsia="zh-CN"/>
              </w:rPr>
              <w:t>采用</w:t>
            </w:r>
            <w:r>
              <w:rPr>
                <w:rFonts w:hint="eastAsia" w:ascii="Times New Roman" w:hAnsi="Times New Roman" w:eastAsia="宋体" w:cs="Times New Roman"/>
                <w:bCs/>
                <w:color w:val="auto"/>
                <w:sz w:val="24"/>
                <w:highlight w:val="none"/>
                <w:u w:val="none"/>
                <w:lang w:val="en-US" w:eastAsia="zh-CN"/>
              </w:rPr>
              <w:t>粘土铺底，再在上层铺10-15cm的水泥进行硬化，</w:t>
            </w:r>
            <w:r>
              <w:rPr>
                <w:rFonts w:hint="eastAsia"/>
                <w:bCs/>
                <w:color w:val="auto"/>
                <w:sz w:val="24"/>
                <w:highlight w:val="none"/>
              </w:rPr>
              <w:t>可满足简单防渗要求。</w:t>
            </w:r>
          </w:p>
          <w:p w14:paraId="23289579">
            <w:pPr>
              <w:pStyle w:val="41"/>
              <w:rPr>
                <w:color w:val="auto"/>
                <w:szCs w:val="21"/>
                <w:highlight w:val="none"/>
              </w:rPr>
            </w:pPr>
            <w:r>
              <w:rPr>
                <w:color w:val="auto"/>
                <w:szCs w:val="21"/>
                <w:highlight w:val="none"/>
              </w:rPr>
              <w:t>分区防渗要求</w:t>
            </w:r>
          </w:p>
          <w:tbl>
            <w:tblPr>
              <w:tblStyle w:val="2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53"/>
              <w:gridCol w:w="2283"/>
              <w:gridCol w:w="3711"/>
              <w:gridCol w:w="1950"/>
            </w:tblGrid>
            <w:tr w14:paraId="754D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81" w:type="pct"/>
                  <w:shd w:val="clear" w:color="auto" w:fill="auto"/>
                  <w:tcMar>
                    <w:top w:w="0" w:type="dxa"/>
                    <w:left w:w="57" w:type="dxa"/>
                    <w:bottom w:w="0" w:type="dxa"/>
                    <w:right w:w="57" w:type="dxa"/>
                  </w:tcMar>
                  <w:vAlign w:val="center"/>
                </w:tcPr>
                <w:p w14:paraId="514F5993">
                  <w:pPr>
                    <w:autoSpaceDE w:val="0"/>
                    <w:autoSpaceDN w:val="0"/>
                    <w:jc w:val="center"/>
                    <w:rPr>
                      <w:b/>
                      <w:bCs/>
                      <w:color w:val="auto"/>
                      <w:szCs w:val="21"/>
                      <w:highlight w:val="none"/>
                    </w:rPr>
                  </w:pPr>
                  <w:r>
                    <w:rPr>
                      <w:b/>
                      <w:bCs/>
                      <w:color w:val="auto"/>
                      <w:szCs w:val="21"/>
                      <w:highlight w:val="none"/>
                    </w:rPr>
                    <w:t>分区要求</w:t>
                  </w:r>
                </w:p>
              </w:tc>
              <w:tc>
                <w:tcPr>
                  <w:tcW w:w="1241" w:type="pct"/>
                  <w:shd w:val="clear" w:color="auto" w:fill="auto"/>
                  <w:tcMar>
                    <w:top w:w="0" w:type="dxa"/>
                    <w:left w:w="57" w:type="dxa"/>
                    <w:bottom w:w="0" w:type="dxa"/>
                    <w:right w:w="57" w:type="dxa"/>
                  </w:tcMar>
                  <w:vAlign w:val="center"/>
                </w:tcPr>
                <w:p w14:paraId="17041178">
                  <w:pPr>
                    <w:autoSpaceDE w:val="0"/>
                    <w:autoSpaceDN w:val="0"/>
                    <w:jc w:val="center"/>
                    <w:rPr>
                      <w:b/>
                      <w:bCs/>
                      <w:color w:val="auto"/>
                      <w:szCs w:val="21"/>
                      <w:highlight w:val="none"/>
                    </w:rPr>
                  </w:pPr>
                  <w:r>
                    <w:rPr>
                      <w:b/>
                      <w:bCs/>
                      <w:color w:val="auto"/>
                      <w:szCs w:val="21"/>
                      <w:highlight w:val="none"/>
                    </w:rPr>
                    <w:t>区域</w:t>
                  </w:r>
                </w:p>
              </w:tc>
              <w:tc>
                <w:tcPr>
                  <w:tcW w:w="2017" w:type="pct"/>
                  <w:vAlign w:val="center"/>
                </w:tcPr>
                <w:p w14:paraId="4AB8CD64">
                  <w:pPr>
                    <w:autoSpaceDE w:val="0"/>
                    <w:autoSpaceDN w:val="0"/>
                    <w:jc w:val="center"/>
                    <w:rPr>
                      <w:b/>
                      <w:bCs/>
                      <w:color w:val="auto"/>
                      <w:szCs w:val="21"/>
                      <w:highlight w:val="none"/>
                    </w:rPr>
                  </w:pPr>
                  <w:r>
                    <w:rPr>
                      <w:rFonts w:hint="eastAsia"/>
                      <w:b/>
                      <w:bCs/>
                      <w:color w:val="auto"/>
                      <w:szCs w:val="21"/>
                      <w:highlight w:val="none"/>
                      <w:lang w:val="en-US" w:eastAsia="zh-CN"/>
                    </w:rPr>
                    <w:t>技改新增防渗</w:t>
                  </w:r>
                  <w:r>
                    <w:rPr>
                      <w:rFonts w:hint="eastAsia"/>
                      <w:b/>
                      <w:bCs/>
                      <w:color w:val="auto"/>
                      <w:szCs w:val="21"/>
                      <w:highlight w:val="none"/>
                    </w:rPr>
                    <w:t>措施</w:t>
                  </w:r>
                </w:p>
              </w:tc>
              <w:tc>
                <w:tcPr>
                  <w:tcW w:w="1060" w:type="pct"/>
                  <w:shd w:val="clear" w:color="auto" w:fill="auto"/>
                  <w:tcMar>
                    <w:top w:w="0" w:type="dxa"/>
                    <w:left w:w="57" w:type="dxa"/>
                    <w:bottom w:w="0" w:type="dxa"/>
                    <w:right w:w="57" w:type="dxa"/>
                  </w:tcMar>
                  <w:vAlign w:val="center"/>
                </w:tcPr>
                <w:p w14:paraId="7A90B349">
                  <w:pPr>
                    <w:autoSpaceDE w:val="0"/>
                    <w:autoSpaceDN w:val="0"/>
                    <w:jc w:val="center"/>
                    <w:rPr>
                      <w:b/>
                      <w:bCs/>
                      <w:color w:val="auto"/>
                      <w:szCs w:val="21"/>
                      <w:highlight w:val="none"/>
                    </w:rPr>
                  </w:pPr>
                  <w:r>
                    <w:rPr>
                      <w:b/>
                      <w:bCs/>
                      <w:color w:val="auto"/>
                      <w:szCs w:val="21"/>
                      <w:highlight w:val="none"/>
                    </w:rPr>
                    <w:t>防渗技术要求</w:t>
                  </w:r>
                </w:p>
              </w:tc>
            </w:tr>
            <w:tr w14:paraId="3647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681" w:type="pct"/>
                  <w:vMerge w:val="restart"/>
                  <w:shd w:val="clear" w:color="auto" w:fill="auto"/>
                  <w:tcMar>
                    <w:top w:w="0" w:type="dxa"/>
                    <w:left w:w="57" w:type="dxa"/>
                    <w:bottom w:w="0" w:type="dxa"/>
                    <w:right w:w="57" w:type="dxa"/>
                  </w:tcMar>
                  <w:vAlign w:val="center"/>
                </w:tcPr>
                <w:p w14:paraId="73D9AD0F">
                  <w:pPr>
                    <w:autoSpaceDE w:val="0"/>
                    <w:autoSpaceDN w:val="0"/>
                    <w:jc w:val="center"/>
                    <w:rPr>
                      <w:color w:val="auto"/>
                      <w:szCs w:val="21"/>
                      <w:highlight w:val="none"/>
                    </w:rPr>
                  </w:pPr>
                  <w:r>
                    <w:rPr>
                      <w:color w:val="auto"/>
                      <w:szCs w:val="21"/>
                      <w:highlight w:val="none"/>
                    </w:rPr>
                    <w:t>重点防渗区</w:t>
                  </w:r>
                </w:p>
              </w:tc>
              <w:tc>
                <w:tcPr>
                  <w:tcW w:w="1241" w:type="pct"/>
                  <w:shd w:val="clear" w:color="auto" w:fill="auto"/>
                  <w:tcMar>
                    <w:top w:w="0" w:type="dxa"/>
                    <w:left w:w="57" w:type="dxa"/>
                    <w:bottom w:w="0" w:type="dxa"/>
                    <w:right w:w="57" w:type="dxa"/>
                  </w:tcMar>
                  <w:vAlign w:val="center"/>
                </w:tcPr>
                <w:p w14:paraId="4AF21858">
                  <w:pPr>
                    <w:autoSpaceDE w:val="0"/>
                    <w:autoSpaceDN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生产车间</w:t>
                  </w:r>
                  <w:r>
                    <w:rPr>
                      <w:rFonts w:hint="eastAsia" w:ascii="Times New Roman" w:hAnsi="Times New Roman" w:eastAsia="宋体" w:cs="Times New Roman"/>
                      <w:color w:val="auto"/>
                      <w:szCs w:val="21"/>
                      <w:highlight w:val="none"/>
                      <w:lang w:val="en-US" w:eastAsia="zh-CN"/>
                    </w:rPr>
                    <w:t>（生产装置区、成品暂存间、灌装间等）</w:t>
                  </w:r>
                </w:p>
              </w:tc>
              <w:tc>
                <w:tcPr>
                  <w:tcW w:w="2017" w:type="pct"/>
                  <w:vAlign w:val="center"/>
                </w:tcPr>
                <w:p w14:paraId="53EE7DA9">
                  <w:pPr>
                    <w:autoSpaceDE w:val="0"/>
                    <w:autoSpaceDN w:val="0"/>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地面采用混凝土砼基基础硬化，收缩缝采用玻纤布+沥青，管线采用碳钢无缝管线连接，车间外四周设置排污沟及围堰，围堰和排污沟采用粘土铺底+10-15cm水泥硬化+2mm厚高密度聚乙烯防渗。</w:t>
                  </w:r>
                </w:p>
              </w:tc>
              <w:tc>
                <w:tcPr>
                  <w:tcW w:w="1060" w:type="pct"/>
                  <w:vMerge w:val="restart"/>
                  <w:shd w:val="clear" w:color="auto" w:fill="auto"/>
                  <w:tcMar>
                    <w:top w:w="0" w:type="dxa"/>
                    <w:left w:w="57" w:type="dxa"/>
                    <w:bottom w:w="0" w:type="dxa"/>
                    <w:right w:w="57" w:type="dxa"/>
                  </w:tcMar>
                  <w:vAlign w:val="center"/>
                </w:tcPr>
                <w:p w14:paraId="1A5E59AB">
                  <w:pPr>
                    <w:pStyle w:val="72"/>
                    <w:spacing w:before="1" w:line="259" w:lineRule="auto"/>
                    <w:ind w:left="159" w:right="168"/>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防渗层渗透系数</w:t>
                  </w:r>
                  <w:r>
                    <w:rPr>
                      <w:rFonts w:hint="default" w:ascii="Times New Roman" w:hAnsi="Times New Roman" w:cs="Times New Roman"/>
                      <w:color w:val="auto"/>
                      <w:sz w:val="21"/>
                      <w:szCs w:val="21"/>
                      <w:highlight w:val="none"/>
                      <w:lang w:val="en-US" w:eastAsia="zh-CN"/>
                    </w:rPr>
                    <w:t>K</w:t>
                  </w:r>
                  <w:r>
                    <w:rPr>
                      <w:rFonts w:hint="default" w:ascii="Times New Roman" w:hAnsi="Times New Roman" w:cs="Times New Roman"/>
                      <w:color w:val="auto"/>
                      <w:sz w:val="21"/>
                      <w:szCs w:val="21"/>
                      <w:highlight w:val="none"/>
                    </w:rPr>
                    <w:t>≤1.0×10</w:t>
                  </w:r>
                  <w:r>
                    <w:rPr>
                      <w:rFonts w:hint="default" w:ascii="Times New Roman" w:hAnsi="Times New Roman" w:cs="Times New Roman"/>
                      <w:color w:val="auto"/>
                      <w:sz w:val="21"/>
                      <w:szCs w:val="21"/>
                      <w:highlight w:val="none"/>
                      <w:vertAlign w:val="superscript"/>
                    </w:rPr>
                    <w:t>-</w:t>
                  </w:r>
                  <w:r>
                    <w:rPr>
                      <w:rFonts w:hint="eastAsia"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vertAlign w:val="baseline"/>
                    </w:rPr>
                    <w:t>cm/s</w:t>
                  </w:r>
                </w:p>
              </w:tc>
            </w:tr>
            <w:tr w14:paraId="3667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81" w:type="pct"/>
                  <w:vMerge w:val="continue"/>
                  <w:shd w:val="clear" w:color="auto" w:fill="auto"/>
                  <w:tcMar>
                    <w:top w:w="0" w:type="dxa"/>
                    <w:left w:w="57" w:type="dxa"/>
                    <w:bottom w:w="0" w:type="dxa"/>
                    <w:right w:w="57" w:type="dxa"/>
                  </w:tcMar>
                  <w:vAlign w:val="center"/>
                </w:tcPr>
                <w:p w14:paraId="54B8A899">
                  <w:pPr>
                    <w:autoSpaceDE w:val="0"/>
                    <w:autoSpaceDN w:val="0"/>
                    <w:jc w:val="center"/>
                    <w:rPr>
                      <w:color w:val="auto"/>
                      <w:szCs w:val="21"/>
                      <w:highlight w:val="none"/>
                    </w:rPr>
                  </w:pPr>
                </w:p>
              </w:tc>
              <w:tc>
                <w:tcPr>
                  <w:tcW w:w="1241" w:type="pct"/>
                  <w:tcBorders>
                    <w:top w:val="single" w:color="000000" w:themeColor="text1" w:sz="4" w:space="0"/>
                    <w:right w:val="single" w:color="000000" w:themeColor="text1" w:sz="4" w:space="0"/>
                  </w:tcBorders>
                  <w:shd w:val="clear" w:color="auto" w:fill="auto"/>
                  <w:tcMar>
                    <w:top w:w="0" w:type="dxa"/>
                    <w:left w:w="57" w:type="dxa"/>
                    <w:bottom w:w="0" w:type="dxa"/>
                    <w:right w:w="57" w:type="dxa"/>
                  </w:tcMar>
                  <w:vAlign w:val="center"/>
                </w:tcPr>
                <w:p w14:paraId="5174CC68">
                  <w:pPr>
                    <w:autoSpaceDE w:val="0"/>
                    <w:autoSpaceDN w:val="0"/>
                    <w:jc w:val="center"/>
                    <w:rPr>
                      <w:color w:val="auto"/>
                      <w:szCs w:val="21"/>
                      <w:highlight w:val="none"/>
                    </w:rPr>
                  </w:pPr>
                  <w:r>
                    <w:rPr>
                      <w:rFonts w:hint="eastAsia"/>
                      <w:color w:val="auto"/>
                      <w:szCs w:val="21"/>
                      <w:highlight w:val="none"/>
                    </w:rPr>
                    <w:t>维修间</w:t>
                  </w:r>
                </w:p>
              </w:tc>
              <w:tc>
                <w:tcPr>
                  <w:tcW w:w="2017" w:type="pct"/>
                  <w:vMerge w:val="restart"/>
                  <w:tcBorders>
                    <w:right w:val="single" w:color="000000" w:themeColor="text1" w:sz="4" w:space="0"/>
                  </w:tcBorders>
                  <w:vAlign w:val="center"/>
                </w:tcPr>
                <w:p w14:paraId="2A858FA4">
                  <w:pPr>
                    <w:autoSpaceDE w:val="0"/>
                    <w:autoSpaceDN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地面硬化，采用混凝土砼基基础，收缩缝均采用玻纤布+沥青；四周设置排污沟及围堰，围堰和排污沟采用粘土铺底+10-15cm水泥硬化+2mm厚高密度聚乙烯防渗。</w:t>
                  </w:r>
                </w:p>
              </w:tc>
              <w:tc>
                <w:tcPr>
                  <w:tcW w:w="1060" w:type="pct"/>
                  <w:vMerge w:val="continue"/>
                  <w:shd w:val="clear" w:color="auto" w:fill="auto"/>
                  <w:tcMar>
                    <w:top w:w="0" w:type="dxa"/>
                    <w:left w:w="57" w:type="dxa"/>
                    <w:bottom w:w="0" w:type="dxa"/>
                    <w:right w:w="57" w:type="dxa"/>
                  </w:tcMar>
                  <w:vAlign w:val="center"/>
                </w:tcPr>
                <w:p w14:paraId="67D26776">
                  <w:pPr>
                    <w:autoSpaceDE w:val="0"/>
                    <w:autoSpaceDN w:val="0"/>
                    <w:jc w:val="center"/>
                    <w:rPr>
                      <w:rFonts w:hint="default" w:ascii="Times New Roman" w:hAnsi="Times New Roman" w:cs="Times New Roman"/>
                      <w:color w:val="auto"/>
                      <w:sz w:val="21"/>
                      <w:szCs w:val="21"/>
                      <w:highlight w:val="none"/>
                    </w:rPr>
                  </w:pPr>
                </w:p>
              </w:tc>
            </w:tr>
            <w:tr w14:paraId="6C94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681" w:type="pct"/>
                  <w:vMerge w:val="continue"/>
                  <w:shd w:val="clear" w:color="auto" w:fill="auto"/>
                  <w:tcMar>
                    <w:top w:w="0" w:type="dxa"/>
                    <w:left w:w="57" w:type="dxa"/>
                    <w:bottom w:w="0" w:type="dxa"/>
                    <w:right w:w="57" w:type="dxa"/>
                  </w:tcMar>
                  <w:vAlign w:val="center"/>
                </w:tcPr>
                <w:p w14:paraId="40D785FE">
                  <w:pPr>
                    <w:autoSpaceDE w:val="0"/>
                    <w:autoSpaceDN w:val="0"/>
                    <w:jc w:val="center"/>
                    <w:rPr>
                      <w:color w:val="auto"/>
                      <w:szCs w:val="21"/>
                      <w:highlight w:val="none"/>
                    </w:rPr>
                  </w:pPr>
                </w:p>
              </w:tc>
              <w:tc>
                <w:tcPr>
                  <w:tcW w:w="1241" w:type="pct"/>
                  <w:tcBorders>
                    <w:top w:val="single" w:color="000000" w:themeColor="text1" w:sz="4" w:space="0"/>
                    <w:right w:val="single" w:color="000000" w:themeColor="text1" w:sz="4" w:space="0"/>
                  </w:tcBorders>
                  <w:shd w:val="clear" w:color="auto" w:fill="auto"/>
                  <w:tcMar>
                    <w:top w:w="0" w:type="dxa"/>
                    <w:left w:w="57" w:type="dxa"/>
                    <w:bottom w:w="0" w:type="dxa"/>
                    <w:right w:w="57" w:type="dxa"/>
                  </w:tcMar>
                  <w:vAlign w:val="center"/>
                </w:tcPr>
                <w:p w14:paraId="123C3452">
                  <w:pPr>
                    <w:autoSpaceDE w:val="0"/>
                    <w:autoSpaceDN w:val="0"/>
                    <w:jc w:val="center"/>
                    <w:rPr>
                      <w:rFonts w:hint="eastAsia" w:eastAsia="宋体"/>
                      <w:color w:val="auto"/>
                      <w:szCs w:val="21"/>
                      <w:highlight w:val="none"/>
                      <w:lang w:eastAsia="zh-CN"/>
                    </w:rPr>
                  </w:pPr>
                  <w:r>
                    <w:rPr>
                      <w:rFonts w:hint="eastAsia"/>
                      <w:color w:val="auto"/>
                      <w:szCs w:val="21"/>
                      <w:highlight w:val="none"/>
                      <w:lang w:eastAsia="zh-CN"/>
                    </w:rPr>
                    <w:t>危废贮存库</w:t>
                  </w:r>
                </w:p>
              </w:tc>
              <w:tc>
                <w:tcPr>
                  <w:tcW w:w="2017" w:type="pct"/>
                  <w:vMerge w:val="continue"/>
                  <w:tcBorders>
                    <w:right w:val="single" w:color="000000" w:themeColor="text1" w:sz="4" w:space="0"/>
                  </w:tcBorders>
                  <w:vAlign w:val="center"/>
                </w:tcPr>
                <w:p w14:paraId="7168251E">
                  <w:pPr>
                    <w:autoSpaceDE w:val="0"/>
                    <w:autoSpaceDN w:val="0"/>
                    <w:jc w:val="center"/>
                    <w:rPr>
                      <w:rFonts w:hint="eastAsia" w:ascii="Times New Roman" w:hAnsi="Times New Roman" w:eastAsia="宋体" w:cs="Times New Roman"/>
                      <w:color w:val="auto"/>
                      <w:szCs w:val="21"/>
                      <w:highlight w:val="none"/>
                      <w:lang w:val="en-US" w:eastAsia="zh-CN"/>
                    </w:rPr>
                  </w:pPr>
                </w:p>
              </w:tc>
              <w:tc>
                <w:tcPr>
                  <w:tcW w:w="1060" w:type="pct"/>
                  <w:vMerge w:val="continue"/>
                  <w:shd w:val="clear" w:color="auto" w:fill="auto"/>
                  <w:tcMar>
                    <w:top w:w="0" w:type="dxa"/>
                    <w:left w:w="57" w:type="dxa"/>
                    <w:bottom w:w="0" w:type="dxa"/>
                    <w:right w:w="57" w:type="dxa"/>
                  </w:tcMar>
                  <w:vAlign w:val="center"/>
                </w:tcPr>
                <w:p w14:paraId="74A8D952">
                  <w:pPr>
                    <w:pStyle w:val="72"/>
                    <w:spacing w:before="1" w:line="259" w:lineRule="auto"/>
                    <w:ind w:left="159" w:right="168"/>
                    <w:rPr>
                      <w:rFonts w:hint="default" w:ascii="Times New Roman" w:hAnsi="Times New Roman" w:cs="Times New Roman"/>
                      <w:color w:val="auto"/>
                      <w:sz w:val="21"/>
                      <w:szCs w:val="21"/>
                      <w:highlight w:val="none"/>
                    </w:rPr>
                  </w:pPr>
                </w:p>
              </w:tc>
            </w:tr>
            <w:tr w14:paraId="4E11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681" w:type="pct"/>
                  <w:shd w:val="clear" w:color="auto" w:fill="auto"/>
                  <w:tcMar>
                    <w:top w:w="0" w:type="dxa"/>
                    <w:left w:w="57" w:type="dxa"/>
                    <w:bottom w:w="0" w:type="dxa"/>
                    <w:right w:w="57" w:type="dxa"/>
                  </w:tcMar>
                  <w:vAlign w:val="center"/>
                </w:tcPr>
                <w:p w14:paraId="6D071D1D">
                  <w:pPr>
                    <w:autoSpaceDE w:val="0"/>
                    <w:autoSpaceDN w:val="0"/>
                    <w:jc w:val="center"/>
                    <w:rPr>
                      <w:color w:val="auto"/>
                      <w:szCs w:val="21"/>
                      <w:highlight w:val="none"/>
                    </w:rPr>
                  </w:pPr>
                  <w:r>
                    <w:rPr>
                      <w:color w:val="auto"/>
                      <w:szCs w:val="21"/>
                      <w:highlight w:val="none"/>
                    </w:rPr>
                    <w:t>一般防渗区</w:t>
                  </w:r>
                </w:p>
              </w:tc>
              <w:tc>
                <w:tcPr>
                  <w:tcW w:w="1241" w:type="pct"/>
                  <w:shd w:val="clear" w:color="auto" w:fill="auto"/>
                  <w:tcMar>
                    <w:top w:w="0" w:type="dxa"/>
                    <w:left w:w="57" w:type="dxa"/>
                    <w:bottom w:w="0" w:type="dxa"/>
                    <w:right w:w="57" w:type="dxa"/>
                  </w:tcMar>
                  <w:vAlign w:val="center"/>
                </w:tcPr>
                <w:p w14:paraId="010CC1F4">
                  <w:pPr>
                    <w:autoSpaceDE w:val="0"/>
                    <w:autoSpaceDN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备件库</w:t>
                  </w:r>
                </w:p>
              </w:tc>
              <w:tc>
                <w:tcPr>
                  <w:tcW w:w="2017" w:type="pct"/>
                  <w:vAlign w:val="center"/>
                </w:tcPr>
                <w:p w14:paraId="193B7ADA">
                  <w:pPr>
                    <w:autoSpaceDE w:val="0"/>
                    <w:autoSpaceDN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抗混凝土</w:t>
                  </w:r>
                  <w:r>
                    <w:rPr>
                      <w:rFonts w:hint="eastAsia" w:cs="Times New Roman"/>
                      <w:color w:val="auto"/>
                      <w:szCs w:val="21"/>
                      <w:highlight w:val="none"/>
                      <w:lang w:val="en-US" w:eastAsia="zh-CN"/>
                    </w:rPr>
                    <w:t>浇筑</w:t>
                  </w:r>
                  <w:r>
                    <w:rPr>
                      <w:rFonts w:hint="eastAsia" w:ascii="Times New Roman" w:hAnsi="Times New Roman" w:eastAsia="宋体" w:cs="Times New Roman"/>
                      <w:color w:val="auto"/>
                      <w:szCs w:val="21"/>
                      <w:highlight w:val="none"/>
                      <w:lang w:val="en-US" w:eastAsia="zh-CN"/>
                    </w:rPr>
                    <w:t>硬化+抗渗混凝土防渗</w:t>
                  </w:r>
                </w:p>
              </w:tc>
              <w:tc>
                <w:tcPr>
                  <w:tcW w:w="1060" w:type="pct"/>
                  <w:shd w:val="clear" w:color="auto" w:fill="auto"/>
                  <w:tcMar>
                    <w:top w:w="0" w:type="dxa"/>
                    <w:left w:w="57" w:type="dxa"/>
                    <w:bottom w:w="0" w:type="dxa"/>
                    <w:right w:w="57" w:type="dxa"/>
                  </w:tcMar>
                  <w:vAlign w:val="center"/>
                </w:tcPr>
                <w:p w14:paraId="79B7B0C4">
                  <w:pPr>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防渗层渗透系数</w:t>
                  </w:r>
                  <w:r>
                    <w:rPr>
                      <w:rFonts w:hint="default" w:ascii="Times New Roman" w:hAnsi="Times New Roman" w:cs="Times New Roman"/>
                      <w:color w:val="auto"/>
                      <w:sz w:val="21"/>
                      <w:szCs w:val="21"/>
                      <w:highlight w:val="none"/>
                      <w:lang w:val="en-US" w:eastAsia="zh-CN"/>
                    </w:rPr>
                    <w:t>K</w:t>
                  </w:r>
                  <w:r>
                    <w:rPr>
                      <w:rFonts w:hint="default" w:ascii="Times New Roman" w:hAnsi="Times New Roman" w:cs="Times New Roman"/>
                      <w:color w:val="auto"/>
                      <w:sz w:val="21"/>
                      <w:szCs w:val="21"/>
                      <w:highlight w:val="none"/>
                    </w:rPr>
                    <w:t>≤1.0×10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7</w:t>
                  </w:r>
                  <w:r>
                    <w:rPr>
                      <w:rFonts w:hint="default" w:ascii="Times New Roman" w:hAnsi="Times New Roman" w:cs="Times New Roman"/>
                      <w:color w:val="auto"/>
                      <w:sz w:val="21"/>
                      <w:szCs w:val="21"/>
                      <w:highlight w:val="none"/>
                      <w:vertAlign w:val="baseline"/>
                    </w:rPr>
                    <w:t>cm/s</w:t>
                  </w:r>
                </w:p>
              </w:tc>
            </w:tr>
            <w:tr w14:paraId="389F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5" w:hRule="atLeast"/>
                <w:jc w:val="center"/>
              </w:trPr>
              <w:tc>
                <w:tcPr>
                  <w:tcW w:w="681" w:type="pct"/>
                  <w:shd w:val="clear" w:color="auto" w:fill="auto"/>
                  <w:tcMar>
                    <w:top w:w="0" w:type="dxa"/>
                    <w:left w:w="57" w:type="dxa"/>
                    <w:bottom w:w="0" w:type="dxa"/>
                    <w:right w:w="57" w:type="dxa"/>
                  </w:tcMar>
                  <w:vAlign w:val="center"/>
                </w:tcPr>
                <w:p w14:paraId="5F43986B">
                  <w:pPr>
                    <w:autoSpaceDE w:val="0"/>
                    <w:autoSpaceDN w:val="0"/>
                    <w:jc w:val="center"/>
                    <w:rPr>
                      <w:color w:val="auto"/>
                      <w:szCs w:val="21"/>
                      <w:highlight w:val="none"/>
                    </w:rPr>
                  </w:pPr>
                  <w:r>
                    <w:rPr>
                      <w:rFonts w:hint="eastAsia"/>
                      <w:color w:val="auto"/>
                      <w:szCs w:val="21"/>
                      <w:highlight w:val="none"/>
                    </w:rPr>
                    <w:t>简单</w:t>
                  </w:r>
                  <w:r>
                    <w:rPr>
                      <w:color w:val="auto"/>
                      <w:szCs w:val="21"/>
                      <w:highlight w:val="none"/>
                    </w:rPr>
                    <w:t>防渗区</w:t>
                  </w:r>
                </w:p>
              </w:tc>
              <w:tc>
                <w:tcPr>
                  <w:tcW w:w="1241" w:type="pct"/>
                  <w:shd w:val="clear" w:color="auto" w:fill="auto"/>
                  <w:tcMar>
                    <w:top w:w="0" w:type="dxa"/>
                    <w:left w:w="57" w:type="dxa"/>
                    <w:bottom w:w="0" w:type="dxa"/>
                    <w:right w:w="57" w:type="dxa"/>
                  </w:tcMar>
                  <w:vAlign w:val="center"/>
                </w:tcPr>
                <w:p w14:paraId="59915A8D">
                  <w:pPr>
                    <w:autoSpaceDE w:val="0"/>
                    <w:autoSpaceDN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生产车间其他区域、</w:t>
                  </w:r>
                  <w:r>
                    <w:rPr>
                      <w:rFonts w:hint="eastAsia" w:ascii="Times New Roman" w:hAnsi="Times New Roman" w:eastAsia="宋体" w:cs="Times New Roman"/>
                      <w:color w:val="auto"/>
                      <w:szCs w:val="21"/>
                      <w:highlight w:val="none"/>
                      <w:lang w:val="en-US" w:eastAsia="zh-CN"/>
                    </w:rPr>
                    <w:t>硬化广场及路面区域</w:t>
                  </w:r>
                </w:p>
              </w:tc>
              <w:tc>
                <w:tcPr>
                  <w:tcW w:w="2017" w:type="pct"/>
                  <w:vAlign w:val="center"/>
                </w:tcPr>
                <w:p w14:paraId="796F7387">
                  <w:pPr>
                    <w:autoSpaceDE w:val="0"/>
                    <w:autoSpaceDN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粘土铺底+10-15cm的水泥硬化</w:t>
                  </w:r>
                </w:p>
              </w:tc>
              <w:tc>
                <w:tcPr>
                  <w:tcW w:w="1060" w:type="pct"/>
                  <w:shd w:val="clear" w:color="auto" w:fill="auto"/>
                  <w:tcMar>
                    <w:top w:w="0" w:type="dxa"/>
                    <w:left w:w="57" w:type="dxa"/>
                    <w:bottom w:w="0" w:type="dxa"/>
                    <w:right w:w="57" w:type="dxa"/>
                  </w:tcMar>
                  <w:vAlign w:val="center"/>
                </w:tcPr>
                <w:p w14:paraId="443747B0">
                  <w:pPr>
                    <w:autoSpaceDE w:val="0"/>
                    <w:autoSpaceDN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一般地面硬化</w:t>
                  </w:r>
                </w:p>
              </w:tc>
            </w:tr>
          </w:tbl>
          <w:p w14:paraId="49C4C5DD">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综上，严格落实上述</w:t>
            </w:r>
            <w:r>
              <w:rPr>
                <w:rFonts w:hint="eastAsia"/>
                <w:color w:val="auto"/>
                <w:sz w:val="24"/>
                <w:highlight w:val="none"/>
              </w:rPr>
              <w:t>防渗措施</w:t>
            </w:r>
            <w:r>
              <w:rPr>
                <w:rFonts w:hint="eastAsia"/>
                <w:color w:val="auto"/>
                <w:sz w:val="24"/>
                <w:highlight w:val="none"/>
                <w:lang w:val="en-US" w:eastAsia="zh-CN"/>
              </w:rPr>
              <w:t>后区域防渗效果</w:t>
            </w:r>
            <w:r>
              <w:rPr>
                <w:rFonts w:hint="eastAsia"/>
                <w:color w:val="auto"/>
                <w:sz w:val="24"/>
                <w:highlight w:val="none"/>
              </w:rPr>
              <w:t>可满足相关要求</w:t>
            </w:r>
            <w:r>
              <w:rPr>
                <w:color w:val="auto"/>
                <w:sz w:val="24"/>
                <w:highlight w:val="none"/>
              </w:rPr>
              <w:t>，</w:t>
            </w:r>
            <w:r>
              <w:rPr>
                <w:rFonts w:hint="eastAsia"/>
                <w:color w:val="auto"/>
                <w:sz w:val="24"/>
                <w:highlight w:val="none"/>
              </w:rPr>
              <w:t>因此本项目建设后</w:t>
            </w:r>
            <w:r>
              <w:rPr>
                <w:color w:val="auto"/>
                <w:sz w:val="24"/>
                <w:highlight w:val="none"/>
              </w:rPr>
              <w:t>对地下水</w:t>
            </w:r>
            <w:r>
              <w:rPr>
                <w:rFonts w:hint="eastAsia"/>
                <w:color w:val="auto"/>
                <w:sz w:val="24"/>
                <w:highlight w:val="none"/>
              </w:rPr>
              <w:t>、土壤</w:t>
            </w:r>
            <w:r>
              <w:rPr>
                <w:color w:val="auto"/>
                <w:sz w:val="24"/>
                <w:highlight w:val="none"/>
              </w:rPr>
              <w:t>环境影响较小。</w:t>
            </w:r>
          </w:p>
          <w:p w14:paraId="0D0F0359">
            <w:pPr>
              <w:numPr>
                <w:ilvl w:val="0"/>
                <w:numId w:val="30"/>
              </w:numPr>
              <w:adjustRightInd w:val="0"/>
              <w:snapToGrid w:val="0"/>
              <w:spacing w:line="360" w:lineRule="auto"/>
              <w:ind w:firstLine="482" w:firstLineChars="200"/>
              <w:rPr>
                <w:b/>
                <w:bCs/>
                <w:color w:val="auto"/>
                <w:sz w:val="24"/>
                <w:highlight w:val="none"/>
              </w:rPr>
            </w:pPr>
            <w:r>
              <w:rPr>
                <w:rFonts w:hint="eastAsia"/>
                <w:b/>
                <w:bCs/>
                <w:color w:val="auto"/>
                <w:sz w:val="24"/>
                <w:highlight w:val="none"/>
              </w:rPr>
              <w:t>“三本账”</w:t>
            </w:r>
          </w:p>
          <w:p w14:paraId="24A14242">
            <w:pPr>
              <w:autoSpaceDE w:val="0"/>
              <w:autoSpaceDN w:val="0"/>
              <w:spacing w:line="360" w:lineRule="auto"/>
              <w:ind w:firstLine="480" w:firstLineChars="200"/>
              <w:rPr>
                <w:color w:val="auto"/>
                <w:sz w:val="24"/>
                <w:highlight w:val="none"/>
              </w:rPr>
            </w:pPr>
            <w:bookmarkStart w:id="39" w:name="_Toc30265"/>
            <w:r>
              <w:rPr>
                <w:rFonts w:hint="eastAsia"/>
                <w:color w:val="auto"/>
                <w:sz w:val="24"/>
                <w:highlight w:val="none"/>
              </w:rPr>
              <w:t>本项目实施后，全厂废气排放情况汇总如下：</w:t>
            </w:r>
          </w:p>
          <w:p w14:paraId="2C40962B">
            <w:pPr>
              <w:pStyle w:val="41"/>
              <w:rPr>
                <w:color w:val="auto"/>
                <w:szCs w:val="21"/>
                <w:highlight w:val="none"/>
              </w:rPr>
            </w:pPr>
            <w:r>
              <w:rPr>
                <w:rFonts w:hint="eastAsia"/>
                <w:color w:val="auto"/>
                <w:szCs w:val="21"/>
                <w:highlight w:val="none"/>
              </w:rPr>
              <w:t>全厂废气排放情况一览表</w:t>
            </w:r>
          </w:p>
          <w:tbl>
            <w:tblPr>
              <w:tblStyle w:val="27"/>
              <w:tblW w:w="493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83"/>
              <w:gridCol w:w="4197"/>
              <w:gridCol w:w="3206"/>
            </w:tblGrid>
            <w:tr w14:paraId="404B1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925" w:type="pct"/>
                  <w:tcBorders>
                    <w:left w:val="single" w:color="auto" w:sz="4" w:space="0"/>
                    <w:bottom w:val="single" w:color="auto" w:sz="4" w:space="0"/>
                    <w:right w:val="single" w:color="auto" w:sz="4" w:space="0"/>
                  </w:tcBorders>
                  <w:vAlign w:val="center"/>
                </w:tcPr>
                <w:p w14:paraId="2BC14E91">
                  <w:pPr>
                    <w:widowControl/>
                    <w:jc w:val="center"/>
                    <w:rPr>
                      <w:b/>
                      <w:bCs/>
                      <w:color w:val="auto"/>
                      <w:kern w:val="0"/>
                      <w:szCs w:val="21"/>
                      <w:highlight w:val="none"/>
                    </w:rPr>
                  </w:pPr>
                  <w:r>
                    <w:rPr>
                      <w:rFonts w:hint="eastAsia"/>
                      <w:b/>
                      <w:bCs/>
                      <w:color w:val="auto"/>
                      <w:kern w:val="0"/>
                      <w:szCs w:val="21"/>
                      <w:highlight w:val="none"/>
                    </w:rPr>
                    <w:t>废气排放方式</w:t>
                  </w:r>
                </w:p>
              </w:tc>
              <w:tc>
                <w:tcPr>
                  <w:tcW w:w="2309" w:type="pct"/>
                  <w:tcBorders>
                    <w:top w:val="single" w:color="auto" w:sz="4" w:space="0"/>
                    <w:left w:val="single" w:color="auto" w:sz="4" w:space="0"/>
                    <w:bottom w:val="single" w:color="auto" w:sz="4" w:space="0"/>
                    <w:right w:val="single" w:color="auto" w:sz="4" w:space="0"/>
                  </w:tcBorders>
                  <w:vAlign w:val="center"/>
                </w:tcPr>
                <w:p w14:paraId="03519CDB">
                  <w:pPr>
                    <w:widowControl/>
                    <w:jc w:val="center"/>
                    <w:rPr>
                      <w:b/>
                      <w:bCs/>
                      <w:color w:val="auto"/>
                      <w:kern w:val="0"/>
                      <w:szCs w:val="21"/>
                      <w:highlight w:val="none"/>
                    </w:rPr>
                  </w:pPr>
                  <w:r>
                    <w:rPr>
                      <w:rFonts w:hint="eastAsia"/>
                      <w:b/>
                      <w:bCs/>
                      <w:color w:val="auto"/>
                      <w:kern w:val="0"/>
                      <w:szCs w:val="21"/>
                      <w:highlight w:val="none"/>
                    </w:rPr>
                    <w:t>排放位置</w:t>
                  </w:r>
                </w:p>
              </w:tc>
              <w:tc>
                <w:tcPr>
                  <w:tcW w:w="1764" w:type="pct"/>
                  <w:tcBorders>
                    <w:top w:val="single" w:color="auto" w:sz="4" w:space="0"/>
                    <w:left w:val="single" w:color="auto" w:sz="4" w:space="0"/>
                    <w:bottom w:val="single" w:color="auto" w:sz="4" w:space="0"/>
                    <w:right w:val="single" w:color="auto" w:sz="4" w:space="0"/>
                  </w:tcBorders>
                  <w:vAlign w:val="center"/>
                </w:tcPr>
                <w:p w14:paraId="44C7B6A2">
                  <w:pPr>
                    <w:widowControl/>
                    <w:jc w:val="center"/>
                    <w:rPr>
                      <w:b/>
                      <w:bCs/>
                      <w:color w:val="auto"/>
                      <w:kern w:val="0"/>
                      <w:szCs w:val="21"/>
                      <w:highlight w:val="none"/>
                    </w:rPr>
                  </w:pPr>
                  <w:r>
                    <w:rPr>
                      <w:rFonts w:hint="eastAsia"/>
                      <w:b/>
                      <w:bCs/>
                      <w:color w:val="auto"/>
                      <w:kern w:val="0"/>
                      <w:szCs w:val="21"/>
                      <w:highlight w:val="none"/>
                    </w:rPr>
                    <w:t>污染物类型</w:t>
                  </w:r>
                </w:p>
              </w:tc>
            </w:tr>
            <w:tr w14:paraId="4104E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925" w:type="pct"/>
                  <w:vMerge w:val="restart"/>
                  <w:tcBorders>
                    <w:left w:val="single" w:color="auto" w:sz="4" w:space="0"/>
                    <w:right w:val="single" w:color="auto" w:sz="4" w:space="0"/>
                  </w:tcBorders>
                  <w:vAlign w:val="center"/>
                </w:tcPr>
                <w:p w14:paraId="7130A066">
                  <w:pPr>
                    <w:widowControl/>
                    <w:jc w:val="center"/>
                    <w:rPr>
                      <w:color w:val="auto"/>
                      <w:kern w:val="0"/>
                      <w:szCs w:val="21"/>
                      <w:highlight w:val="none"/>
                    </w:rPr>
                  </w:pPr>
                  <w:r>
                    <w:rPr>
                      <w:rFonts w:hint="eastAsia"/>
                      <w:color w:val="auto"/>
                      <w:kern w:val="0"/>
                      <w:szCs w:val="21"/>
                      <w:highlight w:val="none"/>
                    </w:rPr>
                    <w:t>有组织</w:t>
                  </w:r>
                </w:p>
              </w:tc>
              <w:tc>
                <w:tcPr>
                  <w:tcW w:w="2309" w:type="pct"/>
                  <w:tcBorders>
                    <w:top w:val="single" w:color="auto" w:sz="4" w:space="0"/>
                    <w:left w:val="single" w:color="auto" w:sz="4" w:space="0"/>
                    <w:bottom w:val="single" w:color="auto" w:sz="4" w:space="0"/>
                    <w:right w:val="single" w:color="auto" w:sz="4" w:space="0"/>
                  </w:tcBorders>
                  <w:vAlign w:val="center"/>
                </w:tcPr>
                <w:p w14:paraId="0C1A5222">
                  <w:pPr>
                    <w:widowControl/>
                    <w:jc w:val="center"/>
                    <w:rPr>
                      <w:rFonts w:hint="eastAsia"/>
                      <w:b/>
                      <w:bCs/>
                      <w:color w:val="auto"/>
                      <w:kern w:val="0"/>
                      <w:szCs w:val="21"/>
                      <w:highlight w:val="none"/>
                    </w:rPr>
                  </w:pPr>
                  <w:r>
                    <w:rPr>
                      <w:rFonts w:hint="eastAsia"/>
                      <w:color w:val="auto"/>
                      <w:kern w:val="0"/>
                      <w:szCs w:val="21"/>
                      <w:highlight w:val="none"/>
                    </w:rPr>
                    <w:t>2</w:t>
                  </w:r>
                  <w:r>
                    <w:rPr>
                      <w:rFonts w:hint="eastAsia"/>
                      <w:color w:val="auto"/>
                      <w:kern w:val="0"/>
                      <w:szCs w:val="21"/>
                      <w:highlight w:val="none"/>
                      <w:lang w:val="en-US" w:eastAsia="zh-CN"/>
                    </w:rPr>
                    <w:t>8</w:t>
                  </w:r>
                  <w:r>
                    <w:rPr>
                      <w:rFonts w:hint="eastAsia"/>
                      <w:color w:val="auto"/>
                      <w:kern w:val="0"/>
                      <w:szCs w:val="21"/>
                      <w:highlight w:val="none"/>
                    </w:rPr>
                    <w:t>mDA0</w:t>
                  </w:r>
                  <w:r>
                    <w:rPr>
                      <w:rFonts w:hint="eastAsia"/>
                      <w:color w:val="auto"/>
                      <w:kern w:val="0"/>
                      <w:szCs w:val="21"/>
                      <w:highlight w:val="none"/>
                      <w:lang w:val="en-US" w:eastAsia="zh-CN"/>
                    </w:rPr>
                    <w:t>01</w:t>
                  </w:r>
                  <w:r>
                    <w:rPr>
                      <w:rFonts w:hint="eastAsia"/>
                      <w:color w:val="auto"/>
                      <w:kern w:val="0"/>
                      <w:szCs w:val="21"/>
                      <w:highlight w:val="none"/>
                    </w:rPr>
                    <w:t>（</w:t>
                  </w:r>
                  <w:r>
                    <w:rPr>
                      <w:rFonts w:hint="eastAsia"/>
                      <w:color w:val="auto"/>
                      <w:kern w:val="0"/>
                      <w:szCs w:val="21"/>
                      <w:highlight w:val="none"/>
                      <w:lang w:val="en-US" w:eastAsia="zh-CN"/>
                    </w:rPr>
                    <w:t>工艺废气</w:t>
                  </w:r>
                  <w:r>
                    <w:rPr>
                      <w:rFonts w:hint="eastAsia"/>
                      <w:color w:val="auto"/>
                      <w:kern w:val="0"/>
                      <w:szCs w:val="21"/>
                      <w:highlight w:val="none"/>
                    </w:rPr>
                    <w:t>）</w:t>
                  </w:r>
                </w:p>
              </w:tc>
              <w:tc>
                <w:tcPr>
                  <w:tcW w:w="1764" w:type="pct"/>
                  <w:tcBorders>
                    <w:top w:val="single" w:color="auto" w:sz="4" w:space="0"/>
                    <w:left w:val="single" w:color="auto" w:sz="4" w:space="0"/>
                    <w:bottom w:val="single" w:color="auto" w:sz="4" w:space="0"/>
                    <w:right w:val="single" w:color="auto" w:sz="4" w:space="0"/>
                  </w:tcBorders>
                  <w:vAlign w:val="center"/>
                </w:tcPr>
                <w:p w14:paraId="3E794B8F">
                  <w:pPr>
                    <w:widowControl/>
                    <w:jc w:val="center"/>
                    <w:rPr>
                      <w:rFonts w:hint="eastAsia"/>
                      <w:b/>
                      <w:bCs/>
                      <w:color w:val="auto"/>
                      <w:kern w:val="0"/>
                      <w:szCs w:val="21"/>
                      <w:highlight w:val="none"/>
                    </w:rPr>
                  </w:pPr>
                  <w:r>
                    <w:rPr>
                      <w:color w:val="auto"/>
                      <w:szCs w:val="21"/>
                      <w:highlight w:val="none"/>
                    </w:rPr>
                    <w:t>VOCs</w:t>
                  </w:r>
                  <w:r>
                    <w:rPr>
                      <w:rFonts w:hint="eastAsia"/>
                      <w:color w:val="auto"/>
                      <w:szCs w:val="21"/>
                      <w:highlight w:val="none"/>
                      <w:lang w:eastAsia="zh-CN"/>
                    </w:rPr>
                    <w:t>、</w:t>
                  </w:r>
                  <w:r>
                    <w:rPr>
                      <w:rFonts w:hint="eastAsia"/>
                      <w:color w:val="auto"/>
                      <w:szCs w:val="21"/>
                      <w:highlight w:val="none"/>
                      <w:lang w:val="en-US" w:eastAsia="zh-CN"/>
                    </w:rPr>
                    <w:t>氨</w:t>
                  </w:r>
                </w:p>
              </w:tc>
            </w:tr>
            <w:tr w14:paraId="5249D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925" w:type="pct"/>
                  <w:vMerge w:val="continue"/>
                  <w:tcBorders>
                    <w:left w:val="single" w:color="auto" w:sz="4" w:space="0"/>
                    <w:right w:val="single" w:color="auto" w:sz="4" w:space="0"/>
                  </w:tcBorders>
                  <w:vAlign w:val="center"/>
                </w:tcPr>
                <w:p w14:paraId="4F490C73">
                  <w:pPr>
                    <w:widowControl/>
                    <w:jc w:val="center"/>
                    <w:rPr>
                      <w:color w:val="auto"/>
                      <w:kern w:val="0"/>
                      <w:szCs w:val="21"/>
                      <w:highlight w:val="none"/>
                    </w:rPr>
                  </w:pPr>
                </w:p>
              </w:tc>
              <w:tc>
                <w:tcPr>
                  <w:tcW w:w="2309" w:type="pct"/>
                  <w:tcBorders>
                    <w:top w:val="single" w:color="auto" w:sz="4" w:space="0"/>
                    <w:left w:val="single" w:color="auto" w:sz="4" w:space="0"/>
                    <w:bottom w:val="single" w:color="auto" w:sz="4" w:space="0"/>
                    <w:right w:val="single" w:color="auto" w:sz="4" w:space="0"/>
                  </w:tcBorders>
                  <w:vAlign w:val="center"/>
                </w:tcPr>
                <w:p w14:paraId="40699116">
                  <w:pPr>
                    <w:widowControl/>
                    <w:jc w:val="center"/>
                    <w:rPr>
                      <w:color w:val="auto"/>
                      <w:szCs w:val="21"/>
                      <w:highlight w:val="none"/>
                    </w:rPr>
                  </w:pPr>
                  <w:r>
                    <w:rPr>
                      <w:color w:val="auto"/>
                      <w:szCs w:val="21"/>
                      <w:highlight w:val="none"/>
                    </w:rPr>
                    <w:t>15</w:t>
                  </w:r>
                  <w:r>
                    <w:rPr>
                      <w:rFonts w:hint="eastAsia"/>
                      <w:color w:val="auto"/>
                      <w:szCs w:val="21"/>
                      <w:highlight w:val="none"/>
                    </w:rPr>
                    <w:t>m</w:t>
                  </w:r>
                  <w:r>
                    <w:rPr>
                      <w:color w:val="auto"/>
                      <w:szCs w:val="21"/>
                      <w:highlight w:val="none"/>
                    </w:rPr>
                    <w:t>DA00</w:t>
                  </w:r>
                  <w:r>
                    <w:rPr>
                      <w:rFonts w:hint="eastAsia"/>
                      <w:color w:val="auto"/>
                      <w:szCs w:val="21"/>
                      <w:highlight w:val="none"/>
                      <w:lang w:val="en-US" w:eastAsia="zh-CN"/>
                    </w:rPr>
                    <w:t>2</w:t>
                  </w:r>
                  <w:r>
                    <w:rPr>
                      <w:color w:val="auto"/>
                      <w:szCs w:val="21"/>
                      <w:highlight w:val="none"/>
                    </w:rPr>
                    <w:t>（锅炉）</w:t>
                  </w:r>
                </w:p>
              </w:tc>
              <w:tc>
                <w:tcPr>
                  <w:tcW w:w="1764" w:type="pct"/>
                  <w:tcBorders>
                    <w:top w:val="single" w:color="auto" w:sz="4" w:space="0"/>
                    <w:left w:val="single" w:color="auto" w:sz="4" w:space="0"/>
                    <w:bottom w:val="single" w:color="auto" w:sz="4" w:space="0"/>
                    <w:right w:val="single" w:color="auto" w:sz="4" w:space="0"/>
                  </w:tcBorders>
                  <w:vAlign w:val="center"/>
                </w:tcPr>
                <w:p w14:paraId="071D1BDB">
                  <w:pPr>
                    <w:widowControl/>
                    <w:jc w:val="center"/>
                    <w:rPr>
                      <w:color w:val="auto"/>
                      <w:szCs w:val="21"/>
                      <w:highlight w:val="none"/>
                    </w:rPr>
                  </w:pPr>
                  <w:r>
                    <w:rPr>
                      <w:color w:val="auto"/>
                      <w:szCs w:val="21"/>
                      <w:highlight w:val="none"/>
                    </w:rPr>
                    <w:t>NOx、颗粒物、林格曼黑度</w:t>
                  </w:r>
                </w:p>
              </w:tc>
            </w:tr>
            <w:tr w14:paraId="5E067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925" w:type="pct"/>
                  <w:vMerge w:val="continue"/>
                  <w:tcBorders>
                    <w:left w:val="single" w:color="auto" w:sz="4" w:space="0"/>
                    <w:right w:val="single" w:color="auto" w:sz="4" w:space="0"/>
                  </w:tcBorders>
                  <w:vAlign w:val="center"/>
                </w:tcPr>
                <w:p w14:paraId="0D3DEB7C">
                  <w:pPr>
                    <w:widowControl/>
                    <w:jc w:val="center"/>
                    <w:rPr>
                      <w:color w:val="auto"/>
                      <w:kern w:val="0"/>
                      <w:szCs w:val="21"/>
                      <w:highlight w:val="none"/>
                    </w:rPr>
                  </w:pPr>
                </w:p>
              </w:tc>
              <w:tc>
                <w:tcPr>
                  <w:tcW w:w="2309" w:type="pct"/>
                  <w:tcBorders>
                    <w:top w:val="single" w:color="auto" w:sz="4" w:space="0"/>
                    <w:left w:val="single" w:color="auto" w:sz="4" w:space="0"/>
                    <w:bottom w:val="single" w:color="auto" w:sz="4" w:space="0"/>
                    <w:right w:val="single" w:color="auto" w:sz="4" w:space="0"/>
                  </w:tcBorders>
                  <w:vAlign w:val="center"/>
                </w:tcPr>
                <w:p w14:paraId="6631816F">
                  <w:pPr>
                    <w:widowControl/>
                    <w:jc w:val="center"/>
                    <w:rPr>
                      <w:color w:val="auto"/>
                      <w:szCs w:val="21"/>
                      <w:highlight w:val="none"/>
                    </w:rPr>
                  </w:pPr>
                  <w:r>
                    <w:rPr>
                      <w:color w:val="auto"/>
                      <w:szCs w:val="21"/>
                      <w:highlight w:val="none"/>
                    </w:rPr>
                    <w:t>15</w:t>
                  </w:r>
                  <w:r>
                    <w:rPr>
                      <w:rFonts w:hint="eastAsia"/>
                      <w:color w:val="auto"/>
                      <w:szCs w:val="21"/>
                      <w:highlight w:val="none"/>
                    </w:rPr>
                    <w:t>m</w:t>
                  </w:r>
                  <w:r>
                    <w:rPr>
                      <w:color w:val="auto"/>
                      <w:szCs w:val="21"/>
                      <w:highlight w:val="none"/>
                    </w:rPr>
                    <w:t>DA00</w:t>
                  </w:r>
                  <w:r>
                    <w:rPr>
                      <w:rFonts w:hint="eastAsia"/>
                      <w:color w:val="auto"/>
                      <w:szCs w:val="21"/>
                      <w:highlight w:val="none"/>
                      <w:lang w:val="en-US" w:eastAsia="zh-CN"/>
                    </w:rPr>
                    <w:t>3</w:t>
                  </w:r>
                  <w:r>
                    <w:rPr>
                      <w:color w:val="auto"/>
                      <w:szCs w:val="21"/>
                      <w:highlight w:val="none"/>
                    </w:rPr>
                    <w:t>（污水处理站）</w:t>
                  </w:r>
                </w:p>
              </w:tc>
              <w:tc>
                <w:tcPr>
                  <w:tcW w:w="1764" w:type="pct"/>
                  <w:tcBorders>
                    <w:top w:val="single" w:color="auto" w:sz="4" w:space="0"/>
                    <w:left w:val="single" w:color="auto" w:sz="4" w:space="0"/>
                    <w:bottom w:val="single" w:color="auto" w:sz="4" w:space="0"/>
                    <w:right w:val="single" w:color="auto" w:sz="4" w:space="0"/>
                  </w:tcBorders>
                  <w:vAlign w:val="center"/>
                </w:tcPr>
                <w:p w14:paraId="5BEDBCAE">
                  <w:pPr>
                    <w:widowControl/>
                    <w:jc w:val="center"/>
                    <w:rPr>
                      <w:rFonts w:hint="default" w:eastAsia="宋体"/>
                      <w:color w:val="auto"/>
                      <w:szCs w:val="21"/>
                      <w:highlight w:val="none"/>
                      <w:lang w:val="en-US" w:eastAsia="zh-CN"/>
                    </w:rPr>
                  </w:pPr>
                  <w:r>
                    <w:rPr>
                      <w:color w:val="auto"/>
                      <w:szCs w:val="21"/>
                      <w:highlight w:val="none"/>
                    </w:rPr>
                    <w:t>硫化氢、氨</w:t>
                  </w:r>
                </w:p>
              </w:tc>
            </w:tr>
            <w:tr w14:paraId="176DD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925" w:type="pct"/>
                  <w:vMerge w:val="continue"/>
                  <w:tcBorders>
                    <w:left w:val="single" w:color="auto" w:sz="4" w:space="0"/>
                    <w:right w:val="single" w:color="auto" w:sz="4" w:space="0"/>
                  </w:tcBorders>
                  <w:vAlign w:val="center"/>
                </w:tcPr>
                <w:p w14:paraId="5CD57203">
                  <w:pPr>
                    <w:widowControl/>
                    <w:jc w:val="center"/>
                    <w:rPr>
                      <w:color w:val="auto"/>
                      <w:kern w:val="0"/>
                      <w:szCs w:val="21"/>
                      <w:highlight w:val="none"/>
                    </w:rPr>
                  </w:pPr>
                </w:p>
              </w:tc>
              <w:tc>
                <w:tcPr>
                  <w:tcW w:w="2309" w:type="pct"/>
                  <w:tcBorders>
                    <w:top w:val="single" w:color="auto" w:sz="4" w:space="0"/>
                    <w:left w:val="single" w:color="auto" w:sz="4" w:space="0"/>
                    <w:bottom w:val="single" w:color="auto" w:sz="4" w:space="0"/>
                    <w:right w:val="single" w:color="auto" w:sz="4" w:space="0"/>
                  </w:tcBorders>
                  <w:vAlign w:val="center"/>
                </w:tcPr>
                <w:p w14:paraId="28DE954D">
                  <w:pPr>
                    <w:widowControl/>
                    <w:jc w:val="center"/>
                    <w:rPr>
                      <w:rFonts w:hint="eastAsia"/>
                      <w:color w:val="auto"/>
                      <w:kern w:val="0"/>
                      <w:szCs w:val="21"/>
                      <w:highlight w:val="none"/>
                    </w:rPr>
                  </w:pPr>
                  <w:r>
                    <w:rPr>
                      <w:color w:val="auto"/>
                      <w:szCs w:val="21"/>
                      <w:highlight w:val="none"/>
                    </w:rPr>
                    <w:t>15</w:t>
                  </w:r>
                  <w:r>
                    <w:rPr>
                      <w:rFonts w:hint="eastAsia"/>
                      <w:color w:val="auto"/>
                      <w:szCs w:val="21"/>
                      <w:highlight w:val="none"/>
                    </w:rPr>
                    <w:t>m</w:t>
                  </w:r>
                  <w:r>
                    <w:rPr>
                      <w:color w:val="auto"/>
                      <w:szCs w:val="21"/>
                      <w:highlight w:val="none"/>
                    </w:rPr>
                    <w:t>DA00</w:t>
                  </w:r>
                  <w:r>
                    <w:rPr>
                      <w:rFonts w:hint="eastAsia"/>
                      <w:color w:val="auto"/>
                      <w:szCs w:val="21"/>
                      <w:highlight w:val="none"/>
                      <w:lang w:val="en-US" w:eastAsia="zh-CN"/>
                    </w:rPr>
                    <w:t>4</w:t>
                  </w:r>
                  <w:r>
                    <w:rPr>
                      <w:color w:val="auto"/>
                      <w:szCs w:val="21"/>
                      <w:highlight w:val="none"/>
                    </w:rPr>
                    <w:t>（</w:t>
                  </w:r>
                  <w:r>
                    <w:rPr>
                      <w:rFonts w:hint="eastAsia"/>
                      <w:color w:val="auto"/>
                      <w:szCs w:val="21"/>
                      <w:highlight w:val="none"/>
                      <w:lang w:val="en-US" w:eastAsia="zh-CN"/>
                    </w:rPr>
                    <w:t>实验废气</w:t>
                  </w:r>
                  <w:r>
                    <w:rPr>
                      <w:color w:val="auto"/>
                      <w:szCs w:val="21"/>
                      <w:highlight w:val="none"/>
                    </w:rPr>
                    <w:t>）</w:t>
                  </w:r>
                </w:p>
              </w:tc>
              <w:tc>
                <w:tcPr>
                  <w:tcW w:w="1764" w:type="pct"/>
                  <w:tcBorders>
                    <w:top w:val="single" w:color="auto" w:sz="4" w:space="0"/>
                    <w:left w:val="single" w:color="auto" w:sz="4" w:space="0"/>
                    <w:bottom w:val="single" w:color="auto" w:sz="4" w:space="0"/>
                    <w:right w:val="single" w:color="auto" w:sz="4" w:space="0"/>
                  </w:tcBorders>
                  <w:vAlign w:val="center"/>
                </w:tcPr>
                <w:p w14:paraId="60862F20">
                  <w:pPr>
                    <w:widowControl/>
                    <w:jc w:val="center"/>
                    <w:rPr>
                      <w:color w:val="auto"/>
                      <w:szCs w:val="21"/>
                      <w:highlight w:val="none"/>
                    </w:rPr>
                  </w:pPr>
                  <w:r>
                    <w:rPr>
                      <w:color w:val="auto"/>
                      <w:szCs w:val="21"/>
                      <w:highlight w:val="none"/>
                    </w:rPr>
                    <w:t>VOCs</w:t>
                  </w:r>
                </w:p>
              </w:tc>
            </w:tr>
            <w:tr w14:paraId="159E2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925" w:type="pct"/>
                  <w:vMerge w:val="continue"/>
                  <w:tcBorders>
                    <w:left w:val="single" w:color="auto" w:sz="4" w:space="0"/>
                    <w:right w:val="single" w:color="auto" w:sz="4" w:space="0"/>
                  </w:tcBorders>
                  <w:vAlign w:val="center"/>
                </w:tcPr>
                <w:p w14:paraId="54A33FFE">
                  <w:pPr>
                    <w:widowControl/>
                    <w:jc w:val="center"/>
                    <w:rPr>
                      <w:color w:val="auto"/>
                      <w:kern w:val="0"/>
                      <w:szCs w:val="21"/>
                      <w:highlight w:val="none"/>
                    </w:rPr>
                  </w:pPr>
                </w:p>
              </w:tc>
              <w:tc>
                <w:tcPr>
                  <w:tcW w:w="2309" w:type="pct"/>
                  <w:tcBorders>
                    <w:top w:val="single" w:color="auto" w:sz="4" w:space="0"/>
                    <w:left w:val="single" w:color="auto" w:sz="4" w:space="0"/>
                    <w:bottom w:val="single" w:color="auto" w:sz="4" w:space="0"/>
                    <w:right w:val="single" w:color="auto" w:sz="4" w:space="0"/>
                  </w:tcBorders>
                  <w:vAlign w:val="center"/>
                </w:tcPr>
                <w:p w14:paraId="02308547">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食堂</w:t>
                  </w:r>
                </w:p>
              </w:tc>
              <w:tc>
                <w:tcPr>
                  <w:tcW w:w="1764" w:type="pct"/>
                  <w:tcBorders>
                    <w:top w:val="single" w:color="auto" w:sz="4" w:space="0"/>
                    <w:left w:val="single" w:color="auto" w:sz="4" w:space="0"/>
                    <w:bottom w:val="single" w:color="auto" w:sz="4" w:space="0"/>
                    <w:right w:val="single" w:color="auto" w:sz="4" w:space="0"/>
                  </w:tcBorders>
                  <w:vAlign w:val="center"/>
                </w:tcPr>
                <w:p w14:paraId="3522C78A">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油烟废气</w:t>
                  </w:r>
                </w:p>
              </w:tc>
            </w:tr>
            <w:tr w14:paraId="2E7E6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925" w:type="pct"/>
                  <w:vMerge w:val="restart"/>
                  <w:tcBorders>
                    <w:left w:val="single" w:color="auto" w:sz="4" w:space="0"/>
                    <w:right w:val="single" w:color="auto" w:sz="4" w:space="0"/>
                  </w:tcBorders>
                  <w:vAlign w:val="center"/>
                </w:tcPr>
                <w:p w14:paraId="7AD4B871">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无组织</w:t>
                  </w:r>
                </w:p>
              </w:tc>
              <w:tc>
                <w:tcPr>
                  <w:tcW w:w="2309" w:type="pct"/>
                  <w:tcBorders>
                    <w:top w:val="single" w:color="auto" w:sz="4" w:space="0"/>
                    <w:left w:val="single" w:color="auto" w:sz="4" w:space="0"/>
                    <w:bottom w:val="single" w:color="auto" w:sz="4" w:space="0"/>
                    <w:right w:val="single" w:color="auto" w:sz="4" w:space="0"/>
                  </w:tcBorders>
                  <w:vAlign w:val="center"/>
                </w:tcPr>
                <w:p w14:paraId="11E65DEF">
                  <w:pPr>
                    <w:widowControl/>
                    <w:jc w:val="center"/>
                    <w:rPr>
                      <w:color w:val="auto"/>
                      <w:szCs w:val="21"/>
                      <w:highlight w:val="none"/>
                    </w:rPr>
                  </w:pPr>
                  <w:r>
                    <w:rPr>
                      <w:rFonts w:hint="eastAsia"/>
                      <w:color w:val="auto"/>
                      <w:szCs w:val="21"/>
                      <w:highlight w:val="none"/>
                    </w:rPr>
                    <w:t>污水处理站</w:t>
                  </w:r>
                </w:p>
              </w:tc>
              <w:tc>
                <w:tcPr>
                  <w:tcW w:w="1764" w:type="pct"/>
                  <w:tcBorders>
                    <w:top w:val="single" w:color="auto" w:sz="4" w:space="0"/>
                    <w:left w:val="single" w:color="auto" w:sz="4" w:space="0"/>
                    <w:bottom w:val="single" w:color="auto" w:sz="4" w:space="0"/>
                    <w:right w:val="single" w:color="auto" w:sz="4" w:space="0"/>
                  </w:tcBorders>
                  <w:vAlign w:val="center"/>
                </w:tcPr>
                <w:p w14:paraId="60313DBD">
                  <w:pPr>
                    <w:widowControl/>
                    <w:jc w:val="center"/>
                    <w:rPr>
                      <w:rFonts w:hint="default" w:eastAsia="宋体"/>
                      <w:color w:val="auto"/>
                      <w:kern w:val="0"/>
                      <w:szCs w:val="21"/>
                      <w:highlight w:val="none"/>
                      <w:lang w:val="en-US" w:eastAsia="zh-CN"/>
                    </w:rPr>
                  </w:pPr>
                  <w:r>
                    <w:rPr>
                      <w:color w:val="auto"/>
                      <w:szCs w:val="21"/>
                      <w:highlight w:val="none"/>
                    </w:rPr>
                    <w:t>硫化氢、氨</w:t>
                  </w:r>
                </w:p>
              </w:tc>
            </w:tr>
            <w:tr w14:paraId="2D6B8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925" w:type="pct"/>
                  <w:vMerge w:val="continue"/>
                  <w:tcBorders>
                    <w:left w:val="single" w:color="auto" w:sz="4" w:space="0"/>
                    <w:right w:val="single" w:color="auto" w:sz="4" w:space="0"/>
                  </w:tcBorders>
                  <w:vAlign w:val="center"/>
                </w:tcPr>
                <w:p w14:paraId="25CBE780">
                  <w:pPr>
                    <w:widowControl/>
                    <w:jc w:val="center"/>
                    <w:rPr>
                      <w:color w:val="auto"/>
                      <w:kern w:val="0"/>
                      <w:szCs w:val="21"/>
                      <w:highlight w:val="none"/>
                    </w:rPr>
                  </w:pPr>
                </w:p>
              </w:tc>
              <w:tc>
                <w:tcPr>
                  <w:tcW w:w="2309" w:type="pct"/>
                  <w:tcBorders>
                    <w:top w:val="single" w:color="auto" w:sz="4" w:space="0"/>
                    <w:left w:val="single" w:color="auto" w:sz="4" w:space="0"/>
                    <w:bottom w:val="single" w:color="auto" w:sz="4" w:space="0"/>
                    <w:right w:val="single" w:color="auto" w:sz="4" w:space="0"/>
                  </w:tcBorders>
                  <w:vAlign w:val="center"/>
                </w:tcPr>
                <w:p w14:paraId="7B0D315A">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危废贮存库</w:t>
                  </w:r>
                </w:p>
              </w:tc>
              <w:tc>
                <w:tcPr>
                  <w:tcW w:w="1764" w:type="pct"/>
                  <w:tcBorders>
                    <w:top w:val="single" w:color="auto" w:sz="4" w:space="0"/>
                    <w:left w:val="single" w:color="auto" w:sz="4" w:space="0"/>
                    <w:bottom w:val="single" w:color="auto" w:sz="4" w:space="0"/>
                    <w:right w:val="single" w:color="auto" w:sz="4" w:space="0"/>
                  </w:tcBorders>
                  <w:vAlign w:val="center"/>
                </w:tcPr>
                <w:p w14:paraId="302C2CFA">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臭气浓度</w:t>
                  </w:r>
                </w:p>
              </w:tc>
            </w:tr>
            <w:tr w14:paraId="45E2B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925" w:type="pct"/>
                  <w:vMerge w:val="continue"/>
                  <w:tcBorders>
                    <w:left w:val="single" w:color="auto" w:sz="4" w:space="0"/>
                    <w:right w:val="single" w:color="auto" w:sz="4" w:space="0"/>
                  </w:tcBorders>
                  <w:vAlign w:val="center"/>
                </w:tcPr>
                <w:p w14:paraId="2EE733AB">
                  <w:pPr>
                    <w:widowControl/>
                    <w:jc w:val="center"/>
                    <w:rPr>
                      <w:color w:val="auto"/>
                      <w:kern w:val="0"/>
                      <w:szCs w:val="21"/>
                      <w:highlight w:val="none"/>
                    </w:rPr>
                  </w:pPr>
                </w:p>
              </w:tc>
              <w:tc>
                <w:tcPr>
                  <w:tcW w:w="2309" w:type="pct"/>
                  <w:tcBorders>
                    <w:top w:val="single" w:color="auto" w:sz="4" w:space="0"/>
                    <w:left w:val="single" w:color="auto" w:sz="4" w:space="0"/>
                    <w:bottom w:val="single" w:color="auto" w:sz="4" w:space="0"/>
                    <w:right w:val="single" w:color="auto" w:sz="4" w:space="0"/>
                  </w:tcBorders>
                  <w:vAlign w:val="center"/>
                </w:tcPr>
                <w:p w14:paraId="449ADEF2">
                  <w:pPr>
                    <w:widowControl/>
                    <w:jc w:val="center"/>
                    <w:rPr>
                      <w:rFonts w:hint="eastAsia"/>
                      <w:color w:val="auto"/>
                      <w:szCs w:val="21"/>
                      <w:highlight w:val="none"/>
                      <w:lang w:val="en-US" w:eastAsia="zh-CN"/>
                    </w:rPr>
                  </w:pPr>
                  <w:r>
                    <w:rPr>
                      <w:rFonts w:hint="eastAsia"/>
                      <w:color w:val="auto"/>
                      <w:szCs w:val="21"/>
                      <w:highlight w:val="none"/>
                      <w:lang w:val="en-US" w:eastAsia="zh-CN"/>
                    </w:rPr>
                    <w:t>食堂</w:t>
                  </w:r>
                </w:p>
              </w:tc>
              <w:tc>
                <w:tcPr>
                  <w:tcW w:w="1764" w:type="pct"/>
                  <w:tcBorders>
                    <w:top w:val="single" w:color="auto" w:sz="4" w:space="0"/>
                    <w:left w:val="single" w:color="auto" w:sz="4" w:space="0"/>
                    <w:bottom w:val="single" w:color="auto" w:sz="4" w:space="0"/>
                    <w:right w:val="single" w:color="auto" w:sz="4" w:space="0"/>
                  </w:tcBorders>
                  <w:vAlign w:val="center"/>
                </w:tcPr>
                <w:p w14:paraId="6025110A">
                  <w:pPr>
                    <w:widowControl/>
                    <w:jc w:val="center"/>
                    <w:rPr>
                      <w:rFonts w:hint="eastAsia"/>
                      <w:color w:val="auto"/>
                      <w:szCs w:val="21"/>
                      <w:highlight w:val="none"/>
                      <w:lang w:val="en-US" w:eastAsia="zh-CN"/>
                    </w:rPr>
                  </w:pPr>
                  <w:r>
                    <w:rPr>
                      <w:rFonts w:hint="eastAsia"/>
                      <w:color w:val="auto"/>
                      <w:highlight w:val="none"/>
                      <w:lang w:val="en-US" w:eastAsia="zh-CN"/>
                    </w:rPr>
                    <w:t>油烟废气</w:t>
                  </w:r>
                </w:p>
              </w:tc>
            </w:tr>
          </w:tbl>
          <w:p w14:paraId="4CBC030A">
            <w:pPr>
              <w:pStyle w:val="91"/>
              <w:spacing w:line="360" w:lineRule="auto"/>
              <w:ind w:firstLine="480" w:firstLineChars="200"/>
              <w:rPr>
                <w:color w:val="auto"/>
                <w:highlight w:val="none"/>
              </w:rPr>
            </w:pPr>
            <w:r>
              <w:rPr>
                <w:color w:val="auto"/>
                <w:highlight w:val="none"/>
              </w:rPr>
              <w:t>本项目实施前后企业主要污染物“三本账”情况</w:t>
            </w:r>
            <w:bookmarkEnd w:id="39"/>
            <w:r>
              <w:rPr>
                <w:rFonts w:hint="eastAsia"/>
                <w:color w:val="auto"/>
                <w:highlight w:val="none"/>
              </w:rPr>
              <w:t>如下：</w:t>
            </w:r>
          </w:p>
          <w:p w14:paraId="555E4FB4">
            <w:pPr>
              <w:pStyle w:val="41"/>
              <w:rPr>
                <w:bCs/>
                <w:color w:val="auto"/>
                <w:szCs w:val="21"/>
                <w:highlight w:val="none"/>
              </w:rPr>
            </w:pPr>
            <w:r>
              <w:rPr>
                <w:bCs/>
                <w:color w:val="auto"/>
                <w:szCs w:val="21"/>
                <w:highlight w:val="none"/>
              </w:rPr>
              <w:t>本项目实施前后企业外排污染物“三本账”情况统计（t/a）</w:t>
            </w:r>
          </w:p>
          <w:tbl>
            <w:tblPr>
              <w:tblStyle w:val="27"/>
              <w:tblW w:w="49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279"/>
              <w:gridCol w:w="1297"/>
              <w:gridCol w:w="1378"/>
              <w:gridCol w:w="1308"/>
              <w:gridCol w:w="1466"/>
              <w:gridCol w:w="1345"/>
            </w:tblGrid>
            <w:tr w14:paraId="669E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03" w:type="pct"/>
                  <w:vAlign w:val="center"/>
                </w:tcPr>
                <w:p w14:paraId="45C11B11">
                  <w:pPr>
                    <w:jc w:val="center"/>
                    <w:rPr>
                      <w:b/>
                      <w:bCs/>
                      <w:color w:val="auto"/>
                      <w:szCs w:val="21"/>
                      <w:highlight w:val="none"/>
                    </w:rPr>
                  </w:pPr>
                  <w:r>
                    <w:rPr>
                      <w:b/>
                      <w:bCs/>
                      <w:color w:val="auto"/>
                      <w:szCs w:val="21"/>
                      <w:highlight w:val="none"/>
                    </w:rPr>
                    <w:t>污染类型</w:t>
                  </w:r>
                </w:p>
              </w:tc>
              <w:tc>
                <w:tcPr>
                  <w:tcW w:w="696" w:type="pct"/>
                  <w:vAlign w:val="center"/>
                </w:tcPr>
                <w:p w14:paraId="65DBB786">
                  <w:pPr>
                    <w:jc w:val="center"/>
                    <w:rPr>
                      <w:b/>
                      <w:bCs/>
                      <w:color w:val="auto"/>
                      <w:szCs w:val="21"/>
                      <w:highlight w:val="none"/>
                    </w:rPr>
                  </w:pPr>
                  <w:r>
                    <w:rPr>
                      <w:b/>
                      <w:bCs/>
                      <w:color w:val="auto"/>
                      <w:szCs w:val="21"/>
                      <w:highlight w:val="none"/>
                    </w:rPr>
                    <w:t>污染物</w:t>
                  </w:r>
                </w:p>
              </w:tc>
              <w:tc>
                <w:tcPr>
                  <w:tcW w:w="706" w:type="pct"/>
                  <w:vAlign w:val="center"/>
                </w:tcPr>
                <w:p w14:paraId="7776C797">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技改</w:t>
                  </w:r>
                  <w:r>
                    <w:rPr>
                      <w:rFonts w:hint="eastAsia"/>
                      <w:b/>
                      <w:bCs/>
                      <w:color w:val="auto"/>
                      <w:szCs w:val="21"/>
                      <w:highlight w:val="none"/>
                    </w:rPr>
                    <w:t>前</w:t>
                  </w:r>
                  <w:r>
                    <w:rPr>
                      <w:b/>
                      <w:bCs/>
                      <w:color w:val="auto"/>
                      <w:szCs w:val="21"/>
                      <w:highlight w:val="none"/>
                    </w:rPr>
                    <w:t>排放</w:t>
                  </w:r>
                  <w:r>
                    <w:rPr>
                      <w:rFonts w:hint="eastAsia"/>
                      <w:b/>
                      <w:bCs/>
                      <w:color w:val="auto"/>
                      <w:szCs w:val="21"/>
                      <w:highlight w:val="none"/>
                      <w:lang w:val="en-US" w:eastAsia="zh-CN"/>
                    </w:rPr>
                    <w:t>量（环评预测及验收）</w:t>
                  </w:r>
                </w:p>
              </w:tc>
              <w:tc>
                <w:tcPr>
                  <w:tcW w:w="750" w:type="pct"/>
                  <w:vAlign w:val="center"/>
                </w:tcPr>
                <w:p w14:paraId="14EEF753">
                  <w:pPr>
                    <w:jc w:val="center"/>
                    <w:rPr>
                      <w:rFonts w:hint="eastAsia" w:eastAsia="宋体"/>
                      <w:b/>
                      <w:bCs/>
                      <w:color w:val="auto"/>
                      <w:szCs w:val="21"/>
                      <w:highlight w:val="none"/>
                      <w:lang w:eastAsia="zh-CN"/>
                    </w:rPr>
                  </w:pPr>
                  <w:r>
                    <w:rPr>
                      <w:rFonts w:hint="eastAsia"/>
                      <w:b/>
                      <w:bCs/>
                      <w:color w:val="auto"/>
                      <w:szCs w:val="21"/>
                      <w:highlight w:val="none"/>
                    </w:rPr>
                    <w:t>本项目排放量</w:t>
                  </w:r>
                  <w:r>
                    <w:rPr>
                      <w:rFonts w:hint="eastAsia"/>
                      <w:b/>
                      <w:bCs/>
                      <w:color w:val="auto"/>
                      <w:szCs w:val="21"/>
                      <w:highlight w:val="none"/>
                      <w:lang w:eastAsia="zh-CN"/>
                    </w:rPr>
                    <w:t>（</w:t>
                  </w:r>
                  <w:r>
                    <w:rPr>
                      <w:rFonts w:hint="eastAsia"/>
                      <w:b/>
                      <w:bCs/>
                      <w:color w:val="auto"/>
                      <w:szCs w:val="21"/>
                      <w:highlight w:val="none"/>
                      <w:lang w:val="en-US" w:eastAsia="zh-CN"/>
                    </w:rPr>
                    <w:t>环评预测</w:t>
                  </w:r>
                  <w:r>
                    <w:rPr>
                      <w:rFonts w:hint="eastAsia"/>
                      <w:b/>
                      <w:bCs/>
                      <w:color w:val="auto"/>
                      <w:szCs w:val="21"/>
                      <w:highlight w:val="none"/>
                      <w:lang w:eastAsia="zh-CN"/>
                    </w:rPr>
                    <w:t>）</w:t>
                  </w:r>
                </w:p>
              </w:tc>
              <w:tc>
                <w:tcPr>
                  <w:tcW w:w="712" w:type="pct"/>
                  <w:vAlign w:val="center"/>
                </w:tcPr>
                <w:p w14:paraId="2D0991DF">
                  <w:pPr>
                    <w:jc w:val="center"/>
                    <w:rPr>
                      <w:b/>
                      <w:bCs/>
                      <w:color w:val="auto"/>
                      <w:szCs w:val="21"/>
                      <w:highlight w:val="none"/>
                    </w:rPr>
                  </w:pPr>
                  <w:r>
                    <w:rPr>
                      <w:b/>
                      <w:bCs/>
                      <w:color w:val="auto"/>
                      <w:szCs w:val="21"/>
                      <w:highlight w:val="none"/>
                    </w:rPr>
                    <w:t>“以新带老”削减</w:t>
                  </w:r>
                  <w:r>
                    <w:rPr>
                      <w:rFonts w:hint="eastAsia"/>
                      <w:b/>
                      <w:bCs/>
                      <w:color w:val="auto"/>
                      <w:szCs w:val="21"/>
                      <w:highlight w:val="none"/>
                      <w:lang w:val="en-US" w:eastAsia="zh-CN"/>
                    </w:rPr>
                    <w:t>量</w:t>
                  </w:r>
                </w:p>
              </w:tc>
              <w:tc>
                <w:tcPr>
                  <w:tcW w:w="798" w:type="pct"/>
                  <w:vAlign w:val="center"/>
                </w:tcPr>
                <w:p w14:paraId="446CF251">
                  <w:pPr>
                    <w:jc w:val="center"/>
                    <w:rPr>
                      <w:b/>
                      <w:bCs/>
                      <w:color w:val="auto"/>
                      <w:szCs w:val="21"/>
                      <w:highlight w:val="none"/>
                    </w:rPr>
                  </w:pPr>
                  <w:r>
                    <w:rPr>
                      <w:rFonts w:hint="eastAsia"/>
                      <w:b/>
                      <w:bCs/>
                      <w:color w:val="auto"/>
                      <w:szCs w:val="21"/>
                      <w:highlight w:val="none"/>
                      <w:lang w:val="en-US" w:eastAsia="zh-CN"/>
                    </w:rPr>
                    <w:t>技改</w:t>
                  </w:r>
                  <w:r>
                    <w:rPr>
                      <w:rFonts w:hint="eastAsia"/>
                      <w:b/>
                      <w:bCs/>
                      <w:color w:val="auto"/>
                      <w:szCs w:val="21"/>
                      <w:highlight w:val="none"/>
                    </w:rPr>
                    <w:t>后全厂合计</w:t>
                  </w:r>
                  <w:r>
                    <w:rPr>
                      <w:b/>
                      <w:bCs/>
                      <w:color w:val="auto"/>
                      <w:szCs w:val="21"/>
                      <w:highlight w:val="none"/>
                    </w:rPr>
                    <w:t>排放</w:t>
                  </w:r>
                  <w:r>
                    <w:rPr>
                      <w:rFonts w:hint="eastAsia"/>
                      <w:b/>
                      <w:bCs/>
                      <w:color w:val="auto"/>
                      <w:szCs w:val="21"/>
                      <w:highlight w:val="none"/>
                      <w:lang w:val="en-US" w:eastAsia="zh-CN"/>
                    </w:rPr>
                    <w:t>量</w:t>
                  </w:r>
                  <w:r>
                    <w:rPr>
                      <w:rFonts w:hint="eastAsia"/>
                      <w:b/>
                      <w:bCs/>
                      <w:color w:val="auto"/>
                      <w:szCs w:val="21"/>
                      <w:highlight w:val="none"/>
                      <w:lang w:eastAsia="zh-CN"/>
                    </w:rPr>
                    <w:t>（</w:t>
                  </w:r>
                  <w:r>
                    <w:rPr>
                      <w:rFonts w:hint="eastAsia"/>
                      <w:b/>
                      <w:bCs/>
                      <w:color w:val="auto"/>
                      <w:szCs w:val="21"/>
                      <w:highlight w:val="none"/>
                      <w:lang w:val="en-US" w:eastAsia="zh-CN"/>
                    </w:rPr>
                    <w:t>环评预测</w:t>
                  </w:r>
                  <w:r>
                    <w:rPr>
                      <w:rFonts w:hint="eastAsia"/>
                      <w:b/>
                      <w:bCs/>
                      <w:color w:val="auto"/>
                      <w:szCs w:val="21"/>
                      <w:highlight w:val="none"/>
                      <w:lang w:eastAsia="zh-CN"/>
                    </w:rPr>
                    <w:t>）</w:t>
                  </w:r>
                </w:p>
              </w:tc>
              <w:tc>
                <w:tcPr>
                  <w:tcW w:w="732" w:type="pct"/>
                  <w:vAlign w:val="center"/>
                </w:tcPr>
                <w:p w14:paraId="010CA4DE">
                  <w:pPr>
                    <w:jc w:val="center"/>
                    <w:rPr>
                      <w:b/>
                      <w:bCs/>
                      <w:color w:val="auto"/>
                      <w:szCs w:val="21"/>
                      <w:highlight w:val="none"/>
                    </w:rPr>
                  </w:pPr>
                  <w:r>
                    <w:rPr>
                      <w:b/>
                      <w:bCs/>
                      <w:color w:val="auto"/>
                      <w:szCs w:val="21"/>
                      <w:highlight w:val="none"/>
                    </w:rPr>
                    <w:t>排放</w:t>
                  </w:r>
                  <w:r>
                    <w:rPr>
                      <w:rFonts w:hint="eastAsia"/>
                      <w:b/>
                      <w:bCs/>
                      <w:color w:val="auto"/>
                      <w:szCs w:val="21"/>
                      <w:highlight w:val="none"/>
                    </w:rPr>
                    <w:t>增减量</w:t>
                  </w:r>
                </w:p>
              </w:tc>
            </w:tr>
            <w:tr w14:paraId="10BD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3" w:type="pct"/>
                  <w:vMerge w:val="restart"/>
                  <w:vAlign w:val="center"/>
                </w:tcPr>
                <w:p w14:paraId="62EEFBFB">
                  <w:pPr>
                    <w:jc w:val="center"/>
                    <w:rPr>
                      <w:color w:val="auto"/>
                      <w:szCs w:val="21"/>
                      <w:highlight w:val="none"/>
                    </w:rPr>
                  </w:pPr>
                  <w:r>
                    <w:rPr>
                      <w:color w:val="auto"/>
                      <w:highlight w:val="none"/>
                    </w:rPr>
                    <w:t>废气污染物</w:t>
                  </w:r>
                </w:p>
              </w:tc>
              <w:tc>
                <w:tcPr>
                  <w:tcW w:w="696" w:type="pct"/>
                  <w:vAlign w:val="center"/>
                </w:tcPr>
                <w:p w14:paraId="4F32C9CE">
                  <w:pPr>
                    <w:jc w:val="center"/>
                    <w:rPr>
                      <w:color w:val="auto"/>
                      <w:szCs w:val="21"/>
                      <w:highlight w:val="none"/>
                    </w:rPr>
                  </w:pPr>
                  <w:r>
                    <w:rPr>
                      <w:rFonts w:hint="eastAsia"/>
                      <w:color w:val="auto"/>
                      <w:highlight w:val="none"/>
                    </w:rPr>
                    <w:t>颗粒物</w:t>
                  </w:r>
                </w:p>
              </w:tc>
              <w:tc>
                <w:tcPr>
                  <w:tcW w:w="706" w:type="pct"/>
                  <w:vAlign w:val="center"/>
                </w:tcPr>
                <w:p w14:paraId="7FE67550">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0.21</w:t>
                  </w:r>
                </w:p>
              </w:tc>
              <w:tc>
                <w:tcPr>
                  <w:tcW w:w="1378" w:type="dxa"/>
                  <w:vAlign w:val="center"/>
                </w:tcPr>
                <w:p w14:paraId="5344B9E3">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0</w:t>
                  </w:r>
                </w:p>
              </w:tc>
              <w:tc>
                <w:tcPr>
                  <w:tcW w:w="1308" w:type="dxa"/>
                  <w:vAlign w:val="center"/>
                </w:tcPr>
                <w:p w14:paraId="1E37FAE8">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466" w:type="dxa"/>
                  <w:vAlign w:val="center"/>
                </w:tcPr>
                <w:p w14:paraId="31E3A56A">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0.21</w:t>
                  </w:r>
                </w:p>
              </w:tc>
              <w:tc>
                <w:tcPr>
                  <w:tcW w:w="1345" w:type="dxa"/>
                  <w:vAlign w:val="center"/>
                </w:tcPr>
                <w:p w14:paraId="33696CEB">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0</w:t>
                  </w:r>
                </w:p>
              </w:tc>
            </w:tr>
            <w:tr w14:paraId="2969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03" w:type="pct"/>
                  <w:vMerge w:val="continue"/>
                  <w:vAlign w:val="center"/>
                </w:tcPr>
                <w:p w14:paraId="4F1926AA">
                  <w:pPr>
                    <w:jc w:val="center"/>
                    <w:rPr>
                      <w:color w:val="auto"/>
                      <w:szCs w:val="21"/>
                      <w:highlight w:val="none"/>
                    </w:rPr>
                  </w:pPr>
                </w:p>
              </w:tc>
              <w:tc>
                <w:tcPr>
                  <w:tcW w:w="696" w:type="pct"/>
                  <w:vAlign w:val="center"/>
                </w:tcPr>
                <w:p w14:paraId="2818F18B">
                  <w:pPr>
                    <w:jc w:val="center"/>
                    <w:rPr>
                      <w:color w:val="auto"/>
                      <w:szCs w:val="21"/>
                      <w:highlight w:val="none"/>
                    </w:rPr>
                  </w:pPr>
                  <w:r>
                    <w:rPr>
                      <w:color w:val="auto"/>
                      <w:highlight w:val="none"/>
                    </w:rPr>
                    <w:t>SO</w:t>
                  </w:r>
                  <w:r>
                    <w:rPr>
                      <w:color w:val="auto"/>
                      <w:highlight w:val="none"/>
                      <w:vertAlign w:val="subscript"/>
                    </w:rPr>
                    <w:t>2</w:t>
                  </w:r>
                </w:p>
              </w:tc>
              <w:tc>
                <w:tcPr>
                  <w:tcW w:w="706" w:type="pct"/>
                  <w:vAlign w:val="center"/>
                </w:tcPr>
                <w:p w14:paraId="7B92AC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c>
                <w:tcPr>
                  <w:tcW w:w="1378" w:type="dxa"/>
                  <w:vAlign w:val="center"/>
                </w:tcPr>
                <w:p w14:paraId="5A7DC2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12" w:type="pct"/>
                  <w:vAlign w:val="center"/>
                </w:tcPr>
                <w:p w14:paraId="500E31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466" w:type="dxa"/>
                  <w:vAlign w:val="center"/>
                </w:tcPr>
                <w:p w14:paraId="3A03B3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c>
                <w:tcPr>
                  <w:tcW w:w="1345" w:type="dxa"/>
                  <w:vAlign w:val="center"/>
                </w:tcPr>
                <w:p w14:paraId="77F3E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r w14:paraId="24AA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03" w:type="pct"/>
                  <w:vMerge w:val="continue"/>
                  <w:vAlign w:val="center"/>
                </w:tcPr>
                <w:p w14:paraId="71C35F15">
                  <w:pPr>
                    <w:jc w:val="center"/>
                    <w:rPr>
                      <w:color w:val="auto"/>
                      <w:szCs w:val="21"/>
                      <w:highlight w:val="none"/>
                    </w:rPr>
                  </w:pPr>
                </w:p>
              </w:tc>
              <w:tc>
                <w:tcPr>
                  <w:tcW w:w="696" w:type="pct"/>
                  <w:vAlign w:val="center"/>
                </w:tcPr>
                <w:p w14:paraId="5EA65487">
                  <w:pPr>
                    <w:jc w:val="center"/>
                    <w:rPr>
                      <w:color w:val="auto"/>
                      <w:szCs w:val="21"/>
                      <w:highlight w:val="none"/>
                    </w:rPr>
                  </w:pPr>
                  <w:r>
                    <w:rPr>
                      <w:color w:val="auto"/>
                      <w:highlight w:val="none"/>
                    </w:rPr>
                    <w:t>NO</w:t>
                  </w:r>
                  <w:r>
                    <w:rPr>
                      <w:color w:val="auto"/>
                      <w:highlight w:val="none"/>
                      <w:vertAlign w:val="subscript"/>
                    </w:rPr>
                    <w:t>x</w:t>
                  </w:r>
                </w:p>
              </w:tc>
              <w:tc>
                <w:tcPr>
                  <w:tcW w:w="706" w:type="pct"/>
                  <w:vAlign w:val="center"/>
                </w:tcPr>
                <w:p w14:paraId="323EAB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0.324</w:t>
                  </w:r>
                </w:p>
              </w:tc>
              <w:tc>
                <w:tcPr>
                  <w:tcW w:w="1378" w:type="dxa"/>
                  <w:vAlign w:val="center"/>
                </w:tcPr>
                <w:p w14:paraId="3D7AD5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1308" w:type="dxa"/>
                  <w:vAlign w:val="center"/>
                </w:tcPr>
                <w:p w14:paraId="618844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466" w:type="dxa"/>
                  <w:vAlign w:val="center"/>
                </w:tcPr>
                <w:p w14:paraId="391EF5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0.324</w:t>
                  </w:r>
                </w:p>
              </w:tc>
              <w:tc>
                <w:tcPr>
                  <w:tcW w:w="1345" w:type="dxa"/>
                  <w:vAlign w:val="center"/>
                </w:tcPr>
                <w:p w14:paraId="2DFE4F7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r w14:paraId="3555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03" w:type="pct"/>
                  <w:vMerge w:val="continue"/>
                  <w:vAlign w:val="center"/>
                </w:tcPr>
                <w:p w14:paraId="439AF0AF">
                  <w:pPr>
                    <w:jc w:val="center"/>
                    <w:rPr>
                      <w:color w:val="auto"/>
                      <w:szCs w:val="21"/>
                      <w:highlight w:val="none"/>
                    </w:rPr>
                  </w:pPr>
                </w:p>
              </w:tc>
              <w:tc>
                <w:tcPr>
                  <w:tcW w:w="696" w:type="pct"/>
                  <w:vAlign w:val="center"/>
                </w:tcPr>
                <w:p w14:paraId="463F45B6">
                  <w:pPr>
                    <w:jc w:val="center"/>
                    <w:rPr>
                      <w:color w:val="auto"/>
                      <w:szCs w:val="21"/>
                      <w:highlight w:val="none"/>
                    </w:rPr>
                  </w:pPr>
                  <w:r>
                    <w:rPr>
                      <w:rFonts w:hint="eastAsia"/>
                      <w:color w:val="auto"/>
                      <w:highlight w:val="none"/>
                    </w:rPr>
                    <w:t>VOCs</w:t>
                  </w:r>
                </w:p>
              </w:tc>
              <w:tc>
                <w:tcPr>
                  <w:tcW w:w="706" w:type="pct"/>
                  <w:vAlign w:val="center"/>
                </w:tcPr>
                <w:p w14:paraId="6C2C62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6.808</w:t>
                  </w:r>
                </w:p>
              </w:tc>
              <w:tc>
                <w:tcPr>
                  <w:tcW w:w="1378" w:type="dxa"/>
                  <w:vAlign w:val="center"/>
                </w:tcPr>
                <w:p w14:paraId="7D7A0F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0.909</w:t>
                  </w:r>
                </w:p>
              </w:tc>
              <w:tc>
                <w:tcPr>
                  <w:tcW w:w="712" w:type="pct"/>
                  <w:vAlign w:val="center"/>
                </w:tcPr>
                <w:p w14:paraId="1CE298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466" w:type="dxa"/>
                  <w:vAlign w:val="center"/>
                </w:tcPr>
                <w:p w14:paraId="1AB2FC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7.717</w:t>
                  </w:r>
                </w:p>
              </w:tc>
              <w:tc>
                <w:tcPr>
                  <w:tcW w:w="1345" w:type="dxa"/>
                  <w:vAlign w:val="center"/>
                </w:tcPr>
                <w:p w14:paraId="0B71E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+0.909</w:t>
                  </w:r>
                </w:p>
              </w:tc>
            </w:tr>
            <w:tr w14:paraId="4A14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03" w:type="pct"/>
                  <w:vMerge w:val="restart"/>
                  <w:vAlign w:val="center"/>
                </w:tcPr>
                <w:p w14:paraId="01B0ADDA">
                  <w:pPr>
                    <w:jc w:val="center"/>
                    <w:rPr>
                      <w:color w:val="auto"/>
                      <w:szCs w:val="21"/>
                      <w:highlight w:val="none"/>
                    </w:rPr>
                  </w:pPr>
                  <w:r>
                    <w:rPr>
                      <w:rFonts w:hint="eastAsia"/>
                      <w:color w:val="auto"/>
                      <w:highlight w:val="none"/>
                    </w:rPr>
                    <w:t>废水污染物</w:t>
                  </w:r>
                </w:p>
              </w:tc>
              <w:tc>
                <w:tcPr>
                  <w:tcW w:w="696" w:type="pct"/>
                  <w:vAlign w:val="center"/>
                </w:tcPr>
                <w:p w14:paraId="5B48D552">
                  <w:pPr>
                    <w:jc w:val="center"/>
                    <w:rPr>
                      <w:rFonts w:hint="eastAsia" w:eastAsia="宋体"/>
                      <w:color w:val="auto"/>
                      <w:szCs w:val="21"/>
                      <w:highlight w:val="none"/>
                      <w:lang w:eastAsia="zh-CN"/>
                    </w:rPr>
                  </w:pPr>
                  <w:r>
                    <w:rPr>
                      <w:rFonts w:hint="eastAsia"/>
                      <w:color w:val="auto"/>
                      <w:highlight w:val="none"/>
                    </w:rPr>
                    <w:t>废水量</w:t>
                  </w:r>
                </w:p>
              </w:tc>
              <w:tc>
                <w:tcPr>
                  <w:tcW w:w="706" w:type="pct"/>
                  <w:vAlign w:val="center"/>
                </w:tcPr>
                <w:p w14:paraId="281F5D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9270</w:t>
                  </w:r>
                </w:p>
              </w:tc>
              <w:tc>
                <w:tcPr>
                  <w:tcW w:w="1378" w:type="dxa"/>
                  <w:vAlign w:val="center"/>
                </w:tcPr>
                <w:p w14:paraId="4E94A4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16328.4</w:t>
                  </w:r>
                </w:p>
              </w:tc>
              <w:tc>
                <w:tcPr>
                  <w:tcW w:w="712" w:type="pct"/>
                  <w:vAlign w:val="center"/>
                </w:tcPr>
                <w:p w14:paraId="2757A2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1466" w:type="dxa"/>
                  <w:vAlign w:val="center"/>
                </w:tcPr>
                <w:p w14:paraId="0B4351D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25598.4</w:t>
                  </w:r>
                </w:p>
              </w:tc>
              <w:tc>
                <w:tcPr>
                  <w:tcW w:w="1345" w:type="dxa"/>
                  <w:vAlign w:val="center"/>
                </w:tcPr>
                <w:p w14:paraId="4A50615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+16328.4</w:t>
                  </w:r>
                </w:p>
              </w:tc>
            </w:tr>
            <w:tr w14:paraId="639F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3" w:type="pct"/>
                  <w:vMerge w:val="continue"/>
                  <w:vAlign w:val="center"/>
                </w:tcPr>
                <w:p w14:paraId="714A8132">
                  <w:pPr>
                    <w:jc w:val="center"/>
                    <w:rPr>
                      <w:color w:val="auto"/>
                      <w:szCs w:val="21"/>
                      <w:highlight w:val="none"/>
                    </w:rPr>
                  </w:pPr>
                </w:p>
              </w:tc>
              <w:tc>
                <w:tcPr>
                  <w:tcW w:w="696" w:type="pct"/>
                  <w:vAlign w:val="center"/>
                </w:tcPr>
                <w:p w14:paraId="5D876E62">
                  <w:pPr>
                    <w:jc w:val="center"/>
                    <w:rPr>
                      <w:color w:val="auto"/>
                      <w:szCs w:val="21"/>
                      <w:highlight w:val="none"/>
                    </w:rPr>
                  </w:pPr>
                  <w:r>
                    <w:rPr>
                      <w:rFonts w:hint="eastAsia"/>
                      <w:color w:val="auto"/>
                      <w:highlight w:val="none"/>
                    </w:rPr>
                    <w:t>COD</w:t>
                  </w:r>
                </w:p>
              </w:tc>
              <w:tc>
                <w:tcPr>
                  <w:tcW w:w="706" w:type="pct"/>
                  <w:vAlign w:val="center"/>
                </w:tcPr>
                <w:p w14:paraId="76C6D8A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4.635</w:t>
                  </w:r>
                </w:p>
              </w:tc>
              <w:tc>
                <w:tcPr>
                  <w:tcW w:w="1378" w:type="dxa"/>
                  <w:vAlign w:val="center"/>
                </w:tcPr>
                <w:p w14:paraId="45443B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12" w:type="pct"/>
                  <w:vAlign w:val="center"/>
                </w:tcPr>
                <w:p w14:paraId="4AFF74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466" w:type="dxa"/>
                  <w:vAlign w:val="center"/>
                </w:tcPr>
                <w:p w14:paraId="5FEBA69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6.135</w:t>
                  </w:r>
                </w:p>
              </w:tc>
              <w:tc>
                <w:tcPr>
                  <w:tcW w:w="1345" w:type="dxa"/>
                  <w:vAlign w:val="center"/>
                </w:tcPr>
                <w:p w14:paraId="227D23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1.5</w:t>
                  </w:r>
                </w:p>
              </w:tc>
            </w:tr>
            <w:tr w14:paraId="017D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03" w:type="pct"/>
                  <w:vMerge w:val="continue"/>
                  <w:vAlign w:val="center"/>
                </w:tcPr>
                <w:p w14:paraId="7403BDE0">
                  <w:pPr>
                    <w:jc w:val="center"/>
                    <w:rPr>
                      <w:color w:val="auto"/>
                      <w:szCs w:val="21"/>
                      <w:highlight w:val="none"/>
                    </w:rPr>
                  </w:pPr>
                </w:p>
              </w:tc>
              <w:tc>
                <w:tcPr>
                  <w:tcW w:w="696" w:type="pct"/>
                  <w:vAlign w:val="center"/>
                </w:tcPr>
                <w:p w14:paraId="669AF315">
                  <w:pPr>
                    <w:jc w:val="center"/>
                    <w:rPr>
                      <w:color w:val="auto"/>
                      <w:highlight w:val="none"/>
                    </w:rPr>
                  </w:pPr>
                  <w:r>
                    <w:rPr>
                      <w:rFonts w:hint="eastAsia"/>
                      <w:color w:val="auto"/>
                      <w:highlight w:val="none"/>
                    </w:rPr>
                    <w:t>氨氮</w:t>
                  </w:r>
                </w:p>
              </w:tc>
              <w:tc>
                <w:tcPr>
                  <w:tcW w:w="706" w:type="pct"/>
                  <w:vAlign w:val="center"/>
                </w:tcPr>
                <w:p w14:paraId="618270A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0.417</w:t>
                  </w:r>
                </w:p>
              </w:tc>
              <w:tc>
                <w:tcPr>
                  <w:tcW w:w="1378" w:type="dxa"/>
                  <w:vAlign w:val="center"/>
                </w:tcPr>
                <w:p w14:paraId="0BC062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0.214</w:t>
                  </w:r>
                </w:p>
              </w:tc>
              <w:tc>
                <w:tcPr>
                  <w:tcW w:w="712" w:type="pct"/>
                  <w:vAlign w:val="center"/>
                </w:tcPr>
                <w:p w14:paraId="6E9137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466" w:type="dxa"/>
                  <w:vAlign w:val="center"/>
                </w:tcPr>
                <w:p w14:paraId="19414E1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0.631</w:t>
                  </w:r>
                </w:p>
              </w:tc>
              <w:tc>
                <w:tcPr>
                  <w:tcW w:w="1345" w:type="dxa"/>
                  <w:vAlign w:val="center"/>
                </w:tcPr>
                <w:p w14:paraId="29ED87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0.214</w:t>
                  </w:r>
                </w:p>
              </w:tc>
            </w:tr>
          </w:tbl>
          <w:p w14:paraId="49369D9D">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b/>
                <w:color w:val="auto"/>
                <w:sz w:val="24"/>
                <w:highlight w:val="none"/>
              </w:rPr>
            </w:pPr>
            <w:r>
              <w:rPr>
                <w:rFonts w:hint="eastAsia"/>
                <w:b/>
                <w:color w:val="auto"/>
                <w:sz w:val="24"/>
                <w:highlight w:val="none"/>
              </w:rPr>
              <w:t>7</w:t>
            </w:r>
            <w:r>
              <w:rPr>
                <w:b/>
                <w:color w:val="auto"/>
                <w:sz w:val="24"/>
                <w:highlight w:val="none"/>
              </w:rPr>
              <w:t>、</w:t>
            </w:r>
            <w:r>
              <w:rPr>
                <w:rFonts w:hint="eastAsia"/>
                <w:b/>
                <w:color w:val="auto"/>
                <w:sz w:val="24"/>
                <w:highlight w:val="none"/>
              </w:rPr>
              <w:t>环境</w:t>
            </w:r>
            <w:r>
              <w:rPr>
                <w:b/>
                <w:color w:val="auto"/>
                <w:sz w:val="24"/>
                <w:highlight w:val="none"/>
              </w:rPr>
              <w:t>风险分析</w:t>
            </w:r>
          </w:p>
          <w:p w14:paraId="5610FAEA">
            <w:pPr>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highlight w:val="none"/>
              </w:rPr>
            </w:pPr>
            <w:r>
              <w:rPr>
                <w:rFonts w:hint="eastAsia"/>
                <w:color w:val="auto"/>
                <w:sz w:val="24"/>
                <w:highlight w:val="none"/>
                <w:lang w:val="en-US" w:eastAsia="zh-CN"/>
              </w:rPr>
              <w:t>根据</w:t>
            </w:r>
            <w:r>
              <w:rPr>
                <w:rFonts w:hint="eastAsia"/>
                <w:color w:val="auto"/>
                <w:sz w:val="24"/>
                <w:highlight w:val="none"/>
              </w:rPr>
              <w:t>《建设项目环境影响报告表编制技术指南（污染影响类）》（试行）</w:t>
            </w:r>
            <w:r>
              <w:rPr>
                <w:rFonts w:hint="eastAsia"/>
                <w:color w:val="auto"/>
                <w:sz w:val="24"/>
                <w:highlight w:val="none"/>
                <w:lang w:val="en-US" w:eastAsia="zh-CN"/>
              </w:rPr>
              <w:t>专项设置原则，涉及新增生产车间，同时改造现有产品库房，</w:t>
            </w:r>
            <w:r>
              <w:rPr>
                <w:rFonts w:hint="eastAsia"/>
                <w:color w:val="auto"/>
                <w:kern w:val="0"/>
                <w:sz w:val="24"/>
                <w:szCs w:val="24"/>
                <w:highlight w:val="none"/>
                <w:lang w:val="en-US" w:eastAsia="zh-CN"/>
              </w:rPr>
              <w:t>新增提纯产品及副产品储存，本次不新增风险物质储存，不改变现有风险物质最大储量，厂区风险物质仍为现有工程风险物质，</w:t>
            </w:r>
            <w:r>
              <w:rPr>
                <w:rFonts w:hint="eastAsia"/>
                <w:color w:val="auto"/>
                <w:sz w:val="24"/>
                <w:highlight w:val="none"/>
                <w:lang w:val="en-US" w:eastAsia="zh-CN"/>
              </w:rPr>
              <w:t>项目建成后全厂危险物质包括环氧乙烷、液氨、一甲胺及二乙醇胺，</w:t>
            </w:r>
            <w:r>
              <w:rPr>
                <w:rFonts w:hint="default" w:ascii="Times New Roman" w:hAnsi="Times New Roman" w:eastAsia="宋体" w:cs="Times New Roman"/>
                <w:color w:val="auto"/>
                <w:sz w:val="24"/>
                <w:szCs w:val="32"/>
                <w:highlight w:val="none"/>
              </w:rPr>
              <w:t>10≤Q＜100</w:t>
            </w:r>
            <w:r>
              <w:rPr>
                <w:rFonts w:hint="eastAsia" w:ascii="Times New Roman" w:hAnsi="Times New Roman" w:eastAsia="宋体" w:cs="Times New Roman"/>
                <w:color w:val="auto"/>
                <w:highlight w:val="none"/>
                <w:lang w:eastAsia="zh-CN"/>
              </w:rPr>
              <w:t>，</w:t>
            </w:r>
            <w:r>
              <w:rPr>
                <w:rFonts w:hint="eastAsia"/>
                <w:color w:val="auto"/>
                <w:sz w:val="24"/>
                <w:highlight w:val="none"/>
                <w:lang w:val="en-US" w:eastAsia="zh-CN"/>
              </w:rPr>
              <w:t>需设置环境风险专项。本项目按照</w:t>
            </w:r>
            <w:r>
              <w:rPr>
                <w:rFonts w:hint="eastAsia"/>
                <w:color w:val="auto"/>
                <w:sz w:val="24"/>
                <w:highlight w:val="none"/>
              </w:rPr>
              <w:t>《建设项目环境影响报告表编制技术指南（污染影响类）》（试行）</w:t>
            </w:r>
            <w:r>
              <w:rPr>
                <w:rFonts w:hint="eastAsia"/>
                <w:color w:val="auto"/>
                <w:sz w:val="24"/>
                <w:szCs w:val="24"/>
                <w:highlight w:val="none"/>
              </w:rPr>
              <w:t>《建设项目环境风险评价技术导则》（HJ169-2018）</w:t>
            </w:r>
            <w:r>
              <w:rPr>
                <w:rFonts w:hint="eastAsia"/>
                <w:color w:val="auto"/>
                <w:sz w:val="24"/>
                <w:szCs w:val="24"/>
                <w:highlight w:val="none"/>
                <w:lang w:val="en-US" w:eastAsia="zh-CN"/>
              </w:rPr>
              <w:t>中相关要求编制了环境风险专项评价报告，报告表明，本项目环境风险最大可信事故为储罐泄漏事故以及储罐泄漏伴生火灾事故。经风险预测，二乙醇胺储罐破损，二乙醇泄漏引发火灾事故造成的风险影响最大，项目N-甲基二乙醇胺储罐发生泄漏并发生火灾后，最大环境影响范围半径为3250m，但区域环境敏感点均未出现毒性终点浓度。环评要求企业须在二乙醇胺储罐发生泄漏事故并发生火灾的60min内完成泄漏伴生火灾事故应急响应并采取紧急措施，以降低风险事故对周边环境的不利影响。项目地表水环境风险和地下水环境风险影响较小，环境风险水平可接受。因此，本次评价认为，只要严格落实项目环评提出的环境风险防范措施，项目建设从环境风险角度分析可行。环境风险评价内容详见专项报告。</w:t>
            </w:r>
          </w:p>
          <w:p w14:paraId="37367AEB">
            <w:pPr>
              <w:autoSpaceDE w:val="0"/>
              <w:autoSpaceDN w:val="0"/>
              <w:spacing w:line="360" w:lineRule="auto"/>
              <w:ind w:firstLine="482" w:firstLineChars="200"/>
              <w:rPr>
                <w:b/>
                <w:color w:val="auto"/>
                <w:sz w:val="24"/>
                <w:highlight w:val="none"/>
              </w:rPr>
            </w:pPr>
            <w:r>
              <w:rPr>
                <w:rFonts w:hint="eastAsia"/>
                <w:b/>
                <w:color w:val="auto"/>
                <w:sz w:val="24"/>
                <w:highlight w:val="none"/>
                <w:lang w:bidi="ar"/>
              </w:rPr>
              <w:t>8</w:t>
            </w:r>
            <w:r>
              <w:rPr>
                <w:b/>
                <w:color w:val="auto"/>
                <w:sz w:val="24"/>
                <w:highlight w:val="none"/>
                <w:lang w:bidi="ar"/>
              </w:rPr>
              <w:t>、环境管理与要求</w:t>
            </w:r>
          </w:p>
          <w:p w14:paraId="667526E6">
            <w:pPr>
              <w:tabs>
                <w:tab w:val="center" w:pos="4026"/>
              </w:tabs>
              <w:spacing w:line="360" w:lineRule="auto"/>
              <w:ind w:firstLine="482" w:firstLineChars="200"/>
              <w:rPr>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1</w:t>
            </w:r>
            <w:r>
              <w:rPr>
                <w:rFonts w:hint="eastAsia"/>
                <w:b/>
                <w:bCs/>
                <w:color w:val="auto"/>
                <w:sz w:val="24"/>
                <w:highlight w:val="none"/>
                <w:lang w:eastAsia="zh-CN"/>
              </w:rPr>
              <w:t>）</w:t>
            </w:r>
            <w:r>
              <w:rPr>
                <w:b/>
                <w:bCs/>
                <w:color w:val="auto"/>
                <w:sz w:val="24"/>
                <w:highlight w:val="none"/>
              </w:rPr>
              <w:t>施工期环境管理</w:t>
            </w:r>
          </w:p>
          <w:p w14:paraId="290A2158">
            <w:pPr>
              <w:tabs>
                <w:tab w:val="center" w:pos="4026"/>
              </w:tabs>
              <w:spacing w:line="360" w:lineRule="auto"/>
              <w:ind w:firstLine="480" w:firstLineChars="200"/>
              <w:rPr>
                <w:color w:val="auto"/>
                <w:sz w:val="24"/>
                <w:highlight w:val="none"/>
              </w:rPr>
            </w:pPr>
            <w:r>
              <w:rPr>
                <w:color w:val="auto"/>
                <w:sz w:val="24"/>
                <w:highlight w:val="none"/>
              </w:rPr>
              <w:t>项目施工期应设立专门的环境管理机构，</w:t>
            </w:r>
            <w:r>
              <w:rPr>
                <w:rFonts w:hint="eastAsia"/>
                <w:color w:val="auto"/>
                <w:sz w:val="24"/>
                <w:highlight w:val="none"/>
                <w:lang w:eastAsia="zh-CN"/>
              </w:rPr>
              <w:t>由</w:t>
            </w:r>
            <w:r>
              <w:rPr>
                <w:color w:val="auto"/>
                <w:sz w:val="24"/>
                <w:highlight w:val="none"/>
              </w:rPr>
              <w:t>项目法人代表直接领导，设置1~2人进行专门管理，其主要职责为：控制施工期环境污染及生态破坏，杜绝野蛮施工，使施工期对环境污染及生态破坏程度降低到最小。</w:t>
            </w:r>
          </w:p>
          <w:p w14:paraId="36481BD4">
            <w:pPr>
              <w:tabs>
                <w:tab w:val="center" w:pos="4026"/>
              </w:tabs>
              <w:spacing w:line="360" w:lineRule="auto"/>
              <w:ind w:firstLine="482" w:firstLineChars="200"/>
              <w:rPr>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2</w:t>
            </w:r>
            <w:r>
              <w:rPr>
                <w:rFonts w:hint="eastAsia"/>
                <w:b/>
                <w:bCs/>
                <w:color w:val="auto"/>
                <w:sz w:val="24"/>
                <w:highlight w:val="none"/>
                <w:lang w:eastAsia="zh-CN"/>
              </w:rPr>
              <w:t>）</w:t>
            </w:r>
            <w:r>
              <w:rPr>
                <w:b/>
                <w:bCs/>
                <w:color w:val="auto"/>
                <w:sz w:val="24"/>
                <w:highlight w:val="none"/>
              </w:rPr>
              <w:t>营运期环境管理</w:t>
            </w:r>
          </w:p>
          <w:p w14:paraId="0D23A4FA">
            <w:pPr>
              <w:tabs>
                <w:tab w:val="center" w:pos="4026"/>
              </w:tabs>
              <w:spacing w:line="360" w:lineRule="auto"/>
              <w:ind w:firstLine="480" w:firstLineChars="200"/>
              <w:rPr>
                <w:color w:val="auto"/>
                <w:sz w:val="24"/>
                <w:highlight w:val="none"/>
              </w:rPr>
            </w:pPr>
            <w:r>
              <w:rPr>
                <w:color w:val="auto"/>
                <w:sz w:val="24"/>
                <w:highlight w:val="none"/>
              </w:rPr>
              <w:t>项目投入生产</w:t>
            </w:r>
            <w:r>
              <w:rPr>
                <w:rFonts w:hint="eastAsia"/>
                <w:color w:val="auto"/>
                <w:sz w:val="24"/>
                <w:highlight w:val="none"/>
                <w:lang w:eastAsia="zh-CN"/>
              </w:rPr>
              <w:t>运营</w:t>
            </w:r>
            <w:r>
              <w:rPr>
                <w:color w:val="auto"/>
                <w:sz w:val="24"/>
                <w:highlight w:val="none"/>
              </w:rPr>
              <w:t>后，环境管理主要职责为：</w:t>
            </w:r>
          </w:p>
          <w:p w14:paraId="28D46243">
            <w:pPr>
              <w:tabs>
                <w:tab w:val="center" w:pos="4026"/>
              </w:tabs>
              <w:spacing w:line="360" w:lineRule="auto"/>
              <w:ind w:firstLine="480" w:firstLineChars="200"/>
              <w:rPr>
                <w:color w:val="auto"/>
                <w:sz w:val="24"/>
                <w:highlight w:val="none"/>
              </w:rPr>
            </w:pPr>
            <w:r>
              <w:rPr>
                <w:color w:val="auto"/>
                <w:sz w:val="24"/>
                <w:highlight w:val="none"/>
              </w:rPr>
              <w:t>1）遵守国家、地方的有关法律法规以及其他相关规定，结合本项目的生产工艺及污染特征，制定切实可行的环保管理制度，并落实到各部门、各岗位，</w:t>
            </w:r>
            <w:r>
              <w:rPr>
                <w:rFonts w:hint="eastAsia"/>
                <w:color w:val="auto"/>
                <w:sz w:val="24"/>
                <w:highlight w:val="none"/>
              </w:rPr>
              <w:t>使</w:t>
            </w:r>
            <w:r>
              <w:rPr>
                <w:color w:val="auto"/>
                <w:sz w:val="24"/>
                <w:highlight w:val="none"/>
              </w:rPr>
              <w:t>环保工作有章可循。</w:t>
            </w:r>
          </w:p>
          <w:p w14:paraId="66219301">
            <w:pPr>
              <w:tabs>
                <w:tab w:val="center" w:pos="4026"/>
              </w:tabs>
              <w:spacing w:line="360" w:lineRule="auto"/>
              <w:ind w:firstLine="480" w:firstLineChars="200"/>
              <w:rPr>
                <w:color w:val="auto"/>
                <w:sz w:val="24"/>
                <w:highlight w:val="none"/>
              </w:rPr>
            </w:pPr>
            <w:r>
              <w:rPr>
                <w:color w:val="auto"/>
                <w:sz w:val="24"/>
                <w:highlight w:val="none"/>
              </w:rPr>
              <w:t>2）建立健全项目运行期的污染源档案，环保设施运行情况档案，按月（季）统计污染物产生、处理及排放情况并编制好有关数据报表并存档。建立危险废物的产生、暂存、转移处置台账管理制度。</w:t>
            </w:r>
          </w:p>
          <w:p w14:paraId="6DA94B3D">
            <w:pPr>
              <w:tabs>
                <w:tab w:val="center" w:pos="4026"/>
              </w:tabs>
              <w:spacing w:line="360" w:lineRule="auto"/>
              <w:ind w:firstLine="480" w:firstLineChars="200"/>
              <w:rPr>
                <w:color w:val="auto"/>
                <w:sz w:val="24"/>
                <w:highlight w:val="none"/>
              </w:rPr>
            </w:pPr>
            <w:r>
              <w:rPr>
                <w:color w:val="auto"/>
                <w:sz w:val="24"/>
                <w:highlight w:val="none"/>
              </w:rPr>
              <w:t>3）对环保设施、设备进行日常的监控和维护工作，并做好记录存档。</w:t>
            </w:r>
          </w:p>
          <w:p w14:paraId="4B961A25">
            <w:pPr>
              <w:tabs>
                <w:tab w:val="center" w:pos="4026"/>
              </w:tabs>
              <w:spacing w:line="360" w:lineRule="auto"/>
              <w:ind w:firstLine="480" w:firstLineChars="200"/>
              <w:rPr>
                <w:color w:val="auto"/>
                <w:sz w:val="24"/>
                <w:highlight w:val="none"/>
              </w:rPr>
            </w:pPr>
            <w:r>
              <w:rPr>
                <w:color w:val="auto"/>
                <w:sz w:val="24"/>
                <w:highlight w:val="none"/>
              </w:rPr>
              <w:t>4）做好环境保护、安全生产宣传及相关技术培训工作，</w:t>
            </w:r>
            <w:r>
              <w:rPr>
                <w:rFonts w:hint="eastAsia"/>
                <w:color w:val="auto"/>
                <w:sz w:val="24"/>
                <w:highlight w:val="none"/>
                <w:lang w:eastAsia="zh-CN"/>
              </w:rPr>
              <w:t>增强</w:t>
            </w:r>
            <w:r>
              <w:rPr>
                <w:color w:val="auto"/>
                <w:sz w:val="24"/>
                <w:highlight w:val="none"/>
              </w:rPr>
              <w:t>全员的环境保护意识，加强环境法治观念。</w:t>
            </w:r>
          </w:p>
          <w:p w14:paraId="1B234F72">
            <w:pPr>
              <w:tabs>
                <w:tab w:val="center" w:pos="4026"/>
              </w:tabs>
              <w:spacing w:line="360" w:lineRule="auto"/>
              <w:ind w:firstLine="480" w:firstLineChars="200"/>
              <w:rPr>
                <w:color w:val="auto"/>
                <w:sz w:val="24"/>
                <w:highlight w:val="none"/>
              </w:rPr>
            </w:pPr>
            <w:r>
              <w:rPr>
                <w:color w:val="auto"/>
                <w:sz w:val="24"/>
                <w:highlight w:val="none"/>
              </w:rPr>
              <w:t>5）加强环境风险管理，制定环境风险事故应急预案，落实废水、废气非正常排放的防范措施及日常管理制度，</w:t>
            </w:r>
            <w:r>
              <w:rPr>
                <w:rFonts w:hint="eastAsia"/>
                <w:color w:val="auto"/>
                <w:sz w:val="24"/>
                <w:highlight w:val="none"/>
                <w:lang w:eastAsia="zh-CN"/>
              </w:rPr>
              <w:t>建立</w:t>
            </w:r>
            <w:r>
              <w:rPr>
                <w:color w:val="auto"/>
                <w:sz w:val="24"/>
                <w:highlight w:val="none"/>
              </w:rPr>
              <w:t>事故应急响应制度、措施，并经常进行演练、完善，将非正常排放的影响降至最低。</w:t>
            </w:r>
          </w:p>
          <w:p w14:paraId="7272EA9D">
            <w:pPr>
              <w:tabs>
                <w:tab w:val="center" w:pos="4026"/>
              </w:tabs>
              <w:spacing w:line="360" w:lineRule="auto"/>
              <w:ind w:firstLine="480" w:firstLineChars="200"/>
              <w:rPr>
                <w:color w:val="auto"/>
                <w:sz w:val="24"/>
                <w:highlight w:val="none"/>
              </w:rPr>
            </w:pPr>
            <w:r>
              <w:rPr>
                <w:color w:val="auto"/>
                <w:sz w:val="24"/>
                <w:highlight w:val="none"/>
              </w:rPr>
              <w:t>6）项目固体危险废物应按照国家有关规定向所在地县级市以上环境保护主管部门申报产量、贮存、处置等有关资料，制定固体危险废物管理计划并按照</w:t>
            </w:r>
            <w:r>
              <w:rPr>
                <w:rFonts w:hint="eastAsia"/>
                <w:bCs/>
                <w:color w:val="auto"/>
                <w:sz w:val="24"/>
                <w:highlight w:val="none"/>
                <w:lang w:eastAsia="zh-CN"/>
              </w:rPr>
              <w:t>《</w:t>
            </w:r>
            <w:r>
              <w:rPr>
                <w:rFonts w:hint="eastAsia"/>
                <w:bCs/>
                <w:color w:val="auto"/>
                <w:sz w:val="24"/>
                <w:highlight w:val="none"/>
              </w:rPr>
              <w:t>危险废物贮存污染控制标准（GB18597</w:t>
            </w:r>
            <w:r>
              <w:rPr>
                <w:rFonts w:hint="eastAsia"/>
                <w:bCs/>
                <w:color w:val="auto"/>
                <w:sz w:val="24"/>
                <w:highlight w:val="none"/>
                <w:lang w:eastAsia="zh-CN"/>
              </w:rPr>
              <w:t>-</w:t>
            </w:r>
            <w:r>
              <w:rPr>
                <w:rFonts w:hint="eastAsia"/>
                <w:bCs/>
                <w:color w:val="auto"/>
                <w:sz w:val="24"/>
                <w:highlight w:val="none"/>
              </w:rPr>
              <w:t>2023）</w:t>
            </w:r>
            <w:r>
              <w:rPr>
                <w:rFonts w:hint="eastAsia"/>
                <w:bCs/>
                <w:color w:val="auto"/>
                <w:sz w:val="24"/>
                <w:highlight w:val="none"/>
                <w:lang w:eastAsia="zh-CN"/>
              </w:rPr>
              <w:t>》</w:t>
            </w:r>
            <w:r>
              <w:rPr>
                <w:color w:val="auto"/>
                <w:sz w:val="24"/>
                <w:highlight w:val="none"/>
              </w:rPr>
              <w:t>的要求运输、贮存、分类和标识；转移固体危险废物，应经环境保护主管部门同意，报送危险废物转移联单；危险废物贮存、处置情况要与排污申报情况一致，有重大改变的，应当及时申报。</w:t>
            </w:r>
          </w:p>
          <w:p w14:paraId="25183C8E">
            <w:pPr>
              <w:tabs>
                <w:tab w:val="center" w:pos="4026"/>
              </w:tabs>
              <w:spacing w:line="360" w:lineRule="auto"/>
              <w:ind w:firstLine="480" w:firstLineChars="200"/>
              <w:rPr>
                <w:color w:val="auto"/>
                <w:sz w:val="24"/>
                <w:highlight w:val="none"/>
              </w:rPr>
            </w:pPr>
            <w:r>
              <w:rPr>
                <w:color w:val="auto"/>
                <w:sz w:val="24"/>
                <w:highlight w:val="none"/>
              </w:rPr>
              <w:t>7）接受并配合地方环境保护主管部门对厂内废气、废水、噪声等污染源排放情况及固废处置情况进行监督，并将检查结果及时反馈给上级主管部门及相关生产操作系统，制定环境保护规划和目标，协调各部门的关系，调查处理企业内外污染事故与纠纷。</w:t>
            </w:r>
          </w:p>
          <w:p w14:paraId="328485E6">
            <w:pPr>
              <w:tabs>
                <w:tab w:val="center" w:pos="4026"/>
              </w:tabs>
              <w:spacing w:line="360" w:lineRule="auto"/>
              <w:ind w:firstLine="482" w:firstLineChars="200"/>
              <w:rPr>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3</w:t>
            </w:r>
            <w:r>
              <w:rPr>
                <w:rFonts w:hint="eastAsia"/>
                <w:b/>
                <w:bCs/>
                <w:color w:val="auto"/>
                <w:sz w:val="24"/>
                <w:highlight w:val="none"/>
                <w:lang w:eastAsia="zh-CN"/>
              </w:rPr>
              <w:t>）</w:t>
            </w:r>
            <w:r>
              <w:rPr>
                <w:b/>
                <w:bCs/>
                <w:color w:val="auto"/>
                <w:sz w:val="24"/>
                <w:highlight w:val="none"/>
              </w:rPr>
              <w:t>环境监测计划</w:t>
            </w:r>
          </w:p>
          <w:p w14:paraId="5AB67872">
            <w:pPr>
              <w:spacing w:line="360" w:lineRule="auto"/>
              <w:ind w:firstLine="480" w:firstLineChars="200"/>
              <w:rPr>
                <w:color w:val="auto"/>
                <w:sz w:val="24"/>
                <w:highlight w:val="none"/>
              </w:rPr>
            </w:pPr>
            <w:r>
              <w:rPr>
                <w:color w:val="auto"/>
                <w:sz w:val="24"/>
                <w:highlight w:val="none"/>
              </w:rPr>
              <w:t>环境监测是环境管理最重要的手段之一，通过环境监测，可正确、迅速完整地为建设项目日常环境管理提供必要依据。本项目的监测计划应包括两方面：即竣工验收监测和运营期的常规监测计划。</w:t>
            </w:r>
          </w:p>
          <w:p w14:paraId="4C4E8466">
            <w:pPr>
              <w:spacing w:line="360" w:lineRule="auto"/>
              <w:ind w:left="466" w:leftChars="222"/>
              <w:rPr>
                <w:color w:val="auto"/>
                <w:sz w:val="24"/>
                <w:highlight w:val="none"/>
              </w:rPr>
            </w:pPr>
            <w:r>
              <w:rPr>
                <w:color w:val="auto"/>
                <w:sz w:val="24"/>
                <w:highlight w:val="none"/>
              </w:rPr>
              <w:t>1）竣工验收监测</w:t>
            </w:r>
          </w:p>
          <w:p w14:paraId="4B2B940A">
            <w:pPr>
              <w:spacing w:line="360" w:lineRule="auto"/>
              <w:ind w:firstLine="480" w:firstLineChars="200"/>
              <w:rPr>
                <w:color w:val="auto"/>
                <w:sz w:val="24"/>
                <w:highlight w:val="none"/>
              </w:rPr>
            </w:pPr>
            <w:r>
              <w:rPr>
                <w:color w:val="auto"/>
                <w:sz w:val="24"/>
                <w:highlight w:val="none"/>
              </w:rPr>
              <w:t>项目获得环评批复并在项目试运营期内，按环保部现行要求实施竣工验收。建设项目竣工环境保护验收范围包括：</w:t>
            </w:r>
            <w:r>
              <w:rPr>
                <w:rFonts w:hint="eastAsia" w:ascii="宋体" w:hAnsi="宋体" w:cs="宋体"/>
                <w:color w:val="auto"/>
                <w:sz w:val="24"/>
                <w:highlight w:val="none"/>
              </w:rPr>
              <w:t>①</w:t>
            </w:r>
            <w:r>
              <w:rPr>
                <w:color w:val="auto"/>
                <w:sz w:val="24"/>
                <w:highlight w:val="none"/>
              </w:rPr>
              <w:t>与建设项目有关的各项环境保护设施；</w:t>
            </w:r>
            <w:r>
              <w:rPr>
                <w:rFonts w:hint="eastAsia" w:ascii="宋体" w:hAnsi="宋体" w:cs="宋体"/>
                <w:color w:val="auto"/>
                <w:sz w:val="24"/>
                <w:highlight w:val="none"/>
              </w:rPr>
              <w:t>②</w:t>
            </w:r>
            <w:r>
              <w:rPr>
                <w:color w:val="auto"/>
                <w:sz w:val="24"/>
                <w:highlight w:val="none"/>
              </w:rPr>
              <w:t>环境影响报告表和有关项目设计文件规定应采取的其他各项环境保护措施。</w:t>
            </w:r>
          </w:p>
          <w:p w14:paraId="454C066B">
            <w:pPr>
              <w:spacing w:line="360" w:lineRule="auto"/>
              <w:ind w:left="466" w:leftChars="222"/>
              <w:rPr>
                <w:color w:val="auto"/>
                <w:sz w:val="24"/>
                <w:highlight w:val="none"/>
              </w:rPr>
            </w:pPr>
            <w:r>
              <w:rPr>
                <w:color w:val="auto"/>
                <w:sz w:val="24"/>
                <w:highlight w:val="none"/>
              </w:rPr>
              <w:t>2）运营期的常规监测</w:t>
            </w:r>
          </w:p>
          <w:p w14:paraId="1AA83053">
            <w:pPr>
              <w:keepNext w:val="0"/>
              <w:keepLines w:val="0"/>
              <w:pageBreakBefore w:val="0"/>
              <w:widowControl w:val="0"/>
              <w:kinsoku/>
              <w:wordWrap w:val="0"/>
              <w:overflowPunct/>
              <w:topLinePunct w:val="0"/>
              <w:autoSpaceDE/>
              <w:autoSpaceDN/>
              <w:bidi w:val="0"/>
              <w:adjustRightInd/>
              <w:snapToGrid/>
              <w:spacing w:line="360" w:lineRule="auto"/>
              <w:ind w:firstLine="482"/>
              <w:jc w:val="left"/>
              <w:textAlignment w:val="auto"/>
              <w:rPr>
                <w:bCs/>
                <w:color w:val="auto"/>
                <w:sz w:val="24"/>
                <w:highlight w:val="none"/>
              </w:rPr>
            </w:pPr>
            <w:r>
              <w:rPr>
                <w:bCs/>
                <w:color w:val="auto"/>
                <w:sz w:val="24"/>
                <w:highlight w:val="none"/>
              </w:rPr>
              <w:t>企业在生产期间应定期委托有资格的环境监测单位进行污染源监督性监测，为环境管理提供依据。本次评价参考</w:t>
            </w:r>
            <w:r>
              <w:rPr>
                <w:color w:val="auto"/>
                <w:sz w:val="24"/>
                <w:szCs w:val="21"/>
                <w:highlight w:val="none"/>
              </w:rPr>
              <w:fldChar w:fldCharType="begin"/>
            </w:r>
            <w:r>
              <w:rPr>
                <w:color w:val="auto"/>
                <w:sz w:val="24"/>
                <w:szCs w:val="21"/>
                <w:highlight w:val="none"/>
              </w:rPr>
              <w:instrText xml:space="preserve"> HYPERLINK "https://www.mee.gov.cn/ywgz/fgbz/bz/bzwb/pwxk/202003/W020200304681711058003.pdf" </w:instrText>
            </w:r>
            <w:r>
              <w:rPr>
                <w:color w:val="auto"/>
                <w:sz w:val="24"/>
                <w:szCs w:val="21"/>
                <w:highlight w:val="none"/>
              </w:rPr>
              <w:fldChar w:fldCharType="separate"/>
            </w:r>
            <w:r>
              <w:rPr>
                <w:rFonts w:hint="eastAsia"/>
                <w:color w:val="auto"/>
                <w:sz w:val="24"/>
                <w:szCs w:val="21"/>
                <w:highlight w:val="none"/>
                <w:lang w:eastAsia="zh-CN"/>
              </w:rPr>
              <w:t>《</w:t>
            </w:r>
            <w:r>
              <w:rPr>
                <w:rFonts w:hint="eastAsia"/>
                <w:bCs/>
                <w:color w:val="auto"/>
                <w:sz w:val="24"/>
                <w:szCs w:val="22"/>
                <w:highlight w:val="none"/>
                <w:lang w:bidi="ar"/>
              </w:rPr>
              <w:t>排污单位自行监测技术指南</w:t>
            </w:r>
            <w:r>
              <w:rPr>
                <w:rFonts w:hint="eastAsia"/>
                <w:color w:val="auto"/>
                <w:sz w:val="24"/>
                <w:szCs w:val="21"/>
                <w:highlight w:val="none"/>
                <w:lang w:val="en-US" w:eastAsia="zh-CN"/>
              </w:rPr>
              <w:t xml:space="preserve"> </w:t>
            </w:r>
            <w:r>
              <w:rPr>
                <w:rFonts w:hint="eastAsia"/>
                <w:color w:val="auto"/>
                <w:sz w:val="24"/>
                <w:szCs w:val="21"/>
                <w:highlight w:val="none"/>
              </w:rPr>
              <w:t>石油化学工业</w:t>
            </w:r>
            <w:r>
              <w:rPr>
                <w:rFonts w:hint="eastAsia"/>
                <w:color w:val="auto"/>
                <w:sz w:val="24"/>
                <w:szCs w:val="21"/>
                <w:highlight w:val="none"/>
                <w:lang w:eastAsia="zh-CN"/>
              </w:rPr>
              <w:t>》</w:t>
            </w:r>
            <w:r>
              <w:rPr>
                <w:rFonts w:hint="eastAsia"/>
                <w:color w:val="auto"/>
                <w:sz w:val="24"/>
                <w:szCs w:val="21"/>
                <w:highlight w:val="none"/>
              </w:rPr>
              <w:fldChar w:fldCharType="end"/>
            </w:r>
            <w:r>
              <w:rPr>
                <w:rFonts w:hint="eastAsia"/>
                <w:color w:val="auto"/>
                <w:sz w:val="24"/>
                <w:szCs w:val="21"/>
                <w:highlight w:val="none"/>
              </w:rPr>
              <w:t>（HJ947-2018）</w:t>
            </w:r>
            <w:r>
              <w:rPr>
                <w:rFonts w:hint="eastAsia"/>
                <w:color w:val="auto"/>
                <w:sz w:val="24"/>
                <w:szCs w:val="21"/>
                <w:highlight w:val="none"/>
                <w:lang w:eastAsia="zh-CN"/>
              </w:rPr>
              <w:t>、</w:t>
            </w:r>
            <w:r>
              <w:rPr>
                <w:bCs/>
                <w:color w:val="auto"/>
                <w:sz w:val="24"/>
                <w:szCs w:val="22"/>
                <w:highlight w:val="none"/>
                <w:lang w:bidi="ar"/>
              </w:rPr>
              <w:t>《</w:t>
            </w:r>
            <w:r>
              <w:rPr>
                <w:bCs/>
                <w:color w:val="auto"/>
                <w:sz w:val="24"/>
                <w:szCs w:val="22"/>
                <w:highlight w:val="none"/>
                <w:lang w:bidi="ar"/>
              </w:rPr>
              <w:fldChar w:fldCharType="begin"/>
            </w:r>
            <w:r>
              <w:rPr>
                <w:bCs/>
                <w:color w:val="auto"/>
                <w:sz w:val="24"/>
                <w:szCs w:val="22"/>
                <w:highlight w:val="none"/>
                <w:lang w:bidi="ar"/>
              </w:rPr>
              <w:instrText xml:space="preserve"> HYPERLINK "http://www.beidouzhiku.cn/api/attach.php?url=http://www.beidouzhiku.cn/file/upload/202205/20/095215341.pdf&amp;name=2%E6%8E%92%E6%B1%A1%E5%8D%95%E4%BD%8D%E8%87%AA%E8%A1%8C%E7%9B%91%E6%B5%8B%E6%8A%80%E6%9C%AF%E6%8C%87%E5%8D%97 %E7%81%AB%E5%8A%9B%E5%8F%91%E7%94%B5%E5%8F%8A%E9%94%85%E7%82%89(HJ 820-2017).pdf" </w:instrText>
            </w:r>
            <w:r>
              <w:rPr>
                <w:bCs/>
                <w:color w:val="auto"/>
                <w:sz w:val="24"/>
                <w:szCs w:val="22"/>
                <w:highlight w:val="none"/>
                <w:lang w:bidi="ar"/>
              </w:rPr>
              <w:fldChar w:fldCharType="separate"/>
            </w:r>
            <w:r>
              <w:rPr>
                <w:rFonts w:hint="eastAsia"/>
                <w:bCs/>
                <w:color w:val="auto"/>
                <w:sz w:val="24"/>
                <w:szCs w:val="22"/>
                <w:highlight w:val="none"/>
                <w:lang w:bidi="ar"/>
              </w:rPr>
              <w:t>排污单位自行监测技术指南</w:t>
            </w:r>
            <w:r>
              <w:rPr>
                <w:rFonts w:hint="eastAsia"/>
                <w:bCs/>
                <w:color w:val="auto"/>
                <w:sz w:val="24"/>
                <w:szCs w:val="22"/>
                <w:highlight w:val="none"/>
                <w:lang w:val="en-US" w:eastAsia="zh-CN" w:bidi="ar"/>
              </w:rPr>
              <w:t xml:space="preserve"> </w:t>
            </w:r>
            <w:r>
              <w:rPr>
                <w:rFonts w:hint="eastAsia"/>
                <w:bCs/>
                <w:color w:val="auto"/>
                <w:sz w:val="24"/>
                <w:szCs w:val="22"/>
                <w:highlight w:val="none"/>
                <w:lang w:bidi="ar"/>
              </w:rPr>
              <w:t>火力发电及锅炉</w:t>
            </w:r>
            <w:r>
              <w:rPr>
                <w:rFonts w:hint="eastAsia"/>
                <w:bCs/>
                <w:color w:val="auto"/>
                <w:sz w:val="24"/>
                <w:szCs w:val="22"/>
                <w:highlight w:val="none"/>
                <w:lang w:bidi="ar"/>
              </w:rPr>
              <w:fldChar w:fldCharType="end"/>
            </w:r>
            <w:r>
              <w:rPr>
                <w:bCs/>
                <w:color w:val="auto"/>
                <w:sz w:val="24"/>
                <w:szCs w:val="22"/>
                <w:highlight w:val="none"/>
                <w:lang w:bidi="ar"/>
              </w:rPr>
              <w:t>》（</w:t>
            </w:r>
            <w:r>
              <w:rPr>
                <w:rFonts w:hint="eastAsia"/>
                <w:bCs/>
                <w:color w:val="auto"/>
                <w:sz w:val="24"/>
                <w:szCs w:val="22"/>
                <w:highlight w:val="none"/>
                <w:lang w:bidi="ar"/>
              </w:rPr>
              <w:t>HJ820-2017</w:t>
            </w:r>
            <w:r>
              <w:rPr>
                <w:bCs/>
                <w:color w:val="auto"/>
                <w:sz w:val="24"/>
                <w:szCs w:val="22"/>
                <w:highlight w:val="none"/>
                <w:lang w:bidi="ar"/>
              </w:rPr>
              <w:t>）</w:t>
            </w:r>
            <w:r>
              <w:rPr>
                <w:bCs/>
                <w:color w:val="auto"/>
                <w:sz w:val="24"/>
                <w:highlight w:val="none"/>
              </w:rPr>
              <w:t>对运营期常规监测提出如下建议要求：</w:t>
            </w:r>
          </w:p>
          <w:p w14:paraId="2D0128C1">
            <w:pPr>
              <w:pStyle w:val="41"/>
              <w:rPr>
                <w:bCs/>
                <w:color w:val="auto"/>
                <w:kern w:val="2"/>
                <w:szCs w:val="21"/>
                <w:highlight w:val="none"/>
              </w:rPr>
            </w:pPr>
            <w:r>
              <w:rPr>
                <w:bCs/>
                <w:color w:val="auto"/>
                <w:kern w:val="2"/>
                <w:szCs w:val="21"/>
                <w:highlight w:val="none"/>
              </w:rPr>
              <w:t>项目环境监测计划表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098"/>
              <w:gridCol w:w="2337"/>
              <w:gridCol w:w="4342"/>
              <w:gridCol w:w="1401"/>
              <w:gridCol w:w="21"/>
            </w:tblGrid>
            <w:tr w14:paraId="3650F9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596" w:type="pct"/>
                  <w:vAlign w:val="center"/>
                </w:tcPr>
                <w:p w14:paraId="00020251">
                  <w:pPr>
                    <w:jc w:val="center"/>
                    <w:rPr>
                      <w:rFonts w:hint="eastAsia" w:eastAsia="宋体"/>
                      <w:b/>
                      <w:bCs/>
                      <w:color w:val="auto"/>
                      <w:szCs w:val="21"/>
                      <w:highlight w:val="none"/>
                      <w:lang w:val="en-US" w:eastAsia="zh-CN"/>
                    </w:rPr>
                  </w:pPr>
                  <w:r>
                    <w:rPr>
                      <w:b/>
                      <w:bCs/>
                      <w:color w:val="auto"/>
                      <w:sz w:val="21"/>
                      <w:szCs w:val="21"/>
                      <w:highlight w:val="none"/>
                    </w:rPr>
                    <w:t>监测项目</w:t>
                  </w:r>
                </w:p>
              </w:tc>
              <w:tc>
                <w:tcPr>
                  <w:tcW w:w="1270" w:type="pct"/>
                  <w:vAlign w:val="center"/>
                </w:tcPr>
                <w:p w14:paraId="036101DD">
                  <w:pPr>
                    <w:jc w:val="center"/>
                    <w:rPr>
                      <w:b/>
                      <w:bCs/>
                      <w:color w:val="auto"/>
                      <w:szCs w:val="21"/>
                      <w:highlight w:val="none"/>
                    </w:rPr>
                  </w:pPr>
                  <w:r>
                    <w:rPr>
                      <w:b/>
                      <w:bCs/>
                      <w:color w:val="auto"/>
                      <w:szCs w:val="21"/>
                      <w:highlight w:val="none"/>
                    </w:rPr>
                    <w:t>监测</w:t>
                  </w:r>
                  <w:r>
                    <w:rPr>
                      <w:rFonts w:hint="eastAsia"/>
                      <w:b/>
                      <w:bCs/>
                      <w:color w:val="auto"/>
                      <w:szCs w:val="21"/>
                      <w:highlight w:val="none"/>
                      <w:lang w:val="en-US" w:eastAsia="zh-CN"/>
                    </w:rPr>
                    <w:t>布点</w:t>
                  </w:r>
                </w:p>
              </w:tc>
              <w:tc>
                <w:tcPr>
                  <w:tcW w:w="2360" w:type="pct"/>
                  <w:vAlign w:val="center"/>
                </w:tcPr>
                <w:p w14:paraId="302E9A84">
                  <w:pPr>
                    <w:jc w:val="center"/>
                    <w:rPr>
                      <w:rFonts w:hint="eastAsia" w:eastAsia="宋体"/>
                      <w:b/>
                      <w:bCs/>
                      <w:color w:val="auto"/>
                      <w:szCs w:val="21"/>
                      <w:highlight w:val="none"/>
                      <w:lang w:val="en-US" w:eastAsia="zh-CN"/>
                    </w:rPr>
                  </w:pPr>
                  <w:r>
                    <w:rPr>
                      <w:b/>
                      <w:bCs/>
                      <w:color w:val="auto"/>
                      <w:szCs w:val="21"/>
                      <w:highlight w:val="none"/>
                    </w:rPr>
                    <w:t>监测</w:t>
                  </w:r>
                  <w:r>
                    <w:rPr>
                      <w:rFonts w:hint="eastAsia"/>
                      <w:b/>
                      <w:bCs/>
                      <w:color w:val="auto"/>
                      <w:szCs w:val="21"/>
                      <w:highlight w:val="none"/>
                      <w:lang w:val="en-US" w:eastAsia="zh-CN"/>
                    </w:rPr>
                    <w:t>因子</w:t>
                  </w:r>
                </w:p>
              </w:tc>
              <w:tc>
                <w:tcPr>
                  <w:tcW w:w="772" w:type="pct"/>
                  <w:gridSpan w:val="2"/>
                  <w:vAlign w:val="center"/>
                </w:tcPr>
                <w:p w14:paraId="3290173F">
                  <w:pPr>
                    <w:jc w:val="center"/>
                    <w:rPr>
                      <w:b/>
                      <w:bCs/>
                      <w:color w:val="auto"/>
                      <w:szCs w:val="21"/>
                      <w:highlight w:val="none"/>
                    </w:rPr>
                  </w:pPr>
                  <w:r>
                    <w:rPr>
                      <w:b/>
                      <w:bCs/>
                      <w:color w:val="auto"/>
                      <w:szCs w:val="21"/>
                      <w:highlight w:val="none"/>
                    </w:rPr>
                    <w:t>监测频次</w:t>
                  </w:r>
                </w:p>
              </w:tc>
            </w:tr>
            <w:tr w14:paraId="527B19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596" w:type="pct"/>
                  <w:vMerge w:val="restart"/>
                  <w:vAlign w:val="center"/>
                </w:tcPr>
                <w:p w14:paraId="4E6A3BAF">
                  <w:pPr>
                    <w:jc w:val="center"/>
                    <w:rPr>
                      <w:color w:val="auto"/>
                      <w:szCs w:val="21"/>
                      <w:highlight w:val="none"/>
                    </w:rPr>
                  </w:pPr>
                  <w:r>
                    <w:rPr>
                      <w:color w:val="auto"/>
                      <w:szCs w:val="21"/>
                      <w:highlight w:val="none"/>
                    </w:rPr>
                    <w:t>废水监测</w:t>
                  </w:r>
                </w:p>
              </w:tc>
              <w:tc>
                <w:tcPr>
                  <w:tcW w:w="1270" w:type="pct"/>
                  <w:vMerge w:val="restart"/>
                  <w:vAlign w:val="center"/>
                </w:tcPr>
                <w:p w14:paraId="6FC6F5F6">
                  <w:pPr>
                    <w:jc w:val="center"/>
                    <w:rPr>
                      <w:rFonts w:hint="eastAsia"/>
                      <w:color w:val="auto"/>
                      <w:szCs w:val="21"/>
                      <w:highlight w:val="none"/>
                      <w:lang w:val="en-US" w:eastAsia="zh-CN"/>
                    </w:rPr>
                  </w:pPr>
                  <w:r>
                    <w:rPr>
                      <w:rFonts w:hint="eastAsia"/>
                      <w:color w:val="auto"/>
                      <w:szCs w:val="21"/>
                      <w:highlight w:val="none"/>
                      <w:lang w:val="en-US" w:eastAsia="zh-CN"/>
                    </w:rPr>
                    <w:t>厂区污水处理站废水</w:t>
                  </w:r>
                  <w:r>
                    <w:rPr>
                      <w:color w:val="auto"/>
                      <w:szCs w:val="21"/>
                      <w:highlight w:val="none"/>
                    </w:rPr>
                    <w:t>排口</w:t>
                  </w:r>
                </w:p>
              </w:tc>
              <w:tc>
                <w:tcPr>
                  <w:tcW w:w="2360" w:type="pct"/>
                  <w:vAlign w:val="center"/>
                </w:tcPr>
                <w:p w14:paraId="07CA17CB">
                  <w:pPr>
                    <w:jc w:val="center"/>
                    <w:rPr>
                      <w:rFonts w:hint="default"/>
                      <w:color w:val="auto"/>
                      <w:szCs w:val="21"/>
                      <w:highlight w:val="none"/>
                      <w:lang w:val="en-US"/>
                    </w:rPr>
                  </w:pPr>
                  <w:r>
                    <w:rPr>
                      <w:color w:val="auto"/>
                      <w:szCs w:val="21"/>
                      <w:highlight w:val="none"/>
                    </w:rPr>
                    <w:t>COD</w:t>
                  </w:r>
                  <w:r>
                    <w:rPr>
                      <w:rFonts w:hint="eastAsia"/>
                      <w:color w:val="auto"/>
                      <w:szCs w:val="21"/>
                      <w:highlight w:val="none"/>
                      <w:vertAlign w:val="subscript"/>
                      <w:lang w:val="en-US" w:eastAsia="zh-CN"/>
                    </w:rPr>
                    <w:t>Cr</w:t>
                  </w:r>
                  <w:r>
                    <w:rPr>
                      <w:color w:val="auto"/>
                      <w:szCs w:val="21"/>
                      <w:highlight w:val="none"/>
                    </w:rPr>
                    <w:t>、NH</w:t>
                  </w:r>
                  <w:r>
                    <w:rPr>
                      <w:color w:val="auto"/>
                      <w:szCs w:val="21"/>
                      <w:highlight w:val="none"/>
                      <w:vertAlign w:val="subscript"/>
                    </w:rPr>
                    <w:t>3</w:t>
                  </w:r>
                  <w:r>
                    <w:rPr>
                      <w:color w:val="auto"/>
                      <w:szCs w:val="21"/>
                      <w:highlight w:val="none"/>
                    </w:rPr>
                    <w:t>-N</w:t>
                  </w:r>
                  <w:r>
                    <w:rPr>
                      <w:rFonts w:hint="eastAsia"/>
                      <w:color w:val="auto"/>
                      <w:szCs w:val="21"/>
                      <w:highlight w:val="none"/>
                      <w:lang w:val="en-US" w:eastAsia="zh-CN"/>
                    </w:rPr>
                    <w:t>、流量</w:t>
                  </w:r>
                </w:p>
              </w:tc>
              <w:tc>
                <w:tcPr>
                  <w:tcW w:w="772" w:type="pct"/>
                  <w:gridSpan w:val="2"/>
                  <w:vAlign w:val="center"/>
                </w:tcPr>
                <w:p w14:paraId="1ACBEE1A">
                  <w:pPr>
                    <w:jc w:val="center"/>
                    <w:rPr>
                      <w:rFonts w:hint="default" w:eastAsia="宋体"/>
                      <w:color w:val="auto"/>
                      <w:szCs w:val="21"/>
                      <w:highlight w:val="none"/>
                      <w:lang w:val="en-US" w:eastAsia="zh-CN"/>
                    </w:rPr>
                  </w:pPr>
                  <w:r>
                    <w:rPr>
                      <w:rFonts w:hint="eastAsia"/>
                      <w:color w:val="auto"/>
                      <w:szCs w:val="21"/>
                      <w:highlight w:val="none"/>
                      <w:lang w:val="en-US" w:eastAsia="zh-CN"/>
                    </w:rPr>
                    <w:t>1次/周</w:t>
                  </w:r>
                </w:p>
              </w:tc>
            </w:tr>
            <w:tr w14:paraId="5B3CA9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51" w:hRule="atLeast"/>
                <w:jc w:val="center"/>
              </w:trPr>
              <w:tc>
                <w:tcPr>
                  <w:tcW w:w="596" w:type="pct"/>
                  <w:vMerge w:val="continue"/>
                  <w:vAlign w:val="center"/>
                </w:tcPr>
                <w:p w14:paraId="1722DD87">
                  <w:pPr>
                    <w:jc w:val="center"/>
                    <w:rPr>
                      <w:rFonts w:hint="eastAsia"/>
                      <w:color w:val="auto"/>
                      <w:szCs w:val="21"/>
                      <w:highlight w:val="none"/>
                      <w:lang w:val="en-US" w:eastAsia="zh-CN"/>
                    </w:rPr>
                  </w:pPr>
                </w:p>
              </w:tc>
              <w:tc>
                <w:tcPr>
                  <w:tcW w:w="1270" w:type="pct"/>
                  <w:vMerge w:val="continue"/>
                  <w:vAlign w:val="center"/>
                </w:tcPr>
                <w:p w14:paraId="09312A06">
                  <w:pPr>
                    <w:jc w:val="center"/>
                    <w:rPr>
                      <w:rFonts w:hint="eastAsia"/>
                      <w:color w:val="auto"/>
                      <w:szCs w:val="21"/>
                      <w:highlight w:val="none"/>
                      <w:lang w:val="en-US" w:eastAsia="zh-CN"/>
                    </w:rPr>
                  </w:pPr>
                </w:p>
              </w:tc>
              <w:tc>
                <w:tcPr>
                  <w:tcW w:w="2360" w:type="pct"/>
                  <w:vAlign w:val="center"/>
                </w:tcPr>
                <w:p w14:paraId="7561954F">
                  <w:pPr>
                    <w:jc w:val="center"/>
                    <w:rPr>
                      <w:color w:val="auto"/>
                      <w:szCs w:val="21"/>
                      <w:highlight w:val="none"/>
                    </w:rPr>
                  </w:pPr>
                  <w:r>
                    <w:rPr>
                      <w:color w:val="auto"/>
                      <w:szCs w:val="21"/>
                      <w:highlight w:val="none"/>
                    </w:rPr>
                    <w:t>pH、</w:t>
                  </w:r>
                  <w:r>
                    <w:rPr>
                      <w:rFonts w:hint="eastAsia"/>
                      <w:color w:val="auto"/>
                      <w:szCs w:val="21"/>
                      <w:highlight w:val="none"/>
                      <w:lang w:val="en-US" w:eastAsia="zh-CN"/>
                    </w:rPr>
                    <w:t>悬浮物、总氮、总磷、石油类、硫化物、挥发酚</w:t>
                  </w:r>
                </w:p>
              </w:tc>
              <w:tc>
                <w:tcPr>
                  <w:tcW w:w="772" w:type="pct"/>
                  <w:gridSpan w:val="2"/>
                  <w:vAlign w:val="center"/>
                </w:tcPr>
                <w:p w14:paraId="60A97055">
                  <w:pPr>
                    <w:jc w:val="center"/>
                    <w:rPr>
                      <w:rFonts w:hint="eastAsia" w:eastAsia="宋体"/>
                      <w:color w:val="auto"/>
                      <w:szCs w:val="21"/>
                      <w:highlight w:val="none"/>
                      <w:lang w:val="en-US" w:eastAsia="zh-CN"/>
                    </w:rPr>
                  </w:pPr>
                  <w:r>
                    <w:rPr>
                      <w:color w:val="auto"/>
                      <w:szCs w:val="21"/>
                      <w:highlight w:val="none"/>
                    </w:rPr>
                    <w:t>1次/</w:t>
                  </w:r>
                  <w:r>
                    <w:rPr>
                      <w:rFonts w:hint="eastAsia"/>
                      <w:color w:val="auto"/>
                      <w:szCs w:val="21"/>
                      <w:highlight w:val="none"/>
                      <w:lang w:val="en-US" w:eastAsia="zh-CN"/>
                    </w:rPr>
                    <w:t>月</w:t>
                  </w:r>
                </w:p>
              </w:tc>
            </w:tr>
            <w:tr w14:paraId="673020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596" w:type="pct"/>
                  <w:vMerge w:val="continue"/>
                  <w:vAlign w:val="center"/>
                </w:tcPr>
                <w:p w14:paraId="03BCAF13">
                  <w:pPr>
                    <w:jc w:val="center"/>
                    <w:rPr>
                      <w:rFonts w:hint="eastAsia"/>
                      <w:color w:val="auto"/>
                      <w:szCs w:val="21"/>
                      <w:highlight w:val="none"/>
                      <w:lang w:val="en-US" w:eastAsia="zh-CN"/>
                    </w:rPr>
                  </w:pPr>
                </w:p>
              </w:tc>
              <w:tc>
                <w:tcPr>
                  <w:tcW w:w="1270" w:type="pct"/>
                  <w:vMerge w:val="continue"/>
                  <w:vAlign w:val="center"/>
                </w:tcPr>
                <w:p w14:paraId="1DE0E3D0">
                  <w:pPr>
                    <w:jc w:val="center"/>
                    <w:rPr>
                      <w:rFonts w:hint="eastAsia"/>
                      <w:color w:val="auto"/>
                      <w:szCs w:val="21"/>
                      <w:highlight w:val="none"/>
                      <w:lang w:val="en-US" w:eastAsia="zh-CN"/>
                    </w:rPr>
                  </w:pPr>
                </w:p>
              </w:tc>
              <w:tc>
                <w:tcPr>
                  <w:tcW w:w="2360" w:type="pct"/>
                  <w:vAlign w:val="center"/>
                </w:tcPr>
                <w:p w14:paraId="19C3BBB9">
                  <w:pPr>
                    <w:jc w:val="center"/>
                    <w:rPr>
                      <w:rFonts w:hint="default"/>
                      <w:color w:val="auto"/>
                      <w:szCs w:val="21"/>
                      <w:highlight w:val="none"/>
                      <w:vertAlign w:val="baseline"/>
                      <w:lang w:val="en-US"/>
                    </w:rPr>
                  </w:pPr>
                  <w:r>
                    <w:rPr>
                      <w:rFonts w:hint="eastAsia"/>
                      <w:color w:val="auto"/>
                      <w:szCs w:val="21"/>
                      <w:highlight w:val="none"/>
                      <w:lang w:val="en-US" w:eastAsia="zh-CN"/>
                    </w:rPr>
                    <w:t>BOD</w:t>
                  </w:r>
                  <w:r>
                    <w:rPr>
                      <w:rFonts w:hint="eastAsia"/>
                      <w:color w:val="auto"/>
                      <w:szCs w:val="21"/>
                      <w:highlight w:val="none"/>
                      <w:vertAlign w:val="subscript"/>
                      <w:lang w:val="en-US" w:eastAsia="zh-CN"/>
                    </w:rPr>
                    <w:t>5</w:t>
                  </w:r>
                  <w:r>
                    <w:rPr>
                      <w:rFonts w:hint="eastAsia"/>
                      <w:color w:val="auto"/>
                      <w:szCs w:val="21"/>
                      <w:highlight w:val="none"/>
                      <w:vertAlign w:val="baseline"/>
                      <w:lang w:val="en-US" w:eastAsia="zh-CN"/>
                    </w:rPr>
                    <w:t>、总有机碳、氟化物、总钒、总铜、总锌、总氰化物、可吸附有机卤化物</w:t>
                  </w:r>
                </w:p>
              </w:tc>
              <w:tc>
                <w:tcPr>
                  <w:tcW w:w="772" w:type="pct"/>
                  <w:gridSpan w:val="2"/>
                  <w:vAlign w:val="center"/>
                </w:tcPr>
                <w:p w14:paraId="5BF3B503">
                  <w:pPr>
                    <w:jc w:val="center"/>
                    <w:rPr>
                      <w:rFonts w:hint="eastAsia" w:eastAsia="宋体"/>
                      <w:color w:val="auto"/>
                      <w:szCs w:val="21"/>
                      <w:highlight w:val="none"/>
                      <w:lang w:val="en-US" w:eastAsia="zh-CN"/>
                    </w:rPr>
                  </w:pPr>
                  <w:r>
                    <w:rPr>
                      <w:color w:val="auto"/>
                      <w:szCs w:val="21"/>
                      <w:highlight w:val="none"/>
                    </w:rPr>
                    <w:t>1次/</w:t>
                  </w:r>
                  <w:r>
                    <w:rPr>
                      <w:rFonts w:hint="eastAsia"/>
                      <w:color w:val="auto"/>
                      <w:szCs w:val="21"/>
                      <w:highlight w:val="none"/>
                      <w:lang w:val="en-US" w:eastAsia="zh-CN"/>
                    </w:rPr>
                    <w:t>季度</w:t>
                  </w:r>
                </w:p>
              </w:tc>
            </w:tr>
            <w:tr w14:paraId="41733C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596" w:type="pct"/>
                  <w:vMerge w:val="continue"/>
                  <w:vAlign w:val="center"/>
                </w:tcPr>
                <w:p w14:paraId="30AEFC49">
                  <w:pPr>
                    <w:jc w:val="center"/>
                    <w:rPr>
                      <w:color w:val="auto"/>
                      <w:szCs w:val="21"/>
                      <w:highlight w:val="none"/>
                    </w:rPr>
                  </w:pPr>
                </w:p>
              </w:tc>
              <w:tc>
                <w:tcPr>
                  <w:tcW w:w="1270" w:type="pct"/>
                  <w:vMerge w:val="continue"/>
                  <w:vAlign w:val="center"/>
                </w:tcPr>
                <w:p w14:paraId="617CF828">
                  <w:pPr>
                    <w:jc w:val="center"/>
                    <w:rPr>
                      <w:color w:val="auto"/>
                      <w:szCs w:val="21"/>
                      <w:highlight w:val="none"/>
                    </w:rPr>
                  </w:pPr>
                </w:p>
              </w:tc>
              <w:tc>
                <w:tcPr>
                  <w:tcW w:w="2360" w:type="pct"/>
                  <w:vAlign w:val="center"/>
                </w:tcPr>
                <w:p w14:paraId="15680359">
                  <w:pPr>
                    <w:jc w:val="center"/>
                    <w:rPr>
                      <w:rFonts w:hint="default"/>
                      <w:color w:val="auto"/>
                      <w:szCs w:val="21"/>
                      <w:highlight w:val="none"/>
                      <w:lang w:val="en-US"/>
                    </w:rPr>
                  </w:pPr>
                  <w:r>
                    <w:rPr>
                      <w:rFonts w:hint="eastAsia"/>
                      <w:color w:val="auto"/>
                      <w:szCs w:val="21"/>
                      <w:highlight w:val="none"/>
                      <w:lang w:val="en-US" w:eastAsia="zh-CN"/>
                    </w:rPr>
                    <w:t>总磷、悬浮物、石油类、挥发酚、动植物油、TOC</w:t>
                  </w:r>
                </w:p>
              </w:tc>
              <w:tc>
                <w:tcPr>
                  <w:tcW w:w="772" w:type="pct"/>
                  <w:gridSpan w:val="2"/>
                  <w:vAlign w:val="center"/>
                </w:tcPr>
                <w:p w14:paraId="4BB7CC2B">
                  <w:pPr>
                    <w:jc w:val="center"/>
                    <w:rPr>
                      <w:rFonts w:hint="eastAsia" w:eastAsia="宋体"/>
                      <w:color w:val="auto"/>
                      <w:szCs w:val="21"/>
                      <w:highlight w:val="none"/>
                      <w:lang w:eastAsia="zh-CN"/>
                    </w:rPr>
                  </w:pPr>
                  <w:r>
                    <w:rPr>
                      <w:color w:val="auto"/>
                      <w:szCs w:val="21"/>
                      <w:highlight w:val="none"/>
                    </w:rPr>
                    <w:t>1次/</w:t>
                  </w:r>
                  <w:r>
                    <w:rPr>
                      <w:rFonts w:hint="eastAsia"/>
                      <w:color w:val="auto"/>
                      <w:szCs w:val="21"/>
                      <w:highlight w:val="none"/>
                      <w:lang w:val="en-US" w:eastAsia="zh-CN"/>
                    </w:rPr>
                    <w:t>年</w:t>
                  </w:r>
                </w:p>
              </w:tc>
            </w:tr>
            <w:tr w14:paraId="1A0270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596" w:type="pct"/>
                  <w:vMerge w:val="continue"/>
                  <w:vAlign w:val="center"/>
                </w:tcPr>
                <w:p w14:paraId="35EBBD2A">
                  <w:pPr>
                    <w:jc w:val="center"/>
                    <w:rPr>
                      <w:rFonts w:hint="default" w:eastAsia="宋体"/>
                      <w:color w:val="auto"/>
                      <w:szCs w:val="21"/>
                      <w:highlight w:val="none"/>
                      <w:lang w:val="en-US" w:eastAsia="zh-CN"/>
                    </w:rPr>
                  </w:pPr>
                </w:p>
              </w:tc>
              <w:tc>
                <w:tcPr>
                  <w:tcW w:w="1270" w:type="pct"/>
                  <w:vAlign w:val="center"/>
                </w:tcPr>
                <w:p w14:paraId="1D441392">
                  <w:pPr>
                    <w:jc w:val="center"/>
                    <w:rPr>
                      <w:rFonts w:hint="eastAsia"/>
                      <w:color w:val="auto"/>
                      <w:szCs w:val="21"/>
                      <w:highlight w:val="none"/>
                      <w:lang w:val="en-US" w:eastAsia="zh-CN"/>
                    </w:rPr>
                  </w:pPr>
                  <w:r>
                    <w:rPr>
                      <w:rFonts w:hint="eastAsia"/>
                      <w:color w:val="auto"/>
                      <w:szCs w:val="21"/>
                      <w:highlight w:val="none"/>
                      <w:lang w:val="en-US" w:eastAsia="zh-CN"/>
                    </w:rPr>
                    <w:t>雨水排放口</w:t>
                  </w:r>
                </w:p>
              </w:tc>
              <w:tc>
                <w:tcPr>
                  <w:tcW w:w="2360" w:type="pct"/>
                  <w:vAlign w:val="center"/>
                </w:tcPr>
                <w:p w14:paraId="3F0B33FD">
                  <w:pPr>
                    <w:jc w:val="center"/>
                    <w:rPr>
                      <w:rFonts w:hint="default" w:eastAsia="宋体"/>
                      <w:color w:val="auto"/>
                      <w:szCs w:val="21"/>
                      <w:highlight w:val="none"/>
                      <w:lang w:val="en-US" w:eastAsia="zh-CN"/>
                    </w:rPr>
                  </w:pPr>
                  <w:r>
                    <w:rPr>
                      <w:rFonts w:hint="eastAsia"/>
                      <w:color w:val="auto"/>
                      <w:szCs w:val="21"/>
                      <w:highlight w:val="none"/>
                      <w:lang w:val="en-US" w:eastAsia="zh-CN"/>
                    </w:rPr>
                    <w:t>pH值、</w:t>
                  </w:r>
                  <w:r>
                    <w:rPr>
                      <w:color w:val="auto"/>
                      <w:szCs w:val="21"/>
                      <w:highlight w:val="none"/>
                    </w:rPr>
                    <w:t>COD</w:t>
                  </w:r>
                  <w:r>
                    <w:rPr>
                      <w:rFonts w:hint="eastAsia"/>
                      <w:color w:val="auto"/>
                      <w:szCs w:val="21"/>
                      <w:highlight w:val="none"/>
                      <w:vertAlign w:val="subscript"/>
                      <w:lang w:val="en-US" w:eastAsia="zh-CN"/>
                    </w:rPr>
                    <w:t>Cr</w:t>
                  </w:r>
                  <w:r>
                    <w:rPr>
                      <w:color w:val="auto"/>
                      <w:szCs w:val="21"/>
                      <w:highlight w:val="none"/>
                    </w:rPr>
                    <w:t>、NH</w:t>
                  </w:r>
                  <w:r>
                    <w:rPr>
                      <w:color w:val="auto"/>
                      <w:szCs w:val="21"/>
                      <w:highlight w:val="none"/>
                      <w:vertAlign w:val="subscript"/>
                    </w:rPr>
                    <w:t>3</w:t>
                  </w:r>
                  <w:r>
                    <w:rPr>
                      <w:color w:val="auto"/>
                      <w:szCs w:val="21"/>
                      <w:highlight w:val="none"/>
                    </w:rPr>
                    <w:t>-N</w:t>
                  </w:r>
                  <w:r>
                    <w:rPr>
                      <w:rFonts w:hint="eastAsia"/>
                      <w:color w:val="auto"/>
                      <w:szCs w:val="21"/>
                      <w:highlight w:val="none"/>
                      <w:lang w:eastAsia="zh-CN"/>
                    </w:rPr>
                    <w:t>、</w:t>
                  </w:r>
                  <w:r>
                    <w:rPr>
                      <w:rFonts w:hint="eastAsia"/>
                      <w:color w:val="auto"/>
                      <w:szCs w:val="21"/>
                      <w:highlight w:val="none"/>
                      <w:lang w:val="en-US" w:eastAsia="zh-CN"/>
                    </w:rPr>
                    <w:t>悬浮物</w:t>
                  </w:r>
                </w:p>
              </w:tc>
              <w:tc>
                <w:tcPr>
                  <w:tcW w:w="772" w:type="pct"/>
                  <w:gridSpan w:val="2"/>
                  <w:vAlign w:val="center"/>
                </w:tcPr>
                <w:p w14:paraId="1046FA4A">
                  <w:pPr>
                    <w:jc w:val="center"/>
                    <w:rPr>
                      <w:rFonts w:hint="default" w:eastAsia="宋体"/>
                      <w:color w:val="auto"/>
                      <w:szCs w:val="21"/>
                      <w:highlight w:val="none"/>
                      <w:lang w:val="en-US" w:eastAsia="zh-CN"/>
                    </w:rPr>
                  </w:pPr>
                  <w:r>
                    <w:rPr>
                      <w:rFonts w:hint="eastAsia"/>
                      <w:color w:val="auto"/>
                      <w:szCs w:val="21"/>
                      <w:highlight w:val="none"/>
                      <w:lang w:val="en-US" w:eastAsia="zh-CN"/>
                    </w:rPr>
                    <w:t>1次/日（雨水排放期间）</w:t>
                  </w:r>
                </w:p>
              </w:tc>
            </w:tr>
            <w:tr w14:paraId="5DDE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330" w:hRule="atLeast"/>
                <w:jc w:val="center"/>
              </w:trPr>
              <w:tc>
                <w:tcPr>
                  <w:tcW w:w="596" w:type="pct"/>
                  <w:vMerge w:val="restart"/>
                  <w:shd w:val="clear" w:color="auto" w:fill="auto"/>
                  <w:vAlign w:val="center"/>
                </w:tcPr>
                <w:p w14:paraId="58159441">
                  <w:pPr>
                    <w:jc w:val="center"/>
                    <w:rPr>
                      <w:color w:val="auto"/>
                      <w:sz w:val="21"/>
                      <w:szCs w:val="21"/>
                      <w:highlight w:val="none"/>
                    </w:rPr>
                  </w:pPr>
                  <w:r>
                    <w:rPr>
                      <w:rFonts w:hint="eastAsia"/>
                      <w:color w:val="auto"/>
                      <w:sz w:val="21"/>
                      <w:szCs w:val="21"/>
                      <w:highlight w:val="none"/>
                      <w:lang w:val="en-US" w:eastAsia="zh-CN"/>
                    </w:rPr>
                    <w:t>大气</w:t>
                  </w:r>
                  <w:r>
                    <w:rPr>
                      <w:color w:val="auto"/>
                      <w:sz w:val="21"/>
                      <w:szCs w:val="21"/>
                      <w:highlight w:val="none"/>
                    </w:rPr>
                    <w:t>监测</w:t>
                  </w:r>
                </w:p>
              </w:tc>
              <w:tc>
                <w:tcPr>
                  <w:tcW w:w="1270" w:type="pct"/>
                  <w:shd w:val="clear" w:color="auto" w:fill="auto"/>
                  <w:vAlign w:val="center"/>
                </w:tcPr>
                <w:p w14:paraId="72E80410">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厂区边界</w:t>
                  </w:r>
                </w:p>
              </w:tc>
              <w:tc>
                <w:tcPr>
                  <w:tcW w:w="2360" w:type="pct"/>
                  <w:shd w:val="clear" w:color="auto" w:fill="auto"/>
                  <w:vAlign w:val="center"/>
                </w:tcPr>
                <w:p w14:paraId="4AE0A876">
                  <w:pPr>
                    <w:jc w:val="center"/>
                    <w:rPr>
                      <w:rFonts w:hint="default"/>
                      <w:color w:val="auto"/>
                      <w:sz w:val="21"/>
                      <w:szCs w:val="21"/>
                      <w:highlight w:val="none"/>
                      <w:lang w:val="en-US"/>
                    </w:rPr>
                  </w:pPr>
                  <w:r>
                    <w:rPr>
                      <w:rFonts w:hint="eastAsia"/>
                      <w:color w:val="auto"/>
                      <w:sz w:val="21"/>
                      <w:szCs w:val="21"/>
                      <w:highlight w:val="none"/>
                      <w:lang w:val="en-US" w:eastAsia="zh-CN"/>
                    </w:rPr>
                    <w:t>非甲烷总烃、颗粒物、氨、硫化氢、臭气浓度</w:t>
                  </w:r>
                </w:p>
              </w:tc>
              <w:tc>
                <w:tcPr>
                  <w:tcW w:w="761" w:type="pct"/>
                  <w:shd w:val="clear" w:color="auto" w:fill="auto"/>
                  <w:vAlign w:val="center"/>
                </w:tcPr>
                <w:p w14:paraId="4E3A759D">
                  <w:pPr>
                    <w:jc w:val="center"/>
                    <w:rPr>
                      <w:rFonts w:hint="eastAsia" w:eastAsia="宋体"/>
                      <w:color w:val="auto"/>
                      <w:sz w:val="21"/>
                      <w:szCs w:val="21"/>
                      <w:highlight w:val="none"/>
                      <w:lang w:eastAsia="zh-CN"/>
                    </w:rPr>
                  </w:pPr>
                  <w:r>
                    <w:rPr>
                      <w:color w:val="auto"/>
                      <w:sz w:val="21"/>
                      <w:szCs w:val="21"/>
                      <w:highlight w:val="none"/>
                    </w:rPr>
                    <w:t>1次/</w:t>
                  </w:r>
                  <w:r>
                    <w:rPr>
                      <w:rFonts w:hint="eastAsia"/>
                      <w:color w:val="auto"/>
                      <w:sz w:val="21"/>
                      <w:szCs w:val="21"/>
                      <w:highlight w:val="none"/>
                      <w:lang w:val="en-US" w:eastAsia="zh-CN"/>
                    </w:rPr>
                    <w:t>季度</w:t>
                  </w:r>
                </w:p>
              </w:tc>
            </w:tr>
            <w:tr w14:paraId="1484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330" w:hRule="atLeast"/>
                <w:jc w:val="center"/>
              </w:trPr>
              <w:tc>
                <w:tcPr>
                  <w:tcW w:w="596" w:type="pct"/>
                  <w:vMerge w:val="continue"/>
                  <w:shd w:val="clear" w:color="auto" w:fill="auto"/>
                  <w:vAlign w:val="center"/>
                </w:tcPr>
                <w:p w14:paraId="3C13953C">
                  <w:pPr>
                    <w:jc w:val="center"/>
                    <w:rPr>
                      <w:color w:val="auto"/>
                      <w:sz w:val="21"/>
                      <w:szCs w:val="21"/>
                      <w:highlight w:val="none"/>
                    </w:rPr>
                  </w:pPr>
                </w:p>
              </w:tc>
              <w:tc>
                <w:tcPr>
                  <w:tcW w:w="1270" w:type="pct"/>
                  <w:shd w:val="clear" w:color="auto" w:fill="auto"/>
                  <w:vAlign w:val="center"/>
                </w:tcPr>
                <w:p w14:paraId="7E7D32B2">
                  <w:pPr>
                    <w:jc w:val="center"/>
                    <w:rPr>
                      <w:rFonts w:hint="eastAsia"/>
                      <w:color w:val="auto"/>
                      <w:sz w:val="21"/>
                      <w:szCs w:val="21"/>
                      <w:highlight w:val="none"/>
                      <w:lang w:val="en-US" w:eastAsia="zh-CN"/>
                    </w:rPr>
                  </w:pPr>
                  <w:r>
                    <w:rPr>
                      <w:rFonts w:hint="eastAsia"/>
                      <w:color w:val="auto"/>
                      <w:sz w:val="21"/>
                      <w:szCs w:val="21"/>
                      <w:highlight w:val="none"/>
                      <w:lang w:val="en-US" w:eastAsia="zh-CN"/>
                    </w:rPr>
                    <w:t>泵、阀门、开口阀或开口管线、泄压设备、取样连接系统</w:t>
                  </w:r>
                </w:p>
              </w:tc>
              <w:tc>
                <w:tcPr>
                  <w:tcW w:w="2360" w:type="pct"/>
                  <w:shd w:val="clear" w:color="auto" w:fill="auto"/>
                  <w:vAlign w:val="center"/>
                </w:tcPr>
                <w:p w14:paraId="2F7E84C0">
                  <w:pPr>
                    <w:jc w:val="center"/>
                    <w:rPr>
                      <w:rFonts w:hint="eastAsia"/>
                      <w:color w:val="auto"/>
                      <w:sz w:val="21"/>
                      <w:szCs w:val="21"/>
                      <w:highlight w:val="none"/>
                      <w:lang w:val="en-US" w:eastAsia="zh-CN"/>
                    </w:rPr>
                  </w:pPr>
                  <w:r>
                    <w:rPr>
                      <w:rFonts w:hint="eastAsia"/>
                      <w:color w:val="auto"/>
                      <w:sz w:val="21"/>
                      <w:szCs w:val="21"/>
                      <w:highlight w:val="none"/>
                      <w:lang w:val="en-US" w:eastAsia="zh-CN"/>
                    </w:rPr>
                    <w:t>挥发性有机物</w:t>
                  </w:r>
                </w:p>
              </w:tc>
              <w:tc>
                <w:tcPr>
                  <w:tcW w:w="761" w:type="pct"/>
                  <w:shd w:val="clear" w:color="auto" w:fill="auto"/>
                  <w:vAlign w:val="center"/>
                </w:tcPr>
                <w:p w14:paraId="225B7DD9">
                  <w:pPr>
                    <w:jc w:val="center"/>
                    <w:rPr>
                      <w:color w:val="auto"/>
                      <w:sz w:val="21"/>
                      <w:szCs w:val="21"/>
                      <w:highlight w:val="none"/>
                    </w:rPr>
                  </w:pPr>
                  <w:r>
                    <w:rPr>
                      <w:color w:val="auto"/>
                      <w:sz w:val="21"/>
                      <w:szCs w:val="21"/>
                      <w:highlight w:val="none"/>
                    </w:rPr>
                    <w:t>1次/</w:t>
                  </w:r>
                  <w:r>
                    <w:rPr>
                      <w:rFonts w:hint="eastAsia"/>
                      <w:color w:val="auto"/>
                      <w:sz w:val="21"/>
                      <w:szCs w:val="21"/>
                      <w:highlight w:val="none"/>
                      <w:lang w:val="en-US" w:eastAsia="zh-CN"/>
                    </w:rPr>
                    <w:t>季度</w:t>
                  </w:r>
                </w:p>
              </w:tc>
            </w:tr>
            <w:tr w14:paraId="0792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330" w:hRule="atLeast"/>
                <w:jc w:val="center"/>
              </w:trPr>
              <w:tc>
                <w:tcPr>
                  <w:tcW w:w="596" w:type="pct"/>
                  <w:vMerge w:val="continue"/>
                  <w:shd w:val="clear" w:color="auto" w:fill="auto"/>
                  <w:vAlign w:val="center"/>
                </w:tcPr>
                <w:p w14:paraId="1ECDDC1D">
                  <w:pPr>
                    <w:jc w:val="center"/>
                    <w:rPr>
                      <w:color w:val="auto"/>
                      <w:sz w:val="21"/>
                      <w:szCs w:val="21"/>
                      <w:highlight w:val="none"/>
                    </w:rPr>
                  </w:pPr>
                </w:p>
              </w:tc>
              <w:tc>
                <w:tcPr>
                  <w:tcW w:w="1270" w:type="pct"/>
                  <w:shd w:val="clear" w:color="auto" w:fill="auto"/>
                  <w:vAlign w:val="center"/>
                </w:tcPr>
                <w:p w14:paraId="72F9D2E7">
                  <w:pPr>
                    <w:jc w:val="center"/>
                    <w:rPr>
                      <w:rFonts w:hint="default"/>
                      <w:color w:val="auto"/>
                      <w:sz w:val="21"/>
                      <w:szCs w:val="21"/>
                      <w:highlight w:val="none"/>
                      <w:lang w:val="en-US" w:eastAsia="zh-CN"/>
                    </w:rPr>
                  </w:pPr>
                  <w:r>
                    <w:rPr>
                      <w:rFonts w:hint="eastAsia"/>
                      <w:color w:val="auto"/>
                      <w:sz w:val="21"/>
                      <w:szCs w:val="21"/>
                      <w:highlight w:val="none"/>
                      <w:lang w:val="en-US" w:eastAsia="zh-CN"/>
                    </w:rPr>
                    <w:t>法兰及其他连接件、其他密封设备</w:t>
                  </w:r>
                </w:p>
              </w:tc>
              <w:tc>
                <w:tcPr>
                  <w:tcW w:w="2360" w:type="pct"/>
                  <w:shd w:val="clear" w:color="auto" w:fill="auto"/>
                  <w:vAlign w:val="center"/>
                </w:tcPr>
                <w:p w14:paraId="2C53D2C8">
                  <w:pPr>
                    <w:jc w:val="center"/>
                    <w:rPr>
                      <w:rFonts w:hint="default"/>
                      <w:color w:val="auto"/>
                      <w:sz w:val="21"/>
                      <w:szCs w:val="21"/>
                      <w:highlight w:val="none"/>
                      <w:lang w:val="en-US" w:eastAsia="zh-CN"/>
                    </w:rPr>
                  </w:pPr>
                  <w:r>
                    <w:rPr>
                      <w:rFonts w:hint="eastAsia"/>
                      <w:color w:val="auto"/>
                      <w:sz w:val="21"/>
                      <w:szCs w:val="21"/>
                      <w:highlight w:val="none"/>
                      <w:lang w:val="en-US" w:eastAsia="zh-CN"/>
                    </w:rPr>
                    <w:t>挥发性有机物</w:t>
                  </w:r>
                </w:p>
              </w:tc>
              <w:tc>
                <w:tcPr>
                  <w:tcW w:w="761" w:type="pct"/>
                  <w:shd w:val="clear" w:color="auto" w:fill="auto"/>
                  <w:vAlign w:val="center"/>
                </w:tcPr>
                <w:p w14:paraId="0EAC4EED">
                  <w:pPr>
                    <w:jc w:val="center"/>
                    <w:rPr>
                      <w:rFonts w:hint="eastAsia" w:eastAsia="宋体"/>
                      <w:color w:val="auto"/>
                      <w:sz w:val="21"/>
                      <w:szCs w:val="21"/>
                      <w:highlight w:val="none"/>
                      <w:lang w:val="en-US" w:eastAsia="zh-CN"/>
                    </w:rPr>
                  </w:pPr>
                  <w:r>
                    <w:rPr>
                      <w:color w:val="auto"/>
                      <w:sz w:val="21"/>
                      <w:szCs w:val="21"/>
                      <w:highlight w:val="none"/>
                    </w:rPr>
                    <w:t>1次/</w:t>
                  </w:r>
                  <w:r>
                    <w:rPr>
                      <w:rFonts w:hint="eastAsia"/>
                      <w:color w:val="auto"/>
                      <w:sz w:val="21"/>
                      <w:szCs w:val="21"/>
                      <w:highlight w:val="none"/>
                      <w:lang w:val="en-US" w:eastAsia="zh-CN"/>
                    </w:rPr>
                    <w:t>半年</w:t>
                  </w:r>
                </w:p>
              </w:tc>
            </w:tr>
            <w:tr w14:paraId="16A4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330" w:hRule="atLeast"/>
                <w:jc w:val="center"/>
              </w:trPr>
              <w:tc>
                <w:tcPr>
                  <w:tcW w:w="596" w:type="pct"/>
                  <w:vMerge w:val="continue"/>
                  <w:shd w:val="clear" w:color="auto" w:fill="auto"/>
                  <w:vAlign w:val="center"/>
                </w:tcPr>
                <w:p w14:paraId="2BA79871">
                  <w:pPr>
                    <w:jc w:val="center"/>
                    <w:rPr>
                      <w:color w:val="auto"/>
                      <w:sz w:val="21"/>
                      <w:szCs w:val="21"/>
                      <w:highlight w:val="none"/>
                    </w:rPr>
                  </w:pPr>
                </w:p>
              </w:tc>
              <w:tc>
                <w:tcPr>
                  <w:tcW w:w="1270" w:type="pct"/>
                  <w:vMerge w:val="restart"/>
                  <w:shd w:val="clear" w:color="auto" w:fill="auto"/>
                  <w:vAlign w:val="center"/>
                </w:tcPr>
                <w:p w14:paraId="338E7F18">
                  <w:pPr>
                    <w:keepNext w:val="0"/>
                    <w:keepLines w:val="0"/>
                    <w:widowControl/>
                    <w:suppressLineNumbers w:val="0"/>
                    <w:jc w:val="center"/>
                    <w:rPr>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工艺废气排</w:t>
                  </w:r>
                  <w:r>
                    <w:rPr>
                      <w:rFonts w:hint="eastAsia" w:cs="Times New Roman"/>
                      <w:color w:val="auto"/>
                      <w:kern w:val="2"/>
                      <w:sz w:val="21"/>
                      <w:szCs w:val="21"/>
                      <w:highlight w:val="none"/>
                      <w:lang w:val="en-US" w:eastAsia="zh-CN" w:bidi="ar-SA"/>
                    </w:rPr>
                    <w:t>口</w:t>
                  </w:r>
                </w:p>
              </w:tc>
              <w:tc>
                <w:tcPr>
                  <w:tcW w:w="2360" w:type="pct"/>
                  <w:shd w:val="clear" w:color="auto" w:fill="auto"/>
                  <w:vAlign w:val="center"/>
                </w:tcPr>
                <w:p w14:paraId="43BC16F3">
                  <w:pPr>
                    <w:jc w:val="center"/>
                    <w:rPr>
                      <w:color w:val="auto"/>
                      <w:sz w:val="21"/>
                      <w:szCs w:val="21"/>
                      <w:highlight w:val="none"/>
                    </w:rPr>
                  </w:pPr>
                  <w:r>
                    <w:rPr>
                      <w:rFonts w:hint="eastAsia"/>
                      <w:color w:val="auto"/>
                      <w:sz w:val="21"/>
                      <w:szCs w:val="21"/>
                      <w:highlight w:val="none"/>
                      <w:lang w:val="en-US" w:eastAsia="zh-CN"/>
                    </w:rPr>
                    <w:t>非甲烷总烃</w:t>
                  </w:r>
                </w:p>
              </w:tc>
              <w:tc>
                <w:tcPr>
                  <w:tcW w:w="761" w:type="pct"/>
                  <w:shd w:val="clear" w:color="auto" w:fill="auto"/>
                  <w:vAlign w:val="center"/>
                </w:tcPr>
                <w:p w14:paraId="0F7F8AB5">
                  <w:pPr>
                    <w:jc w:val="center"/>
                    <w:rPr>
                      <w:color w:val="auto"/>
                      <w:sz w:val="21"/>
                      <w:szCs w:val="21"/>
                      <w:highlight w:val="none"/>
                    </w:rPr>
                  </w:pPr>
                  <w:r>
                    <w:rPr>
                      <w:color w:val="auto"/>
                      <w:sz w:val="21"/>
                      <w:szCs w:val="21"/>
                      <w:highlight w:val="none"/>
                    </w:rPr>
                    <w:t>1次/月</w:t>
                  </w:r>
                </w:p>
              </w:tc>
            </w:tr>
            <w:tr w14:paraId="01A4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330" w:hRule="atLeast"/>
                <w:jc w:val="center"/>
              </w:trPr>
              <w:tc>
                <w:tcPr>
                  <w:tcW w:w="596" w:type="pct"/>
                  <w:vMerge w:val="continue"/>
                  <w:shd w:val="clear" w:color="auto" w:fill="auto"/>
                  <w:vAlign w:val="center"/>
                </w:tcPr>
                <w:p w14:paraId="27836373">
                  <w:pPr>
                    <w:jc w:val="center"/>
                    <w:rPr>
                      <w:color w:val="auto"/>
                      <w:sz w:val="21"/>
                      <w:szCs w:val="21"/>
                      <w:highlight w:val="none"/>
                    </w:rPr>
                  </w:pPr>
                </w:p>
              </w:tc>
              <w:tc>
                <w:tcPr>
                  <w:tcW w:w="1270" w:type="pct"/>
                  <w:vMerge w:val="continue"/>
                  <w:shd w:val="clear" w:color="auto" w:fill="auto"/>
                  <w:vAlign w:val="center"/>
                </w:tcPr>
                <w:p w14:paraId="6BF5B212">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p>
              </w:tc>
              <w:tc>
                <w:tcPr>
                  <w:tcW w:w="2360" w:type="pct"/>
                  <w:shd w:val="clear" w:color="auto" w:fill="auto"/>
                  <w:vAlign w:val="center"/>
                </w:tcPr>
                <w:p w14:paraId="058F2E2D">
                  <w:pPr>
                    <w:jc w:val="center"/>
                    <w:rPr>
                      <w:rFonts w:hint="eastAsia"/>
                      <w:color w:val="auto"/>
                      <w:sz w:val="21"/>
                      <w:szCs w:val="21"/>
                      <w:highlight w:val="none"/>
                      <w:lang w:val="en-US" w:eastAsia="zh-CN"/>
                    </w:rPr>
                  </w:pPr>
                  <w:r>
                    <w:rPr>
                      <w:color w:val="auto"/>
                      <w:sz w:val="21"/>
                      <w:szCs w:val="21"/>
                      <w:highlight w:val="none"/>
                    </w:rPr>
                    <w:t>氨</w:t>
                  </w:r>
                </w:p>
              </w:tc>
              <w:tc>
                <w:tcPr>
                  <w:tcW w:w="761" w:type="pct"/>
                  <w:shd w:val="clear" w:color="auto" w:fill="auto"/>
                  <w:vAlign w:val="center"/>
                </w:tcPr>
                <w:p w14:paraId="7D8D1DFA">
                  <w:pPr>
                    <w:jc w:val="center"/>
                    <w:rPr>
                      <w:color w:val="auto"/>
                      <w:sz w:val="21"/>
                      <w:szCs w:val="21"/>
                      <w:highlight w:val="none"/>
                    </w:rPr>
                  </w:pPr>
                  <w:r>
                    <w:rPr>
                      <w:color w:val="auto"/>
                      <w:sz w:val="21"/>
                      <w:szCs w:val="21"/>
                      <w:highlight w:val="none"/>
                    </w:rPr>
                    <w:t>1次/</w:t>
                  </w:r>
                  <w:r>
                    <w:rPr>
                      <w:rFonts w:hint="eastAsia"/>
                      <w:color w:val="auto"/>
                      <w:sz w:val="21"/>
                      <w:szCs w:val="21"/>
                      <w:highlight w:val="none"/>
                    </w:rPr>
                    <w:t>半</w:t>
                  </w:r>
                  <w:r>
                    <w:rPr>
                      <w:color w:val="auto"/>
                      <w:sz w:val="21"/>
                      <w:szCs w:val="21"/>
                      <w:highlight w:val="none"/>
                    </w:rPr>
                    <w:t>年</w:t>
                  </w:r>
                </w:p>
              </w:tc>
            </w:tr>
            <w:tr w14:paraId="6C15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43" w:hRule="atLeast"/>
                <w:jc w:val="center"/>
              </w:trPr>
              <w:tc>
                <w:tcPr>
                  <w:tcW w:w="596" w:type="pct"/>
                  <w:vMerge w:val="continue"/>
                  <w:shd w:val="clear" w:color="auto" w:fill="auto"/>
                  <w:vAlign w:val="center"/>
                </w:tcPr>
                <w:p w14:paraId="14E9B981">
                  <w:pPr>
                    <w:jc w:val="center"/>
                    <w:rPr>
                      <w:color w:val="auto"/>
                      <w:sz w:val="21"/>
                      <w:szCs w:val="21"/>
                      <w:highlight w:val="none"/>
                    </w:rPr>
                  </w:pPr>
                </w:p>
              </w:tc>
              <w:tc>
                <w:tcPr>
                  <w:tcW w:w="1270" w:type="pct"/>
                  <w:vMerge w:val="restart"/>
                  <w:shd w:val="clear" w:color="auto" w:fill="auto"/>
                  <w:vAlign w:val="center"/>
                </w:tcPr>
                <w:p w14:paraId="087FBB6C">
                  <w:pPr>
                    <w:jc w:val="center"/>
                    <w:rPr>
                      <w:color w:val="auto"/>
                      <w:sz w:val="21"/>
                      <w:szCs w:val="21"/>
                      <w:highlight w:val="none"/>
                    </w:rPr>
                  </w:pPr>
                  <w:r>
                    <w:rPr>
                      <w:color w:val="auto"/>
                      <w:sz w:val="21"/>
                      <w:szCs w:val="21"/>
                      <w:highlight w:val="none"/>
                    </w:rPr>
                    <w:t>DA00</w:t>
                  </w:r>
                  <w:r>
                    <w:rPr>
                      <w:rFonts w:hint="eastAsia"/>
                      <w:color w:val="auto"/>
                      <w:sz w:val="21"/>
                      <w:szCs w:val="21"/>
                      <w:highlight w:val="none"/>
                      <w:lang w:val="en-US" w:eastAsia="zh-CN"/>
                    </w:rPr>
                    <w:t>2（</w:t>
                  </w:r>
                  <w:r>
                    <w:rPr>
                      <w:rFonts w:hint="eastAsia" w:ascii="Times New Roman" w:hAnsi="Times New Roman"/>
                      <w:color w:val="auto"/>
                      <w:szCs w:val="21"/>
                      <w:highlight w:val="none"/>
                      <w:lang w:val="en-US" w:eastAsia="zh-CN"/>
                    </w:rPr>
                    <w:t>燃气</w:t>
                  </w:r>
                  <w:r>
                    <w:rPr>
                      <w:rFonts w:hint="eastAsia" w:ascii="Times New Roman" w:hAnsi="Times New Roman"/>
                      <w:color w:val="auto"/>
                      <w:szCs w:val="21"/>
                      <w:highlight w:val="none"/>
                    </w:rPr>
                    <w:t>锅炉废气</w:t>
                  </w:r>
                  <w:r>
                    <w:rPr>
                      <w:rFonts w:hint="eastAsia" w:ascii="Times New Roman" w:hAnsi="Times New Roman"/>
                      <w:color w:val="auto"/>
                      <w:szCs w:val="21"/>
                      <w:highlight w:val="none"/>
                      <w:lang w:val="en-US" w:eastAsia="zh-CN"/>
                    </w:rPr>
                    <w:t>排口</w:t>
                  </w:r>
                  <w:r>
                    <w:rPr>
                      <w:rFonts w:hint="eastAsia"/>
                      <w:color w:val="auto"/>
                      <w:sz w:val="21"/>
                      <w:szCs w:val="21"/>
                      <w:highlight w:val="none"/>
                      <w:lang w:val="en-US" w:eastAsia="zh-CN"/>
                    </w:rPr>
                    <w:t>）</w:t>
                  </w:r>
                </w:p>
              </w:tc>
              <w:tc>
                <w:tcPr>
                  <w:tcW w:w="2360" w:type="pct"/>
                  <w:shd w:val="clear" w:color="auto" w:fill="auto"/>
                  <w:vAlign w:val="center"/>
                </w:tcPr>
                <w:p w14:paraId="4D396DDD">
                  <w:pPr>
                    <w:jc w:val="center"/>
                    <w:rPr>
                      <w:rFonts w:hint="eastAsia" w:eastAsia="宋体"/>
                      <w:color w:val="auto"/>
                      <w:sz w:val="21"/>
                      <w:szCs w:val="21"/>
                      <w:highlight w:val="none"/>
                      <w:lang w:eastAsia="zh-CN"/>
                    </w:rPr>
                  </w:pPr>
                  <w:r>
                    <w:rPr>
                      <w:color w:val="auto"/>
                      <w:sz w:val="21"/>
                      <w:szCs w:val="21"/>
                      <w:highlight w:val="none"/>
                    </w:rPr>
                    <w:t>NOx</w:t>
                  </w:r>
                </w:p>
              </w:tc>
              <w:tc>
                <w:tcPr>
                  <w:tcW w:w="761" w:type="pct"/>
                  <w:shd w:val="clear" w:color="auto" w:fill="auto"/>
                  <w:vAlign w:val="center"/>
                </w:tcPr>
                <w:p w14:paraId="4C46CFB5">
                  <w:pPr>
                    <w:jc w:val="center"/>
                    <w:rPr>
                      <w:rFonts w:hint="eastAsia" w:eastAsia="宋体"/>
                      <w:color w:val="auto"/>
                      <w:sz w:val="21"/>
                      <w:szCs w:val="21"/>
                      <w:highlight w:val="none"/>
                      <w:lang w:val="en-US" w:eastAsia="zh-CN"/>
                    </w:rPr>
                  </w:pPr>
                  <w:r>
                    <w:rPr>
                      <w:color w:val="auto"/>
                      <w:sz w:val="21"/>
                      <w:szCs w:val="21"/>
                      <w:highlight w:val="none"/>
                    </w:rPr>
                    <w:t>1次/月</w:t>
                  </w:r>
                </w:p>
              </w:tc>
            </w:tr>
            <w:tr w14:paraId="3214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43" w:hRule="atLeast"/>
                <w:jc w:val="center"/>
              </w:trPr>
              <w:tc>
                <w:tcPr>
                  <w:tcW w:w="596" w:type="pct"/>
                  <w:vMerge w:val="continue"/>
                  <w:shd w:val="clear" w:color="auto" w:fill="auto"/>
                  <w:vAlign w:val="center"/>
                </w:tcPr>
                <w:p w14:paraId="49C719A4">
                  <w:pPr>
                    <w:jc w:val="center"/>
                    <w:rPr>
                      <w:color w:val="auto"/>
                      <w:sz w:val="21"/>
                      <w:szCs w:val="21"/>
                      <w:highlight w:val="none"/>
                    </w:rPr>
                  </w:pPr>
                </w:p>
              </w:tc>
              <w:tc>
                <w:tcPr>
                  <w:tcW w:w="1270" w:type="pct"/>
                  <w:vMerge w:val="continue"/>
                  <w:shd w:val="clear" w:color="auto" w:fill="auto"/>
                  <w:vAlign w:val="center"/>
                </w:tcPr>
                <w:p w14:paraId="57A693CF">
                  <w:pPr>
                    <w:jc w:val="center"/>
                    <w:rPr>
                      <w:color w:val="auto"/>
                      <w:sz w:val="21"/>
                      <w:szCs w:val="21"/>
                      <w:highlight w:val="none"/>
                    </w:rPr>
                  </w:pPr>
                </w:p>
              </w:tc>
              <w:tc>
                <w:tcPr>
                  <w:tcW w:w="2360" w:type="pct"/>
                  <w:shd w:val="clear" w:color="auto" w:fill="auto"/>
                  <w:vAlign w:val="center"/>
                </w:tcPr>
                <w:p w14:paraId="0BF0ADED">
                  <w:pPr>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r>
                    <w:rPr>
                      <w:color w:val="auto"/>
                      <w:sz w:val="21"/>
                      <w:szCs w:val="21"/>
                      <w:highlight w:val="none"/>
                    </w:rPr>
                    <w:t>、颗粒物</w:t>
                  </w:r>
                  <w:r>
                    <w:rPr>
                      <w:rFonts w:hint="eastAsia"/>
                      <w:color w:val="auto"/>
                      <w:sz w:val="21"/>
                      <w:szCs w:val="21"/>
                      <w:highlight w:val="none"/>
                      <w:lang w:eastAsia="zh-CN"/>
                    </w:rPr>
                    <w:t>、</w:t>
                  </w:r>
                  <w:r>
                    <w:rPr>
                      <w:color w:val="auto"/>
                      <w:sz w:val="21"/>
                      <w:szCs w:val="21"/>
                      <w:highlight w:val="none"/>
                    </w:rPr>
                    <w:t>林格曼黑度</w:t>
                  </w:r>
                </w:p>
              </w:tc>
              <w:tc>
                <w:tcPr>
                  <w:tcW w:w="761" w:type="pct"/>
                  <w:shd w:val="clear" w:color="auto" w:fill="auto"/>
                  <w:vAlign w:val="center"/>
                </w:tcPr>
                <w:p w14:paraId="72081771">
                  <w:pPr>
                    <w:jc w:val="center"/>
                    <w:rPr>
                      <w:color w:val="auto"/>
                      <w:sz w:val="21"/>
                      <w:szCs w:val="21"/>
                      <w:highlight w:val="none"/>
                    </w:rPr>
                  </w:pPr>
                  <w:r>
                    <w:rPr>
                      <w:color w:val="auto"/>
                      <w:sz w:val="21"/>
                      <w:szCs w:val="21"/>
                      <w:highlight w:val="none"/>
                    </w:rPr>
                    <w:t>1次/年</w:t>
                  </w:r>
                </w:p>
              </w:tc>
            </w:tr>
            <w:tr w14:paraId="5B8E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43" w:hRule="atLeast"/>
                <w:jc w:val="center"/>
              </w:trPr>
              <w:tc>
                <w:tcPr>
                  <w:tcW w:w="596" w:type="pct"/>
                  <w:vMerge w:val="continue"/>
                  <w:shd w:val="clear" w:color="auto" w:fill="auto"/>
                  <w:vAlign w:val="center"/>
                </w:tcPr>
                <w:p w14:paraId="6249F134">
                  <w:pPr>
                    <w:jc w:val="center"/>
                    <w:rPr>
                      <w:color w:val="auto"/>
                      <w:sz w:val="21"/>
                      <w:szCs w:val="21"/>
                      <w:highlight w:val="none"/>
                    </w:rPr>
                  </w:pPr>
                </w:p>
              </w:tc>
              <w:tc>
                <w:tcPr>
                  <w:tcW w:w="1270" w:type="pct"/>
                  <w:vMerge w:val="restart"/>
                  <w:shd w:val="clear" w:color="auto" w:fill="auto"/>
                  <w:vAlign w:val="center"/>
                </w:tcPr>
                <w:p w14:paraId="0FEACCB6">
                  <w:pPr>
                    <w:jc w:val="center"/>
                    <w:rPr>
                      <w:color w:val="auto"/>
                      <w:sz w:val="21"/>
                      <w:szCs w:val="21"/>
                      <w:highlight w:val="none"/>
                    </w:rPr>
                  </w:pPr>
                  <w:r>
                    <w:rPr>
                      <w:color w:val="auto"/>
                      <w:sz w:val="21"/>
                      <w:szCs w:val="21"/>
                      <w:highlight w:val="none"/>
                    </w:rPr>
                    <w:t>DA00</w:t>
                  </w:r>
                  <w:r>
                    <w:rPr>
                      <w:rFonts w:hint="eastAsia"/>
                      <w:color w:val="auto"/>
                      <w:sz w:val="21"/>
                      <w:szCs w:val="21"/>
                      <w:highlight w:val="none"/>
                      <w:lang w:val="en-US" w:eastAsia="zh-CN"/>
                    </w:rPr>
                    <w:t>3</w:t>
                  </w:r>
                  <w:r>
                    <w:rPr>
                      <w:color w:val="auto"/>
                      <w:sz w:val="21"/>
                      <w:szCs w:val="21"/>
                      <w:highlight w:val="none"/>
                    </w:rPr>
                    <w:t>（</w:t>
                  </w:r>
                  <w:r>
                    <w:rPr>
                      <w:rFonts w:hint="eastAsia" w:ascii="Times New Roman" w:hAnsi="Times New Roman"/>
                      <w:color w:val="auto"/>
                      <w:szCs w:val="21"/>
                      <w:highlight w:val="none"/>
                    </w:rPr>
                    <w:t>污水处理站废气排</w:t>
                  </w:r>
                  <w:r>
                    <w:rPr>
                      <w:rFonts w:hint="eastAsia" w:ascii="Times New Roman" w:hAnsi="Times New Roman"/>
                      <w:color w:val="auto"/>
                      <w:szCs w:val="21"/>
                      <w:highlight w:val="none"/>
                      <w:lang w:val="en-US" w:eastAsia="zh-CN"/>
                    </w:rPr>
                    <w:t>口</w:t>
                  </w:r>
                  <w:r>
                    <w:rPr>
                      <w:color w:val="auto"/>
                      <w:sz w:val="21"/>
                      <w:szCs w:val="21"/>
                      <w:highlight w:val="none"/>
                    </w:rPr>
                    <w:t>）</w:t>
                  </w:r>
                </w:p>
              </w:tc>
              <w:tc>
                <w:tcPr>
                  <w:tcW w:w="2360" w:type="pct"/>
                  <w:shd w:val="clear" w:color="auto" w:fill="auto"/>
                  <w:vAlign w:val="center"/>
                </w:tcPr>
                <w:p w14:paraId="7CAAB3A2">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非甲烷总烃、硫化氢</w:t>
                  </w:r>
                </w:p>
              </w:tc>
              <w:tc>
                <w:tcPr>
                  <w:tcW w:w="761" w:type="pct"/>
                  <w:shd w:val="clear" w:color="auto" w:fill="auto"/>
                  <w:vAlign w:val="center"/>
                </w:tcPr>
                <w:p w14:paraId="4A33B50E">
                  <w:pPr>
                    <w:jc w:val="center"/>
                    <w:rPr>
                      <w:rFonts w:hint="eastAsia" w:eastAsia="宋体"/>
                      <w:color w:val="auto"/>
                      <w:sz w:val="21"/>
                      <w:szCs w:val="21"/>
                      <w:highlight w:val="none"/>
                      <w:lang w:val="en-US" w:eastAsia="zh-CN"/>
                    </w:rPr>
                  </w:pPr>
                  <w:r>
                    <w:rPr>
                      <w:color w:val="auto"/>
                      <w:sz w:val="21"/>
                      <w:szCs w:val="21"/>
                      <w:highlight w:val="none"/>
                    </w:rPr>
                    <w:t>1次/</w:t>
                  </w:r>
                  <w:r>
                    <w:rPr>
                      <w:rFonts w:hint="eastAsia"/>
                      <w:color w:val="auto"/>
                      <w:sz w:val="21"/>
                      <w:szCs w:val="21"/>
                      <w:highlight w:val="none"/>
                      <w:lang w:val="en-US" w:eastAsia="zh-CN"/>
                    </w:rPr>
                    <w:t>月</w:t>
                  </w:r>
                </w:p>
              </w:tc>
            </w:tr>
            <w:tr w14:paraId="5731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43" w:hRule="atLeast"/>
                <w:jc w:val="center"/>
              </w:trPr>
              <w:tc>
                <w:tcPr>
                  <w:tcW w:w="596" w:type="pct"/>
                  <w:vMerge w:val="continue"/>
                  <w:shd w:val="clear" w:color="auto" w:fill="auto"/>
                  <w:vAlign w:val="center"/>
                </w:tcPr>
                <w:p w14:paraId="21A31D17">
                  <w:pPr>
                    <w:jc w:val="center"/>
                    <w:rPr>
                      <w:color w:val="auto"/>
                      <w:sz w:val="21"/>
                      <w:szCs w:val="21"/>
                      <w:highlight w:val="none"/>
                    </w:rPr>
                  </w:pPr>
                </w:p>
              </w:tc>
              <w:tc>
                <w:tcPr>
                  <w:tcW w:w="1270" w:type="pct"/>
                  <w:vMerge w:val="continue"/>
                  <w:shd w:val="clear" w:color="auto" w:fill="auto"/>
                  <w:vAlign w:val="center"/>
                </w:tcPr>
                <w:p w14:paraId="47B73F55">
                  <w:pPr>
                    <w:jc w:val="center"/>
                    <w:rPr>
                      <w:color w:val="auto"/>
                      <w:sz w:val="21"/>
                      <w:szCs w:val="21"/>
                      <w:highlight w:val="none"/>
                    </w:rPr>
                  </w:pPr>
                </w:p>
              </w:tc>
              <w:tc>
                <w:tcPr>
                  <w:tcW w:w="2360" w:type="pct"/>
                  <w:shd w:val="clear" w:color="auto" w:fill="auto"/>
                  <w:vAlign w:val="center"/>
                </w:tcPr>
                <w:p w14:paraId="51AA004A">
                  <w:pPr>
                    <w:jc w:val="center"/>
                    <w:rPr>
                      <w:rFonts w:hint="default" w:eastAsia="宋体"/>
                      <w:color w:val="auto"/>
                      <w:sz w:val="21"/>
                      <w:szCs w:val="21"/>
                      <w:highlight w:val="none"/>
                      <w:lang w:val="en-US" w:eastAsia="zh-CN"/>
                    </w:rPr>
                  </w:pPr>
                  <w:r>
                    <w:rPr>
                      <w:color w:val="auto"/>
                      <w:sz w:val="21"/>
                      <w:szCs w:val="21"/>
                      <w:highlight w:val="none"/>
                    </w:rPr>
                    <w:t>氨</w:t>
                  </w:r>
                  <w:r>
                    <w:rPr>
                      <w:rFonts w:hint="eastAsia"/>
                      <w:color w:val="auto"/>
                      <w:sz w:val="21"/>
                      <w:szCs w:val="21"/>
                      <w:highlight w:val="none"/>
                      <w:lang w:eastAsia="zh-CN"/>
                    </w:rPr>
                    <w:t>、</w:t>
                  </w:r>
                  <w:r>
                    <w:rPr>
                      <w:rFonts w:hint="eastAsia"/>
                      <w:color w:val="auto"/>
                      <w:sz w:val="21"/>
                      <w:szCs w:val="21"/>
                      <w:highlight w:val="none"/>
                      <w:lang w:val="en-US" w:eastAsia="zh-CN"/>
                    </w:rPr>
                    <w:t>臭气浓度</w:t>
                  </w:r>
                </w:p>
              </w:tc>
              <w:tc>
                <w:tcPr>
                  <w:tcW w:w="761" w:type="pct"/>
                  <w:shd w:val="clear" w:color="auto" w:fill="auto"/>
                  <w:vAlign w:val="center"/>
                </w:tcPr>
                <w:p w14:paraId="440DD9FC">
                  <w:pPr>
                    <w:jc w:val="center"/>
                    <w:rPr>
                      <w:color w:val="auto"/>
                      <w:sz w:val="21"/>
                      <w:szCs w:val="21"/>
                      <w:highlight w:val="none"/>
                    </w:rPr>
                  </w:pPr>
                  <w:r>
                    <w:rPr>
                      <w:color w:val="auto"/>
                      <w:sz w:val="21"/>
                      <w:szCs w:val="21"/>
                      <w:highlight w:val="none"/>
                    </w:rPr>
                    <w:t>1次/</w:t>
                  </w:r>
                  <w:r>
                    <w:rPr>
                      <w:rFonts w:hint="eastAsia"/>
                      <w:color w:val="auto"/>
                      <w:sz w:val="21"/>
                      <w:szCs w:val="21"/>
                      <w:highlight w:val="none"/>
                      <w:lang w:val="en-US" w:eastAsia="zh-CN"/>
                    </w:rPr>
                    <w:t>半</w:t>
                  </w:r>
                  <w:r>
                    <w:rPr>
                      <w:color w:val="auto"/>
                      <w:sz w:val="21"/>
                      <w:szCs w:val="21"/>
                      <w:highlight w:val="none"/>
                    </w:rPr>
                    <w:t>年</w:t>
                  </w:r>
                </w:p>
              </w:tc>
            </w:tr>
            <w:tr w14:paraId="03A0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43" w:hRule="atLeast"/>
                <w:jc w:val="center"/>
              </w:trPr>
              <w:tc>
                <w:tcPr>
                  <w:tcW w:w="596" w:type="pct"/>
                  <w:vMerge w:val="continue"/>
                  <w:shd w:val="clear" w:color="auto" w:fill="auto"/>
                  <w:vAlign w:val="center"/>
                </w:tcPr>
                <w:p w14:paraId="77F572DB">
                  <w:pPr>
                    <w:jc w:val="center"/>
                    <w:rPr>
                      <w:color w:val="auto"/>
                      <w:sz w:val="21"/>
                      <w:szCs w:val="21"/>
                      <w:highlight w:val="none"/>
                    </w:rPr>
                  </w:pPr>
                </w:p>
              </w:tc>
              <w:tc>
                <w:tcPr>
                  <w:tcW w:w="1270" w:type="pct"/>
                  <w:shd w:val="clear" w:color="auto" w:fill="auto"/>
                  <w:vAlign w:val="center"/>
                </w:tcPr>
                <w:p w14:paraId="1D54C9BA">
                  <w:pPr>
                    <w:jc w:val="center"/>
                    <w:rPr>
                      <w:color w:val="auto"/>
                      <w:sz w:val="21"/>
                      <w:szCs w:val="21"/>
                      <w:highlight w:val="none"/>
                    </w:rPr>
                  </w:pPr>
                  <w:r>
                    <w:rPr>
                      <w:rFonts w:hint="eastAsia"/>
                      <w:color w:val="auto"/>
                      <w:sz w:val="21"/>
                      <w:szCs w:val="21"/>
                      <w:highlight w:val="none"/>
                      <w:lang w:val="en-US" w:eastAsia="zh-CN"/>
                    </w:rPr>
                    <w:t>DA004（</w:t>
                  </w:r>
                  <w:r>
                    <w:rPr>
                      <w:color w:val="auto"/>
                      <w:sz w:val="21"/>
                      <w:szCs w:val="21"/>
                      <w:highlight w:val="none"/>
                    </w:rPr>
                    <w:t>化验室气体排气筒</w:t>
                  </w:r>
                  <w:r>
                    <w:rPr>
                      <w:rFonts w:hint="eastAsia"/>
                      <w:color w:val="auto"/>
                      <w:sz w:val="21"/>
                      <w:szCs w:val="21"/>
                      <w:highlight w:val="none"/>
                      <w:lang w:val="en-US" w:eastAsia="zh-CN"/>
                    </w:rPr>
                    <w:t>）</w:t>
                  </w:r>
                </w:p>
              </w:tc>
              <w:tc>
                <w:tcPr>
                  <w:tcW w:w="2360" w:type="pct"/>
                  <w:shd w:val="clear" w:color="auto" w:fill="auto"/>
                  <w:vAlign w:val="center"/>
                </w:tcPr>
                <w:p w14:paraId="3E8B6467">
                  <w:pPr>
                    <w:jc w:val="center"/>
                    <w:rPr>
                      <w:color w:val="auto"/>
                      <w:sz w:val="21"/>
                      <w:szCs w:val="21"/>
                      <w:highlight w:val="none"/>
                    </w:rPr>
                  </w:pPr>
                  <w:r>
                    <w:rPr>
                      <w:rFonts w:hint="eastAsia"/>
                      <w:color w:val="auto"/>
                      <w:sz w:val="21"/>
                      <w:szCs w:val="21"/>
                      <w:highlight w:val="none"/>
                      <w:lang w:val="en-US" w:eastAsia="zh-CN"/>
                    </w:rPr>
                    <w:t>非甲烷总烃</w:t>
                  </w:r>
                </w:p>
              </w:tc>
              <w:tc>
                <w:tcPr>
                  <w:tcW w:w="761" w:type="pct"/>
                  <w:shd w:val="clear" w:color="auto" w:fill="auto"/>
                  <w:vAlign w:val="center"/>
                </w:tcPr>
                <w:p w14:paraId="0387207C">
                  <w:pPr>
                    <w:jc w:val="center"/>
                    <w:rPr>
                      <w:color w:val="auto"/>
                      <w:sz w:val="21"/>
                      <w:szCs w:val="21"/>
                      <w:highlight w:val="none"/>
                    </w:rPr>
                  </w:pPr>
                  <w:r>
                    <w:rPr>
                      <w:color w:val="auto"/>
                      <w:sz w:val="21"/>
                      <w:szCs w:val="21"/>
                      <w:highlight w:val="none"/>
                    </w:rPr>
                    <w:t>1次/月</w:t>
                  </w:r>
                </w:p>
              </w:tc>
            </w:tr>
            <w:tr w14:paraId="77D4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43" w:hRule="atLeast"/>
                <w:jc w:val="center"/>
              </w:trPr>
              <w:tc>
                <w:tcPr>
                  <w:tcW w:w="596" w:type="pct"/>
                  <w:shd w:val="clear" w:color="auto" w:fill="auto"/>
                  <w:vAlign w:val="center"/>
                </w:tcPr>
                <w:p w14:paraId="3BA4FC35">
                  <w:pPr>
                    <w:jc w:val="center"/>
                    <w:rPr>
                      <w:color w:val="auto"/>
                      <w:sz w:val="21"/>
                      <w:szCs w:val="21"/>
                      <w:highlight w:val="none"/>
                    </w:rPr>
                  </w:pPr>
                  <w:r>
                    <w:rPr>
                      <w:color w:val="auto"/>
                      <w:szCs w:val="21"/>
                      <w:highlight w:val="none"/>
                    </w:rPr>
                    <w:t>噪声监测</w:t>
                  </w:r>
                </w:p>
              </w:tc>
              <w:tc>
                <w:tcPr>
                  <w:tcW w:w="1270" w:type="pct"/>
                  <w:shd w:val="clear" w:color="auto" w:fill="auto"/>
                  <w:vAlign w:val="center"/>
                </w:tcPr>
                <w:p w14:paraId="1A7EB3D2">
                  <w:pPr>
                    <w:jc w:val="center"/>
                    <w:rPr>
                      <w:rFonts w:hint="eastAsia"/>
                      <w:color w:val="auto"/>
                      <w:sz w:val="21"/>
                      <w:szCs w:val="21"/>
                      <w:highlight w:val="none"/>
                      <w:lang w:val="en-US" w:eastAsia="zh-CN"/>
                    </w:rPr>
                  </w:pPr>
                  <w:r>
                    <w:rPr>
                      <w:color w:val="auto"/>
                      <w:szCs w:val="21"/>
                      <w:highlight w:val="none"/>
                    </w:rPr>
                    <w:t>项目场界四周共设置4个监测点</w:t>
                  </w:r>
                </w:p>
              </w:tc>
              <w:tc>
                <w:tcPr>
                  <w:tcW w:w="2360" w:type="pct"/>
                  <w:shd w:val="clear" w:color="auto" w:fill="auto"/>
                  <w:vAlign w:val="center"/>
                </w:tcPr>
                <w:p w14:paraId="20E0C28C">
                  <w:pPr>
                    <w:jc w:val="center"/>
                    <w:rPr>
                      <w:rFonts w:hint="eastAsia"/>
                      <w:color w:val="auto"/>
                      <w:sz w:val="21"/>
                      <w:szCs w:val="21"/>
                      <w:highlight w:val="none"/>
                      <w:lang w:val="en-US" w:eastAsia="zh-CN"/>
                    </w:rPr>
                  </w:pPr>
                  <w:r>
                    <w:rPr>
                      <w:color w:val="auto"/>
                      <w:szCs w:val="21"/>
                      <w:highlight w:val="none"/>
                    </w:rPr>
                    <w:t>等效连续A声级</w:t>
                  </w:r>
                </w:p>
              </w:tc>
              <w:tc>
                <w:tcPr>
                  <w:tcW w:w="761" w:type="pct"/>
                  <w:shd w:val="clear" w:color="auto" w:fill="auto"/>
                  <w:vAlign w:val="center"/>
                </w:tcPr>
                <w:p w14:paraId="4C76B7E7">
                  <w:pPr>
                    <w:jc w:val="center"/>
                    <w:rPr>
                      <w:color w:val="auto"/>
                      <w:sz w:val="21"/>
                      <w:szCs w:val="21"/>
                      <w:highlight w:val="none"/>
                    </w:rPr>
                  </w:pPr>
                  <w:r>
                    <w:rPr>
                      <w:color w:val="auto"/>
                      <w:szCs w:val="21"/>
                      <w:highlight w:val="none"/>
                    </w:rPr>
                    <w:t>1次/</w:t>
                  </w:r>
                  <w:r>
                    <w:rPr>
                      <w:rFonts w:hint="eastAsia"/>
                      <w:color w:val="auto"/>
                      <w:szCs w:val="21"/>
                      <w:highlight w:val="none"/>
                    </w:rPr>
                    <w:t>季</w:t>
                  </w:r>
                </w:p>
              </w:tc>
            </w:tr>
          </w:tbl>
          <w:p w14:paraId="47B4D8A5">
            <w:pPr>
              <w:tabs>
                <w:tab w:val="center" w:pos="4026"/>
              </w:tabs>
              <w:spacing w:line="360" w:lineRule="auto"/>
              <w:ind w:firstLine="482" w:firstLineChars="200"/>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eastAsia="zh-CN"/>
              </w:rPr>
              <w:t>）排污管理</w:t>
            </w:r>
          </w:p>
          <w:p w14:paraId="4D2E6C0C">
            <w:pPr>
              <w:spacing w:line="360" w:lineRule="auto"/>
              <w:ind w:firstLine="480" w:firstLineChars="200"/>
              <w:rPr>
                <w:color w:val="auto"/>
                <w:sz w:val="24"/>
                <w:highlight w:val="none"/>
              </w:rPr>
            </w:pPr>
            <w:r>
              <w:rPr>
                <w:color w:val="auto"/>
                <w:sz w:val="24"/>
                <w:highlight w:val="none"/>
              </w:rPr>
              <w:t>排污口是企业污染物进入环境、污染环境的通道，强化排污口的管理是实施污染物总量控制的基础工作之一，也是区域环境管理逐步实现污染物排放科学化、定量化的重要手段。</w:t>
            </w:r>
          </w:p>
          <w:p w14:paraId="7B86552C">
            <w:pPr>
              <w:spacing w:line="360" w:lineRule="auto"/>
              <w:ind w:firstLine="480" w:firstLineChars="200"/>
              <w:rPr>
                <w:color w:val="auto"/>
                <w:sz w:val="24"/>
                <w:highlight w:val="none"/>
              </w:rPr>
            </w:pPr>
            <w:r>
              <w:rPr>
                <w:color w:val="auto"/>
                <w:sz w:val="24"/>
                <w:highlight w:val="none"/>
              </w:rPr>
              <w:t>本项目</w:t>
            </w:r>
            <w:r>
              <w:rPr>
                <w:rFonts w:hint="eastAsia"/>
                <w:color w:val="auto"/>
                <w:sz w:val="24"/>
                <w:highlight w:val="none"/>
                <w:lang w:val="en-US" w:eastAsia="zh-CN"/>
              </w:rPr>
              <w:t>废气均依托现有排气筒，各排气筒已按国家相关规定设有</w:t>
            </w:r>
            <w:r>
              <w:rPr>
                <w:color w:val="auto"/>
                <w:sz w:val="24"/>
                <w:highlight w:val="none"/>
              </w:rPr>
              <w:t>永久测试孔、采样平台（有必要时设置）和排污口标志</w:t>
            </w:r>
            <w:r>
              <w:rPr>
                <w:rFonts w:hint="eastAsia"/>
                <w:color w:val="auto"/>
                <w:sz w:val="24"/>
                <w:highlight w:val="none"/>
                <w:lang w:val="en-US" w:eastAsia="zh-CN"/>
              </w:rPr>
              <w:t>等</w:t>
            </w:r>
            <w:r>
              <w:rPr>
                <w:color w:val="auto"/>
                <w:sz w:val="24"/>
                <w:highlight w:val="none"/>
              </w:rPr>
              <w:t>，</w:t>
            </w:r>
            <w:r>
              <w:rPr>
                <w:rFonts w:hint="eastAsia"/>
                <w:color w:val="auto"/>
                <w:sz w:val="24"/>
                <w:highlight w:val="none"/>
                <w:lang w:val="en-US" w:eastAsia="zh-CN"/>
              </w:rPr>
              <w:t>可进行后续</w:t>
            </w:r>
            <w:r>
              <w:rPr>
                <w:color w:val="auto"/>
                <w:sz w:val="24"/>
                <w:highlight w:val="none"/>
              </w:rPr>
              <w:t>日常监控。</w:t>
            </w:r>
          </w:p>
          <w:p w14:paraId="1BCA9E2E">
            <w:pPr>
              <w:spacing w:line="360" w:lineRule="auto"/>
              <w:ind w:firstLine="480" w:firstLineChars="200"/>
              <w:rPr>
                <w:color w:val="auto"/>
                <w:sz w:val="24"/>
                <w:highlight w:val="none"/>
              </w:rPr>
            </w:pPr>
            <w:r>
              <w:rPr>
                <w:rFonts w:hint="eastAsia"/>
                <w:color w:val="auto"/>
                <w:sz w:val="24"/>
                <w:highlight w:val="none"/>
                <w:lang w:val="en-US" w:eastAsia="zh-CN"/>
              </w:rPr>
              <w:t>项目正式投运前，应对照《固定污染源排污许可分类管理名录》（2019年版），及时填报排污许可信息并公开。</w:t>
            </w:r>
            <w:r>
              <w:rPr>
                <w:color w:val="auto"/>
                <w:sz w:val="24"/>
                <w:highlight w:val="none"/>
              </w:rPr>
              <w:t>投产运行后，应建立各主要污染物类别、数量、浓度、排放方式、排放去向、达标情况等的</w:t>
            </w:r>
            <w:r>
              <w:rPr>
                <w:rFonts w:hint="eastAsia"/>
                <w:color w:val="auto"/>
                <w:sz w:val="24"/>
                <w:highlight w:val="none"/>
              </w:rPr>
              <w:t>台账</w:t>
            </w:r>
            <w:r>
              <w:rPr>
                <w:color w:val="auto"/>
                <w:sz w:val="24"/>
                <w:highlight w:val="none"/>
              </w:rPr>
              <w:t>，并按生态环境部门要求及时上报。</w:t>
            </w:r>
          </w:p>
          <w:p w14:paraId="527A996D">
            <w:pPr>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lang w:val="en-US" w:eastAsia="zh-CN"/>
              </w:rPr>
              <w:t>5</w:t>
            </w:r>
            <w:r>
              <w:rPr>
                <w:b/>
                <w:color w:val="auto"/>
                <w:sz w:val="24"/>
                <w:highlight w:val="none"/>
              </w:rPr>
              <w:t>）“三同时”验收</w:t>
            </w:r>
          </w:p>
          <w:p w14:paraId="7D2A7F8F">
            <w:pPr>
              <w:spacing w:line="360" w:lineRule="auto"/>
              <w:ind w:firstLine="480" w:firstLineChars="200"/>
              <w:rPr>
                <w:b/>
                <w:color w:val="auto"/>
                <w:sz w:val="24"/>
                <w:highlight w:val="none"/>
                <w:lang w:bidi="ar"/>
              </w:rPr>
            </w:pPr>
            <w:r>
              <w:rPr>
                <w:color w:val="auto"/>
                <w:sz w:val="24"/>
                <w:highlight w:val="none"/>
              </w:rPr>
              <w:t>根据《</w:t>
            </w:r>
            <w:r>
              <w:rPr>
                <w:rFonts w:hint="eastAsia"/>
                <w:color w:val="auto"/>
                <w:sz w:val="24"/>
                <w:highlight w:val="none"/>
                <w:lang w:eastAsia="zh-CN"/>
              </w:rPr>
              <w:t>建设项目环境保护管理条例</w:t>
            </w:r>
            <w:r>
              <w:rPr>
                <w:color w:val="auto"/>
                <w:sz w:val="24"/>
                <w:highlight w:val="none"/>
              </w:rPr>
              <w:t>》（国务院令第682号）、《建设项目竣工环境保护验收暂行办法》（国环规环评</w:t>
            </w:r>
            <w:r>
              <w:rPr>
                <w:rFonts w:hint="eastAsia"/>
                <w:color w:val="auto"/>
                <w:sz w:val="24"/>
                <w:highlight w:val="none"/>
                <w:lang w:eastAsia="zh-CN"/>
              </w:rPr>
              <w:t>〔</w:t>
            </w:r>
            <w:r>
              <w:rPr>
                <w:color w:val="auto"/>
                <w:sz w:val="24"/>
                <w:highlight w:val="none"/>
              </w:rPr>
              <w:t>2017</w:t>
            </w:r>
            <w:r>
              <w:rPr>
                <w:rFonts w:hint="eastAsia"/>
                <w:color w:val="auto"/>
                <w:sz w:val="24"/>
                <w:highlight w:val="none"/>
                <w:lang w:eastAsia="zh-CN"/>
              </w:rPr>
              <w:t>〕</w:t>
            </w:r>
            <w:r>
              <w:rPr>
                <w:color w:val="auto"/>
                <w:sz w:val="24"/>
                <w:highlight w:val="none"/>
              </w:rPr>
              <w:t>4号）相关法律法规要求，建设项目竣工后须对项目配套建设的环保治理设施予以竣工验收，然后项目方可正式运行。</w:t>
            </w:r>
          </w:p>
          <w:p w14:paraId="22F5C032">
            <w:pPr>
              <w:spacing w:line="360" w:lineRule="auto"/>
              <w:ind w:firstLine="482" w:firstLineChars="200"/>
              <w:rPr>
                <w:color w:val="auto"/>
                <w:sz w:val="24"/>
                <w:highlight w:val="none"/>
              </w:rPr>
            </w:pPr>
            <w:r>
              <w:rPr>
                <w:rFonts w:hint="eastAsia"/>
                <w:b/>
                <w:color w:val="auto"/>
                <w:sz w:val="24"/>
                <w:highlight w:val="none"/>
                <w:lang w:bidi="ar"/>
              </w:rPr>
              <w:t>9</w:t>
            </w:r>
            <w:r>
              <w:rPr>
                <w:b/>
                <w:color w:val="auto"/>
                <w:sz w:val="24"/>
                <w:highlight w:val="none"/>
                <w:lang w:bidi="ar"/>
              </w:rPr>
              <w:t>、环保投资估算</w:t>
            </w:r>
          </w:p>
          <w:p w14:paraId="7D3A5D49">
            <w:pPr>
              <w:snapToGrid w:val="0"/>
              <w:spacing w:line="360" w:lineRule="auto"/>
              <w:ind w:firstLine="480" w:firstLineChars="200"/>
              <w:rPr>
                <w:color w:val="auto"/>
                <w:kern w:val="0"/>
                <w:sz w:val="24"/>
                <w:highlight w:val="none"/>
              </w:rPr>
            </w:pPr>
            <w:r>
              <w:rPr>
                <w:color w:val="auto"/>
                <w:kern w:val="0"/>
                <w:sz w:val="24"/>
                <w:highlight w:val="none"/>
              </w:rPr>
              <w:t>本项目</w:t>
            </w:r>
            <w:r>
              <w:rPr>
                <w:rFonts w:hint="eastAsia"/>
                <w:color w:val="auto"/>
                <w:kern w:val="0"/>
                <w:sz w:val="24"/>
                <w:highlight w:val="none"/>
                <w:lang w:val="en-US" w:eastAsia="zh-CN"/>
              </w:rPr>
              <w:t>投资2000万元，新增</w:t>
            </w:r>
            <w:r>
              <w:rPr>
                <w:color w:val="auto"/>
                <w:kern w:val="0"/>
                <w:sz w:val="24"/>
                <w:highlight w:val="none"/>
              </w:rPr>
              <w:t>环保投资为</w:t>
            </w:r>
            <w:r>
              <w:rPr>
                <w:rFonts w:hint="eastAsia"/>
                <w:color w:val="auto"/>
                <w:kern w:val="0"/>
                <w:sz w:val="24"/>
                <w:highlight w:val="none"/>
                <w:lang w:val="en-US" w:eastAsia="zh-CN"/>
              </w:rPr>
              <w:t>76</w:t>
            </w:r>
            <w:r>
              <w:rPr>
                <w:rFonts w:hint="eastAsia"/>
                <w:color w:val="auto"/>
                <w:kern w:val="0"/>
                <w:sz w:val="24"/>
                <w:highlight w:val="none"/>
              </w:rPr>
              <w:t>万元</w:t>
            </w:r>
            <w:r>
              <w:rPr>
                <w:color w:val="auto"/>
                <w:kern w:val="0"/>
                <w:sz w:val="24"/>
                <w:highlight w:val="none"/>
              </w:rPr>
              <w:t>，占总投资的</w:t>
            </w:r>
            <w:r>
              <w:rPr>
                <w:rFonts w:hint="eastAsia"/>
                <w:color w:val="auto"/>
                <w:kern w:val="0"/>
                <w:sz w:val="24"/>
                <w:highlight w:val="none"/>
                <w:lang w:val="en-US" w:eastAsia="zh-CN"/>
              </w:rPr>
              <w:t>3.8%</w:t>
            </w:r>
            <w:r>
              <w:rPr>
                <w:color w:val="auto"/>
                <w:kern w:val="0"/>
                <w:sz w:val="24"/>
                <w:highlight w:val="none"/>
              </w:rPr>
              <w:t>，具体详见下表。</w:t>
            </w:r>
          </w:p>
          <w:p w14:paraId="49E34D18">
            <w:pPr>
              <w:pStyle w:val="41"/>
              <w:rPr>
                <w:bCs/>
                <w:color w:val="auto"/>
                <w:kern w:val="2"/>
                <w:szCs w:val="21"/>
                <w:highlight w:val="none"/>
              </w:rPr>
            </w:pPr>
            <w:r>
              <w:rPr>
                <w:bCs/>
                <w:color w:val="auto"/>
                <w:kern w:val="2"/>
                <w:szCs w:val="21"/>
                <w:highlight w:val="none"/>
              </w:rPr>
              <w:t>环保投资及估算一览表</w:t>
            </w:r>
          </w:p>
          <w:tbl>
            <w:tblPr>
              <w:tblStyle w:val="27"/>
              <w:tblW w:w="499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0"/>
              <w:gridCol w:w="1163"/>
              <w:gridCol w:w="899"/>
              <w:gridCol w:w="4792"/>
              <w:gridCol w:w="1017"/>
              <w:gridCol w:w="756"/>
            </w:tblGrid>
            <w:tr w14:paraId="198CE8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0" w:hRule="atLeast"/>
                <w:jc w:val="center"/>
              </w:trPr>
              <w:tc>
                <w:tcPr>
                  <w:tcW w:w="304" w:type="pct"/>
                  <w:vAlign w:val="center"/>
                </w:tcPr>
                <w:p w14:paraId="11B24B80">
                  <w:pPr>
                    <w:jc w:val="center"/>
                    <w:rPr>
                      <w:b/>
                      <w:bCs/>
                      <w:color w:val="auto"/>
                      <w:szCs w:val="21"/>
                      <w:highlight w:val="none"/>
                    </w:rPr>
                  </w:pPr>
                  <w:r>
                    <w:rPr>
                      <w:b/>
                      <w:bCs/>
                      <w:color w:val="auto"/>
                      <w:szCs w:val="21"/>
                      <w:highlight w:val="none"/>
                    </w:rPr>
                    <w:t>类别</w:t>
                  </w:r>
                </w:p>
              </w:tc>
              <w:tc>
                <w:tcPr>
                  <w:tcW w:w="632" w:type="pct"/>
                  <w:vAlign w:val="center"/>
                </w:tcPr>
                <w:p w14:paraId="31DF6B1E">
                  <w:pPr>
                    <w:jc w:val="center"/>
                    <w:rPr>
                      <w:b/>
                      <w:bCs/>
                      <w:color w:val="auto"/>
                      <w:szCs w:val="21"/>
                      <w:highlight w:val="none"/>
                    </w:rPr>
                  </w:pPr>
                  <w:r>
                    <w:rPr>
                      <w:b/>
                      <w:bCs/>
                      <w:color w:val="auto"/>
                      <w:szCs w:val="21"/>
                      <w:highlight w:val="none"/>
                    </w:rPr>
                    <w:t>污染治理项目</w:t>
                  </w:r>
                </w:p>
              </w:tc>
              <w:tc>
                <w:tcPr>
                  <w:tcW w:w="3097" w:type="pct"/>
                  <w:gridSpan w:val="2"/>
                  <w:vAlign w:val="center"/>
                </w:tcPr>
                <w:p w14:paraId="054F4BF0">
                  <w:pPr>
                    <w:jc w:val="center"/>
                    <w:rPr>
                      <w:b/>
                      <w:bCs/>
                      <w:color w:val="auto"/>
                      <w:szCs w:val="21"/>
                      <w:highlight w:val="none"/>
                    </w:rPr>
                  </w:pPr>
                  <w:r>
                    <w:rPr>
                      <w:b/>
                      <w:bCs/>
                      <w:color w:val="auto"/>
                      <w:szCs w:val="21"/>
                      <w:highlight w:val="none"/>
                    </w:rPr>
                    <w:t>采取的环保措施</w:t>
                  </w:r>
                </w:p>
              </w:tc>
              <w:tc>
                <w:tcPr>
                  <w:tcW w:w="553" w:type="pct"/>
                  <w:vAlign w:val="center"/>
                </w:tcPr>
                <w:p w14:paraId="5824C129">
                  <w:pPr>
                    <w:jc w:val="center"/>
                    <w:rPr>
                      <w:b/>
                      <w:bCs/>
                      <w:color w:val="auto"/>
                      <w:szCs w:val="21"/>
                      <w:highlight w:val="none"/>
                    </w:rPr>
                  </w:pPr>
                  <w:r>
                    <w:rPr>
                      <w:b/>
                      <w:bCs/>
                      <w:color w:val="auto"/>
                      <w:szCs w:val="21"/>
                      <w:highlight w:val="none"/>
                    </w:rPr>
                    <w:t>投资（万元）</w:t>
                  </w:r>
                </w:p>
              </w:tc>
              <w:tc>
                <w:tcPr>
                  <w:tcW w:w="411" w:type="pct"/>
                  <w:vAlign w:val="center"/>
                </w:tcPr>
                <w:p w14:paraId="4DE1DAA3">
                  <w:pPr>
                    <w:jc w:val="center"/>
                    <w:rPr>
                      <w:b/>
                      <w:bCs/>
                      <w:color w:val="auto"/>
                      <w:szCs w:val="21"/>
                      <w:highlight w:val="none"/>
                    </w:rPr>
                  </w:pPr>
                  <w:r>
                    <w:rPr>
                      <w:b/>
                      <w:bCs/>
                      <w:color w:val="auto"/>
                      <w:szCs w:val="21"/>
                      <w:highlight w:val="none"/>
                    </w:rPr>
                    <w:t>备注</w:t>
                  </w:r>
                </w:p>
              </w:tc>
            </w:tr>
            <w:tr w14:paraId="016647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 w:hRule="atLeast"/>
                <w:jc w:val="center"/>
              </w:trPr>
              <w:tc>
                <w:tcPr>
                  <w:tcW w:w="304" w:type="pct"/>
                  <w:vMerge w:val="restart"/>
                  <w:vAlign w:val="center"/>
                </w:tcPr>
                <w:p w14:paraId="27487BEC">
                  <w:pPr>
                    <w:jc w:val="center"/>
                    <w:rPr>
                      <w:rFonts w:hint="eastAsia" w:eastAsia="宋体"/>
                      <w:b/>
                      <w:bCs/>
                      <w:color w:val="auto"/>
                      <w:szCs w:val="21"/>
                      <w:highlight w:val="none"/>
                      <w:lang w:val="en-US" w:eastAsia="zh-CN"/>
                    </w:rPr>
                  </w:pPr>
                  <w:r>
                    <w:rPr>
                      <w:rFonts w:hint="eastAsia"/>
                      <w:b w:val="0"/>
                      <w:bCs w:val="0"/>
                      <w:color w:val="auto"/>
                      <w:szCs w:val="21"/>
                      <w:highlight w:val="none"/>
                      <w:lang w:val="en-US" w:eastAsia="zh-CN"/>
                    </w:rPr>
                    <w:t>施工期</w:t>
                  </w:r>
                </w:p>
              </w:tc>
              <w:tc>
                <w:tcPr>
                  <w:tcW w:w="632" w:type="pct"/>
                  <w:vMerge w:val="restart"/>
                  <w:vAlign w:val="center"/>
                </w:tcPr>
                <w:p w14:paraId="74FEF4B6">
                  <w:pPr>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废气</w:t>
                  </w:r>
                </w:p>
              </w:tc>
              <w:tc>
                <w:tcPr>
                  <w:tcW w:w="3097" w:type="pct"/>
                  <w:gridSpan w:val="2"/>
                  <w:vAlign w:val="center"/>
                </w:tcPr>
                <w:p w14:paraId="4DC68568">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施工扬尘：设置施工围挡</w:t>
                  </w:r>
                  <w:r>
                    <w:rPr>
                      <w:rFonts w:hint="eastAsia"/>
                      <w:color w:val="auto"/>
                      <w:szCs w:val="21"/>
                      <w:highlight w:val="none"/>
                    </w:rPr>
                    <w:t>对施工区域实行封闭或隔离</w:t>
                  </w:r>
                  <w:r>
                    <w:rPr>
                      <w:rFonts w:hint="eastAsia"/>
                      <w:color w:val="auto"/>
                      <w:szCs w:val="21"/>
                      <w:highlight w:val="none"/>
                      <w:lang w:eastAsia="zh-CN"/>
                    </w:rPr>
                    <w:t>；</w:t>
                  </w:r>
                  <w:r>
                    <w:rPr>
                      <w:rFonts w:hint="eastAsia"/>
                      <w:color w:val="auto"/>
                      <w:szCs w:val="21"/>
                      <w:highlight w:val="none"/>
                    </w:rPr>
                    <w:t>文明施工，定期洒水</w:t>
                  </w:r>
                  <w:r>
                    <w:rPr>
                      <w:rFonts w:hint="eastAsia"/>
                      <w:color w:val="auto"/>
                      <w:szCs w:val="21"/>
                      <w:highlight w:val="none"/>
                      <w:lang w:val="en-US" w:eastAsia="zh-CN"/>
                    </w:rPr>
                    <w:t>及及时清扫撒落渣土</w:t>
                  </w:r>
                  <w:r>
                    <w:rPr>
                      <w:rFonts w:hint="eastAsia"/>
                      <w:color w:val="auto"/>
                      <w:szCs w:val="21"/>
                      <w:highlight w:val="none"/>
                    </w:rPr>
                    <w:t>；</w:t>
                  </w:r>
                  <w:r>
                    <w:rPr>
                      <w:rFonts w:hint="eastAsia"/>
                      <w:color w:val="auto"/>
                      <w:szCs w:val="21"/>
                      <w:highlight w:val="none"/>
                      <w:lang w:val="en-US" w:eastAsia="zh-CN"/>
                    </w:rPr>
                    <w:t>运输车辆不得</w:t>
                  </w:r>
                  <w:r>
                    <w:rPr>
                      <w:rFonts w:hint="eastAsia"/>
                      <w:color w:val="auto"/>
                      <w:szCs w:val="21"/>
                      <w:highlight w:val="none"/>
                    </w:rPr>
                    <w:t>超载、冒载，出场前一律清洗轮胎，用毡布覆盖，出口设置防尘飞扬垫；严禁抛撒建筑垃圾</w:t>
                  </w:r>
                  <w:r>
                    <w:rPr>
                      <w:rFonts w:hint="eastAsia"/>
                      <w:color w:val="auto"/>
                      <w:szCs w:val="21"/>
                      <w:highlight w:val="none"/>
                      <w:lang w:val="en-US" w:eastAsia="zh-CN"/>
                    </w:rPr>
                    <w:t>及基础开挖土石方，土石方及时回填，</w:t>
                  </w:r>
                  <w:r>
                    <w:rPr>
                      <w:rFonts w:hint="eastAsia"/>
                      <w:color w:val="auto"/>
                      <w:szCs w:val="21"/>
                      <w:highlight w:val="none"/>
                    </w:rPr>
                    <w:t>建筑垃圾及时清运并在指定的垃圾处置场处置</w:t>
                  </w:r>
                  <w:r>
                    <w:rPr>
                      <w:rFonts w:hint="eastAsia"/>
                      <w:color w:val="auto"/>
                      <w:szCs w:val="21"/>
                      <w:highlight w:val="none"/>
                      <w:lang w:eastAsia="zh-CN"/>
                    </w:rPr>
                    <w:t>，</w:t>
                  </w:r>
                  <w:r>
                    <w:rPr>
                      <w:rFonts w:hint="eastAsia"/>
                      <w:color w:val="auto"/>
                      <w:szCs w:val="21"/>
                      <w:highlight w:val="none"/>
                    </w:rPr>
                    <w:t>不能及时清运的，应在施工工地设置临时密闭性垃圾堆放场地进行保存</w:t>
                  </w:r>
                  <w:r>
                    <w:rPr>
                      <w:rFonts w:hint="eastAsia"/>
                      <w:color w:val="auto"/>
                      <w:szCs w:val="21"/>
                      <w:highlight w:val="none"/>
                      <w:lang w:eastAsia="zh-CN"/>
                    </w:rPr>
                    <w:t>，</w:t>
                  </w:r>
                  <w:r>
                    <w:rPr>
                      <w:rFonts w:hint="eastAsia"/>
                      <w:color w:val="auto"/>
                      <w:szCs w:val="21"/>
                      <w:highlight w:val="none"/>
                      <w:lang w:val="en-US" w:eastAsia="zh-CN"/>
                    </w:rPr>
                    <w:t>施工结束后及时清运；</w:t>
                  </w:r>
                  <w:r>
                    <w:rPr>
                      <w:rFonts w:hint="eastAsia"/>
                      <w:color w:val="auto"/>
                      <w:szCs w:val="21"/>
                      <w:highlight w:val="none"/>
                    </w:rPr>
                    <w:t>堆放场地设置围栏或采取遮盖、洒水等防尘措施。风速大于3m/s时停止施工。</w:t>
                  </w:r>
                </w:p>
              </w:tc>
              <w:tc>
                <w:tcPr>
                  <w:tcW w:w="553" w:type="pct"/>
                  <w:vAlign w:val="center"/>
                </w:tcPr>
                <w:p w14:paraId="5DEC2CBD">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2.0</w:t>
                  </w:r>
                </w:p>
              </w:tc>
              <w:tc>
                <w:tcPr>
                  <w:tcW w:w="411" w:type="pct"/>
                  <w:vAlign w:val="center"/>
                </w:tcPr>
                <w:p w14:paraId="111916E4">
                  <w:pPr>
                    <w:jc w:val="center"/>
                    <w:rPr>
                      <w:rFonts w:hint="eastAsia" w:eastAsia="宋体"/>
                      <w:b/>
                      <w:bCs/>
                      <w:color w:val="auto"/>
                      <w:szCs w:val="21"/>
                      <w:highlight w:val="none"/>
                      <w:lang w:val="en-US" w:eastAsia="zh-CN"/>
                    </w:rPr>
                  </w:pPr>
                  <w:r>
                    <w:rPr>
                      <w:rFonts w:hint="eastAsia"/>
                      <w:b/>
                      <w:bCs w:val="0"/>
                      <w:i/>
                      <w:iCs w:val="0"/>
                      <w:color w:val="auto"/>
                      <w:szCs w:val="21"/>
                      <w:highlight w:val="none"/>
                      <w:lang w:val="en-US" w:eastAsia="zh-CN"/>
                    </w:rPr>
                    <w:t>新增</w:t>
                  </w:r>
                </w:p>
              </w:tc>
            </w:tr>
            <w:tr w14:paraId="167055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4" w:hRule="atLeast"/>
                <w:jc w:val="center"/>
              </w:trPr>
              <w:tc>
                <w:tcPr>
                  <w:tcW w:w="304" w:type="pct"/>
                  <w:vMerge w:val="continue"/>
                  <w:vAlign w:val="center"/>
                </w:tcPr>
                <w:p w14:paraId="60878690">
                  <w:pPr>
                    <w:jc w:val="center"/>
                    <w:rPr>
                      <w:rFonts w:hint="eastAsia"/>
                      <w:b w:val="0"/>
                      <w:bCs w:val="0"/>
                      <w:color w:val="auto"/>
                      <w:szCs w:val="21"/>
                      <w:highlight w:val="none"/>
                      <w:lang w:val="en-US" w:eastAsia="zh-CN"/>
                    </w:rPr>
                  </w:pPr>
                </w:p>
              </w:tc>
              <w:tc>
                <w:tcPr>
                  <w:tcW w:w="632" w:type="pct"/>
                  <w:vMerge w:val="continue"/>
                  <w:vAlign w:val="center"/>
                </w:tcPr>
                <w:p w14:paraId="583DDA9A">
                  <w:pPr>
                    <w:jc w:val="center"/>
                    <w:rPr>
                      <w:rFonts w:hint="eastAsia"/>
                      <w:b w:val="0"/>
                      <w:bCs w:val="0"/>
                      <w:color w:val="auto"/>
                      <w:szCs w:val="21"/>
                      <w:highlight w:val="none"/>
                      <w:lang w:val="en-US" w:eastAsia="zh-CN"/>
                    </w:rPr>
                  </w:pPr>
                </w:p>
              </w:tc>
              <w:tc>
                <w:tcPr>
                  <w:tcW w:w="3097" w:type="pct"/>
                  <w:gridSpan w:val="2"/>
                  <w:vAlign w:val="center"/>
                </w:tcPr>
                <w:p w14:paraId="074861E1">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施工燃油废气：</w:t>
                  </w:r>
                  <w:r>
                    <w:rPr>
                      <w:rFonts w:hint="eastAsia"/>
                      <w:color w:val="auto"/>
                      <w:szCs w:val="21"/>
                      <w:highlight w:val="none"/>
                    </w:rPr>
                    <w:t>排放量小，且属间断性无组织排放，</w:t>
                  </w:r>
                  <w:r>
                    <w:rPr>
                      <w:rFonts w:hint="eastAsia"/>
                      <w:color w:val="auto"/>
                      <w:szCs w:val="21"/>
                      <w:highlight w:val="none"/>
                      <w:lang w:val="en-US" w:eastAsia="zh-CN"/>
                    </w:rPr>
                    <w:t>施工期间加强施工期设备维护，</w:t>
                  </w:r>
                  <w:r>
                    <w:rPr>
                      <w:rFonts w:hint="eastAsia"/>
                      <w:color w:val="auto"/>
                      <w:szCs w:val="21"/>
                      <w:highlight w:val="none"/>
                    </w:rPr>
                    <w:t>使其能够正常</w:t>
                  </w:r>
                  <w:r>
                    <w:rPr>
                      <w:rFonts w:hint="eastAsia"/>
                      <w:color w:val="auto"/>
                      <w:szCs w:val="21"/>
                      <w:highlight w:val="none"/>
                      <w:lang w:val="en-US" w:eastAsia="zh-CN"/>
                    </w:rPr>
                    <w:t>地</w:t>
                  </w:r>
                  <w:r>
                    <w:rPr>
                      <w:rFonts w:hint="eastAsia"/>
                      <w:color w:val="auto"/>
                      <w:szCs w:val="21"/>
                      <w:highlight w:val="none"/>
                    </w:rPr>
                    <w:t>运行，提高设备原料的利用率。</w:t>
                  </w:r>
                  <w:r>
                    <w:rPr>
                      <w:rFonts w:hint="eastAsia"/>
                      <w:color w:val="auto"/>
                      <w:szCs w:val="21"/>
                      <w:highlight w:val="none"/>
                      <w:lang w:val="en-US" w:eastAsia="zh-CN"/>
                    </w:rPr>
                    <w:t>废气通过自然扩散排放。</w:t>
                  </w:r>
                </w:p>
              </w:tc>
              <w:tc>
                <w:tcPr>
                  <w:tcW w:w="553" w:type="pct"/>
                  <w:vAlign w:val="center"/>
                </w:tcPr>
                <w:p w14:paraId="409C494F">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0.5</w:t>
                  </w:r>
                </w:p>
              </w:tc>
              <w:tc>
                <w:tcPr>
                  <w:tcW w:w="411" w:type="pct"/>
                  <w:vAlign w:val="center"/>
                </w:tcPr>
                <w:p w14:paraId="65A93A29">
                  <w:pPr>
                    <w:jc w:val="center"/>
                    <w:rPr>
                      <w:b/>
                      <w:bCs/>
                      <w:color w:val="auto"/>
                      <w:szCs w:val="21"/>
                      <w:highlight w:val="none"/>
                    </w:rPr>
                  </w:pPr>
                  <w:r>
                    <w:rPr>
                      <w:rFonts w:hint="eastAsia"/>
                      <w:b/>
                      <w:bCs w:val="0"/>
                      <w:i/>
                      <w:iCs w:val="0"/>
                      <w:color w:val="auto"/>
                      <w:szCs w:val="21"/>
                      <w:highlight w:val="none"/>
                      <w:lang w:val="en-US" w:eastAsia="zh-CN"/>
                    </w:rPr>
                    <w:t>新增</w:t>
                  </w:r>
                </w:p>
              </w:tc>
            </w:tr>
            <w:tr w14:paraId="760ECB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 w:hRule="atLeast"/>
                <w:jc w:val="center"/>
              </w:trPr>
              <w:tc>
                <w:tcPr>
                  <w:tcW w:w="304" w:type="pct"/>
                  <w:vMerge w:val="continue"/>
                  <w:vAlign w:val="center"/>
                </w:tcPr>
                <w:p w14:paraId="259C479C">
                  <w:pPr>
                    <w:jc w:val="center"/>
                    <w:rPr>
                      <w:color w:val="auto"/>
                      <w:highlight w:val="none"/>
                    </w:rPr>
                  </w:pPr>
                </w:p>
              </w:tc>
              <w:tc>
                <w:tcPr>
                  <w:tcW w:w="632" w:type="pct"/>
                  <w:vMerge w:val="restart"/>
                  <w:vAlign w:val="center"/>
                </w:tcPr>
                <w:p w14:paraId="7DD2E9AF">
                  <w:pPr>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废水</w:t>
                  </w:r>
                </w:p>
              </w:tc>
              <w:tc>
                <w:tcPr>
                  <w:tcW w:w="3097" w:type="pct"/>
                  <w:gridSpan w:val="2"/>
                  <w:vAlign w:val="center"/>
                </w:tcPr>
                <w:p w14:paraId="2A2D246D">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施工废水：</w:t>
                  </w:r>
                  <w:r>
                    <w:rPr>
                      <w:rFonts w:hint="eastAsia"/>
                      <w:color w:val="auto"/>
                      <w:szCs w:val="21"/>
                      <w:highlight w:val="none"/>
                    </w:rPr>
                    <w:t>废水经</w:t>
                  </w:r>
                  <w:r>
                    <w:rPr>
                      <w:rFonts w:hint="eastAsia"/>
                      <w:color w:val="auto"/>
                      <w:szCs w:val="21"/>
                      <w:highlight w:val="none"/>
                      <w:lang w:val="en-US" w:eastAsia="zh-CN"/>
                    </w:rPr>
                    <w:t>三级沉淀池</w:t>
                  </w:r>
                  <w:r>
                    <w:rPr>
                      <w:rFonts w:hint="eastAsia"/>
                      <w:color w:val="auto"/>
                      <w:szCs w:val="21"/>
                      <w:highlight w:val="none"/>
                    </w:rPr>
                    <w:t>沉淀后回用施工，不外排。</w:t>
                  </w:r>
                </w:p>
              </w:tc>
              <w:tc>
                <w:tcPr>
                  <w:tcW w:w="553" w:type="pct"/>
                  <w:vAlign w:val="center"/>
                </w:tcPr>
                <w:p w14:paraId="229E08AD">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1.0</w:t>
                  </w:r>
                </w:p>
              </w:tc>
              <w:tc>
                <w:tcPr>
                  <w:tcW w:w="411" w:type="pct"/>
                  <w:vAlign w:val="center"/>
                </w:tcPr>
                <w:p w14:paraId="46B1A62C">
                  <w:pPr>
                    <w:jc w:val="center"/>
                    <w:rPr>
                      <w:b/>
                      <w:bCs/>
                      <w:color w:val="auto"/>
                      <w:szCs w:val="21"/>
                      <w:highlight w:val="none"/>
                    </w:rPr>
                  </w:pPr>
                  <w:r>
                    <w:rPr>
                      <w:rFonts w:hint="eastAsia"/>
                      <w:b/>
                      <w:bCs w:val="0"/>
                      <w:i/>
                      <w:iCs w:val="0"/>
                      <w:color w:val="auto"/>
                      <w:szCs w:val="21"/>
                      <w:highlight w:val="none"/>
                      <w:lang w:val="en-US" w:eastAsia="zh-CN"/>
                    </w:rPr>
                    <w:t>新增</w:t>
                  </w:r>
                </w:p>
              </w:tc>
            </w:tr>
            <w:tr w14:paraId="41409A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 w:hRule="atLeast"/>
                <w:jc w:val="center"/>
              </w:trPr>
              <w:tc>
                <w:tcPr>
                  <w:tcW w:w="304" w:type="pct"/>
                  <w:vMerge w:val="continue"/>
                  <w:vAlign w:val="center"/>
                </w:tcPr>
                <w:p w14:paraId="6B797F25">
                  <w:pPr>
                    <w:jc w:val="center"/>
                    <w:rPr>
                      <w:color w:val="auto"/>
                      <w:highlight w:val="none"/>
                    </w:rPr>
                  </w:pPr>
                </w:p>
              </w:tc>
              <w:tc>
                <w:tcPr>
                  <w:tcW w:w="632" w:type="pct"/>
                  <w:vMerge w:val="continue"/>
                  <w:vAlign w:val="center"/>
                </w:tcPr>
                <w:p w14:paraId="35B1ACC0">
                  <w:pPr>
                    <w:jc w:val="center"/>
                    <w:rPr>
                      <w:rFonts w:hint="eastAsia"/>
                      <w:b w:val="0"/>
                      <w:bCs w:val="0"/>
                      <w:color w:val="auto"/>
                      <w:szCs w:val="21"/>
                      <w:highlight w:val="none"/>
                      <w:lang w:val="en-US" w:eastAsia="zh-CN"/>
                    </w:rPr>
                  </w:pPr>
                </w:p>
              </w:tc>
              <w:tc>
                <w:tcPr>
                  <w:tcW w:w="3097" w:type="pct"/>
                  <w:gridSpan w:val="2"/>
                  <w:vAlign w:val="center"/>
                </w:tcPr>
                <w:p w14:paraId="0D1D0A68">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生活污水：依托厂区已建的隔油-预处理池（容积为15m</w:t>
                  </w:r>
                  <w:r>
                    <w:rPr>
                      <w:rFonts w:hint="eastAsia"/>
                      <w:color w:val="auto"/>
                      <w:szCs w:val="21"/>
                      <w:highlight w:val="none"/>
                      <w:vertAlign w:val="superscript"/>
                      <w:lang w:val="en-US" w:eastAsia="zh-CN"/>
                    </w:rPr>
                    <w:t>3</w:t>
                  </w:r>
                  <w:r>
                    <w:rPr>
                      <w:rFonts w:hint="eastAsia"/>
                      <w:color w:val="auto"/>
                      <w:szCs w:val="21"/>
                      <w:highlight w:val="none"/>
                      <w:lang w:val="en-US" w:eastAsia="zh-CN"/>
                    </w:rPr>
                    <w:t>）和污水处理站（规模84m</w:t>
                  </w:r>
                  <w:r>
                    <w:rPr>
                      <w:rFonts w:hint="eastAsia"/>
                      <w:color w:val="auto"/>
                      <w:szCs w:val="21"/>
                      <w:highlight w:val="none"/>
                      <w:vertAlign w:val="superscript"/>
                      <w:lang w:val="en-US" w:eastAsia="zh-CN"/>
                    </w:rPr>
                    <w:t>3</w:t>
                  </w:r>
                  <w:r>
                    <w:rPr>
                      <w:rFonts w:hint="eastAsia"/>
                      <w:color w:val="auto"/>
                      <w:szCs w:val="21"/>
                      <w:highlight w:val="none"/>
                      <w:lang w:val="en-US" w:eastAsia="zh-CN"/>
                    </w:rPr>
                    <w:t>/d），生活污水排入隔油-预处理池处理后排入厂区已建污水处理站处理达《污水综合排放标准》（GB8978-1996）中的三级标准后再通过园区污水管网排至大英经济开发区污水处理厂。</w:t>
                  </w:r>
                </w:p>
              </w:tc>
              <w:tc>
                <w:tcPr>
                  <w:tcW w:w="553" w:type="pct"/>
                  <w:vAlign w:val="center"/>
                </w:tcPr>
                <w:p w14:paraId="7FD18819">
                  <w:pPr>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w:t>
                  </w:r>
                </w:p>
              </w:tc>
              <w:tc>
                <w:tcPr>
                  <w:tcW w:w="411" w:type="pct"/>
                  <w:vAlign w:val="center"/>
                </w:tcPr>
                <w:p w14:paraId="3A5F3A32">
                  <w:pPr>
                    <w:jc w:val="center"/>
                    <w:rPr>
                      <w:rFonts w:hint="eastAsia" w:eastAsia="宋体"/>
                      <w:b/>
                      <w:bCs/>
                      <w:color w:val="auto"/>
                      <w:szCs w:val="21"/>
                      <w:highlight w:val="none"/>
                      <w:lang w:val="en-US" w:eastAsia="zh-CN"/>
                    </w:rPr>
                  </w:pPr>
                  <w:r>
                    <w:rPr>
                      <w:rFonts w:hint="eastAsia"/>
                      <w:b w:val="0"/>
                      <w:bCs w:val="0"/>
                      <w:color w:val="auto"/>
                      <w:szCs w:val="21"/>
                      <w:highlight w:val="none"/>
                      <w:lang w:val="en-US" w:eastAsia="zh-CN"/>
                    </w:rPr>
                    <w:t>依托</w:t>
                  </w:r>
                </w:p>
              </w:tc>
            </w:tr>
            <w:tr w14:paraId="3F482C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 w:hRule="atLeast"/>
                <w:jc w:val="center"/>
              </w:trPr>
              <w:tc>
                <w:tcPr>
                  <w:tcW w:w="304" w:type="pct"/>
                  <w:vMerge w:val="continue"/>
                  <w:vAlign w:val="center"/>
                </w:tcPr>
                <w:p w14:paraId="3DF306E7">
                  <w:pPr>
                    <w:jc w:val="center"/>
                    <w:rPr>
                      <w:b/>
                      <w:bCs/>
                      <w:color w:val="auto"/>
                      <w:szCs w:val="21"/>
                      <w:highlight w:val="none"/>
                    </w:rPr>
                  </w:pPr>
                </w:p>
              </w:tc>
              <w:tc>
                <w:tcPr>
                  <w:tcW w:w="632" w:type="pct"/>
                  <w:vAlign w:val="center"/>
                </w:tcPr>
                <w:p w14:paraId="3D74305A">
                  <w:pPr>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噪声</w:t>
                  </w:r>
                </w:p>
              </w:tc>
              <w:tc>
                <w:tcPr>
                  <w:tcW w:w="3097" w:type="pct"/>
                  <w:gridSpan w:val="2"/>
                  <w:vAlign w:val="center"/>
                </w:tcPr>
                <w:p w14:paraId="4C8D6AD2">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主要为施工机械噪声和运输车辆交通噪声，通过选用低噪设备，定期对机械设备进行维修维护，合理安排作业时间，杜绝夜间施工，若须连续作业的强噪声施工，应首先征得当地建委、城管等主管部门的同意，并及时向周边各住宅区居民公告；严格进行施工人员管理，文明施工；装卸、搬运钢管、模板等严禁抛掷；施工范围严格设置围挡，对钢筋加工区设置加工棚；合理布局，将主要噪声设备源强（钢筋加工棚、设备加工区）置于施工范围中部。</w:t>
                  </w:r>
                </w:p>
              </w:tc>
              <w:tc>
                <w:tcPr>
                  <w:tcW w:w="553" w:type="pct"/>
                  <w:vAlign w:val="center"/>
                </w:tcPr>
                <w:p w14:paraId="5DB8C127">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2.0</w:t>
                  </w:r>
                </w:p>
              </w:tc>
              <w:tc>
                <w:tcPr>
                  <w:tcW w:w="411" w:type="pct"/>
                  <w:vAlign w:val="center"/>
                </w:tcPr>
                <w:p w14:paraId="57B38DAA">
                  <w:pPr>
                    <w:jc w:val="center"/>
                    <w:rPr>
                      <w:b/>
                      <w:bCs/>
                      <w:color w:val="auto"/>
                      <w:szCs w:val="21"/>
                      <w:highlight w:val="none"/>
                    </w:rPr>
                  </w:pPr>
                  <w:r>
                    <w:rPr>
                      <w:rFonts w:hint="eastAsia"/>
                      <w:b/>
                      <w:bCs w:val="0"/>
                      <w:i/>
                      <w:iCs w:val="0"/>
                      <w:color w:val="auto"/>
                      <w:szCs w:val="21"/>
                      <w:highlight w:val="none"/>
                      <w:lang w:val="en-US" w:eastAsia="zh-CN"/>
                    </w:rPr>
                    <w:t>新增</w:t>
                  </w:r>
                </w:p>
              </w:tc>
            </w:tr>
            <w:tr w14:paraId="001925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 w:hRule="atLeast"/>
                <w:jc w:val="center"/>
              </w:trPr>
              <w:tc>
                <w:tcPr>
                  <w:tcW w:w="304" w:type="pct"/>
                  <w:vMerge w:val="continue"/>
                  <w:vAlign w:val="center"/>
                </w:tcPr>
                <w:p w14:paraId="0DE8F884">
                  <w:pPr>
                    <w:jc w:val="center"/>
                    <w:rPr>
                      <w:b/>
                      <w:bCs/>
                      <w:color w:val="auto"/>
                      <w:szCs w:val="21"/>
                      <w:highlight w:val="none"/>
                    </w:rPr>
                  </w:pPr>
                </w:p>
              </w:tc>
              <w:tc>
                <w:tcPr>
                  <w:tcW w:w="632" w:type="pct"/>
                  <w:vMerge w:val="restart"/>
                  <w:vAlign w:val="center"/>
                </w:tcPr>
                <w:p w14:paraId="61FD91C4">
                  <w:pPr>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固废</w:t>
                  </w:r>
                </w:p>
              </w:tc>
              <w:tc>
                <w:tcPr>
                  <w:tcW w:w="3097" w:type="pct"/>
                  <w:gridSpan w:val="2"/>
                  <w:vAlign w:val="center"/>
                </w:tcPr>
                <w:p w14:paraId="0F98C9D2">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土石方：基本能挖填平衡，无弃方。</w:t>
                  </w:r>
                </w:p>
              </w:tc>
              <w:tc>
                <w:tcPr>
                  <w:tcW w:w="553" w:type="pct"/>
                  <w:vAlign w:val="center"/>
                </w:tcPr>
                <w:p w14:paraId="2C5831E2">
                  <w:pPr>
                    <w:adjustRightInd w:val="0"/>
                    <w:snapToGrid w:val="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纳入主体工程</w:t>
                  </w:r>
                </w:p>
              </w:tc>
              <w:tc>
                <w:tcPr>
                  <w:tcW w:w="411" w:type="pct"/>
                  <w:vAlign w:val="center"/>
                </w:tcPr>
                <w:p w14:paraId="16A29C0F">
                  <w:pPr>
                    <w:adjustRightInd w:val="0"/>
                    <w:snapToGrid w:val="0"/>
                    <w:jc w:val="center"/>
                    <w:rPr>
                      <w:b/>
                      <w:bCs/>
                      <w:color w:val="auto"/>
                      <w:szCs w:val="21"/>
                      <w:highlight w:val="none"/>
                    </w:rPr>
                  </w:pPr>
                  <w:r>
                    <w:rPr>
                      <w:rFonts w:hint="eastAsia"/>
                      <w:color w:val="auto"/>
                      <w:szCs w:val="21"/>
                      <w:highlight w:val="none"/>
                      <w:lang w:val="en-US" w:eastAsia="zh-CN"/>
                    </w:rPr>
                    <w:t>/</w:t>
                  </w:r>
                </w:p>
              </w:tc>
            </w:tr>
            <w:tr w14:paraId="44F1BC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 w:hRule="atLeast"/>
                <w:jc w:val="center"/>
              </w:trPr>
              <w:tc>
                <w:tcPr>
                  <w:tcW w:w="304" w:type="pct"/>
                  <w:vMerge w:val="continue"/>
                  <w:vAlign w:val="center"/>
                </w:tcPr>
                <w:p w14:paraId="239E936A">
                  <w:pPr>
                    <w:jc w:val="center"/>
                    <w:rPr>
                      <w:b/>
                      <w:bCs/>
                      <w:color w:val="auto"/>
                      <w:szCs w:val="21"/>
                      <w:highlight w:val="none"/>
                    </w:rPr>
                  </w:pPr>
                </w:p>
              </w:tc>
              <w:tc>
                <w:tcPr>
                  <w:tcW w:w="632" w:type="pct"/>
                  <w:vMerge w:val="continue"/>
                  <w:vAlign w:val="center"/>
                </w:tcPr>
                <w:p w14:paraId="6CB103B3">
                  <w:pPr>
                    <w:jc w:val="center"/>
                    <w:rPr>
                      <w:rFonts w:hint="eastAsia"/>
                      <w:b w:val="0"/>
                      <w:bCs w:val="0"/>
                      <w:color w:val="auto"/>
                      <w:szCs w:val="21"/>
                      <w:highlight w:val="none"/>
                      <w:lang w:val="en-US" w:eastAsia="zh-CN"/>
                    </w:rPr>
                  </w:pPr>
                </w:p>
              </w:tc>
              <w:tc>
                <w:tcPr>
                  <w:tcW w:w="3097" w:type="pct"/>
                  <w:gridSpan w:val="2"/>
                  <w:vAlign w:val="center"/>
                </w:tcPr>
                <w:p w14:paraId="404EB7E2">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建筑垃圾：对钢筋、钢板、木材等下角料可分类回收的回收利用，交废物收购站处理；对不能回收的建筑垃圾，如混凝土废料、含砖、石、砂的杂土等应集中堆放，定时清运到指定垃圾场。</w:t>
                  </w:r>
                </w:p>
              </w:tc>
              <w:tc>
                <w:tcPr>
                  <w:tcW w:w="553" w:type="pct"/>
                  <w:vAlign w:val="center"/>
                </w:tcPr>
                <w:p w14:paraId="2135E9CB">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1.0</w:t>
                  </w:r>
                </w:p>
              </w:tc>
              <w:tc>
                <w:tcPr>
                  <w:tcW w:w="411" w:type="pct"/>
                  <w:vAlign w:val="center"/>
                </w:tcPr>
                <w:p w14:paraId="0CD83236">
                  <w:pPr>
                    <w:jc w:val="center"/>
                    <w:rPr>
                      <w:b/>
                      <w:bCs/>
                      <w:color w:val="auto"/>
                      <w:szCs w:val="21"/>
                      <w:highlight w:val="none"/>
                    </w:rPr>
                  </w:pPr>
                  <w:r>
                    <w:rPr>
                      <w:rFonts w:hint="eastAsia"/>
                      <w:b/>
                      <w:bCs w:val="0"/>
                      <w:i/>
                      <w:iCs w:val="0"/>
                      <w:color w:val="auto"/>
                      <w:szCs w:val="21"/>
                      <w:highlight w:val="none"/>
                      <w:lang w:val="en-US" w:eastAsia="zh-CN"/>
                    </w:rPr>
                    <w:t>新增</w:t>
                  </w:r>
                </w:p>
              </w:tc>
            </w:tr>
            <w:tr w14:paraId="38FF43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 w:hRule="atLeast"/>
                <w:jc w:val="center"/>
              </w:trPr>
              <w:tc>
                <w:tcPr>
                  <w:tcW w:w="304" w:type="pct"/>
                  <w:vMerge w:val="continue"/>
                  <w:vAlign w:val="center"/>
                </w:tcPr>
                <w:p w14:paraId="598713D3">
                  <w:pPr>
                    <w:jc w:val="center"/>
                    <w:rPr>
                      <w:b/>
                      <w:bCs/>
                      <w:color w:val="auto"/>
                      <w:szCs w:val="21"/>
                      <w:highlight w:val="none"/>
                    </w:rPr>
                  </w:pPr>
                </w:p>
              </w:tc>
              <w:tc>
                <w:tcPr>
                  <w:tcW w:w="632" w:type="pct"/>
                  <w:vMerge w:val="continue"/>
                  <w:vAlign w:val="center"/>
                </w:tcPr>
                <w:p w14:paraId="78F7F6FA">
                  <w:pPr>
                    <w:jc w:val="center"/>
                    <w:rPr>
                      <w:rFonts w:hint="eastAsia"/>
                      <w:b w:val="0"/>
                      <w:bCs w:val="0"/>
                      <w:color w:val="auto"/>
                      <w:szCs w:val="21"/>
                      <w:highlight w:val="none"/>
                      <w:lang w:val="en-US" w:eastAsia="zh-CN"/>
                    </w:rPr>
                  </w:pPr>
                </w:p>
              </w:tc>
              <w:tc>
                <w:tcPr>
                  <w:tcW w:w="3097" w:type="pct"/>
                  <w:gridSpan w:val="2"/>
                  <w:vAlign w:val="center"/>
                </w:tcPr>
                <w:p w14:paraId="1F925A28">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施工人员的生活垃圾：设专人打扫卫生，设置垃圾箱、垃圾桶，每天收集施工区域的生活垃圾，交由环卫部门统一清运、处理。</w:t>
                  </w:r>
                </w:p>
              </w:tc>
              <w:tc>
                <w:tcPr>
                  <w:tcW w:w="553" w:type="pct"/>
                  <w:vAlign w:val="center"/>
                </w:tcPr>
                <w:p w14:paraId="5F641D29">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0.5</w:t>
                  </w:r>
                </w:p>
              </w:tc>
              <w:tc>
                <w:tcPr>
                  <w:tcW w:w="411" w:type="pct"/>
                  <w:vAlign w:val="center"/>
                </w:tcPr>
                <w:p w14:paraId="172801CA">
                  <w:pPr>
                    <w:jc w:val="center"/>
                    <w:rPr>
                      <w:b/>
                      <w:bCs/>
                      <w:color w:val="auto"/>
                      <w:szCs w:val="21"/>
                      <w:highlight w:val="none"/>
                    </w:rPr>
                  </w:pPr>
                  <w:r>
                    <w:rPr>
                      <w:rFonts w:hint="eastAsia"/>
                      <w:b/>
                      <w:bCs w:val="0"/>
                      <w:i/>
                      <w:iCs w:val="0"/>
                      <w:color w:val="auto"/>
                      <w:szCs w:val="21"/>
                      <w:highlight w:val="none"/>
                      <w:lang w:val="en-US" w:eastAsia="zh-CN"/>
                    </w:rPr>
                    <w:t>新增</w:t>
                  </w:r>
                </w:p>
              </w:tc>
            </w:tr>
            <w:tr w14:paraId="127B03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99" w:hRule="atLeast"/>
                <w:jc w:val="center"/>
              </w:trPr>
              <w:tc>
                <w:tcPr>
                  <w:tcW w:w="304" w:type="pct"/>
                  <w:vMerge w:val="continue"/>
                  <w:vAlign w:val="center"/>
                </w:tcPr>
                <w:p w14:paraId="24C94D4E">
                  <w:pPr>
                    <w:jc w:val="center"/>
                    <w:rPr>
                      <w:b/>
                      <w:bCs/>
                      <w:color w:val="auto"/>
                      <w:szCs w:val="21"/>
                      <w:highlight w:val="none"/>
                    </w:rPr>
                  </w:pPr>
                </w:p>
              </w:tc>
              <w:tc>
                <w:tcPr>
                  <w:tcW w:w="632" w:type="pct"/>
                  <w:vAlign w:val="center"/>
                </w:tcPr>
                <w:p w14:paraId="6E4CFFAF">
                  <w:pPr>
                    <w:jc w:val="center"/>
                    <w:rPr>
                      <w:rFonts w:hint="default"/>
                      <w:b w:val="0"/>
                      <w:bCs w:val="0"/>
                      <w:color w:val="auto"/>
                      <w:szCs w:val="21"/>
                      <w:highlight w:val="none"/>
                      <w:lang w:val="en-US" w:eastAsia="zh-CN"/>
                    </w:rPr>
                  </w:pPr>
                  <w:r>
                    <w:rPr>
                      <w:rFonts w:hint="eastAsia"/>
                      <w:b w:val="0"/>
                      <w:bCs w:val="0"/>
                      <w:color w:val="auto"/>
                      <w:szCs w:val="21"/>
                      <w:highlight w:val="none"/>
                      <w:lang w:val="en-US" w:eastAsia="zh-CN"/>
                    </w:rPr>
                    <w:t>水土流失</w:t>
                  </w:r>
                </w:p>
              </w:tc>
              <w:tc>
                <w:tcPr>
                  <w:tcW w:w="3097" w:type="pct"/>
                  <w:gridSpan w:val="2"/>
                  <w:vAlign w:val="center"/>
                </w:tcPr>
                <w:p w14:paraId="0E6EA039">
                  <w:pPr>
                    <w:adjustRightInd w:val="0"/>
                    <w:snapToGrid w:val="0"/>
                    <w:jc w:val="center"/>
                    <w:rPr>
                      <w:rFonts w:hint="eastAsia"/>
                      <w:color w:val="auto"/>
                      <w:szCs w:val="21"/>
                      <w:highlight w:val="none"/>
                      <w:lang w:val="en-US" w:eastAsia="zh-CN"/>
                    </w:rPr>
                  </w:pPr>
                  <w:r>
                    <w:rPr>
                      <w:rFonts w:hint="eastAsia"/>
                      <w:color w:val="auto"/>
                      <w:szCs w:val="21"/>
                      <w:highlight w:val="none"/>
                    </w:rPr>
                    <w:t>施工区土壤分层剥离、分层开挖、分层堆放和循序分层回填</w:t>
                  </w:r>
                  <w:r>
                    <w:rPr>
                      <w:rFonts w:hint="eastAsia"/>
                      <w:color w:val="auto"/>
                      <w:szCs w:val="21"/>
                      <w:highlight w:val="none"/>
                      <w:lang w:eastAsia="zh-CN"/>
                    </w:rPr>
                    <w:t>；</w:t>
                  </w:r>
                  <w:r>
                    <w:rPr>
                      <w:rFonts w:hint="eastAsia"/>
                      <w:color w:val="auto"/>
                      <w:szCs w:val="21"/>
                      <w:highlight w:val="none"/>
                    </w:rPr>
                    <w:t>避免雨天施工，修建挡土墙、排水沟、覆盖塑料布等措施</w:t>
                  </w:r>
                  <w:r>
                    <w:rPr>
                      <w:rFonts w:hint="eastAsia"/>
                      <w:color w:val="auto"/>
                      <w:szCs w:val="21"/>
                      <w:highlight w:val="none"/>
                      <w:lang w:eastAsia="zh-CN"/>
                    </w:rPr>
                    <w:t>；</w:t>
                  </w:r>
                  <w:r>
                    <w:rPr>
                      <w:rFonts w:hint="eastAsia"/>
                      <w:color w:val="auto"/>
                      <w:szCs w:val="21"/>
                      <w:highlight w:val="none"/>
                    </w:rPr>
                    <w:t>施工设置杂货区、垃圾箱，明确卫生责任区，确定责任人，并定期打扫清除。</w:t>
                  </w:r>
                </w:p>
              </w:tc>
              <w:tc>
                <w:tcPr>
                  <w:tcW w:w="553" w:type="pct"/>
                  <w:vAlign w:val="center"/>
                </w:tcPr>
                <w:p w14:paraId="2353874D">
                  <w:pPr>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1.0</w:t>
                  </w:r>
                </w:p>
              </w:tc>
              <w:tc>
                <w:tcPr>
                  <w:tcW w:w="411" w:type="pct"/>
                  <w:vAlign w:val="center"/>
                </w:tcPr>
                <w:p w14:paraId="09B39B48">
                  <w:pPr>
                    <w:jc w:val="center"/>
                    <w:rPr>
                      <w:b/>
                      <w:bCs/>
                      <w:color w:val="auto"/>
                      <w:szCs w:val="21"/>
                      <w:highlight w:val="none"/>
                    </w:rPr>
                  </w:pPr>
                  <w:r>
                    <w:rPr>
                      <w:rFonts w:hint="eastAsia"/>
                      <w:b/>
                      <w:bCs w:val="0"/>
                      <w:i/>
                      <w:iCs w:val="0"/>
                      <w:color w:val="auto"/>
                      <w:szCs w:val="21"/>
                      <w:highlight w:val="none"/>
                      <w:lang w:val="en-US" w:eastAsia="zh-CN"/>
                    </w:rPr>
                    <w:t>新增</w:t>
                  </w:r>
                </w:p>
              </w:tc>
            </w:tr>
            <w:tr w14:paraId="6CC9E7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304" w:type="pct"/>
                  <w:vMerge w:val="restart"/>
                  <w:vAlign w:val="center"/>
                </w:tcPr>
                <w:p w14:paraId="5E0428A6">
                  <w:pPr>
                    <w:jc w:val="center"/>
                    <w:rPr>
                      <w:bCs/>
                      <w:color w:val="auto"/>
                      <w:szCs w:val="21"/>
                      <w:highlight w:val="none"/>
                    </w:rPr>
                  </w:pPr>
                  <w:r>
                    <w:rPr>
                      <w:bCs/>
                      <w:color w:val="auto"/>
                      <w:szCs w:val="21"/>
                      <w:highlight w:val="none"/>
                    </w:rPr>
                    <w:t>营运期</w:t>
                  </w:r>
                </w:p>
              </w:tc>
              <w:tc>
                <w:tcPr>
                  <w:tcW w:w="632" w:type="pct"/>
                  <w:vMerge w:val="restart"/>
                  <w:vAlign w:val="center"/>
                </w:tcPr>
                <w:p w14:paraId="18F24FEB">
                  <w:pPr>
                    <w:jc w:val="center"/>
                    <w:rPr>
                      <w:bCs/>
                      <w:color w:val="auto"/>
                      <w:szCs w:val="21"/>
                      <w:highlight w:val="none"/>
                    </w:rPr>
                  </w:pPr>
                  <w:r>
                    <w:rPr>
                      <w:bCs/>
                      <w:color w:val="auto"/>
                      <w:szCs w:val="21"/>
                      <w:highlight w:val="none"/>
                    </w:rPr>
                    <w:t>废气</w:t>
                  </w:r>
                </w:p>
              </w:tc>
              <w:tc>
                <w:tcPr>
                  <w:tcW w:w="3097" w:type="pct"/>
                  <w:gridSpan w:val="2"/>
                  <w:vAlign w:val="center"/>
                </w:tcPr>
                <w:p w14:paraId="7601C207">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蒸馏尾气（VOCs）：经引风机引入新建的</w:t>
                  </w:r>
                  <w:r>
                    <w:rPr>
                      <w:color w:val="auto"/>
                      <w:szCs w:val="21"/>
                      <w:highlight w:val="none"/>
                    </w:rPr>
                    <w:t>水洗塔</w:t>
                  </w:r>
                  <w:r>
                    <w:rPr>
                      <w:rFonts w:hint="eastAsia"/>
                      <w:color w:val="auto"/>
                      <w:szCs w:val="21"/>
                      <w:highlight w:val="none"/>
                      <w:lang w:eastAsia="zh-CN"/>
                    </w:rPr>
                    <w:t>（</w:t>
                  </w:r>
                  <w:r>
                    <w:rPr>
                      <w:rFonts w:hint="eastAsia"/>
                      <w:color w:val="auto"/>
                      <w:szCs w:val="21"/>
                      <w:highlight w:val="none"/>
                      <w:lang w:val="en-US" w:eastAsia="zh-CN"/>
                    </w:rPr>
                    <w:t>四段式</w:t>
                  </w:r>
                  <w:r>
                    <w:rPr>
                      <w:rFonts w:hint="eastAsia"/>
                      <w:color w:val="auto"/>
                      <w:szCs w:val="21"/>
                      <w:highlight w:val="none"/>
                      <w:lang w:eastAsia="zh-CN"/>
                    </w:rPr>
                    <w:t>）</w:t>
                  </w:r>
                  <w:r>
                    <w:rPr>
                      <w:rFonts w:hint="eastAsia"/>
                      <w:color w:val="auto"/>
                      <w:szCs w:val="21"/>
                      <w:highlight w:val="none"/>
                      <w:lang w:val="en-US" w:eastAsia="zh-CN"/>
                    </w:rPr>
                    <w:t>处理后，</w:t>
                  </w:r>
                  <w:r>
                    <w:rPr>
                      <w:color w:val="auto"/>
                      <w:szCs w:val="21"/>
                      <w:highlight w:val="none"/>
                    </w:rPr>
                    <w:t>废气通过</w:t>
                  </w:r>
                  <w:r>
                    <w:rPr>
                      <w:rFonts w:hint="eastAsia"/>
                      <w:color w:val="auto"/>
                      <w:szCs w:val="21"/>
                      <w:highlight w:val="none"/>
                      <w:lang w:val="en-US" w:eastAsia="zh-CN"/>
                    </w:rPr>
                    <w:t>现有工艺废气排气筒DA001排放（高</w:t>
                  </w:r>
                  <w:r>
                    <w:rPr>
                      <w:rFonts w:hint="default"/>
                      <w:color w:val="auto"/>
                      <w:szCs w:val="21"/>
                      <w:highlight w:val="none"/>
                      <w:lang w:val="en-US" w:eastAsia="zh-CN"/>
                    </w:rPr>
                    <w:t>2</w:t>
                  </w:r>
                  <w:r>
                    <w:rPr>
                      <w:rFonts w:hint="eastAsia"/>
                      <w:color w:val="auto"/>
                      <w:szCs w:val="21"/>
                      <w:highlight w:val="none"/>
                      <w:lang w:val="en-US" w:eastAsia="zh-CN"/>
                    </w:rPr>
                    <w:t>8</w:t>
                  </w:r>
                  <w:r>
                    <w:rPr>
                      <w:rFonts w:hint="default"/>
                      <w:color w:val="auto"/>
                      <w:szCs w:val="21"/>
                      <w:highlight w:val="none"/>
                      <w:lang w:val="en-US" w:eastAsia="zh-CN"/>
                    </w:rPr>
                    <w:t>m</w:t>
                  </w:r>
                  <w:r>
                    <w:rPr>
                      <w:rFonts w:hint="eastAsia"/>
                      <w:color w:val="auto"/>
                      <w:szCs w:val="21"/>
                      <w:highlight w:val="none"/>
                      <w:lang w:val="en-US" w:eastAsia="zh-CN"/>
                    </w:rPr>
                    <w:t>）。</w:t>
                  </w:r>
                </w:p>
              </w:tc>
              <w:tc>
                <w:tcPr>
                  <w:tcW w:w="553" w:type="pct"/>
                  <w:vMerge w:val="restart"/>
                  <w:vAlign w:val="center"/>
                </w:tcPr>
                <w:p w14:paraId="5F6CA7AA">
                  <w:pPr>
                    <w:adjustRightInd w:val="0"/>
                    <w:snapToGrid w:val="0"/>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50</w:t>
                  </w:r>
                </w:p>
              </w:tc>
              <w:tc>
                <w:tcPr>
                  <w:tcW w:w="411" w:type="pct"/>
                  <w:vMerge w:val="restart"/>
                  <w:vAlign w:val="center"/>
                </w:tcPr>
                <w:p w14:paraId="161B76E0">
                  <w:pPr>
                    <w:adjustRightInd w:val="0"/>
                    <w:snapToGrid w:val="0"/>
                    <w:jc w:val="center"/>
                    <w:rPr>
                      <w:rFonts w:hint="eastAsia"/>
                      <w:b/>
                      <w:bCs/>
                      <w:i/>
                      <w:iCs/>
                      <w:color w:val="auto"/>
                      <w:szCs w:val="21"/>
                      <w:highlight w:val="none"/>
                      <w:lang w:val="en-US" w:eastAsia="zh-CN"/>
                    </w:rPr>
                  </w:pPr>
                  <w:r>
                    <w:rPr>
                      <w:rFonts w:hint="eastAsia"/>
                      <w:b/>
                      <w:bCs/>
                      <w:i/>
                      <w:iCs/>
                      <w:color w:val="auto"/>
                      <w:szCs w:val="21"/>
                      <w:highlight w:val="none"/>
                      <w:lang w:val="en-US" w:eastAsia="zh-CN"/>
                    </w:rPr>
                    <w:t>新建</w:t>
                  </w:r>
                  <w:r>
                    <w:rPr>
                      <w:rFonts w:hint="eastAsia"/>
                      <w:color w:val="auto"/>
                      <w:szCs w:val="21"/>
                      <w:highlight w:val="none"/>
                      <w:lang w:val="en-US" w:eastAsia="zh-CN"/>
                    </w:rPr>
                    <w:t>+</w:t>
                  </w:r>
                  <w:r>
                    <w:rPr>
                      <w:rFonts w:hint="eastAsia"/>
                      <w:color w:val="auto"/>
                      <w:szCs w:val="21"/>
                      <w:highlight w:val="none"/>
                    </w:rPr>
                    <w:t>依托</w:t>
                  </w:r>
                </w:p>
              </w:tc>
            </w:tr>
            <w:tr w14:paraId="7096F7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55E743E0">
                  <w:pPr>
                    <w:jc w:val="center"/>
                    <w:rPr>
                      <w:bCs/>
                      <w:color w:val="auto"/>
                      <w:szCs w:val="21"/>
                      <w:highlight w:val="none"/>
                    </w:rPr>
                  </w:pPr>
                </w:p>
              </w:tc>
              <w:tc>
                <w:tcPr>
                  <w:tcW w:w="632" w:type="pct"/>
                  <w:vMerge w:val="continue"/>
                  <w:vAlign w:val="center"/>
                </w:tcPr>
                <w:p w14:paraId="2DED8496">
                  <w:pPr>
                    <w:jc w:val="center"/>
                    <w:rPr>
                      <w:bCs/>
                      <w:color w:val="auto"/>
                      <w:szCs w:val="21"/>
                      <w:highlight w:val="none"/>
                    </w:rPr>
                  </w:pPr>
                </w:p>
              </w:tc>
              <w:tc>
                <w:tcPr>
                  <w:tcW w:w="3097" w:type="pct"/>
                  <w:gridSpan w:val="2"/>
                  <w:vAlign w:val="center"/>
                </w:tcPr>
                <w:p w14:paraId="6DADE2E0">
                  <w:pPr>
                    <w:adjustRightInd w:val="0"/>
                    <w:snapToGrid w:val="0"/>
                    <w:jc w:val="center"/>
                    <w:rPr>
                      <w:rFonts w:hint="eastAsia"/>
                      <w:color w:val="auto"/>
                      <w:szCs w:val="21"/>
                      <w:highlight w:val="none"/>
                      <w:lang w:val="en-US" w:eastAsia="zh-CN"/>
                    </w:rPr>
                  </w:pPr>
                  <w:r>
                    <w:rPr>
                      <w:rFonts w:hint="eastAsia" w:cs="Times New Roman"/>
                      <w:color w:val="auto"/>
                      <w:szCs w:val="21"/>
                      <w:highlight w:val="none"/>
                      <w:lang w:val="en-US" w:eastAsia="zh-CN"/>
                    </w:rPr>
                    <w:t>储罐</w:t>
                  </w:r>
                  <w:r>
                    <w:rPr>
                      <w:rFonts w:hint="eastAsia" w:ascii="Times New Roman" w:hAnsi="Times New Roman" w:eastAsia="宋体" w:cs="Times New Roman"/>
                      <w:color w:val="auto"/>
                      <w:szCs w:val="21"/>
                      <w:highlight w:val="none"/>
                      <w:lang w:val="en-US" w:eastAsia="zh-CN"/>
                    </w:rPr>
                    <w:t>呼吸废气：通过</w:t>
                  </w:r>
                  <w:r>
                    <w:rPr>
                      <w:rFonts w:hint="eastAsia" w:cs="Times New Roman"/>
                      <w:color w:val="auto"/>
                      <w:szCs w:val="21"/>
                      <w:highlight w:val="none"/>
                      <w:lang w:val="en-US" w:eastAsia="zh-CN"/>
                    </w:rPr>
                    <w:t>呼吸阀门将呼吸废气引至</w:t>
                  </w:r>
                  <w:r>
                    <w:rPr>
                      <w:rFonts w:hint="eastAsia"/>
                      <w:color w:val="auto"/>
                      <w:szCs w:val="21"/>
                      <w:highlight w:val="none"/>
                      <w:lang w:val="en-US" w:eastAsia="zh-CN"/>
                    </w:rPr>
                    <w:t>新建的</w:t>
                  </w:r>
                  <w:r>
                    <w:rPr>
                      <w:color w:val="auto"/>
                      <w:szCs w:val="21"/>
                      <w:highlight w:val="none"/>
                    </w:rPr>
                    <w:t>水洗塔</w:t>
                  </w:r>
                  <w:r>
                    <w:rPr>
                      <w:rFonts w:hint="eastAsia"/>
                      <w:color w:val="auto"/>
                      <w:szCs w:val="21"/>
                      <w:highlight w:val="none"/>
                      <w:lang w:eastAsia="zh-CN"/>
                    </w:rPr>
                    <w:t>（</w:t>
                  </w:r>
                  <w:r>
                    <w:rPr>
                      <w:rFonts w:hint="eastAsia"/>
                      <w:color w:val="auto"/>
                      <w:szCs w:val="21"/>
                      <w:highlight w:val="none"/>
                      <w:lang w:val="en-US" w:eastAsia="zh-CN"/>
                    </w:rPr>
                    <w:t>四段式</w:t>
                  </w:r>
                  <w:r>
                    <w:rPr>
                      <w:rFonts w:hint="eastAsia"/>
                      <w:color w:val="auto"/>
                      <w:szCs w:val="21"/>
                      <w:highlight w:val="none"/>
                      <w:lang w:eastAsia="zh-CN"/>
                    </w:rPr>
                    <w:t>）</w:t>
                  </w:r>
                  <w:r>
                    <w:rPr>
                      <w:rFonts w:hint="eastAsia"/>
                      <w:color w:val="auto"/>
                      <w:szCs w:val="21"/>
                      <w:highlight w:val="none"/>
                      <w:lang w:val="en-US" w:eastAsia="zh-CN"/>
                    </w:rPr>
                    <w:t>处理后，</w:t>
                  </w:r>
                  <w:r>
                    <w:rPr>
                      <w:color w:val="auto"/>
                      <w:szCs w:val="21"/>
                      <w:highlight w:val="none"/>
                    </w:rPr>
                    <w:t>废气通过</w:t>
                  </w:r>
                  <w:r>
                    <w:rPr>
                      <w:rFonts w:hint="eastAsia"/>
                      <w:color w:val="auto"/>
                      <w:szCs w:val="21"/>
                      <w:highlight w:val="none"/>
                      <w:lang w:val="en-US" w:eastAsia="zh-CN"/>
                    </w:rPr>
                    <w:t>现有工艺废气排气筒DA001排放（高</w:t>
                  </w:r>
                  <w:r>
                    <w:rPr>
                      <w:rFonts w:hint="default"/>
                      <w:color w:val="auto"/>
                      <w:szCs w:val="21"/>
                      <w:highlight w:val="none"/>
                      <w:lang w:val="en-US" w:eastAsia="zh-CN"/>
                    </w:rPr>
                    <w:t>2</w:t>
                  </w:r>
                  <w:r>
                    <w:rPr>
                      <w:rFonts w:hint="eastAsia"/>
                      <w:color w:val="auto"/>
                      <w:szCs w:val="21"/>
                      <w:highlight w:val="none"/>
                      <w:lang w:val="en-US" w:eastAsia="zh-CN"/>
                    </w:rPr>
                    <w:t>8</w:t>
                  </w:r>
                  <w:r>
                    <w:rPr>
                      <w:rFonts w:hint="default"/>
                      <w:color w:val="auto"/>
                      <w:szCs w:val="21"/>
                      <w:highlight w:val="none"/>
                      <w:lang w:val="en-US" w:eastAsia="zh-CN"/>
                    </w:rPr>
                    <w:t>m</w:t>
                  </w:r>
                  <w:r>
                    <w:rPr>
                      <w:rFonts w:hint="eastAsia"/>
                      <w:color w:val="auto"/>
                      <w:szCs w:val="21"/>
                      <w:highlight w:val="none"/>
                      <w:lang w:val="en-US" w:eastAsia="zh-CN"/>
                    </w:rPr>
                    <w:t>）。</w:t>
                  </w:r>
                </w:p>
              </w:tc>
              <w:tc>
                <w:tcPr>
                  <w:tcW w:w="553" w:type="pct"/>
                  <w:vMerge w:val="continue"/>
                  <w:vAlign w:val="center"/>
                </w:tcPr>
                <w:p w14:paraId="63219A76">
                  <w:pPr>
                    <w:adjustRightInd w:val="0"/>
                    <w:snapToGrid w:val="0"/>
                    <w:jc w:val="center"/>
                    <w:rPr>
                      <w:rFonts w:hint="eastAsia"/>
                      <w:b w:val="0"/>
                      <w:bCs w:val="0"/>
                      <w:color w:val="auto"/>
                      <w:szCs w:val="21"/>
                      <w:highlight w:val="none"/>
                      <w:lang w:val="en-US" w:eastAsia="zh-CN"/>
                    </w:rPr>
                  </w:pPr>
                </w:p>
              </w:tc>
              <w:tc>
                <w:tcPr>
                  <w:tcW w:w="411" w:type="pct"/>
                  <w:vMerge w:val="continue"/>
                  <w:vAlign w:val="center"/>
                </w:tcPr>
                <w:p w14:paraId="7FCF1857">
                  <w:pPr>
                    <w:adjustRightInd w:val="0"/>
                    <w:snapToGrid w:val="0"/>
                    <w:jc w:val="center"/>
                    <w:rPr>
                      <w:rFonts w:hint="eastAsia"/>
                      <w:b/>
                      <w:bCs/>
                      <w:i/>
                      <w:iCs/>
                      <w:color w:val="auto"/>
                      <w:szCs w:val="21"/>
                      <w:highlight w:val="none"/>
                      <w:lang w:val="en-US" w:eastAsia="zh-CN"/>
                    </w:rPr>
                  </w:pPr>
                </w:p>
              </w:tc>
            </w:tr>
            <w:tr w14:paraId="47C2DB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5E54112C">
                  <w:pPr>
                    <w:jc w:val="center"/>
                    <w:rPr>
                      <w:bCs/>
                      <w:color w:val="auto"/>
                      <w:szCs w:val="21"/>
                      <w:highlight w:val="none"/>
                    </w:rPr>
                  </w:pPr>
                </w:p>
              </w:tc>
              <w:tc>
                <w:tcPr>
                  <w:tcW w:w="632" w:type="pct"/>
                  <w:vMerge w:val="continue"/>
                  <w:vAlign w:val="center"/>
                </w:tcPr>
                <w:p w14:paraId="19D3A508">
                  <w:pPr>
                    <w:jc w:val="center"/>
                    <w:rPr>
                      <w:bCs/>
                      <w:color w:val="auto"/>
                      <w:szCs w:val="21"/>
                      <w:highlight w:val="none"/>
                    </w:rPr>
                  </w:pPr>
                </w:p>
              </w:tc>
              <w:tc>
                <w:tcPr>
                  <w:tcW w:w="3097" w:type="pct"/>
                  <w:gridSpan w:val="2"/>
                  <w:vAlign w:val="center"/>
                </w:tcPr>
                <w:p w14:paraId="69296CE1">
                  <w:pPr>
                    <w:adjustRightInd w:val="0"/>
                    <w:snapToGrid w:val="0"/>
                    <w:jc w:val="center"/>
                    <w:rPr>
                      <w:rFonts w:hint="eastAsia"/>
                      <w:color w:val="auto"/>
                      <w:szCs w:val="21"/>
                      <w:highlight w:val="none"/>
                    </w:rPr>
                  </w:pPr>
                  <w:r>
                    <w:rPr>
                      <w:rFonts w:hint="eastAsia"/>
                      <w:color w:val="auto"/>
                      <w:szCs w:val="21"/>
                      <w:highlight w:val="none"/>
                    </w:rPr>
                    <w:t>锅炉燃烧废气：采用“低氮燃烧器+烟气再循环技术”，燃烧后废气通过1根15m排气筒DA00</w:t>
                  </w:r>
                  <w:r>
                    <w:rPr>
                      <w:rFonts w:hint="eastAsia"/>
                      <w:color w:val="auto"/>
                      <w:szCs w:val="21"/>
                      <w:highlight w:val="none"/>
                      <w:lang w:val="en-US" w:eastAsia="zh-CN"/>
                    </w:rPr>
                    <w:t>2</w:t>
                  </w:r>
                  <w:r>
                    <w:rPr>
                      <w:rFonts w:hint="eastAsia"/>
                      <w:color w:val="auto"/>
                      <w:szCs w:val="21"/>
                      <w:highlight w:val="none"/>
                    </w:rPr>
                    <w:t>排放。</w:t>
                  </w:r>
                </w:p>
              </w:tc>
              <w:tc>
                <w:tcPr>
                  <w:tcW w:w="553" w:type="pct"/>
                  <w:vAlign w:val="center"/>
                </w:tcPr>
                <w:p w14:paraId="6DF55B44">
                  <w:pPr>
                    <w:adjustRightInd w:val="0"/>
                    <w:snapToGrid w:val="0"/>
                    <w:jc w:val="center"/>
                    <w:rPr>
                      <w:rFonts w:hint="eastAsia"/>
                      <w:color w:val="auto"/>
                      <w:szCs w:val="21"/>
                      <w:highlight w:val="none"/>
                    </w:rPr>
                  </w:pPr>
                  <w:r>
                    <w:rPr>
                      <w:rFonts w:hint="eastAsia"/>
                      <w:color w:val="auto"/>
                      <w:szCs w:val="21"/>
                      <w:highlight w:val="none"/>
                    </w:rPr>
                    <w:t>/</w:t>
                  </w:r>
                </w:p>
              </w:tc>
              <w:tc>
                <w:tcPr>
                  <w:tcW w:w="411" w:type="pct"/>
                  <w:vAlign w:val="center"/>
                </w:tcPr>
                <w:p w14:paraId="39206B56">
                  <w:pPr>
                    <w:adjustRightInd w:val="0"/>
                    <w:snapToGrid w:val="0"/>
                    <w:jc w:val="center"/>
                    <w:rPr>
                      <w:rFonts w:hint="eastAsia"/>
                      <w:color w:val="auto"/>
                      <w:szCs w:val="21"/>
                      <w:highlight w:val="none"/>
                    </w:rPr>
                  </w:pPr>
                  <w:r>
                    <w:rPr>
                      <w:rFonts w:hint="eastAsia"/>
                      <w:color w:val="auto"/>
                      <w:szCs w:val="21"/>
                      <w:highlight w:val="none"/>
                    </w:rPr>
                    <w:t>依托</w:t>
                  </w:r>
                </w:p>
              </w:tc>
            </w:tr>
            <w:tr w14:paraId="15AE4C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0" w:hRule="atLeast"/>
                <w:jc w:val="center"/>
              </w:trPr>
              <w:tc>
                <w:tcPr>
                  <w:tcW w:w="304" w:type="pct"/>
                  <w:vMerge w:val="continue"/>
                  <w:vAlign w:val="center"/>
                </w:tcPr>
                <w:p w14:paraId="6FA5A170">
                  <w:pPr>
                    <w:jc w:val="center"/>
                    <w:rPr>
                      <w:bCs/>
                      <w:color w:val="auto"/>
                      <w:szCs w:val="21"/>
                      <w:highlight w:val="none"/>
                    </w:rPr>
                  </w:pPr>
                </w:p>
              </w:tc>
              <w:tc>
                <w:tcPr>
                  <w:tcW w:w="632" w:type="pct"/>
                  <w:vMerge w:val="continue"/>
                  <w:vAlign w:val="center"/>
                </w:tcPr>
                <w:p w14:paraId="192C8536">
                  <w:pPr>
                    <w:jc w:val="center"/>
                    <w:rPr>
                      <w:bCs/>
                      <w:color w:val="auto"/>
                      <w:szCs w:val="21"/>
                      <w:highlight w:val="none"/>
                    </w:rPr>
                  </w:pPr>
                </w:p>
              </w:tc>
              <w:tc>
                <w:tcPr>
                  <w:tcW w:w="3097" w:type="pct"/>
                  <w:gridSpan w:val="2"/>
                  <w:vAlign w:val="center"/>
                </w:tcPr>
                <w:p w14:paraId="4844620B">
                  <w:pPr>
                    <w:adjustRightInd w:val="0"/>
                    <w:snapToGrid w:val="0"/>
                    <w:jc w:val="center"/>
                    <w:rPr>
                      <w:rFonts w:hint="default" w:eastAsia="宋体"/>
                      <w:color w:val="auto"/>
                      <w:szCs w:val="21"/>
                      <w:highlight w:val="none"/>
                      <w:lang w:val="en-US" w:eastAsia="zh-CN"/>
                    </w:rPr>
                  </w:pPr>
                  <w:r>
                    <w:rPr>
                      <w:color w:val="auto"/>
                      <w:szCs w:val="21"/>
                      <w:highlight w:val="none"/>
                    </w:rPr>
                    <w:t>污水处理站恶臭：污水处理站所有构筑物采取钢筋混凝土池盖封顶，池盖上设有臭气收集口，经“吸气罩+引风机”集中收集废气，通过“稀碱液循环洗涤+活性炭吸附”系统净化后，经</w:t>
                  </w:r>
                  <w:r>
                    <w:rPr>
                      <w:rFonts w:hint="eastAsia"/>
                      <w:color w:val="auto"/>
                      <w:szCs w:val="21"/>
                      <w:highlight w:val="none"/>
                      <w:lang w:val="en-US" w:eastAsia="zh-CN"/>
                    </w:rPr>
                    <w:t>1</w:t>
                  </w:r>
                  <w:r>
                    <w:rPr>
                      <w:color w:val="auto"/>
                      <w:szCs w:val="21"/>
                      <w:highlight w:val="none"/>
                    </w:rPr>
                    <w:t>根15m排气筒</w:t>
                  </w:r>
                  <w:r>
                    <w:rPr>
                      <w:rFonts w:hint="eastAsia"/>
                      <w:color w:val="auto"/>
                      <w:szCs w:val="21"/>
                      <w:highlight w:val="none"/>
                      <w:lang w:val="en-US" w:eastAsia="zh-CN"/>
                    </w:rPr>
                    <w:t>DA003</w:t>
                  </w:r>
                  <w:r>
                    <w:rPr>
                      <w:color w:val="auto"/>
                      <w:szCs w:val="21"/>
                      <w:highlight w:val="none"/>
                    </w:rPr>
                    <w:t>排放。</w:t>
                  </w:r>
                </w:p>
              </w:tc>
              <w:tc>
                <w:tcPr>
                  <w:tcW w:w="553" w:type="pct"/>
                  <w:vAlign w:val="center"/>
                </w:tcPr>
                <w:p w14:paraId="5E585594">
                  <w:pPr>
                    <w:adjustRightInd w:val="0"/>
                    <w:snapToGrid w:val="0"/>
                    <w:jc w:val="center"/>
                    <w:rPr>
                      <w:color w:val="auto"/>
                      <w:szCs w:val="21"/>
                      <w:highlight w:val="none"/>
                    </w:rPr>
                  </w:pPr>
                  <w:r>
                    <w:rPr>
                      <w:color w:val="auto"/>
                      <w:szCs w:val="21"/>
                      <w:highlight w:val="none"/>
                    </w:rPr>
                    <w:t>/</w:t>
                  </w:r>
                </w:p>
              </w:tc>
              <w:tc>
                <w:tcPr>
                  <w:tcW w:w="411" w:type="pct"/>
                  <w:vAlign w:val="center"/>
                </w:tcPr>
                <w:p w14:paraId="6322BEC7">
                  <w:pPr>
                    <w:adjustRightInd w:val="0"/>
                    <w:snapToGrid w:val="0"/>
                    <w:jc w:val="center"/>
                    <w:rPr>
                      <w:color w:val="auto"/>
                      <w:szCs w:val="21"/>
                      <w:highlight w:val="none"/>
                    </w:rPr>
                  </w:pPr>
                  <w:r>
                    <w:rPr>
                      <w:color w:val="auto"/>
                      <w:szCs w:val="21"/>
                      <w:highlight w:val="none"/>
                    </w:rPr>
                    <w:t>依托</w:t>
                  </w:r>
                </w:p>
              </w:tc>
            </w:tr>
            <w:tr w14:paraId="056BD1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304" w:type="pct"/>
                  <w:vMerge w:val="continue"/>
                  <w:vAlign w:val="center"/>
                </w:tcPr>
                <w:p w14:paraId="0ED0AA66">
                  <w:pPr>
                    <w:jc w:val="center"/>
                    <w:rPr>
                      <w:bCs/>
                      <w:color w:val="auto"/>
                      <w:szCs w:val="21"/>
                      <w:highlight w:val="none"/>
                    </w:rPr>
                  </w:pPr>
                </w:p>
              </w:tc>
              <w:tc>
                <w:tcPr>
                  <w:tcW w:w="632" w:type="pct"/>
                  <w:vMerge w:val="continue"/>
                  <w:vAlign w:val="center"/>
                </w:tcPr>
                <w:p w14:paraId="593262F4">
                  <w:pPr>
                    <w:jc w:val="center"/>
                    <w:rPr>
                      <w:bCs/>
                      <w:color w:val="auto"/>
                      <w:szCs w:val="21"/>
                      <w:highlight w:val="none"/>
                    </w:rPr>
                  </w:pPr>
                </w:p>
              </w:tc>
              <w:tc>
                <w:tcPr>
                  <w:tcW w:w="3097" w:type="pct"/>
                  <w:gridSpan w:val="2"/>
                  <w:vAlign w:val="center"/>
                </w:tcPr>
                <w:p w14:paraId="66128550">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生产装置区密封点泄漏废气：通过高效管理、控制自动化降低废气量。</w:t>
                  </w:r>
                </w:p>
              </w:tc>
              <w:tc>
                <w:tcPr>
                  <w:tcW w:w="553" w:type="pct"/>
                  <w:vAlign w:val="center"/>
                </w:tcPr>
                <w:p w14:paraId="2B725AA7">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纳入主体工程</w:t>
                  </w:r>
                </w:p>
              </w:tc>
              <w:tc>
                <w:tcPr>
                  <w:tcW w:w="411" w:type="pct"/>
                  <w:vAlign w:val="center"/>
                </w:tcPr>
                <w:p w14:paraId="2CEA116A">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0C1DB0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083CD41D">
                  <w:pPr>
                    <w:jc w:val="center"/>
                    <w:rPr>
                      <w:bCs/>
                      <w:color w:val="auto"/>
                      <w:szCs w:val="21"/>
                      <w:highlight w:val="none"/>
                    </w:rPr>
                  </w:pPr>
                </w:p>
              </w:tc>
              <w:tc>
                <w:tcPr>
                  <w:tcW w:w="632" w:type="pct"/>
                  <w:vMerge w:val="continue"/>
                  <w:vAlign w:val="center"/>
                </w:tcPr>
                <w:p w14:paraId="511C2E16">
                  <w:pPr>
                    <w:jc w:val="center"/>
                    <w:rPr>
                      <w:bCs/>
                      <w:color w:val="auto"/>
                      <w:szCs w:val="21"/>
                      <w:highlight w:val="none"/>
                    </w:rPr>
                  </w:pPr>
                </w:p>
              </w:tc>
              <w:tc>
                <w:tcPr>
                  <w:tcW w:w="3097" w:type="pct"/>
                  <w:gridSpan w:val="2"/>
                  <w:vAlign w:val="center"/>
                </w:tcPr>
                <w:p w14:paraId="3D4F4652">
                  <w:pPr>
                    <w:adjustRightInd w:val="0"/>
                    <w:snapToGrid w:val="0"/>
                    <w:jc w:val="center"/>
                    <w:rPr>
                      <w:rFonts w:hint="default"/>
                      <w:color w:val="auto"/>
                      <w:szCs w:val="21"/>
                      <w:highlight w:val="none"/>
                      <w:lang w:val="en-US" w:eastAsia="zh-CN"/>
                    </w:rPr>
                  </w:pPr>
                  <w:r>
                    <w:rPr>
                      <w:rFonts w:hint="eastAsia"/>
                      <w:color w:val="auto"/>
                      <w:szCs w:val="21"/>
                      <w:highlight w:val="none"/>
                      <w:lang w:eastAsia="zh-CN"/>
                    </w:rPr>
                    <w:t>危废贮存库</w:t>
                  </w:r>
                  <w:r>
                    <w:rPr>
                      <w:rFonts w:hint="eastAsia"/>
                      <w:color w:val="auto"/>
                      <w:szCs w:val="21"/>
                      <w:highlight w:val="none"/>
                      <w:lang w:val="en-US" w:eastAsia="zh-CN"/>
                    </w:rPr>
                    <w:t>异味</w:t>
                  </w:r>
                  <w:r>
                    <w:rPr>
                      <w:rFonts w:hint="eastAsia"/>
                      <w:color w:val="auto"/>
                      <w:szCs w:val="21"/>
                      <w:highlight w:val="none"/>
                    </w:rPr>
                    <w:t>：</w:t>
                  </w:r>
                  <w:r>
                    <w:rPr>
                      <w:rFonts w:hint="eastAsia"/>
                      <w:color w:val="auto"/>
                      <w:szCs w:val="21"/>
                      <w:highlight w:val="none"/>
                      <w:lang w:val="en-US" w:eastAsia="zh-CN"/>
                    </w:rPr>
                    <w:t>内设机械通风，量小，喷洒生物除臭剂，无组织排放</w:t>
                  </w:r>
                </w:p>
              </w:tc>
              <w:tc>
                <w:tcPr>
                  <w:tcW w:w="553" w:type="pct"/>
                  <w:vAlign w:val="center"/>
                </w:tcPr>
                <w:p w14:paraId="77B383D2">
                  <w:pPr>
                    <w:jc w:val="center"/>
                    <w:rPr>
                      <w:rFonts w:hint="default" w:eastAsia="宋体"/>
                      <w:bCs/>
                      <w:color w:val="auto"/>
                      <w:szCs w:val="21"/>
                      <w:highlight w:val="none"/>
                      <w:lang w:val="en-US" w:eastAsia="zh-CN"/>
                    </w:rPr>
                  </w:pPr>
                  <w:r>
                    <w:rPr>
                      <w:rFonts w:hint="eastAsia"/>
                      <w:bCs/>
                      <w:color w:val="auto"/>
                      <w:szCs w:val="21"/>
                      <w:highlight w:val="none"/>
                      <w:lang w:val="en-US" w:eastAsia="zh-CN"/>
                    </w:rPr>
                    <w:t>1</w:t>
                  </w:r>
                </w:p>
              </w:tc>
              <w:tc>
                <w:tcPr>
                  <w:tcW w:w="411" w:type="pct"/>
                  <w:vAlign w:val="center"/>
                </w:tcPr>
                <w:p w14:paraId="7804A30C">
                  <w:pPr>
                    <w:jc w:val="center"/>
                    <w:rPr>
                      <w:rFonts w:hint="eastAsia" w:eastAsia="宋体"/>
                      <w:bCs/>
                      <w:i/>
                      <w:color w:val="auto"/>
                      <w:szCs w:val="21"/>
                      <w:highlight w:val="none"/>
                      <w:lang w:val="en-US" w:eastAsia="zh-CN"/>
                    </w:rPr>
                  </w:pPr>
                  <w:r>
                    <w:rPr>
                      <w:rFonts w:hint="eastAsia"/>
                      <w:b/>
                      <w:bCs w:val="0"/>
                      <w:i/>
                      <w:iCs w:val="0"/>
                      <w:color w:val="auto"/>
                      <w:szCs w:val="21"/>
                      <w:highlight w:val="none"/>
                      <w:lang w:val="en-US" w:eastAsia="zh-CN"/>
                    </w:rPr>
                    <w:t>新增</w:t>
                  </w:r>
                </w:p>
              </w:tc>
            </w:tr>
            <w:tr w14:paraId="5767B0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2419F5D0">
                  <w:pPr>
                    <w:jc w:val="center"/>
                    <w:rPr>
                      <w:bCs/>
                      <w:color w:val="auto"/>
                      <w:szCs w:val="21"/>
                      <w:highlight w:val="none"/>
                    </w:rPr>
                  </w:pPr>
                </w:p>
              </w:tc>
              <w:tc>
                <w:tcPr>
                  <w:tcW w:w="632" w:type="pct"/>
                  <w:vMerge w:val="continue"/>
                  <w:vAlign w:val="center"/>
                </w:tcPr>
                <w:p w14:paraId="5D1FC544">
                  <w:pPr>
                    <w:jc w:val="center"/>
                    <w:rPr>
                      <w:bCs/>
                      <w:color w:val="auto"/>
                      <w:szCs w:val="21"/>
                      <w:highlight w:val="none"/>
                    </w:rPr>
                  </w:pPr>
                </w:p>
              </w:tc>
              <w:tc>
                <w:tcPr>
                  <w:tcW w:w="3097" w:type="pct"/>
                  <w:gridSpan w:val="2"/>
                  <w:vAlign w:val="center"/>
                </w:tcPr>
                <w:p w14:paraId="7EA4D9DB">
                  <w:pPr>
                    <w:adjustRightInd w:val="0"/>
                    <w:snapToGrid w:val="0"/>
                    <w:jc w:val="center"/>
                    <w:rPr>
                      <w:color w:val="auto"/>
                      <w:szCs w:val="21"/>
                      <w:highlight w:val="none"/>
                    </w:rPr>
                  </w:pPr>
                  <w:r>
                    <w:rPr>
                      <w:color w:val="auto"/>
                      <w:szCs w:val="21"/>
                      <w:highlight w:val="none"/>
                    </w:rPr>
                    <w:t>食堂油烟：设</w:t>
                  </w:r>
                  <w:r>
                    <w:rPr>
                      <w:rFonts w:hint="eastAsia"/>
                      <w:color w:val="auto"/>
                      <w:szCs w:val="21"/>
                      <w:highlight w:val="none"/>
                      <w:lang w:val="en-US" w:eastAsia="zh-CN"/>
                    </w:rPr>
                    <w:t>有</w:t>
                  </w:r>
                  <w:r>
                    <w:rPr>
                      <w:color w:val="auto"/>
                      <w:szCs w:val="21"/>
                      <w:highlight w:val="none"/>
                    </w:rPr>
                    <w:t>油烟净化</w:t>
                  </w:r>
                  <w:r>
                    <w:rPr>
                      <w:rFonts w:hint="eastAsia"/>
                      <w:color w:val="auto"/>
                      <w:szCs w:val="21"/>
                      <w:highlight w:val="none"/>
                      <w:lang w:val="en-US" w:eastAsia="zh-CN"/>
                    </w:rPr>
                    <w:t>器</w:t>
                  </w:r>
                  <w:r>
                    <w:rPr>
                      <w:color w:val="auto"/>
                      <w:szCs w:val="21"/>
                      <w:highlight w:val="none"/>
                    </w:rPr>
                    <w:t>，</w:t>
                  </w:r>
                  <w:r>
                    <w:rPr>
                      <w:rFonts w:hint="eastAsia"/>
                      <w:color w:val="auto"/>
                      <w:szCs w:val="21"/>
                      <w:highlight w:val="none"/>
                      <w:lang w:val="en-US" w:eastAsia="zh-CN"/>
                    </w:rPr>
                    <w:t>经</w:t>
                  </w:r>
                  <w:r>
                    <w:rPr>
                      <w:color w:val="auto"/>
                      <w:szCs w:val="21"/>
                      <w:highlight w:val="none"/>
                    </w:rPr>
                    <w:t>处理后通过墙体内烟道排放。</w:t>
                  </w:r>
                </w:p>
              </w:tc>
              <w:tc>
                <w:tcPr>
                  <w:tcW w:w="553" w:type="pct"/>
                  <w:vAlign w:val="center"/>
                </w:tcPr>
                <w:p w14:paraId="33F7E928">
                  <w:pPr>
                    <w:jc w:val="center"/>
                    <w:rPr>
                      <w:bCs/>
                      <w:color w:val="auto"/>
                      <w:szCs w:val="21"/>
                      <w:highlight w:val="none"/>
                    </w:rPr>
                  </w:pPr>
                  <w:r>
                    <w:rPr>
                      <w:bCs/>
                      <w:color w:val="auto"/>
                      <w:szCs w:val="21"/>
                      <w:highlight w:val="none"/>
                    </w:rPr>
                    <w:t>/</w:t>
                  </w:r>
                </w:p>
              </w:tc>
              <w:tc>
                <w:tcPr>
                  <w:tcW w:w="411" w:type="pct"/>
                  <w:vAlign w:val="center"/>
                </w:tcPr>
                <w:p w14:paraId="5156D74E">
                  <w:pPr>
                    <w:jc w:val="center"/>
                    <w:rPr>
                      <w:bCs/>
                      <w:i/>
                      <w:color w:val="auto"/>
                      <w:szCs w:val="21"/>
                      <w:highlight w:val="none"/>
                    </w:rPr>
                  </w:pPr>
                  <w:r>
                    <w:rPr>
                      <w:bCs/>
                      <w:i/>
                      <w:color w:val="auto"/>
                      <w:szCs w:val="21"/>
                      <w:highlight w:val="none"/>
                    </w:rPr>
                    <w:t>依托</w:t>
                  </w:r>
                </w:p>
              </w:tc>
            </w:tr>
            <w:tr w14:paraId="1E4F3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00A0F572">
                  <w:pPr>
                    <w:jc w:val="center"/>
                    <w:rPr>
                      <w:bCs/>
                      <w:color w:val="auto"/>
                      <w:szCs w:val="21"/>
                      <w:highlight w:val="none"/>
                    </w:rPr>
                  </w:pPr>
                </w:p>
              </w:tc>
              <w:tc>
                <w:tcPr>
                  <w:tcW w:w="632" w:type="pct"/>
                  <w:vAlign w:val="center"/>
                </w:tcPr>
                <w:p w14:paraId="2FDEA690">
                  <w:pPr>
                    <w:jc w:val="center"/>
                    <w:rPr>
                      <w:bCs/>
                      <w:color w:val="auto"/>
                      <w:szCs w:val="21"/>
                      <w:highlight w:val="none"/>
                    </w:rPr>
                  </w:pPr>
                  <w:r>
                    <w:rPr>
                      <w:bCs/>
                      <w:color w:val="auto"/>
                      <w:szCs w:val="21"/>
                      <w:highlight w:val="none"/>
                    </w:rPr>
                    <w:t>废水</w:t>
                  </w:r>
                </w:p>
              </w:tc>
              <w:tc>
                <w:tcPr>
                  <w:tcW w:w="3097" w:type="pct"/>
                  <w:gridSpan w:val="2"/>
                  <w:vAlign w:val="center"/>
                </w:tcPr>
                <w:p w14:paraId="23364A1C">
                  <w:pPr>
                    <w:jc w:val="center"/>
                    <w:rPr>
                      <w:rFonts w:hint="default"/>
                      <w:color w:val="auto"/>
                      <w:szCs w:val="21"/>
                      <w:highlight w:val="none"/>
                      <w:lang w:val="en-US" w:eastAsia="zh-CN"/>
                    </w:rPr>
                  </w:pPr>
                  <w:r>
                    <w:rPr>
                      <w:rFonts w:hint="eastAsia"/>
                      <w:color w:val="auto"/>
                      <w:szCs w:val="21"/>
                      <w:highlight w:val="none"/>
                      <w:lang w:val="en-US" w:eastAsia="zh-CN"/>
                    </w:rPr>
                    <w:t>厂区内建有处理规模为3.5m</w:t>
                  </w:r>
                  <w:r>
                    <w:rPr>
                      <w:rFonts w:hint="eastAsia"/>
                      <w:color w:val="auto"/>
                      <w:szCs w:val="21"/>
                      <w:highlight w:val="none"/>
                      <w:vertAlign w:val="superscript"/>
                      <w:lang w:val="en-US" w:eastAsia="zh-CN"/>
                    </w:rPr>
                    <w:t>3</w:t>
                  </w:r>
                  <w:r>
                    <w:rPr>
                      <w:rFonts w:hint="eastAsia"/>
                      <w:color w:val="auto"/>
                      <w:szCs w:val="21"/>
                      <w:highlight w:val="none"/>
                      <w:lang w:val="en-US" w:eastAsia="zh-CN"/>
                    </w:rPr>
                    <w:t>/h（84m</w:t>
                  </w:r>
                  <w:r>
                    <w:rPr>
                      <w:rFonts w:hint="eastAsia"/>
                      <w:color w:val="auto"/>
                      <w:szCs w:val="21"/>
                      <w:highlight w:val="none"/>
                      <w:vertAlign w:val="superscript"/>
                      <w:lang w:val="en-US" w:eastAsia="zh-CN"/>
                    </w:rPr>
                    <w:t>3</w:t>
                  </w:r>
                  <w:r>
                    <w:rPr>
                      <w:rFonts w:hint="eastAsia"/>
                      <w:color w:val="auto"/>
                      <w:szCs w:val="21"/>
                      <w:highlight w:val="none"/>
                      <w:lang w:val="en-US" w:eastAsia="zh-CN"/>
                    </w:rPr>
                    <w:t>/d）污水处理站1座，采用“预处理（芬顿反应+铁碳内电解+混凝沉淀+生化调节）+厌氧（水解酸化法+UASB）+两级A/0”工艺，站内设有在线监测装置，对COD、NH</w:t>
                  </w:r>
                  <w:r>
                    <w:rPr>
                      <w:rFonts w:hint="eastAsia"/>
                      <w:color w:val="auto"/>
                      <w:szCs w:val="21"/>
                      <w:highlight w:val="none"/>
                      <w:vertAlign w:val="subscript"/>
                      <w:lang w:val="en-US" w:eastAsia="zh-CN"/>
                    </w:rPr>
                    <w:t>3</w:t>
                  </w:r>
                  <w:r>
                    <w:rPr>
                      <w:rFonts w:hint="eastAsia"/>
                      <w:color w:val="auto"/>
                      <w:szCs w:val="21"/>
                      <w:highlight w:val="none"/>
                      <w:lang w:val="en-US" w:eastAsia="zh-CN"/>
                    </w:rPr>
                    <w:t>-N进行实时监测。技改后新增产生的生活污水依托厂区现有隔油+预处理池处理后再与生产废水、初期雨水一并进入已建厂区污水处理站处理达《污水综合排放标准》（GB8978-1996）三级标准后排至园区污水处理厂处理。</w:t>
                  </w:r>
                </w:p>
              </w:tc>
              <w:tc>
                <w:tcPr>
                  <w:tcW w:w="553" w:type="pct"/>
                  <w:vAlign w:val="center"/>
                </w:tcPr>
                <w:p w14:paraId="39DA49AB">
                  <w:pPr>
                    <w:jc w:val="center"/>
                    <w:rPr>
                      <w:rFonts w:hint="eastAsia"/>
                      <w:color w:val="auto"/>
                      <w:szCs w:val="21"/>
                      <w:highlight w:val="none"/>
                      <w:lang w:val="en-US" w:eastAsia="zh-CN"/>
                    </w:rPr>
                  </w:pPr>
                  <w:r>
                    <w:rPr>
                      <w:rFonts w:hint="eastAsia"/>
                      <w:color w:val="auto"/>
                      <w:szCs w:val="21"/>
                      <w:highlight w:val="none"/>
                      <w:lang w:val="en-US" w:eastAsia="zh-CN"/>
                    </w:rPr>
                    <w:t>/</w:t>
                  </w:r>
                </w:p>
              </w:tc>
              <w:tc>
                <w:tcPr>
                  <w:tcW w:w="411" w:type="pct"/>
                  <w:vAlign w:val="center"/>
                </w:tcPr>
                <w:p w14:paraId="04C5C378">
                  <w:pPr>
                    <w:jc w:val="center"/>
                    <w:rPr>
                      <w:rFonts w:hint="eastAsia"/>
                      <w:color w:val="auto"/>
                      <w:szCs w:val="21"/>
                      <w:highlight w:val="none"/>
                      <w:lang w:val="en-US" w:eastAsia="zh-CN"/>
                    </w:rPr>
                  </w:pPr>
                  <w:r>
                    <w:rPr>
                      <w:rFonts w:hint="eastAsia"/>
                      <w:color w:val="auto"/>
                      <w:szCs w:val="21"/>
                      <w:highlight w:val="none"/>
                      <w:lang w:val="en-US" w:eastAsia="zh-CN"/>
                    </w:rPr>
                    <w:t>依托</w:t>
                  </w:r>
                </w:p>
              </w:tc>
            </w:tr>
            <w:tr w14:paraId="506DA5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1DCA914B">
                  <w:pPr>
                    <w:jc w:val="center"/>
                    <w:rPr>
                      <w:bCs/>
                      <w:color w:val="auto"/>
                      <w:szCs w:val="21"/>
                      <w:highlight w:val="none"/>
                    </w:rPr>
                  </w:pPr>
                </w:p>
              </w:tc>
              <w:tc>
                <w:tcPr>
                  <w:tcW w:w="632" w:type="pct"/>
                  <w:vAlign w:val="center"/>
                </w:tcPr>
                <w:p w14:paraId="6E6FB677">
                  <w:pPr>
                    <w:jc w:val="center"/>
                    <w:rPr>
                      <w:bCs/>
                      <w:color w:val="auto"/>
                      <w:szCs w:val="21"/>
                      <w:highlight w:val="none"/>
                    </w:rPr>
                  </w:pPr>
                  <w:r>
                    <w:rPr>
                      <w:bCs/>
                      <w:color w:val="auto"/>
                      <w:szCs w:val="21"/>
                      <w:highlight w:val="none"/>
                    </w:rPr>
                    <w:t>噪声</w:t>
                  </w:r>
                </w:p>
              </w:tc>
              <w:tc>
                <w:tcPr>
                  <w:tcW w:w="3097" w:type="pct"/>
                  <w:gridSpan w:val="2"/>
                  <w:vAlign w:val="center"/>
                </w:tcPr>
                <w:p w14:paraId="7C7C749F">
                  <w:pPr>
                    <w:jc w:val="center"/>
                    <w:rPr>
                      <w:rFonts w:hint="default"/>
                      <w:color w:val="auto"/>
                      <w:szCs w:val="21"/>
                      <w:highlight w:val="none"/>
                      <w:lang w:val="en-US" w:eastAsia="zh-CN"/>
                    </w:rPr>
                  </w:pPr>
                  <w:r>
                    <w:rPr>
                      <w:rFonts w:hint="eastAsia"/>
                      <w:color w:val="auto"/>
                      <w:szCs w:val="21"/>
                      <w:highlight w:val="none"/>
                      <w:lang w:val="en-US" w:eastAsia="zh-CN"/>
                    </w:rPr>
                    <w:t>选用低噪声设备，合理布局，设置减振垫、隔声罩、消声器等降噪</w:t>
                  </w:r>
                </w:p>
              </w:tc>
              <w:tc>
                <w:tcPr>
                  <w:tcW w:w="553" w:type="pct"/>
                  <w:vAlign w:val="center"/>
                </w:tcPr>
                <w:p w14:paraId="645B8CBD">
                  <w:pPr>
                    <w:jc w:val="center"/>
                    <w:rPr>
                      <w:rFonts w:hint="default"/>
                      <w:color w:val="auto"/>
                      <w:szCs w:val="21"/>
                      <w:highlight w:val="none"/>
                      <w:lang w:val="en-US" w:eastAsia="zh-CN"/>
                    </w:rPr>
                  </w:pPr>
                  <w:r>
                    <w:rPr>
                      <w:rFonts w:hint="eastAsia"/>
                      <w:color w:val="auto"/>
                      <w:szCs w:val="21"/>
                      <w:highlight w:val="none"/>
                      <w:lang w:val="en-US" w:eastAsia="zh-CN"/>
                    </w:rPr>
                    <w:t>5</w:t>
                  </w:r>
                </w:p>
              </w:tc>
              <w:tc>
                <w:tcPr>
                  <w:tcW w:w="411" w:type="pct"/>
                  <w:vAlign w:val="center"/>
                </w:tcPr>
                <w:p w14:paraId="3B38A8FA">
                  <w:pPr>
                    <w:jc w:val="center"/>
                    <w:rPr>
                      <w:rFonts w:hint="eastAsia"/>
                      <w:color w:val="auto"/>
                      <w:szCs w:val="21"/>
                      <w:highlight w:val="none"/>
                      <w:lang w:val="en-US" w:eastAsia="zh-CN"/>
                    </w:rPr>
                  </w:pPr>
                  <w:r>
                    <w:rPr>
                      <w:rFonts w:hint="eastAsia"/>
                      <w:b/>
                      <w:bCs/>
                      <w:i/>
                      <w:iCs/>
                      <w:color w:val="auto"/>
                      <w:szCs w:val="21"/>
                      <w:highlight w:val="none"/>
                      <w:lang w:val="en-US" w:eastAsia="zh-CN"/>
                    </w:rPr>
                    <w:t>新增</w:t>
                  </w:r>
                </w:p>
              </w:tc>
            </w:tr>
            <w:tr w14:paraId="2FAAE0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3EA5997D">
                  <w:pPr>
                    <w:jc w:val="center"/>
                    <w:rPr>
                      <w:bCs/>
                      <w:color w:val="auto"/>
                      <w:szCs w:val="21"/>
                      <w:highlight w:val="none"/>
                    </w:rPr>
                  </w:pPr>
                </w:p>
              </w:tc>
              <w:tc>
                <w:tcPr>
                  <w:tcW w:w="632" w:type="pct"/>
                  <w:vMerge w:val="restart"/>
                  <w:vAlign w:val="center"/>
                </w:tcPr>
                <w:p w14:paraId="26A0A31D">
                  <w:pPr>
                    <w:pStyle w:val="105"/>
                    <w:spacing w:before="0"/>
                    <w:rPr>
                      <w:rFonts w:ascii="Times New Roman"/>
                      <w:bCs/>
                      <w:color w:val="auto"/>
                      <w:sz w:val="21"/>
                      <w:szCs w:val="21"/>
                      <w:highlight w:val="none"/>
                    </w:rPr>
                  </w:pPr>
                  <w:r>
                    <w:rPr>
                      <w:rFonts w:ascii="Times New Roman"/>
                      <w:bCs/>
                      <w:color w:val="auto"/>
                      <w:sz w:val="21"/>
                      <w:szCs w:val="21"/>
                      <w:highlight w:val="none"/>
                    </w:rPr>
                    <w:t>固废</w:t>
                  </w:r>
                </w:p>
              </w:tc>
              <w:tc>
                <w:tcPr>
                  <w:tcW w:w="3097" w:type="pct"/>
                  <w:gridSpan w:val="2"/>
                  <w:vAlign w:val="center"/>
                </w:tcPr>
                <w:p w14:paraId="4AD98759">
                  <w:pPr>
                    <w:jc w:val="center"/>
                    <w:rPr>
                      <w:rFonts w:hint="eastAsia"/>
                      <w:color w:val="auto"/>
                      <w:szCs w:val="21"/>
                      <w:highlight w:val="none"/>
                      <w:lang w:val="en-US" w:eastAsia="zh-CN"/>
                    </w:rPr>
                  </w:pPr>
                  <w:r>
                    <w:rPr>
                      <w:rFonts w:hint="eastAsia"/>
                      <w:color w:val="auto"/>
                      <w:szCs w:val="21"/>
                      <w:highlight w:val="none"/>
                      <w:lang w:val="en-US" w:eastAsia="zh-CN"/>
                    </w:rPr>
                    <w:t>固废分类收集后由环卫部门清运处置</w:t>
                  </w:r>
                </w:p>
              </w:tc>
              <w:tc>
                <w:tcPr>
                  <w:tcW w:w="553" w:type="pct"/>
                  <w:vAlign w:val="center"/>
                </w:tcPr>
                <w:p w14:paraId="7EF91FB5">
                  <w:pPr>
                    <w:jc w:val="center"/>
                    <w:rPr>
                      <w:rFonts w:hint="eastAsia" w:eastAsia="宋体"/>
                      <w:b w:val="0"/>
                      <w:bCs/>
                      <w:color w:val="auto"/>
                      <w:szCs w:val="21"/>
                      <w:highlight w:val="none"/>
                      <w:lang w:eastAsia="zh-CN"/>
                    </w:rPr>
                  </w:pPr>
                  <w:r>
                    <w:rPr>
                      <w:rFonts w:hint="eastAsia"/>
                      <w:b w:val="0"/>
                      <w:bCs/>
                      <w:color w:val="auto"/>
                      <w:szCs w:val="21"/>
                      <w:highlight w:val="none"/>
                      <w:lang w:val="en-US" w:eastAsia="zh-CN"/>
                    </w:rPr>
                    <w:t>/</w:t>
                  </w:r>
                </w:p>
              </w:tc>
              <w:tc>
                <w:tcPr>
                  <w:tcW w:w="411" w:type="pct"/>
                  <w:vAlign w:val="center"/>
                </w:tcPr>
                <w:p w14:paraId="3C1BCDE5">
                  <w:pPr>
                    <w:jc w:val="center"/>
                    <w:rPr>
                      <w:rFonts w:hint="default" w:eastAsia="宋体"/>
                      <w:b w:val="0"/>
                      <w:bCs/>
                      <w:i/>
                      <w:color w:val="auto"/>
                      <w:szCs w:val="21"/>
                      <w:highlight w:val="none"/>
                      <w:lang w:val="en-US" w:eastAsia="zh-CN"/>
                    </w:rPr>
                  </w:pPr>
                  <w:r>
                    <w:rPr>
                      <w:rFonts w:hint="eastAsia"/>
                      <w:b w:val="0"/>
                      <w:bCs/>
                      <w:i/>
                      <w:color w:val="auto"/>
                      <w:szCs w:val="21"/>
                      <w:highlight w:val="none"/>
                      <w:lang w:val="en-US" w:eastAsia="zh-CN"/>
                    </w:rPr>
                    <w:t>依托</w:t>
                  </w:r>
                </w:p>
              </w:tc>
            </w:tr>
            <w:tr w14:paraId="6A81A3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164258F3">
                  <w:pPr>
                    <w:jc w:val="center"/>
                    <w:rPr>
                      <w:bCs/>
                      <w:color w:val="auto"/>
                      <w:szCs w:val="21"/>
                      <w:highlight w:val="none"/>
                    </w:rPr>
                  </w:pPr>
                </w:p>
              </w:tc>
              <w:tc>
                <w:tcPr>
                  <w:tcW w:w="632" w:type="pct"/>
                  <w:vMerge w:val="continue"/>
                  <w:vAlign w:val="center"/>
                </w:tcPr>
                <w:p w14:paraId="47BF474A">
                  <w:pPr>
                    <w:pStyle w:val="105"/>
                    <w:spacing w:before="0"/>
                    <w:rPr>
                      <w:rFonts w:ascii="Times New Roman"/>
                      <w:bCs/>
                      <w:color w:val="auto"/>
                      <w:sz w:val="21"/>
                      <w:szCs w:val="21"/>
                      <w:highlight w:val="none"/>
                    </w:rPr>
                  </w:pPr>
                </w:p>
              </w:tc>
              <w:tc>
                <w:tcPr>
                  <w:tcW w:w="3097" w:type="pct"/>
                  <w:gridSpan w:val="2"/>
                  <w:vAlign w:val="center"/>
                </w:tcPr>
                <w:p w14:paraId="58148544">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厂区北侧新增一间危废贮存库，</w:t>
                  </w:r>
                  <w:r>
                    <w:rPr>
                      <w:rFonts w:hint="eastAsia" w:cs="Times New Roman"/>
                      <w:color w:val="auto"/>
                      <w:kern w:val="0"/>
                      <w:sz w:val="21"/>
                      <w:szCs w:val="21"/>
                      <w:highlight w:val="none"/>
                      <w:lang w:val="en-US" w:eastAsia="zh-CN" w:bidi="ar"/>
                    </w:rPr>
                    <w:t>占地</w:t>
                  </w:r>
                  <w:r>
                    <w:rPr>
                      <w:rFonts w:hint="default" w:ascii="Times New Roman" w:hAnsi="Times New Roman" w:eastAsia="宋体" w:cs="Times New Roman"/>
                      <w:color w:val="auto"/>
                      <w:kern w:val="0"/>
                      <w:sz w:val="21"/>
                      <w:szCs w:val="21"/>
                      <w:highlight w:val="none"/>
                      <w:lang w:bidi="ar"/>
                    </w:rPr>
                    <w:t>面积20m</w:t>
                  </w:r>
                  <w:r>
                    <w:rPr>
                      <w:rFonts w:hint="eastAsia"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eastAsia="zh-CN" w:bidi="ar"/>
                    </w:rPr>
                    <w:t>。</w:t>
                  </w:r>
                </w:p>
              </w:tc>
              <w:tc>
                <w:tcPr>
                  <w:tcW w:w="553" w:type="pct"/>
                  <w:vAlign w:val="center"/>
                </w:tcPr>
                <w:p w14:paraId="09A857AE">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5</w:t>
                  </w:r>
                </w:p>
              </w:tc>
              <w:tc>
                <w:tcPr>
                  <w:tcW w:w="411" w:type="pct"/>
                  <w:vAlign w:val="center"/>
                </w:tcPr>
                <w:p w14:paraId="056DAE7D">
                  <w:pPr>
                    <w:adjustRightInd w:val="0"/>
                    <w:snapToGrid w:val="0"/>
                    <w:jc w:val="center"/>
                    <w:rPr>
                      <w:rFonts w:hint="eastAsia"/>
                      <w:color w:val="auto"/>
                      <w:szCs w:val="21"/>
                      <w:highlight w:val="none"/>
                      <w:lang w:val="en-US" w:eastAsia="zh-CN"/>
                    </w:rPr>
                  </w:pPr>
                  <w:r>
                    <w:rPr>
                      <w:rFonts w:hint="eastAsia"/>
                      <w:b/>
                      <w:bCs/>
                      <w:i/>
                      <w:iCs/>
                      <w:color w:val="auto"/>
                      <w:szCs w:val="21"/>
                      <w:highlight w:val="none"/>
                      <w:lang w:val="en-US" w:eastAsia="zh-CN"/>
                    </w:rPr>
                    <w:t>新增</w:t>
                  </w:r>
                </w:p>
              </w:tc>
            </w:tr>
            <w:tr w14:paraId="45EBA4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229235FD">
                  <w:pPr>
                    <w:jc w:val="center"/>
                    <w:rPr>
                      <w:bCs/>
                      <w:color w:val="auto"/>
                      <w:szCs w:val="21"/>
                      <w:highlight w:val="none"/>
                    </w:rPr>
                  </w:pPr>
                </w:p>
              </w:tc>
              <w:tc>
                <w:tcPr>
                  <w:tcW w:w="632" w:type="pct"/>
                  <w:vMerge w:val="restart"/>
                  <w:vAlign w:val="center"/>
                </w:tcPr>
                <w:p w14:paraId="2C6AE9FB">
                  <w:pPr>
                    <w:pStyle w:val="105"/>
                    <w:spacing w:before="0"/>
                    <w:rPr>
                      <w:rFonts w:hint="eastAsia" w:ascii="Times New Roman" w:eastAsia="宋体"/>
                      <w:color w:val="auto"/>
                      <w:kern w:val="2"/>
                      <w:sz w:val="21"/>
                      <w:szCs w:val="21"/>
                      <w:highlight w:val="none"/>
                      <w:lang w:eastAsia="zh-CN"/>
                    </w:rPr>
                  </w:pPr>
                  <w:r>
                    <w:rPr>
                      <w:rFonts w:ascii="Times New Roman"/>
                      <w:color w:val="auto"/>
                      <w:sz w:val="21"/>
                      <w:szCs w:val="21"/>
                      <w:highlight w:val="none"/>
                    </w:rPr>
                    <w:t>地下水防治措施</w:t>
                  </w:r>
                  <w:r>
                    <w:rPr>
                      <w:rFonts w:hint="eastAsia" w:ascii="Times New Roman"/>
                      <w:color w:val="auto"/>
                      <w:sz w:val="21"/>
                      <w:szCs w:val="21"/>
                      <w:highlight w:val="none"/>
                      <w:lang w:eastAsia="zh-CN"/>
                    </w:rPr>
                    <w:t>（</w:t>
                  </w:r>
                  <w:r>
                    <w:rPr>
                      <w:rFonts w:hint="eastAsia" w:ascii="Times New Roman"/>
                      <w:color w:val="auto"/>
                      <w:sz w:val="21"/>
                      <w:szCs w:val="21"/>
                      <w:highlight w:val="none"/>
                      <w:lang w:val="en-US" w:eastAsia="zh-CN"/>
                    </w:rPr>
                    <w:t>重点防渗</w:t>
                  </w:r>
                  <w:r>
                    <w:rPr>
                      <w:rFonts w:hint="eastAsia" w:ascii="Times New Roman"/>
                      <w:color w:val="auto"/>
                      <w:sz w:val="21"/>
                      <w:szCs w:val="21"/>
                      <w:highlight w:val="none"/>
                      <w:lang w:eastAsia="zh-CN"/>
                    </w:rPr>
                    <w:t>）</w:t>
                  </w:r>
                </w:p>
              </w:tc>
              <w:tc>
                <w:tcPr>
                  <w:tcW w:w="489" w:type="pct"/>
                  <w:vAlign w:val="center"/>
                </w:tcPr>
                <w:p w14:paraId="7744452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生产车间（生产装置区）</w:t>
                  </w:r>
                </w:p>
              </w:tc>
              <w:tc>
                <w:tcPr>
                  <w:tcW w:w="2608" w:type="pct"/>
                  <w:vAlign w:val="center"/>
                </w:tcPr>
                <w:p w14:paraId="2E67242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新增重点防渗措施：地面采用混凝土砼基基础硬化，收缩缝采用玻纤布+沥青，管线采用碳钢无缝管线连接，车间外四周设置排污沟及围堰，围堰和排污沟采用粘土铺底+10-15cm水泥硬化+2mm厚高密度聚乙烯防渗。</w:t>
                  </w:r>
                </w:p>
              </w:tc>
              <w:tc>
                <w:tcPr>
                  <w:tcW w:w="553" w:type="pct"/>
                  <w:vAlign w:val="center"/>
                </w:tcPr>
                <w:p w14:paraId="342A1269">
                  <w:pPr>
                    <w:jc w:val="center"/>
                    <w:rPr>
                      <w:rFonts w:hint="default"/>
                      <w:color w:val="auto"/>
                      <w:szCs w:val="21"/>
                      <w:highlight w:val="none"/>
                      <w:lang w:val="en-US" w:eastAsia="zh-CN"/>
                    </w:rPr>
                  </w:pPr>
                  <w:r>
                    <w:rPr>
                      <w:rFonts w:hint="eastAsia"/>
                      <w:color w:val="auto"/>
                      <w:szCs w:val="21"/>
                      <w:highlight w:val="none"/>
                      <w:lang w:val="en-US" w:eastAsia="zh-CN"/>
                    </w:rPr>
                    <w:t>5</w:t>
                  </w:r>
                </w:p>
              </w:tc>
              <w:tc>
                <w:tcPr>
                  <w:tcW w:w="411" w:type="pct"/>
                  <w:vAlign w:val="center"/>
                </w:tcPr>
                <w:p w14:paraId="3E5E0DB8">
                  <w:pPr>
                    <w:jc w:val="center"/>
                    <w:rPr>
                      <w:rFonts w:hint="default"/>
                      <w:color w:val="auto"/>
                      <w:szCs w:val="21"/>
                      <w:highlight w:val="none"/>
                      <w:lang w:val="en-US" w:eastAsia="zh-CN"/>
                    </w:rPr>
                  </w:pPr>
                  <w:r>
                    <w:rPr>
                      <w:rFonts w:hint="eastAsia"/>
                      <w:b/>
                      <w:bCs/>
                      <w:i/>
                      <w:iCs/>
                      <w:color w:val="auto"/>
                      <w:szCs w:val="21"/>
                      <w:highlight w:val="none"/>
                      <w:lang w:val="en-US" w:eastAsia="zh-CN"/>
                    </w:rPr>
                    <w:t>新增</w:t>
                  </w:r>
                </w:p>
              </w:tc>
            </w:tr>
            <w:tr w14:paraId="691344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04" w:type="pct"/>
                  <w:vMerge w:val="continue"/>
                  <w:vAlign w:val="center"/>
                </w:tcPr>
                <w:p w14:paraId="0978ACA1">
                  <w:pPr>
                    <w:jc w:val="center"/>
                    <w:rPr>
                      <w:bCs/>
                      <w:color w:val="auto"/>
                      <w:szCs w:val="21"/>
                      <w:highlight w:val="none"/>
                    </w:rPr>
                  </w:pPr>
                </w:p>
              </w:tc>
              <w:tc>
                <w:tcPr>
                  <w:tcW w:w="632" w:type="pct"/>
                  <w:vMerge w:val="continue"/>
                  <w:vAlign w:val="center"/>
                </w:tcPr>
                <w:p w14:paraId="26207CD2">
                  <w:pPr>
                    <w:pStyle w:val="105"/>
                    <w:spacing w:before="0"/>
                    <w:rPr>
                      <w:rFonts w:ascii="Times New Roman"/>
                      <w:color w:val="auto"/>
                      <w:sz w:val="21"/>
                      <w:szCs w:val="21"/>
                      <w:highlight w:val="none"/>
                    </w:rPr>
                  </w:pPr>
                </w:p>
              </w:tc>
              <w:tc>
                <w:tcPr>
                  <w:tcW w:w="489" w:type="pct"/>
                  <w:vAlign w:val="center"/>
                </w:tcPr>
                <w:p w14:paraId="6599F41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维修间、</w:t>
                  </w:r>
                  <w:r>
                    <w:rPr>
                      <w:rFonts w:hint="eastAsia" w:cs="Times New Roman"/>
                      <w:color w:val="auto"/>
                      <w:szCs w:val="21"/>
                      <w:highlight w:val="none"/>
                      <w:lang w:val="en-US" w:eastAsia="zh-CN"/>
                    </w:rPr>
                    <w:t>危废贮存库</w:t>
                  </w:r>
                </w:p>
              </w:tc>
              <w:tc>
                <w:tcPr>
                  <w:tcW w:w="2608" w:type="pct"/>
                  <w:vAlign w:val="center"/>
                </w:tcPr>
                <w:p w14:paraId="480F7B9C">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新增重点防渗措施：地面硬化，采用混凝土砼基基础，收缩缝均采用玻纤布+沥青；四周设置排污沟及围堰，围堰和排污沟采用粘土铺底+10-15cm水泥硬化+2mm厚高密度聚乙烯防渗。</w:t>
                  </w:r>
                </w:p>
              </w:tc>
              <w:tc>
                <w:tcPr>
                  <w:tcW w:w="553" w:type="pct"/>
                  <w:vAlign w:val="center"/>
                </w:tcPr>
                <w:p w14:paraId="67895ED9">
                  <w:pPr>
                    <w:jc w:val="center"/>
                    <w:rPr>
                      <w:rFonts w:hint="default"/>
                      <w:color w:val="auto"/>
                      <w:szCs w:val="21"/>
                      <w:highlight w:val="none"/>
                      <w:lang w:val="en-US" w:eastAsia="zh-CN"/>
                    </w:rPr>
                  </w:pPr>
                  <w:r>
                    <w:rPr>
                      <w:rFonts w:hint="eastAsia"/>
                      <w:color w:val="auto"/>
                      <w:szCs w:val="21"/>
                      <w:highlight w:val="none"/>
                      <w:lang w:val="en-US" w:eastAsia="zh-CN"/>
                    </w:rPr>
                    <w:t>2</w:t>
                  </w:r>
                </w:p>
              </w:tc>
              <w:tc>
                <w:tcPr>
                  <w:tcW w:w="411" w:type="pct"/>
                  <w:vAlign w:val="center"/>
                </w:tcPr>
                <w:p w14:paraId="7116EF81">
                  <w:pPr>
                    <w:jc w:val="center"/>
                    <w:rPr>
                      <w:bCs/>
                      <w:i/>
                      <w:color w:val="auto"/>
                      <w:szCs w:val="21"/>
                      <w:highlight w:val="none"/>
                    </w:rPr>
                  </w:pPr>
                  <w:r>
                    <w:rPr>
                      <w:rFonts w:hint="eastAsia"/>
                      <w:b/>
                      <w:bCs/>
                      <w:i/>
                      <w:iCs/>
                      <w:color w:val="auto"/>
                      <w:szCs w:val="21"/>
                      <w:highlight w:val="none"/>
                      <w:lang w:val="en-US" w:eastAsia="zh-CN"/>
                    </w:rPr>
                    <w:t>新增</w:t>
                  </w:r>
                </w:p>
              </w:tc>
            </w:tr>
            <w:tr w14:paraId="2D262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3C43306C">
                  <w:pPr>
                    <w:jc w:val="center"/>
                    <w:rPr>
                      <w:bCs/>
                      <w:color w:val="auto"/>
                      <w:szCs w:val="21"/>
                      <w:highlight w:val="none"/>
                    </w:rPr>
                  </w:pPr>
                </w:p>
              </w:tc>
              <w:tc>
                <w:tcPr>
                  <w:tcW w:w="632" w:type="pct"/>
                  <w:vMerge w:val="restart"/>
                  <w:vAlign w:val="center"/>
                </w:tcPr>
                <w:p w14:paraId="70316B4F">
                  <w:pPr>
                    <w:jc w:val="center"/>
                    <w:rPr>
                      <w:bCs/>
                      <w:color w:val="auto"/>
                      <w:szCs w:val="21"/>
                      <w:highlight w:val="none"/>
                    </w:rPr>
                  </w:pPr>
                  <w:r>
                    <w:rPr>
                      <w:bCs/>
                      <w:color w:val="auto"/>
                      <w:szCs w:val="21"/>
                      <w:highlight w:val="none"/>
                    </w:rPr>
                    <w:t>风险防范措施</w:t>
                  </w:r>
                </w:p>
              </w:tc>
              <w:tc>
                <w:tcPr>
                  <w:tcW w:w="3097" w:type="pct"/>
                  <w:gridSpan w:val="2"/>
                  <w:vAlign w:val="center"/>
                </w:tcPr>
                <w:p w14:paraId="4CB5830D">
                  <w:pPr>
                    <w:jc w:val="center"/>
                    <w:rPr>
                      <w:color w:val="auto"/>
                      <w:szCs w:val="21"/>
                      <w:highlight w:val="none"/>
                    </w:rPr>
                  </w:pPr>
                  <w:r>
                    <w:rPr>
                      <w:rFonts w:hint="eastAsia"/>
                      <w:color w:val="auto"/>
                      <w:szCs w:val="21"/>
                      <w:highlight w:val="none"/>
                      <w:lang w:val="en-US" w:eastAsia="zh-CN"/>
                    </w:rPr>
                    <w:t>1740</w:t>
                  </w:r>
                  <w:r>
                    <w:rPr>
                      <w:rFonts w:hint="eastAsia"/>
                      <w:color w:val="auto"/>
                      <w:sz w:val="24"/>
                      <w:highlight w:val="none"/>
                    </w:rPr>
                    <w:t>m</w:t>
                  </w:r>
                  <w:r>
                    <w:rPr>
                      <w:rFonts w:hint="eastAsia"/>
                      <w:color w:val="auto"/>
                      <w:sz w:val="24"/>
                      <w:highlight w:val="none"/>
                      <w:vertAlign w:val="superscript"/>
                      <w:lang w:val="en-US" w:eastAsia="zh-CN"/>
                    </w:rPr>
                    <w:t>3</w:t>
                  </w:r>
                  <w:r>
                    <w:rPr>
                      <w:color w:val="auto"/>
                      <w:szCs w:val="21"/>
                      <w:highlight w:val="none"/>
                    </w:rPr>
                    <w:t>事故应急池</w:t>
                  </w:r>
                </w:p>
              </w:tc>
              <w:tc>
                <w:tcPr>
                  <w:tcW w:w="553" w:type="pct"/>
                  <w:vAlign w:val="center"/>
                </w:tcPr>
                <w:p w14:paraId="0442AC54">
                  <w:pPr>
                    <w:jc w:val="center"/>
                    <w:rPr>
                      <w:bCs/>
                      <w:color w:val="auto"/>
                      <w:szCs w:val="21"/>
                      <w:highlight w:val="none"/>
                    </w:rPr>
                  </w:pPr>
                  <w:r>
                    <w:rPr>
                      <w:rFonts w:hint="eastAsia"/>
                      <w:bCs/>
                      <w:color w:val="auto"/>
                      <w:szCs w:val="21"/>
                      <w:highlight w:val="none"/>
                    </w:rPr>
                    <w:t>/</w:t>
                  </w:r>
                </w:p>
              </w:tc>
              <w:tc>
                <w:tcPr>
                  <w:tcW w:w="411" w:type="pct"/>
                  <w:vAlign w:val="center"/>
                </w:tcPr>
                <w:p w14:paraId="25473A2D">
                  <w:pPr>
                    <w:jc w:val="center"/>
                    <w:rPr>
                      <w:color w:val="auto"/>
                      <w:szCs w:val="21"/>
                      <w:highlight w:val="none"/>
                    </w:rPr>
                  </w:pPr>
                  <w:r>
                    <w:rPr>
                      <w:rFonts w:hint="eastAsia"/>
                      <w:color w:val="auto"/>
                      <w:szCs w:val="21"/>
                      <w:highlight w:val="none"/>
                    </w:rPr>
                    <w:t>依托</w:t>
                  </w:r>
                </w:p>
              </w:tc>
            </w:tr>
            <w:tr w14:paraId="214198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4EECB5BB">
                  <w:pPr>
                    <w:jc w:val="center"/>
                    <w:rPr>
                      <w:bCs/>
                      <w:color w:val="auto"/>
                      <w:szCs w:val="21"/>
                      <w:highlight w:val="none"/>
                    </w:rPr>
                  </w:pPr>
                </w:p>
              </w:tc>
              <w:tc>
                <w:tcPr>
                  <w:tcW w:w="632" w:type="pct"/>
                  <w:vMerge w:val="continue"/>
                  <w:vAlign w:val="center"/>
                </w:tcPr>
                <w:p w14:paraId="3BA62AB5">
                  <w:pPr>
                    <w:jc w:val="center"/>
                    <w:rPr>
                      <w:bCs/>
                      <w:color w:val="auto"/>
                      <w:szCs w:val="21"/>
                      <w:highlight w:val="none"/>
                    </w:rPr>
                  </w:pPr>
                </w:p>
              </w:tc>
              <w:tc>
                <w:tcPr>
                  <w:tcW w:w="3097" w:type="pct"/>
                  <w:gridSpan w:val="2"/>
                  <w:vAlign w:val="center"/>
                </w:tcPr>
                <w:p w14:paraId="49B34671">
                  <w:pPr>
                    <w:jc w:val="center"/>
                    <w:rPr>
                      <w:rFonts w:hint="eastAsia"/>
                      <w:color w:val="auto"/>
                      <w:szCs w:val="21"/>
                      <w:highlight w:val="none"/>
                    </w:rPr>
                  </w:pPr>
                  <w:r>
                    <w:rPr>
                      <w:color w:val="auto"/>
                      <w:spacing w:val="-1"/>
                      <w:sz w:val="22"/>
                      <w:szCs w:val="22"/>
                      <w:highlight w:val="none"/>
                    </w:rPr>
                    <w:t>两个</w:t>
                  </w:r>
                  <w:r>
                    <w:rPr>
                      <w:rFonts w:ascii="Times New Roman" w:hAnsi="Times New Roman" w:eastAsia="Times New Roman" w:cs="Times New Roman"/>
                      <w:color w:val="auto"/>
                      <w:spacing w:val="-1"/>
                      <w:sz w:val="22"/>
                      <w:szCs w:val="22"/>
                      <w:highlight w:val="none"/>
                    </w:rPr>
                    <w:t>1500m</w:t>
                  </w:r>
                  <w:r>
                    <w:rPr>
                      <w:rFonts w:ascii="Times New Roman" w:hAnsi="Times New Roman" w:eastAsia="Times New Roman" w:cs="Times New Roman"/>
                      <w:color w:val="auto"/>
                      <w:spacing w:val="-1"/>
                      <w:position w:val="7"/>
                      <w:sz w:val="14"/>
                      <w:szCs w:val="14"/>
                      <w:highlight w:val="none"/>
                    </w:rPr>
                    <w:t>3</w:t>
                  </w:r>
                  <w:r>
                    <w:rPr>
                      <w:color w:val="auto"/>
                      <w:spacing w:val="-1"/>
                      <w:sz w:val="22"/>
                      <w:szCs w:val="22"/>
                      <w:highlight w:val="none"/>
                    </w:rPr>
                    <w:t>消防水罐（碳钢制</w:t>
                  </w:r>
                  <w:r>
                    <w:rPr>
                      <w:rFonts w:hint="eastAsia"/>
                      <w:color w:val="auto"/>
                      <w:spacing w:val="-1"/>
                      <w:sz w:val="22"/>
                      <w:szCs w:val="22"/>
                      <w:highlight w:val="none"/>
                      <w:lang w:val="en-US" w:eastAsia="zh-CN"/>
                    </w:rPr>
                    <w:t>作</w:t>
                  </w:r>
                  <w:r>
                    <w:rPr>
                      <w:color w:val="auto"/>
                      <w:spacing w:val="-1"/>
                      <w:sz w:val="22"/>
                      <w:szCs w:val="22"/>
                      <w:highlight w:val="none"/>
                    </w:rPr>
                    <w:t>）</w:t>
                  </w:r>
                </w:p>
              </w:tc>
              <w:tc>
                <w:tcPr>
                  <w:tcW w:w="553" w:type="pct"/>
                  <w:vAlign w:val="center"/>
                </w:tcPr>
                <w:p w14:paraId="657B7BAC">
                  <w:pPr>
                    <w:jc w:val="center"/>
                    <w:rPr>
                      <w:rFonts w:hint="eastAsia"/>
                      <w:bCs/>
                      <w:color w:val="auto"/>
                      <w:szCs w:val="21"/>
                      <w:highlight w:val="none"/>
                    </w:rPr>
                  </w:pPr>
                  <w:r>
                    <w:rPr>
                      <w:rFonts w:hint="eastAsia"/>
                      <w:bCs/>
                      <w:color w:val="auto"/>
                      <w:szCs w:val="21"/>
                      <w:highlight w:val="none"/>
                    </w:rPr>
                    <w:t>/</w:t>
                  </w:r>
                </w:p>
              </w:tc>
              <w:tc>
                <w:tcPr>
                  <w:tcW w:w="411" w:type="pct"/>
                  <w:vAlign w:val="center"/>
                </w:tcPr>
                <w:p w14:paraId="5C87D035">
                  <w:pPr>
                    <w:jc w:val="center"/>
                    <w:rPr>
                      <w:rFonts w:hint="eastAsia"/>
                      <w:color w:val="auto"/>
                      <w:szCs w:val="21"/>
                      <w:highlight w:val="none"/>
                    </w:rPr>
                  </w:pPr>
                  <w:r>
                    <w:rPr>
                      <w:rFonts w:hint="eastAsia"/>
                      <w:color w:val="auto"/>
                      <w:szCs w:val="21"/>
                      <w:highlight w:val="none"/>
                    </w:rPr>
                    <w:t>依托</w:t>
                  </w:r>
                </w:p>
              </w:tc>
            </w:tr>
            <w:tr w14:paraId="0A60F5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65A90D0B">
                  <w:pPr>
                    <w:jc w:val="center"/>
                    <w:rPr>
                      <w:bCs/>
                      <w:color w:val="auto"/>
                      <w:szCs w:val="21"/>
                      <w:highlight w:val="none"/>
                    </w:rPr>
                  </w:pPr>
                </w:p>
              </w:tc>
              <w:tc>
                <w:tcPr>
                  <w:tcW w:w="632" w:type="pct"/>
                  <w:vMerge w:val="continue"/>
                  <w:vAlign w:val="center"/>
                </w:tcPr>
                <w:p w14:paraId="177F99BC">
                  <w:pPr>
                    <w:jc w:val="center"/>
                    <w:rPr>
                      <w:bCs/>
                      <w:color w:val="auto"/>
                      <w:szCs w:val="21"/>
                      <w:highlight w:val="none"/>
                    </w:rPr>
                  </w:pPr>
                </w:p>
              </w:tc>
              <w:tc>
                <w:tcPr>
                  <w:tcW w:w="3097" w:type="pct"/>
                  <w:gridSpan w:val="2"/>
                  <w:vAlign w:val="center"/>
                </w:tcPr>
                <w:p w14:paraId="2601C8C9">
                  <w:pPr>
                    <w:jc w:val="center"/>
                    <w:rPr>
                      <w:bCs/>
                      <w:color w:val="auto"/>
                      <w:szCs w:val="21"/>
                      <w:highlight w:val="none"/>
                    </w:rPr>
                  </w:pPr>
                  <w:r>
                    <w:rPr>
                      <w:color w:val="auto"/>
                      <w:szCs w:val="21"/>
                      <w:highlight w:val="none"/>
                    </w:rPr>
                    <w:t>环境风险防范措施、环境风险应急预案</w:t>
                  </w:r>
                </w:p>
              </w:tc>
              <w:tc>
                <w:tcPr>
                  <w:tcW w:w="553" w:type="pct"/>
                  <w:vAlign w:val="center"/>
                </w:tcPr>
                <w:p w14:paraId="74D471D4">
                  <w:pPr>
                    <w:jc w:val="center"/>
                    <w:rPr>
                      <w:bCs/>
                      <w:color w:val="auto"/>
                      <w:szCs w:val="21"/>
                      <w:highlight w:val="none"/>
                    </w:rPr>
                  </w:pPr>
                  <w:r>
                    <w:rPr>
                      <w:rFonts w:hint="eastAsia"/>
                      <w:bCs/>
                      <w:color w:val="auto"/>
                      <w:szCs w:val="21"/>
                      <w:highlight w:val="none"/>
                    </w:rPr>
                    <w:t>/</w:t>
                  </w:r>
                </w:p>
              </w:tc>
              <w:tc>
                <w:tcPr>
                  <w:tcW w:w="411" w:type="pct"/>
                  <w:vAlign w:val="center"/>
                </w:tcPr>
                <w:p w14:paraId="3F3E6D7A">
                  <w:pPr>
                    <w:jc w:val="center"/>
                    <w:rPr>
                      <w:bCs/>
                      <w:color w:val="auto"/>
                      <w:szCs w:val="21"/>
                      <w:highlight w:val="none"/>
                    </w:rPr>
                  </w:pPr>
                  <w:r>
                    <w:rPr>
                      <w:rFonts w:hint="eastAsia"/>
                      <w:color w:val="auto"/>
                      <w:szCs w:val="21"/>
                      <w:highlight w:val="none"/>
                    </w:rPr>
                    <w:t>依托</w:t>
                  </w:r>
                </w:p>
              </w:tc>
            </w:tr>
            <w:tr w14:paraId="406CB0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04" w:type="pct"/>
                  <w:vMerge w:val="continue"/>
                  <w:vAlign w:val="center"/>
                </w:tcPr>
                <w:p w14:paraId="665C7AC0">
                  <w:pPr>
                    <w:jc w:val="center"/>
                    <w:rPr>
                      <w:bCs/>
                      <w:color w:val="auto"/>
                      <w:szCs w:val="21"/>
                      <w:highlight w:val="none"/>
                    </w:rPr>
                  </w:pPr>
                </w:p>
              </w:tc>
              <w:tc>
                <w:tcPr>
                  <w:tcW w:w="632" w:type="pct"/>
                  <w:vAlign w:val="center"/>
                </w:tcPr>
                <w:p w14:paraId="673F4EDA">
                  <w:pPr>
                    <w:jc w:val="center"/>
                    <w:rPr>
                      <w:bCs/>
                      <w:color w:val="auto"/>
                      <w:szCs w:val="21"/>
                      <w:highlight w:val="none"/>
                    </w:rPr>
                  </w:pPr>
                  <w:r>
                    <w:rPr>
                      <w:bCs/>
                      <w:color w:val="auto"/>
                      <w:szCs w:val="21"/>
                      <w:highlight w:val="none"/>
                    </w:rPr>
                    <w:t>环境监测</w:t>
                  </w:r>
                </w:p>
              </w:tc>
              <w:tc>
                <w:tcPr>
                  <w:tcW w:w="3097" w:type="pct"/>
                  <w:gridSpan w:val="2"/>
                  <w:vAlign w:val="center"/>
                </w:tcPr>
                <w:p w14:paraId="434A178B">
                  <w:pPr>
                    <w:jc w:val="center"/>
                    <w:rPr>
                      <w:rFonts w:hint="eastAsia" w:eastAsia="宋体"/>
                      <w:bCs/>
                      <w:color w:val="auto"/>
                      <w:szCs w:val="21"/>
                      <w:highlight w:val="none"/>
                      <w:lang w:eastAsia="zh-CN"/>
                    </w:rPr>
                  </w:pPr>
                  <w:r>
                    <w:rPr>
                      <w:bCs/>
                      <w:color w:val="auto"/>
                      <w:szCs w:val="21"/>
                      <w:highlight w:val="none"/>
                    </w:rPr>
                    <w:t>营运期常规监测</w:t>
                  </w:r>
                </w:p>
              </w:tc>
              <w:tc>
                <w:tcPr>
                  <w:tcW w:w="553" w:type="pct"/>
                  <w:vAlign w:val="center"/>
                </w:tcPr>
                <w:p w14:paraId="790CB7DA">
                  <w:pPr>
                    <w:jc w:val="center"/>
                    <w:rPr>
                      <w:rFonts w:hint="eastAsia" w:eastAsia="宋体"/>
                      <w:b/>
                      <w:bCs w:val="0"/>
                      <w:color w:val="auto"/>
                      <w:szCs w:val="21"/>
                      <w:highlight w:val="none"/>
                      <w:lang w:eastAsia="zh-CN"/>
                    </w:rPr>
                  </w:pPr>
                  <w:r>
                    <w:rPr>
                      <w:rFonts w:hint="eastAsia"/>
                      <w:bCs/>
                      <w:color w:val="auto"/>
                      <w:szCs w:val="21"/>
                      <w:highlight w:val="none"/>
                    </w:rPr>
                    <w:t>/</w:t>
                  </w:r>
                </w:p>
              </w:tc>
              <w:tc>
                <w:tcPr>
                  <w:tcW w:w="411" w:type="pct"/>
                  <w:vAlign w:val="center"/>
                </w:tcPr>
                <w:p w14:paraId="4D54E950">
                  <w:pPr>
                    <w:jc w:val="center"/>
                    <w:rPr>
                      <w:b/>
                      <w:bCs w:val="0"/>
                      <w:color w:val="auto"/>
                      <w:szCs w:val="21"/>
                      <w:highlight w:val="none"/>
                    </w:rPr>
                  </w:pPr>
                  <w:r>
                    <w:rPr>
                      <w:rFonts w:hint="eastAsia"/>
                      <w:color w:val="auto"/>
                      <w:szCs w:val="21"/>
                      <w:highlight w:val="none"/>
                    </w:rPr>
                    <w:t>依托</w:t>
                  </w:r>
                </w:p>
              </w:tc>
            </w:tr>
            <w:tr w14:paraId="096F02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035" w:type="pct"/>
                  <w:gridSpan w:val="4"/>
                  <w:vAlign w:val="center"/>
                </w:tcPr>
                <w:p w14:paraId="387F7E74">
                  <w:pPr>
                    <w:jc w:val="center"/>
                    <w:rPr>
                      <w:b/>
                      <w:bCs/>
                      <w:color w:val="auto"/>
                      <w:szCs w:val="21"/>
                      <w:highlight w:val="none"/>
                    </w:rPr>
                  </w:pPr>
                  <w:r>
                    <w:rPr>
                      <w:b/>
                      <w:bCs/>
                      <w:color w:val="auto"/>
                      <w:szCs w:val="21"/>
                      <w:highlight w:val="none"/>
                    </w:rPr>
                    <w:t>合计</w:t>
                  </w:r>
                </w:p>
              </w:tc>
              <w:tc>
                <w:tcPr>
                  <w:tcW w:w="553" w:type="pct"/>
                  <w:vAlign w:val="center"/>
                </w:tcPr>
                <w:p w14:paraId="3C5F9066">
                  <w:pPr>
                    <w:jc w:val="center"/>
                    <w:rPr>
                      <w:rFonts w:hint="default" w:eastAsia="宋体"/>
                      <w:b/>
                      <w:bCs w:val="0"/>
                      <w:color w:val="auto"/>
                      <w:szCs w:val="21"/>
                      <w:highlight w:val="none"/>
                      <w:lang w:val="en-US" w:eastAsia="zh-CN"/>
                    </w:rPr>
                  </w:pPr>
                  <w:r>
                    <w:rPr>
                      <w:rFonts w:hint="eastAsia"/>
                      <w:b/>
                      <w:bCs w:val="0"/>
                      <w:color w:val="auto"/>
                      <w:szCs w:val="21"/>
                      <w:highlight w:val="none"/>
                      <w:lang w:val="en-US" w:eastAsia="zh-CN"/>
                    </w:rPr>
                    <w:t>76</w:t>
                  </w:r>
                </w:p>
              </w:tc>
              <w:tc>
                <w:tcPr>
                  <w:tcW w:w="411" w:type="pct"/>
                  <w:vAlign w:val="center"/>
                </w:tcPr>
                <w:p w14:paraId="6FC9F7A5">
                  <w:pPr>
                    <w:jc w:val="center"/>
                    <w:rPr>
                      <w:color w:val="auto"/>
                      <w:szCs w:val="21"/>
                      <w:highlight w:val="none"/>
                    </w:rPr>
                  </w:pPr>
                </w:p>
              </w:tc>
            </w:tr>
            <w:tr w14:paraId="28B5D3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035" w:type="pct"/>
                  <w:gridSpan w:val="4"/>
                  <w:vAlign w:val="center"/>
                </w:tcPr>
                <w:p w14:paraId="12D19931">
                  <w:pPr>
                    <w:jc w:val="center"/>
                    <w:rPr>
                      <w:b/>
                      <w:bCs/>
                      <w:color w:val="auto"/>
                      <w:szCs w:val="21"/>
                      <w:highlight w:val="none"/>
                    </w:rPr>
                  </w:pPr>
                  <w:r>
                    <w:rPr>
                      <w:b/>
                      <w:bCs/>
                      <w:color w:val="auto"/>
                      <w:szCs w:val="21"/>
                      <w:highlight w:val="none"/>
                    </w:rPr>
                    <w:t>占总投资的比例（%）</w:t>
                  </w:r>
                </w:p>
              </w:tc>
              <w:tc>
                <w:tcPr>
                  <w:tcW w:w="553" w:type="pct"/>
                  <w:vAlign w:val="center"/>
                </w:tcPr>
                <w:p w14:paraId="3876D094">
                  <w:pPr>
                    <w:jc w:val="center"/>
                    <w:rPr>
                      <w:rFonts w:hint="default" w:eastAsia="宋体"/>
                      <w:b/>
                      <w:bCs w:val="0"/>
                      <w:color w:val="auto"/>
                      <w:szCs w:val="21"/>
                      <w:highlight w:val="none"/>
                      <w:lang w:val="en-US" w:eastAsia="zh-CN"/>
                    </w:rPr>
                  </w:pPr>
                  <w:r>
                    <w:rPr>
                      <w:rFonts w:hint="eastAsia"/>
                      <w:b/>
                      <w:bCs w:val="0"/>
                      <w:color w:val="auto"/>
                      <w:szCs w:val="21"/>
                      <w:highlight w:val="none"/>
                      <w:lang w:val="en-US" w:eastAsia="zh-CN"/>
                    </w:rPr>
                    <w:t>3.8</w:t>
                  </w:r>
                </w:p>
              </w:tc>
              <w:tc>
                <w:tcPr>
                  <w:tcW w:w="411" w:type="pct"/>
                  <w:vAlign w:val="center"/>
                </w:tcPr>
                <w:p w14:paraId="0F6485E3">
                  <w:pPr>
                    <w:jc w:val="center"/>
                    <w:rPr>
                      <w:bCs/>
                      <w:color w:val="auto"/>
                      <w:szCs w:val="21"/>
                      <w:highlight w:val="none"/>
                    </w:rPr>
                  </w:pPr>
                </w:p>
              </w:tc>
            </w:tr>
          </w:tbl>
          <w:p w14:paraId="741CBDA7">
            <w:pPr>
              <w:spacing w:after="120" w:line="480" w:lineRule="auto"/>
              <w:rPr>
                <w:b/>
                <w:bCs/>
                <w:color w:val="auto"/>
                <w:sz w:val="24"/>
                <w:szCs w:val="22"/>
                <w:highlight w:val="none"/>
              </w:rPr>
            </w:pPr>
          </w:p>
        </w:tc>
      </w:tr>
    </w:tbl>
    <w:p w14:paraId="35F548BD">
      <w:pPr>
        <w:widowControl/>
        <w:spacing w:before="100" w:beforeAutospacing="1" w:after="100" w:afterAutospacing="1"/>
        <w:jc w:val="center"/>
        <w:outlineLvl w:val="0"/>
        <w:rPr>
          <w:b/>
          <w:snapToGrid w:val="0"/>
          <w:color w:val="auto"/>
          <w:kern w:val="0"/>
          <w:sz w:val="30"/>
          <w:szCs w:val="30"/>
          <w:highlight w:val="none"/>
        </w:rPr>
      </w:pPr>
      <w:bookmarkStart w:id="40" w:name="_Toc70265312"/>
      <w:r>
        <w:rPr>
          <w:b/>
          <w:snapToGrid w:val="0"/>
          <w:color w:val="auto"/>
          <w:kern w:val="0"/>
          <w:sz w:val="30"/>
          <w:szCs w:val="30"/>
          <w:highlight w:val="none"/>
        </w:rPr>
        <w:t>五、</w:t>
      </w:r>
      <w:bookmarkStart w:id="41" w:name="OLE_LINK16"/>
      <w:bookmarkStart w:id="42" w:name="_Hlk54167917"/>
      <w:r>
        <w:rPr>
          <w:b/>
          <w:snapToGrid w:val="0"/>
          <w:color w:val="auto"/>
          <w:kern w:val="0"/>
          <w:sz w:val="30"/>
          <w:szCs w:val="30"/>
          <w:highlight w:val="none"/>
        </w:rPr>
        <w:t>环境保护措施监督检查清单</w:t>
      </w:r>
      <w:bookmarkEnd w:id="40"/>
      <w:bookmarkEnd w:id="41"/>
      <w:bookmarkEnd w:id="42"/>
    </w:p>
    <w:tbl>
      <w:tblPr>
        <w:tblStyle w:val="27"/>
        <w:tblW w:w="49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1"/>
        <w:gridCol w:w="555"/>
        <w:gridCol w:w="1484"/>
        <w:gridCol w:w="1390"/>
        <w:gridCol w:w="3963"/>
        <w:gridCol w:w="1912"/>
      </w:tblGrid>
      <w:tr w14:paraId="599F3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gridSpan w:val="3"/>
            <w:tcBorders>
              <w:top w:val="single" w:color="auto" w:sz="8" w:space="0"/>
              <w:left w:val="single" w:color="auto" w:sz="8" w:space="0"/>
              <w:bottom w:val="single" w:color="auto" w:sz="4" w:space="0"/>
              <w:right w:val="single" w:color="auto" w:sz="4" w:space="0"/>
              <w:tl2br w:val="single" w:color="auto" w:sz="4" w:space="0"/>
            </w:tcBorders>
          </w:tcPr>
          <w:p w14:paraId="62BEEAD0">
            <w:pPr>
              <w:adjustRightInd w:val="0"/>
              <w:snapToGrid w:val="0"/>
              <w:jc w:val="right"/>
              <w:rPr>
                <w:color w:val="auto"/>
                <w:sz w:val="24"/>
                <w:szCs w:val="24"/>
                <w:highlight w:val="none"/>
              </w:rPr>
            </w:pPr>
            <w:r>
              <w:rPr>
                <w:color w:val="auto"/>
                <w:sz w:val="24"/>
                <w:szCs w:val="24"/>
                <w:highlight w:val="none"/>
              </w:rPr>
              <w:t>内容</w:t>
            </w:r>
          </w:p>
          <w:p w14:paraId="04B61882">
            <w:pPr>
              <w:adjustRightInd w:val="0"/>
              <w:snapToGrid w:val="0"/>
              <w:rPr>
                <w:color w:val="auto"/>
                <w:sz w:val="24"/>
                <w:szCs w:val="24"/>
                <w:highlight w:val="none"/>
              </w:rPr>
            </w:pPr>
            <w:r>
              <w:rPr>
                <w:color w:val="auto"/>
                <w:sz w:val="24"/>
                <w:szCs w:val="24"/>
                <w:highlight w:val="none"/>
              </w:rPr>
              <w:t>要素</w:t>
            </w:r>
          </w:p>
        </w:tc>
        <w:tc>
          <w:tcPr>
            <w:tcW w:w="747" w:type="pct"/>
            <w:tcBorders>
              <w:top w:val="single" w:color="auto" w:sz="8" w:space="0"/>
              <w:left w:val="single" w:color="auto" w:sz="4" w:space="0"/>
              <w:bottom w:val="single" w:color="auto" w:sz="4" w:space="0"/>
              <w:right w:val="single" w:color="auto" w:sz="4" w:space="0"/>
            </w:tcBorders>
            <w:vAlign w:val="center"/>
          </w:tcPr>
          <w:p w14:paraId="38C5D034">
            <w:pPr>
              <w:adjustRightInd w:val="0"/>
              <w:snapToGrid w:val="0"/>
              <w:jc w:val="center"/>
              <w:rPr>
                <w:color w:val="auto"/>
                <w:sz w:val="24"/>
                <w:szCs w:val="24"/>
                <w:highlight w:val="none"/>
              </w:rPr>
            </w:pPr>
            <w:r>
              <w:rPr>
                <w:color w:val="auto"/>
                <w:sz w:val="24"/>
                <w:szCs w:val="24"/>
                <w:highlight w:val="none"/>
              </w:rPr>
              <w:t>排放口</w:t>
            </w:r>
            <w:r>
              <w:rPr>
                <w:rFonts w:hint="eastAsia"/>
                <w:color w:val="auto"/>
                <w:sz w:val="24"/>
                <w:szCs w:val="24"/>
                <w:highlight w:val="none"/>
                <w:lang w:eastAsia="zh-CN"/>
              </w:rPr>
              <w:t>（</w:t>
            </w:r>
            <w:r>
              <w:rPr>
                <w:color w:val="auto"/>
                <w:sz w:val="24"/>
                <w:szCs w:val="24"/>
                <w:highlight w:val="none"/>
              </w:rPr>
              <w:t>编号、名称</w:t>
            </w:r>
            <w:r>
              <w:rPr>
                <w:rFonts w:hint="eastAsia"/>
                <w:color w:val="auto"/>
                <w:sz w:val="24"/>
                <w:szCs w:val="24"/>
                <w:highlight w:val="none"/>
                <w:lang w:eastAsia="zh-CN"/>
              </w:rPr>
              <w:t>）</w:t>
            </w:r>
            <w:r>
              <w:rPr>
                <w:color w:val="auto"/>
                <w:sz w:val="24"/>
                <w:szCs w:val="24"/>
                <w:highlight w:val="none"/>
              </w:rPr>
              <w:t>/污染源</w:t>
            </w:r>
          </w:p>
        </w:tc>
        <w:tc>
          <w:tcPr>
            <w:tcW w:w="700" w:type="pct"/>
            <w:tcBorders>
              <w:top w:val="single" w:color="auto" w:sz="8" w:space="0"/>
              <w:left w:val="single" w:color="auto" w:sz="4" w:space="0"/>
              <w:bottom w:val="single" w:color="auto" w:sz="4" w:space="0"/>
              <w:right w:val="single" w:color="auto" w:sz="4" w:space="0"/>
            </w:tcBorders>
            <w:vAlign w:val="center"/>
          </w:tcPr>
          <w:p w14:paraId="0EB67E21">
            <w:pPr>
              <w:adjustRightInd w:val="0"/>
              <w:snapToGrid w:val="0"/>
              <w:jc w:val="center"/>
              <w:rPr>
                <w:color w:val="auto"/>
                <w:sz w:val="24"/>
                <w:szCs w:val="24"/>
                <w:highlight w:val="none"/>
              </w:rPr>
            </w:pPr>
            <w:r>
              <w:rPr>
                <w:color w:val="auto"/>
                <w:sz w:val="24"/>
                <w:szCs w:val="24"/>
                <w:highlight w:val="none"/>
              </w:rPr>
              <w:t>污染物项目</w:t>
            </w:r>
          </w:p>
        </w:tc>
        <w:tc>
          <w:tcPr>
            <w:tcW w:w="1997" w:type="pct"/>
            <w:tcBorders>
              <w:top w:val="single" w:color="auto" w:sz="8" w:space="0"/>
              <w:left w:val="single" w:color="auto" w:sz="4" w:space="0"/>
              <w:bottom w:val="single" w:color="auto" w:sz="4" w:space="0"/>
              <w:right w:val="single" w:color="auto" w:sz="4" w:space="0"/>
            </w:tcBorders>
            <w:vAlign w:val="center"/>
          </w:tcPr>
          <w:p w14:paraId="2DFB9697">
            <w:pPr>
              <w:adjustRightInd w:val="0"/>
              <w:snapToGrid w:val="0"/>
              <w:jc w:val="center"/>
              <w:rPr>
                <w:color w:val="auto"/>
                <w:sz w:val="24"/>
                <w:szCs w:val="24"/>
                <w:highlight w:val="none"/>
              </w:rPr>
            </w:pPr>
            <w:r>
              <w:rPr>
                <w:color w:val="auto"/>
                <w:sz w:val="24"/>
                <w:szCs w:val="24"/>
                <w:highlight w:val="none"/>
              </w:rPr>
              <w:t>环境保护措施</w:t>
            </w:r>
          </w:p>
        </w:tc>
        <w:tc>
          <w:tcPr>
            <w:tcW w:w="963" w:type="pct"/>
            <w:tcBorders>
              <w:top w:val="single" w:color="auto" w:sz="8" w:space="0"/>
              <w:left w:val="single" w:color="auto" w:sz="4" w:space="0"/>
              <w:bottom w:val="single" w:color="auto" w:sz="4" w:space="0"/>
              <w:right w:val="single" w:color="auto" w:sz="8" w:space="0"/>
            </w:tcBorders>
            <w:vAlign w:val="center"/>
          </w:tcPr>
          <w:p w14:paraId="538C22F4">
            <w:pPr>
              <w:adjustRightInd w:val="0"/>
              <w:snapToGrid w:val="0"/>
              <w:jc w:val="center"/>
              <w:rPr>
                <w:color w:val="auto"/>
                <w:sz w:val="24"/>
                <w:szCs w:val="24"/>
                <w:highlight w:val="none"/>
              </w:rPr>
            </w:pPr>
            <w:r>
              <w:rPr>
                <w:color w:val="auto"/>
                <w:sz w:val="24"/>
                <w:szCs w:val="24"/>
                <w:highlight w:val="none"/>
              </w:rPr>
              <w:t>执行标准</w:t>
            </w:r>
          </w:p>
        </w:tc>
      </w:tr>
      <w:tr w14:paraId="20899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gridSpan w:val="2"/>
            <w:vMerge w:val="restart"/>
            <w:tcBorders>
              <w:top w:val="single" w:color="auto" w:sz="4" w:space="0"/>
              <w:left w:val="single" w:color="auto" w:sz="8" w:space="0"/>
              <w:right w:val="single" w:color="auto" w:sz="4" w:space="0"/>
            </w:tcBorders>
            <w:vAlign w:val="center"/>
          </w:tcPr>
          <w:p w14:paraId="57A68A58">
            <w:pPr>
              <w:adjustRightInd w:val="0"/>
              <w:snapToGrid w:val="0"/>
              <w:jc w:val="center"/>
              <w:rPr>
                <w:color w:val="auto"/>
                <w:sz w:val="24"/>
                <w:szCs w:val="24"/>
                <w:highlight w:val="none"/>
              </w:rPr>
            </w:pPr>
            <w:r>
              <w:rPr>
                <w:color w:val="auto"/>
                <w:sz w:val="24"/>
                <w:szCs w:val="24"/>
                <w:highlight w:val="none"/>
              </w:rPr>
              <w:t>大气环境</w:t>
            </w:r>
          </w:p>
        </w:tc>
        <w:tc>
          <w:tcPr>
            <w:tcW w:w="279" w:type="pct"/>
            <w:vMerge w:val="restart"/>
            <w:tcBorders>
              <w:top w:val="single" w:color="auto" w:sz="4" w:space="0"/>
              <w:left w:val="single" w:color="auto" w:sz="8" w:space="0"/>
              <w:right w:val="single" w:color="auto" w:sz="4" w:space="0"/>
            </w:tcBorders>
            <w:vAlign w:val="center"/>
          </w:tcPr>
          <w:p w14:paraId="36DEAD08">
            <w:pPr>
              <w:adjustRightInd w:val="0"/>
              <w:snapToGrid w:val="0"/>
              <w:jc w:val="center"/>
              <w:rPr>
                <w:color w:val="auto"/>
                <w:sz w:val="24"/>
                <w:szCs w:val="24"/>
                <w:highlight w:val="none"/>
              </w:rPr>
            </w:pPr>
            <w:r>
              <w:rPr>
                <w:rFonts w:hint="eastAsia"/>
                <w:color w:val="auto"/>
                <w:sz w:val="24"/>
                <w:szCs w:val="24"/>
                <w:highlight w:val="none"/>
                <w:lang w:val="en-US" w:eastAsia="zh-CN"/>
              </w:rPr>
              <w:t>施工期</w:t>
            </w:r>
          </w:p>
        </w:tc>
        <w:tc>
          <w:tcPr>
            <w:tcW w:w="747" w:type="pct"/>
            <w:tcBorders>
              <w:top w:val="single" w:color="auto" w:sz="4" w:space="0"/>
              <w:left w:val="single" w:color="auto" w:sz="4" w:space="0"/>
              <w:right w:val="single" w:color="auto" w:sz="4" w:space="0"/>
            </w:tcBorders>
            <w:vAlign w:val="center"/>
          </w:tcPr>
          <w:p w14:paraId="605CDF84">
            <w:pPr>
              <w:jc w:val="center"/>
              <w:rPr>
                <w:rFonts w:hint="eastAsia"/>
                <w:color w:val="auto"/>
                <w:sz w:val="24"/>
                <w:szCs w:val="24"/>
                <w:highlight w:val="none"/>
                <w:lang w:val="en-US" w:eastAsia="zh-CN"/>
              </w:rPr>
            </w:pPr>
            <w:r>
              <w:rPr>
                <w:rFonts w:hint="eastAsia"/>
                <w:color w:val="auto"/>
                <w:sz w:val="24"/>
                <w:szCs w:val="24"/>
                <w:highlight w:val="none"/>
                <w:lang w:val="en-US" w:eastAsia="zh-CN"/>
              </w:rPr>
              <w:t>施工场地（生产车间）</w:t>
            </w:r>
          </w:p>
        </w:tc>
        <w:tc>
          <w:tcPr>
            <w:tcW w:w="700" w:type="pct"/>
            <w:tcBorders>
              <w:top w:val="single" w:color="auto" w:sz="4" w:space="0"/>
              <w:left w:val="single" w:color="auto" w:sz="4" w:space="0"/>
              <w:bottom w:val="single" w:color="auto" w:sz="4" w:space="0"/>
              <w:right w:val="single" w:color="auto" w:sz="4" w:space="0"/>
            </w:tcBorders>
            <w:vAlign w:val="center"/>
          </w:tcPr>
          <w:p w14:paraId="6FD59B67">
            <w:pPr>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施工扬尘（颗粒物）</w:t>
            </w:r>
          </w:p>
        </w:tc>
        <w:tc>
          <w:tcPr>
            <w:tcW w:w="1997" w:type="pct"/>
            <w:tcBorders>
              <w:top w:val="single" w:color="auto" w:sz="4" w:space="0"/>
              <w:left w:val="single" w:color="auto" w:sz="4" w:space="0"/>
              <w:bottom w:val="single" w:color="auto" w:sz="4" w:space="0"/>
              <w:right w:val="single" w:color="auto" w:sz="4" w:space="0"/>
            </w:tcBorders>
            <w:vAlign w:val="center"/>
          </w:tcPr>
          <w:p w14:paraId="614732A3">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设置施工围挡</w:t>
            </w:r>
            <w:r>
              <w:rPr>
                <w:rFonts w:hint="eastAsia"/>
                <w:color w:val="auto"/>
                <w:sz w:val="24"/>
                <w:szCs w:val="24"/>
                <w:highlight w:val="none"/>
              </w:rPr>
              <w:t>对施工区域实行封闭或隔离</w:t>
            </w:r>
            <w:r>
              <w:rPr>
                <w:rFonts w:hint="eastAsia"/>
                <w:color w:val="auto"/>
                <w:sz w:val="24"/>
                <w:szCs w:val="24"/>
                <w:highlight w:val="none"/>
                <w:lang w:eastAsia="zh-CN"/>
              </w:rPr>
              <w:t>；</w:t>
            </w:r>
            <w:r>
              <w:rPr>
                <w:rFonts w:hint="eastAsia"/>
                <w:color w:val="auto"/>
                <w:sz w:val="24"/>
                <w:szCs w:val="24"/>
                <w:highlight w:val="none"/>
              </w:rPr>
              <w:t>文明施工，定期洒水</w:t>
            </w:r>
            <w:r>
              <w:rPr>
                <w:rFonts w:hint="eastAsia"/>
                <w:color w:val="auto"/>
                <w:sz w:val="24"/>
                <w:szCs w:val="24"/>
                <w:highlight w:val="none"/>
                <w:lang w:val="en-US" w:eastAsia="zh-CN"/>
              </w:rPr>
              <w:t>及及时清扫撒落渣土</w:t>
            </w:r>
            <w:r>
              <w:rPr>
                <w:rFonts w:hint="eastAsia"/>
                <w:color w:val="auto"/>
                <w:sz w:val="24"/>
                <w:szCs w:val="24"/>
                <w:highlight w:val="none"/>
              </w:rPr>
              <w:t>；</w:t>
            </w:r>
            <w:r>
              <w:rPr>
                <w:rFonts w:hint="eastAsia"/>
                <w:color w:val="auto"/>
                <w:sz w:val="24"/>
                <w:szCs w:val="24"/>
                <w:highlight w:val="none"/>
                <w:lang w:val="en-US" w:eastAsia="zh-CN"/>
              </w:rPr>
              <w:t>运输车辆不得</w:t>
            </w:r>
            <w:r>
              <w:rPr>
                <w:rFonts w:hint="eastAsia"/>
                <w:color w:val="auto"/>
                <w:sz w:val="24"/>
                <w:szCs w:val="24"/>
                <w:highlight w:val="none"/>
              </w:rPr>
              <w:t>超载、冒载，出场前一律清洗轮胎，用毡布覆盖，出口设置防尘飞扬垫；严禁抛撒建筑垃圾</w:t>
            </w:r>
            <w:r>
              <w:rPr>
                <w:rFonts w:hint="eastAsia"/>
                <w:color w:val="auto"/>
                <w:sz w:val="24"/>
                <w:szCs w:val="24"/>
                <w:highlight w:val="none"/>
                <w:lang w:val="en-US" w:eastAsia="zh-CN"/>
              </w:rPr>
              <w:t>及基础开挖土石方，土石方及时回填，</w:t>
            </w:r>
            <w:r>
              <w:rPr>
                <w:rFonts w:hint="eastAsia"/>
                <w:color w:val="auto"/>
                <w:sz w:val="24"/>
                <w:szCs w:val="24"/>
                <w:highlight w:val="none"/>
              </w:rPr>
              <w:t>建筑垃圾及时清运并在指定的垃圾处置场处置</w:t>
            </w:r>
            <w:r>
              <w:rPr>
                <w:rFonts w:hint="eastAsia"/>
                <w:color w:val="auto"/>
                <w:sz w:val="24"/>
                <w:szCs w:val="24"/>
                <w:highlight w:val="none"/>
                <w:lang w:eastAsia="zh-CN"/>
              </w:rPr>
              <w:t>，</w:t>
            </w:r>
            <w:r>
              <w:rPr>
                <w:rFonts w:hint="eastAsia"/>
                <w:color w:val="auto"/>
                <w:sz w:val="24"/>
                <w:szCs w:val="24"/>
                <w:highlight w:val="none"/>
              </w:rPr>
              <w:t>不能及时清运的，应在施工工地设置临时密闭性垃圾堆放场地进行保存</w:t>
            </w:r>
            <w:r>
              <w:rPr>
                <w:rFonts w:hint="eastAsia"/>
                <w:color w:val="auto"/>
                <w:sz w:val="24"/>
                <w:szCs w:val="24"/>
                <w:highlight w:val="none"/>
                <w:lang w:eastAsia="zh-CN"/>
              </w:rPr>
              <w:t>，</w:t>
            </w:r>
            <w:r>
              <w:rPr>
                <w:rFonts w:hint="eastAsia"/>
                <w:color w:val="auto"/>
                <w:sz w:val="24"/>
                <w:szCs w:val="24"/>
                <w:highlight w:val="none"/>
                <w:lang w:val="en-US" w:eastAsia="zh-CN"/>
              </w:rPr>
              <w:t>施工结束后及时清运；</w:t>
            </w:r>
            <w:r>
              <w:rPr>
                <w:rFonts w:hint="eastAsia"/>
                <w:color w:val="auto"/>
                <w:sz w:val="24"/>
                <w:szCs w:val="24"/>
                <w:highlight w:val="none"/>
              </w:rPr>
              <w:t>堆放场地设置围栏或采取遮盖、洒水等防尘措施。风速大于3m/s时停止施工。</w:t>
            </w:r>
          </w:p>
        </w:tc>
        <w:tc>
          <w:tcPr>
            <w:tcW w:w="963" w:type="pct"/>
            <w:tcBorders>
              <w:top w:val="single" w:color="auto" w:sz="4" w:space="0"/>
              <w:left w:val="single" w:color="auto" w:sz="4" w:space="0"/>
              <w:bottom w:val="single" w:color="auto" w:sz="4" w:space="0"/>
              <w:right w:val="single" w:color="auto" w:sz="8" w:space="0"/>
            </w:tcBorders>
            <w:vAlign w:val="center"/>
          </w:tcPr>
          <w:p w14:paraId="3D87E792">
            <w:pPr>
              <w:adjustRightInd w:val="0"/>
              <w:snapToGrid w:val="0"/>
              <w:jc w:val="center"/>
              <w:rPr>
                <w:rFonts w:hint="eastAsia"/>
                <w:color w:val="auto"/>
                <w:sz w:val="24"/>
                <w:szCs w:val="24"/>
                <w:highlight w:val="none"/>
              </w:rPr>
            </w:pPr>
            <w:r>
              <w:rPr>
                <w:rFonts w:ascii="Times New Roman" w:hAnsi="Times New Roman" w:cs="Times New Roman"/>
                <w:color w:val="auto"/>
                <w:sz w:val="24"/>
                <w:szCs w:val="24"/>
                <w:highlight w:val="none"/>
              </w:rPr>
              <w:t>《四川省施工场地扬尘排放标准》（DB512682-2020）</w:t>
            </w:r>
          </w:p>
        </w:tc>
      </w:tr>
      <w:tr w14:paraId="673DE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gridSpan w:val="2"/>
            <w:vMerge w:val="continue"/>
            <w:tcBorders>
              <w:left w:val="single" w:color="auto" w:sz="8" w:space="0"/>
              <w:right w:val="single" w:color="auto" w:sz="4" w:space="0"/>
            </w:tcBorders>
            <w:vAlign w:val="center"/>
          </w:tcPr>
          <w:p w14:paraId="5EFE325D">
            <w:pPr>
              <w:adjustRightInd w:val="0"/>
              <w:snapToGrid w:val="0"/>
              <w:jc w:val="center"/>
              <w:rPr>
                <w:color w:val="auto"/>
                <w:sz w:val="24"/>
                <w:szCs w:val="24"/>
                <w:highlight w:val="none"/>
              </w:rPr>
            </w:pPr>
          </w:p>
        </w:tc>
        <w:tc>
          <w:tcPr>
            <w:tcW w:w="279" w:type="pct"/>
            <w:vMerge w:val="continue"/>
            <w:tcBorders>
              <w:left w:val="single" w:color="auto" w:sz="8" w:space="0"/>
              <w:right w:val="single" w:color="auto" w:sz="4" w:space="0"/>
            </w:tcBorders>
            <w:vAlign w:val="center"/>
          </w:tcPr>
          <w:p w14:paraId="283A8D88">
            <w:pPr>
              <w:adjustRightInd w:val="0"/>
              <w:snapToGrid w:val="0"/>
              <w:jc w:val="center"/>
              <w:rPr>
                <w:color w:val="auto"/>
                <w:sz w:val="24"/>
                <w:szCs w:val="24"/>
                <w:highlight w:val="none"/>
              </w:rPr>
            </w:pPr>
          </w:p>
        </w:tc>
        <w:tc>
          <w:tcPr>
            <w:tcW w:w="747" w:type="pct"/>
            <w:tcBorders>
              <w:left w:val="single" w:color="auto" w:sz="4" w:space="0"/>
              <w:bottom w:val="single" w:color="auto" w:sz="4" w:space="0"/>
              <w:right w:val="single" w:color="auto" w:sz="4" w:space="0"/>
            </w:tcBorders>
            <w:vAlign w:val="center"/>
          </w:tcPr>
          <w:p w14:paraId="134C78DB">
            <w:pPr>
              <w:jc w:val="center"/>
              <w:rPr>
                <w:rFonts w:hint="eastAsia"/>
                <w:color w:val="auto"/>
                <w:sz w:val="24"/>
                <w:szCs w:val="24"/>
                <w:highlight w:val="none"/>
                <w:lang w:val="en-US" w:eastAsia="zh-CN"/>
              </w:rPr>
            </w:pPr>
            <w:r>
              <w:rPr>
                <w:rFonts w:hint="eastAsia"/>
                <w:color w:val="auto"/>
                <w:sz w:val="24"/>
                <w:szCs w:val="24"/>
                <w:highlight w:val="none"/>
                <w:lang w:val="en-US" w:eastAsia="zh-CN"/>
              </w:rPr>
              <w:t>施工机械及车辆</w:t>
            </w:r>
          </w:p>
        </w:tc>
        <w:tc>
          <w:tcPr>
            <w:tcW w:w="700" w:type="pct"/>
            <w:tcBorders>
              <w:top w:val="single" w:color="auto" w:sz="4" w:space="0"/>
              <w:left w:val="single" w:color="auto" w:sz="4" w:space="0"/>
              <w:bottom w:val="single" w:color="auto" w:sz="4" w:space="0"/>
              <w:right w:val="single" w:color="auto" w:sz="4" w:space="0"/>
            </w:tcBorders>
            <w:vAlign w:val="center"/>
          </w:tcPr>
          <w:p w14:paraId="0D906585">
            <w:pPr>
              <w:jc w:val="center"/>
              <w:rPr>
                <w:rFonts w:hint="eastAsia"/>
                <w:color w:val="auto"/>
                <w:sz w:val="24"/>
                <w:szCs w:val="24"/>
                <w:highlight w:val="none"/>
                <w:lang w:val="en-US" w:eastAsia="zh-CN"/>
              </w:rPr>
            </w:pPr>
            <w:r>
              <w:rPr>
                <w:rFonts w:hint="eastAsia"/>
                <w:color w:val="auto"/>
                <w:sz w:val="24"/>
                <w:szCs w:val="24"/>
                <w:highlight w:val="none"/>
                <w:lang w:val="en-US" w:eastAsia="zh-CN"/>
              </w:rPr>
              <w:t>施工燃油废气（</w:t>
            </w:r>
            <w:r>
              <w:rPr>
                <w:rFonts w:ascii="Times New Roman" w:hAnsi="Times New Roman" w:cs="Times New Roman"/>
                <w:color w:val="auto"/>
                <w:sz w:val="24"/>
                <w:szCs w:val="24"/>
                <w:highlight w:val="none"/>
              </w:rPr>
              <w:t>CO、NO</w:t>
            </w:r>
            <w:r>
              <w:rPr>
                <w:rFonts w:ascii="Times New Roman" w:hAnsi="Times New Roman" w:cs="Times New Roman"/>
                <w:color w:val="auto"/>
                <w:sz w:val="24"/>
                <w:szCs w:val="24"/>
                <w:highlight w:val="none"/>
                <w:vertAlign w:val="subscript"/>
              </w:rPr>
              <w:t>x</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HC</w:t>
            </w:r>
            <w:r>
              <w:rPr>
                <w:rFonts w:hint="eastAsia"/>
                <w:color w:val="auto"/>
                <w:sz w:val="24"/>
                <w:szCs w:val="24"/>
                <w:highlight w:val="none"/>
                <w:lang w:val="en-US" w:eastAsia="zh-CN"/>
              </w:rPr>
              <w:t>）</w:t>
            </w:r>
          </w:p>
        </w:tc>
        <w:tc>
          <w:tcPr>
            <w:tcW w:w="1997" w:type="pct"/>
            <w:tcBorders>
              <w:top w:val="single" w:color="auto" w:sz="4" w:space="0"/>
              <w:left w:val="single" w:color="auto" w:sz="4" w:space="0"/>
              <w:bottom w:val="single" w:color="auto" w:sz="4" w:space="0"/>
              <w:right w:val="single" w:color="auto" w:sz="4" w:space="0"/>
            </w:tcBorders>
            <w:vAlign w:val="center"/>
          </w:tcPr>
          <w:p w14:paraId="15B0B10F">
            <w:pPr>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施工期间加强施工期设备维护，</w:t>
            </w:r>
            <w:r>
              <w:rPr>
                <w:rFonts w:hint="eastAsia"/>
                <w:color w:val="auto"/>
                <w:sz w:val="24"/>
                <w:szCs w:val="24"/>
                <w:highlight w:val="none"/>
              </w:rPr>
              <w:t>使其能够正常</w:t>
            </w:r>
            <w:r>
              <w:rPr>
                <w:rFonts w:hint="eastAsia"/>
                <w:color w:val="auto"/>
                <w:sz w:val="24"/>
                <w:szCs w:val="24"/>
                <w:highlight w:val="none"/>
                <w:lang w:val="en-US" w:eastAsia="zh-CN"/>
              </w:rPr>
              <w:t>地</w:t>
            </w:r>
            <w:r>
              <w:rPr>
                <w:rFonts w:hint="eastAsia"/>
                <w:color w:val="auto"/>
                <w:sz w:val="24"/>
                <w:szCs w:val="24"/>
                <w:highlight w:val="none"/>
              </w:rPr>
              <w:t>运行，提高设备原料的利用率</w:t>
            </w:r>
            <w:r>
              <w:rPr>
                <w:rFonts w:hint="eastAsia"/>
                <w:color w:val="auto"/>
                <w:sz w:val="24"/>
                <w:szCs w:val="24"/>
                <w:highlight w:val="none"/>
                <w:lang w:eastAsia="zh-CN"/>
              </w:rPr>
              <w:t>，</w:t>
            </w:r>
            <w:r>
              <w:rPr>
                <w:rFonts w:hint="eastAsia"/>
                <w:color w:val="auto"/>
                <w:sz w:val="24"/>
                <w:szCs w:val="24"/>
                <w:highlight w:val="none"/>
                <w:lang w:val="en-US" w:eastAsia="zh-CN"/>
              </w:rPr>
              <w:t>自然扩散排放。</w:t>
            </w:r>
          </w:p>
        </w:tc>
        <w:tc>
          <w:tcPr>
            <w:tcW w:w="963" w:type="pct"/>
            <w:tcBorders>
              <w:top w:val="single" w:color="auto" w:sz="4" w:space="0"/>
              <w:left w:val="single" w:color="auto" w:sz="4" w:space="0"/>
              <w:bottom w:val="single" w:color="auto" w:sz="4" w:space="0"/>
              <w:right w:val="single" w:color="auto" w:sz="8" w:space="0"/>
            </w:tcBorders>
            <w:vAlign w:val="center"/>
          </w:tcPr>
          <w:p w14:paraId="7EB468F9">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不对环境空气造成污染</w:t>
            </w:r>
          </w:p>
        </w:tc>
      </w:tr>
      <w:tr w14:paraId="55A39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gridSpan w:val="2"/>
            <w:vMerge w:val="continue"/>
            <w:tcBorders>
              <w:left w:val="single" w:color="auto" w:sz="8" w:space="0"/>
              <w:right w:val="single" w:color="auto" w:sz="4" w:space="0"/>
            </w:tcBorders>
            <w:vAlign w:val="center"/>
          </w:tcPr>
          <w:p w14:paraId="0B35ECBB">
            <w:pPr>
              <w:adjustRightInd w:val="0"/>
              <w:snapToGrid w:val="0"/>
              <w:jc w:val="center"/>
              <w:rPr>
                <w:color w:val="auto"/>
                <w:sz w:val="24"/>
                <w:szCs w:val="24"/>
                <w:highlight w:val="none"/>
              </w:rPr>
            </w:pPr>
          </w:p>
        </w:tc>
        <w:tc>
          <w:tcPr>
            <w:tcW w:w="279" w:type="pct"/>
            <w:vMerge w:val="restart"/>
            <w:tcBorders>
              <w:left w:val="single" w:color="auto" w:sz="8" w:space="0"/>
              <w:right w:val="single" w:color="auto" w:sz="4" w:space="0"/>
            </w:tcBorders>
            <w:vAlign w:val="center"/>
          </w:tcPr>
          <w:p w14:paraId="389F3AF5">
            <w:pPr>
              <w:adjustRightInd w:val="0"/>
              <w:snapToGrid w:val="0"/>
              <w:jc w:val="center"/>
              <w:rPr>
                <w:color w:val="auto"/>
                <w:sz w:val="24"/>
                <w:szCs w:val="24"/>
                <w:highlight w:val="none"/>
              </w:rPr>
            </w:pPr>
            <w:r>
              <w:rPr>
                <w:rFonts w:hint="eastAsia"/>
                <w:color w:val="auto"/>
                <w:sz w:val="24"/>
                <w:szCs w:val="24"/>
                <w:highlight w:val="none"/>
                <w:lang w:val="en-US" w:eastAsia="zh-CN"/>
              </w:rPr>
              <w:t>运营期</w:t>
            </w:r>
          </w:p>
        </w:tc>
        <w:tc>
          <w:tcPr>
            <w:tcW w:w="747" w:type="pct"/>
            <w:tcBorders>
              <w:top w:val="single" w:color="auto" w:sz="4" w:space="0"/>
              <w:left w:val="single" w:color="auto" w:sz="4" w:space="0"/>
              <w:right w:val="single" w:color="auto" w:sz="4" w:space="0"/>
            </w:tcBorders>
            <w:vAlign w:val="center"/>
          </w:tcPr>
          <w:p w14:paraId="142743DD">
            <w:pPr>
              <w:jc w:val="center"/>
              <w:rPr>
                <w:rFonts w:hint="eastAsia"/>
                <w:color w:val="auto"/>
                <w:sz w:val="24"/>
                <w:szCs w:val="24"/>
                <w:highlight w:val="none"/>
              </w:rPr>
            </w:pPr>
            <w:r>
              <w:rPr>
                <w:rFonts w:hint="eastAsia"/>
                <w:color w:val="auto"/>
                <w:sz w:val="24"/>
                <w:szCs w:val="24"/>
                <w:highlight w:val="none"/>
              </w:rPr>
              <w:t>DA0</w:t>
            </w:r>
            <w:r>
              <w:rPr>
                <w:rFonts w:hint="eastAsia"/>
                <w:color w:val="auto"/>
                <w:sz w:val="24"/>
                <w:szCs w:val="24"/>
                <w:highlight w:val="none"/>
                <w:lang w:val="en-US" w:eastAsia="zh-CN"/>
              </w:rPr>
              <w:t>01</w:t>
            </w:r>
            <w:r>
              <w:rPr>
                <w:rFonts w:hint="eastAsia"/>
                <w:color w:val="auto"/>
                <w:sz w:val="24"/>
                <w:szCs w:val="24"/>
                <w:highlight w:val="none"/>
              </w:rPr>
              <w:t>（</w:t>
            </w:r>
            <w:r>
              <w:rPr>
                <w:rFonts w:hint="eastAsia"/>
                <w:color w:val="auto"/>
                <w:sz w:val="24"/>
                <w:szCs w:val="24"/>
                <w:highlight w:val="none"/>
                <w:lang w:val="en-US" w:eastAsia="zh-CN"/>
              </w:rPr>
              <w:t>生产装置区</w:t>
            </w:r>
            <w:r>
              <w:rPr>
                <w:rFonts w:hint="eastAsia"/>
                <w:color w:val="auto"/>
                <w:sz w:val="24"/>
                <w:szCs w:val="24"/>
                <w:highlight w:val="none"/>
              </w:rPr>
              <w:t>）</w:t>
            </w:r>
          </w:p>
        </w:tc>
        <w:tc>
          <w:tcPr>
            <w:tcW w:w="700" w:type="pct"/>
            <w:tcBorders>
              <w:top w:val="single" w:color="auto" w:sz="4" w:space="0"/>
              <w:left w:val="single" w:color="auto" w:sz="4" w:space="0"/>
              <w:bottom w:val="single" w:color="auto" w:sz="4" w:space="0"/>
              <w:right w:val="single" w:color="auto" w:sz="4" w:space="0"/>
            </w:tcBorders>
            <w:vAlign w:val="center"/>
          </w:tcPr>
          <w:p w14:paraId="53A33794">
            <w:pPr>
              <w:jc w:val="center"/>
              <w:rPr>
                <w:color w:val="auto"/>
                <w:sz w:val="24"/>
                <w:szCs w:val="24"/>
                <w:highlight w:val="none"/>
              </w:rPr>
            </w:pPr>
            <w:r>
              <w:rPr>
                <w:color w:val="auto"/>
                <w:sz w:val="24"/>
                <w:szCs w:val="24"/>
                <w:highlight w:val="none"/>
              </w:rPr>
              <w:t>VOCs</w:t>
            </w:r>
          </w:p>
        </w:tc>
        <w:tc>
          <w:tcPr>
            <w:tcW w:w="1997" w:type="pct"/>
            <w:tcBorders>
              <w:top w:val="single" w:color="auto" w:sz="4" w:space="0"/>
              <w:left w:val="single" w:color="auto" w:sz="4" w:space="0"/>
              <w:bottom w:val="single" w:color="auto" w:sz="4" w:space="0"/>
              <w:right w:val="single" w:color="auto" w:sz="4" w:space="0"/>
            </w:tcBorders>
            <w:vAlign w:val="center"/>
          </w:tcPr>
          <w:p w14:paraId="378BFD2C">
            <w:pPr>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新建水洗塔（四段式）</w:t>
            </w:r>
            <w:r>
              <w:rPr>
                <w:rFonts w:hint="default"/>
                <w:color w:val="auto"/>
                <w:sz w:val="24"/>
                <w:szCs w:val="24"/>
                <w:highlight w:val="none"/>
                <w:lang w:val="en-US" w:eastAsia="zh-CN"/>
              </w:rPr>
              <w:t>+</w:t>
            </w:r>
            <w:r>
              <w:rPr>
                <w:rFonts w:hint="eastAsia"/>
                <w:color w:val="auto"/>
                <w:sz w:val="24"/>
                <w:szCs w:val="24"/>
                <w:highlight w:val="none"/>
                <w:lang w:val="en-US" w:eastAsia="zh-CN"/>
              </w:rPr>
              <w:t>现有</w:t>
            </w:r>
            <w:r>
              <w:rPr>
                <w:rFonts w:hint="default"/>
                <w:color w:val="auto"/>
                <w:sz w:val="24"/>
                <w:szCs w:val="24"/>
                <w:highlight w:val="none"/>
                <w:lang w:val="en-US" w:eastAsia="zh-CN"/>
              </w:rPr>
              <w:t>2</w:t>
            </w:r>
            <w:r>
              <w:rPr>
                <w:rFonts w:hint="eastAsia"/>
                <w:color w:val="auto"/>
                <w:sz w:val="24"/>
                <w:szCs w:val="24"/>
                <w:highlight w:val="none"/>
                <w:lang w:val="en-US" w:eastAsia="zh-CN"/>
              </w:rPr>
              <w:t>8</w:t>
            </w:r>
            <w:r>
              <w:rPr>
                <w:rFonts w:hint="default"/>
                <w:color w:val="auto"/>
                <w:sz w:val="24"/>
                <w:szCs w:val="24"/>
                <w:highlight w:val="none"/>
                <w:lang w:val="en-US" w:eastAsia="zh-CN"/>
              </w:rPr>
              <w:t>m</w:t>
            </w:r>
            <w:r>
              <w:rPr>
                <w:rFonts w:hint="eastAsia"/>
                <w:color w:val="auto"/>
                <w:sz w:val="24"/>
                <w:szCs w:val="24"/>
                <w:highlight w:val="none"/>
                <w:lang w:val="en-US" w:eastAsia="zh-CN"/>
              </w:rPr>
              <w:t>排气筒</w:t>
            </w:r>
          </w:p>
        </w:tc>
        <w:tc>
          <w:tcPr>
            <w:tcW w:w="963" w:type="pct"/>
            <w:tcBorders>
              <w:top w:val="single" w:color="auto" w:sz="4" w:space="0"/>
              <w:left w:val="single" w:color="auto" w:sz="4" w:space="0"/>
              <w:bottom w:val="single" w:color="auto" w:sz="4" w:space="0"/>
              <w:right w:val="single" w:color="auto" w:sz="8" w:space="0"/>
            </w:tcBorders>
            <w:vAlign w:val="center"/>
          </w:tcPr>
          <w:p w14:paraId="118BF112">
            <w:pPr>
              <w:adjustRightInd w:val="0"/>
              <w:snapToGrid w:val="0"/>
              <w:jc w:val="center"/>
              <w:rPr>
                <w:rFonts w:hint="eastAsia"/>
                <w:color w:val="auto"/>
                <w:sz w:val="24"/>
                <w:szCs w:val="24"/>
                <w:highlight w:val="none"/>
              </w:rPr>
            </w:pPr>
            <w:r>
              <w:rPr>
                <w:rFonts w:hint="eastAsia"/>
                <w:color w:val="auto"/>
                <w:sz w:val="24"/>
                <w:szCs w:val="24"/>
                <w:highlight w:val="none"/>
              </w:rPr>
              <w:t>《四川省固定污染源大气挥发性有机物排放标准》（</w:t>
            </w:r>
            <w:r>
              <w:rPr>
                <w:rFonts w:hint="eastAsia"/>
                <w:color w:val="auto"/>
                <w:sz w:val="24"/>
                <w:szCs w:val="24"/>
                <w:highlight w:val="none"/>
                <w:lang w:eastAsia="zh-CN"/>
              </w:rPr>
              <w:t>DB51/2377-2017</w:t>
            </w:r>
            <w:r>
              <w:rPr>
                <w:rFonts w:hint="eastAsia"/>
                <w:color w:val="auto"/>
                <w:sz w:val="24"/>
                <w:szCs w:val="24"/>
                <w:highlight w:val="none"/>
              </w:rPr>
              <w:t>）</w:t>
            </w:r>
          </w:p>
        </w:tc>
      </w:tr>
      <w:tr w14:paraId="7BD98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gridSpan w:val="2"/>
            <w:vMerge w:val="continue"/>
            <w:tcBorders>
              <w:left w:val="single" w:color="auto" w:sz="8" w:space="0"/>
              <w:right w:val="single" w:color="auto" w:sz="4" w:space="0"/>
            </w:tcBorders>
            <w:vAlign w:val="center"/>
          </w:tcPr>
          <w:p w14:paraId="48F78DFA">
            <w:pPr>
              <w:adjustRightInd w:val="0"/>
              <w:snapToGrid w:val="0"/>
              <w:jc w:val="center"/>
              <w:rPr>
                <w:color w:val="auto"/>
                <w:sz w:val="24"/>
                <w:szCs w:val="24"/>
                <w:highlight w:val="none"/>
              </w:rPr>
            </w:pPr>
          </w:p>
        </w:tc>
        <w:tc>
          <w:tcPr>
            <w:tcW w:w="279" w:type="pct"/>
            <w:vMerge w:val="continue"/>
            <w:tcBorders>
              <w:left w:val="single" w:color="auto" w:sz="8" w:space="0"/>
              <w:right w:val="single" w:color="auto" w:sz="4" w:space="0"/>
            </w:tcBorders>
            <w:vAlign w:val="center"/>
          </w:tcPr>
          <w:p w14:paraId="31D38807">
            <w:pPr>
              <w:adjustRightInd w:val="0"/>
              <w:snapToGrid w:val="0"/>
              <w:jc w:val="center"/>
              <w:rPr>
                <w:color w:val="auto"/>
                <w:sz w:val="24"/>
                <w:szCs w:val="24"/>
                <w:highlight w:val="none"/>
              </w:rPr>
            </w:pPr>
          </w:p>
        </w:tc>
        <w:tc>
          <w:tcPr>
            <w:tcW w:w="747" w:type="pct"/>
            <w:tcBorders>
              <w:left w:val="single" w:color="auto" w:sz="4" w:space="0"/>
              <w:right w:val="single" w:color="auto" w:sz="4" w:space="0"/>
            </w:tcBorders>
            <w:vAlign w:val="center"/>
          </w:tcPr>
          <w:p w14:paraId="64A860B0">
            <w:pPr>
              <w:jc w:val="center"/>
              <w:rPr>
                <w:rFonts w:hint="eastAsia"/>
                <w:color w:val="auto"/>
                <w:sz w:val="24"/>
                <w:szCs w:val="24"/>
                <w:highlight w:val="none"/>
              </w:rPr>
            </w:pPr>
            <w:r>
              <w:rPr>
                <w:rFonts w:hint="eastAsia"/>
                <w:color w:val="auto"/>
                <w:sz w:val="24"/>
                <w:szCs w:val="24"/>
                <w:highlight w:val="none"/>
              </w:rPr>
              <w:t>DA0</w:t>
            </w:r>
            <w:r>
              <w:rPr>
                <w:rFonts w:hint="eastAsia"/>
                <w:color w:val="auto"/>
                <w:sz w:val="24"/>
                <w:szCs w:val="24"/>
                <w:highlight w:val="none"/>
                <w:lang w:val="en-US" w:eastAsia="zh-CN"/>
              </w:rPr>
              <w:t>02</w:t>
            </w:r>
            <w:r>
              <w:rPr>
                <w:rFonts w:hint="eastAsia"/>
                <w:color w:val="auto"/>
                <w:sz w:val="24"/>
                <w:szCs w:val="24"/>
                <w:highlight w:val="none"/>
              </w:rPr>
              <w:t>（</w:t>
            </w:r>
            <w:r>
              <w:rPr>
                <w:rFonts w:hint="eastAsia"/>
                <w:color w:val="auto"/>
                <w:sz w:val="24"/>
                <w:szCs w:val="24"/>
                <w:highlight w:val="none"/>
                <w:lang w:val="en-US" w:eastAsia="zh-CN"/>
              </w:rPr>
              <w:t>锅炉房</w:t>
            </w:r>
            <w:r>
              <w:rPr>
                <w:rFonts w:hint="eastAsia"/>
                <w:color w:val="auto"/>
                <w:sz w:val="24"/>
                <w:szCs w:val="24"/>
                <w:highlight w:val="none"/>
              </w:rPr>
              <w:t>）</w:t>
            </w:r>
          </w:p>
        </w:tc>
        <w:tc>
          <w:tcPr>
            <w:tcW w:w="700" w:type="pct"/>
            <w:tcBorders>
              <w:top w:val="single" w:color="auto" w:sz="4" w:space="0"/>
              <w:left w:val="single" w:color="auto" w:sz="4" w:space="0"/>
              <w:bottom w:val="single" w:color="auto" w:sz="4" w:space="0"/>
              <w:right w:val="single" w:color="auto" w:sz="4" w:space="0"/>
            </w:tcBorders>
            <w:vAlign w:val="center"/>
          </w:tcPr>
          <w:p w14:paraId="6E56EB15">
            <w:pPr>
              <w:jc w:val="center"/>
              <w:rPr>
                <w:rFonts w:hint="default" w:eastAsia="宋体"/>
                <w:color w:val="auto"/>
                <w:sz w:val="24"/>
                <w:szCs w:val="24"/>
                <w:highlight w:val="none"/>
                <w:lang w:val="en-US" w:eastAsia="zh-CN"/>
              </w:rPr>
            </w:pPr>
            <w:r>
              <w:rPr>
                <w:rFonts w:hint="eastAsia"/>
                <w:color w:val="auto"/>
                <w:sz w:val="24"/>
                <w:szCs w:val="24"/>
                <w:highlight w:val="none"/>
              </w:rPr>
              <w:t>颗粒物</w:t>
            </w:r>
            <w:r>
              <w:rPr>
                <w:rFonts w:hint="eastAsia"/>
                <w:color w:val="auto"/>
                <w:sz w:val="24"/>
                <w:szCs w:val="24"/>
                <w:highlight w:val="none"/>
                <w:lang w:eastAsia="zh-CN"/>
              </w:rPr>
              <w:t>、</w:t>
            </w:r>
            <w:r>
              <w:rPr>
                <w:rFonts w:hint="eastAsia"/>
                <w:color w:val="auto"/>
                <w:sz w:val="24"/>
                <w:szCs w:val="24"/>
                <w:highlight w:val="none"/>
                <w:lang w:val="en-US" w:eastAsia="zh-CN"/>
              </w:rPr>
              <w:t>NOx</w:t>
            </w:r>
          </w:p>
        </w:tc>
        <w:tc>
          <w:tcPr>
            <w:tcW w:w="1997" w:type="pct"/>
            <w:tcBorders>
              <w:top w:val="single" w:color="auto" w:sz="4" w:space="0"/>
              <w:left w:val="single" w:color="auto" w:sz="4" w:space="0"/>
              <w:bottom w:val="single" w:color="auto" w:sz="4" w:space="0"/>
              <w:right w:val="single" w:color="auto" w:sz="4" w:space="0"/>
            </w:tcBorders>
            <w:vAlign w:val="center"/>
          </w:tcPr>
          <w:p w14:paraId="10BA3F16">
            <w:pPr>
              <w:adjustRightInd w:val="0"/>
              <w:snapToGrid w:val="0"/>
              <w:jc w:val="center"/>
              <w:rPr>
                <w:rFonts w:hint="eastAsia"/>
                <w:color w:val="auto"/>
                <w:sz w:val="24"/>
                <w:szCs w:val="24"/>
                <w:highlight w:val="none"/>
              </w:rPr>
            </w:pPr>
            <w:r>
              <w:rPr>
                <w:rFonts w:hint="eastAsia"/>
                <w:color w:val="auto"/>
                <w:sz w:val="24"/>
                <w:szCs w:val="24"/>
                <w:highlight w:val="none"/>
              </w:rPr>
              <w:t>依托</w:t>
            </w:r>
            <w:r>
              <w:rPr>
                <w:rFonts w:hint="eastAsia"/>
                <w:color w:val="auto"/>
                <w:sz w:val="24"/>
                <w:szCs w:val="24"/>
                <w:highlight w:val="none"/>
                <w:lang w:val="en-US" w:eastAsia="zh-CN"/>
              </w:rPr>
              <w:t>现有</w:t>
            </w:r>
            <w:r>
              <w:rPr>
                <w:rFonts w:hint="eastAsia"/>
                <w:color w:val="auto"/>
                <w:sz w:val="24"/>
                <w:szCs w:val="24"/>
                <w:highlight w:val="none"/>
                <w:lang w:eastAsia="zh-CN"/>
              </w:rPr>
              <w:t>“</w:t>
            </w:r>
            <w:r>
              <w:rPr>
                <w:rFonts w:hint="eastAsia"/>
                <w:color w:val="auto"/>
                <w:sz w:val="24"/>
                <w:szCs w:val="24"/>
                <w:highlight w:val="none"/>
              </w:rPr>
              <w:t>低氮燃烧器+烟气再循环技术+</w:t>
            </w:r>
            <w:r>
              <w:rPr>
                <w:rFonts w:hint="eastAsia"/>
                <w:color w:val="auto"/>
                <w:sz w:val="24"/>
                <w:szCs w:val="24"/>
                <w:highlight w:val="none"/>
                <w:lang w:val="en-US" w:eastAsia="zh-CN"/>
              </w:rPr>
              <w:t>1</w:t>
            </w:r>
            <w:r>
              <w:rPr>
                <w:rFonts w:hint="eastAsia"/>
                <w:color w:val="auto"/>
                <w:sz w:val="24"/>
                <w:szCs w:val="24"/>
                <w:highlight w:val="none"/>
              </w:rPr>
              <w:t>5m排气筒</w:t>
            </w:r>
            <w:r>
              <w:rPr>
                <w:rFonts w:hint="eastAsia"/>
                <w:color w:val="auto"/>
                <w:sz w:val="24"/>
                <w:szCs w:val="24"/>
                <w:highlight w:val="none"/>
                <w:lang w:eastAsia="zh-CN"/>
              </w:rPr>
              <w:t>”</w:t>
            </w:r>
          </w:p>
        </w:tc>
        <w:tc>
          <w:tcPr>
            <w:tcW w:w="963" w:type="pct"/>
            <w:tcBorders>
              <w:top w:val="single" w:color="auto" w:sz="4" w:space="0"/>
              <w:left w:val="single" w:color="auto" w:sz="4" w:space="0"/>
              <w:bottom w:val="single" w:color="auto" w:sz="4" w:space="0"/>
              <w:right w:val="single" w:color="auto" w:sz="8" w:space="0"/>
            </w:tcBorders>
            <w:vAlign w:val="center"/>
          </w:tcPr>
          <w:p w14:paraId="23927883">
            <w:pPr>
              <w:adjustRightInd w:val="0"/>
              <w:snapToGrid w:val="0"/>
              <w:jc w:val="center"/>
              <w:rPr>
                <w:rFonts w:hint="eastAsia"/>
                <w:color w:val="auto"/>
                <w:sz w:val="24"/>
                <w:szCs w:val="24"/>
                <w:highlight w:val="none"/>
              </w:rPr>
            </w:pPr>
            <w:r>
              <w:rPr>
                <w:rFonts w:hint="eastAsia"/>
                <w:color w:val="auto"/>
                <w:sz w:val="24"/>
                <w:szCs w:val="24"/>
                <w:highlight w:val="none"/>
                <w:lang w:val="en-US" w:eastAsia="zh-CN"/>
              </w:rPr>
              <w:t>《锅炉大气污染物排放标准》（GB13271-2014）</w:t>
            </w:r>
          </w:p>
        </w:tc>
      </w:tr>
      <w:tr w14:paraId="73B3F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gridSpan w:val="2"/>
            <w:vMerge w:val="continue"/>
            <w:tcBorders>
              <w:left w:val="single" w:color="auto" w:sz="8" w:space="0"/>
              <w:right w:val="single" w:color="auto" w:sz="4" w:space="0"/>
            </w:tcBorders>
            <w:vAlign w:val="center"/>
          </w:tcPr>
          <w:p w14:paraId="01C15CE1">
            <w:pPr>
              <w:adjustRightInd w:val="0"/>
              <w:snapToGrid w:val="0"/>
              <w:jc w:val="center"/>
              <w:rPr>
                <w:color w:val="auto"/>
                <w:sz w:val="24"/>
                <w:szCs w:val="24"/>
                <w:highlight w:val="none"/>
              </w:rPr>
            </w:pPr>
          </w:p>
        </w:tc>
        <w:tc>
          <w:tcPr>
            <w:tcW w:w="279" w:type="pct"/>
            <w:vMerge w:val="continue"/>
            <w:tcBorders>
              <w:left w:val="single" w:color="auto" w:sz="8" w:space="0"/>
              <w:right w:val="single" w:color="auto" w:sz="4" w:space="0"/>
            </w:tcBorders>
            <w:vAlign w:val="center"/>
          </w:tcPr>
          <w:p w14:paraId="3E159D5A">
            <w:pPr>
              <w:adjustRightInd w:val="0"/>
              <w:snapToGrid w:val="0"/>
              <w:jc w:val="center"/>
              <w:rPr>
                <w:color w:val="auto"/>
                <w:sz w:val="24"/>
                <w:szCs w:val="24"/>
                <w:highlight w:val="none"/>
              </w:rPr>
            </w:pPr>
          </w:p>
        </w:tc>
        <w:tc>
          <w:tcPr>
            <w:tcW w:w="747" w:type="pct"/>
            <w:tcBorders>
              <w:left w:val="single" w:color="auto" w:sz="4" w:space="0"/>
              <w:right w:val="single" w:color="auto" w:sz="4" w:space="0"/>
            </w:tcBorders>
            <w:vAlign w:val="center"/>
          </w:tcPr>
          <w:p w14:paraId="336645C3">
            <w:pPr>
              <w:jc w:val="center"/>
              <w:rPr>
                <w:rFonts w:hint="eastAsia"/>
                <w:color w:val="auto"/>
                <w:sz w:val="24"/>
                <w:szCs w:val="24"/>
                <w:highlight w:val="none"/>
                <w:lang w:eastAsia="zh-CN"/>
              </w:rPr>
            </w:pPr>
            <w:r>
              <w:rPr>
                <w:rFonts w:hint="eastAsia"/>
                <w:color w:val="auto"/>
                <w:sz w:val="24"/>
                <w:szCs w:val="24"/>
                <w:highlight w:val="none"/>
                <w:lang w:eastAsia="zh-CN"/>
              </w:rPr>
              <w:t>DA0</w:t>
            </w:r>
            <w:r>
              <w:rPr>
                <w:rFonts w:hint="eastAsia"/>
                <w:color w:val="auto"/>
                <w:sz w:val="24"/>
                <w:szCs w:val="24"/>
                <w:highlight w:val="none"/>
                <w:lang w:val="en-US" w:eastAsia="zh-CN"/>
              </w:rPr>
              <w:t>03</w:t>
            </w:r>
            <w:r>
              <w:rPr>
                <w:rFonts w:hint="eastAsia"/>
                <w:color w:val="auto"/>
                <w:sz w:val="24"/>
                <w:szCs w:val="24"/>
                <w:highlight w:val="none"/>
              </w:rPr>
              <w:t>（</w:t>
            </w:r>
            <w:r>
              <w:rPr>
                <w:rFonts w:hint="eastAsia"/>
                <w:color w:val="auto"/>
                <w:sz w:val="24"/>
                <w:szCs w:val="24"/>
                <w:highlight w:val="none"/>
                <w:lang w:val="en-US" w:eastAsia="zh-CN"/>
              </w:rPr>
              <w:t>污水处理站</w:t>
            </w:r>
            <w:r>
              <w:rPr>
                <w:rFonts w:hint="eastAsia"/>
                <w:color w:val="auto"/>
                <w:sz w:val="24"/>
                <w:szCs w:val="24"/>
                <w:highlight w:val="none"/>
              </w:rPr>
              <w:t>）</w:t>
            </w:r>
          </w:p>
        </w:tc>
        <w:tc>
          <w:tcPr>
            <w:tcW w:w="700" w:type="pct"/>
            <w:tcBorders>
              <w:top w:val="single" w:color="auto" w:sz="4" w:space="0"/>
              <w:left w:val="single" w:color="auto" w:sz="4" w:space="0"/>
              <w:bottom w:val="single" w:color="auto" w:sz="4" w:space="0"/>
              <w:right w:val="single" w:color="auto" w:sz="4" w:space="0"/>
            </w:tcBorders>
            <w:vAlign w:val="center"/>
          </w:tcPr>
          <w:p w14:paraId="4F4C8870">
            <w:pPr>
              <w:jc w:val="center"/>
              <w:rPr>
                <w:rFonts w:hint="default" w:eastAsia="宋体"/>
                <w:color w:val="auto"/>
                <w:sz w:val="24"/>
                <w:szCs w:val="24"/>
                <w:highlight w:val="none"/>
                <w:lang w:val="en-US" w:eastAsia="zh-CN"/>
              </w:rPr>
            </w:pPr>
            <w:r>
              <w:rPr>
                <w:color w:val="auto"/>
                <w:sz w:val="24"/>
                <w:szCs w:val="24"/>
                <w:highlight w:val="none"/>
              </w:rPr>
              <w:t>硫化氢、氨</w:t>
            </w:r>
            <w:r>
              <w:rPr>
                <w:rFonts w:hint="eastAsia"/>
                <w:color w:val="auto"/>
                <w:sz w:val="24"/>
                <w:szCs w:val="24"/>
                <w:highlight w:val="none"/>
              </w:rPr>
              <w:t>、</w:t>
            </w:r>
            <w:r>
              <w:rPr>
                <w:rFonts w:hint="eastAsia"/>
                <w:color w:val="auto"/>
                <w:sz w:val="24"/>
                <w:szCs w:val="24"/>
                <w:highlight w:val="none"/>
                <w:lang w:val="en-US" w:eastAsia="zh-CN"/>
              </w:rPr>
              <w:t>臭气浓度</w:t>
            </w:r>
          </w:p>
        </w:tc>
        <w:tc>
          <w:tcPr>
            <w:tcW w:w="1997" w:type="pct"/>
            <w:tcBorders>
              <w:top w:val="single" w:color="auto" w:sz="4" w:space="0"/>
              <w:left w:val="single" w:color="auto" w:sz="4" w:space="0"/>
              <w:bottom w:val="single" w:color="auto" w:sz="4" w:space="0"/>
              <w:right w:val="single" w:color="auto" w:sz="4" w:space="0"/>
            </w:tcBorders>
            <w:vAlign w:val="center"/>
          </w:tcPr>
          <w:p w14:paraId="609976E7">
            <w:pPr>
              <w:pStyle w:val="120"/>
              <w:spacing w:before="43" w:line="228" w:lineRule="auto"/>
              <w:ind w:left="40"/>
              <w:rPr>
                <w:rFonts w:hint="eastAsia"/>
                <w:color w:val="auto"/>
                <w:sz w:val="24"/>
                <w:szCs w:val="24"/>
                <w:highlight w:val="none"/>
              </w:rPr>
            </w:pPr>
            <w:r>
              <w:rPr>
                <w:rFonts w:hint="eastAsia"/>
                <w:color w:val="auto"/>
                <w:sz w:val="24"/>
                <w:szCs w:val="24"/>
                <w:highlight w:val="none"/>
                <w:lang w:val="en-US" w:eastAsia="zh-CN"/>
              </w:rPr>
              <w:t>依托现有措施，污水处理站构筑物</w:t>
            </w:r>
            <w:r>
              <w:rPr>
                <w:color w:val="auto"/>
                <w:spacing w:val="6"/>
                <w:sz w:val="24"/>
                <w:szCs w:val="24"/>
                <w:highlight w:val="none"/>
              </w:rPr>
              <w:t>加盖密闭，</w:t>
            </w:r>
            <w:r>
              <w:rPr>
                <w:rFonts w:hint="eastAsia"/>
                <w:color w:val="auto"/>
                <w:spacing w:val="6"/>
                <w:sz w:val="24"/>
                <w:szCs w:val="24"/>
                <w:highlight w:val="none"/>
                <w:lang w:val="en-US" w:eastAsia="zh-CN"/>
              </w:rPr>
              <w:t>废气经</w:t>
            </w:r>
            <w:r>
              <w:rPr>
                <w:color w:val="auto"/>
                <w:spacing w:val="6"/>
                <w:sz w:val="24"/>
                <w:szCs w:val="24"/>
                <w:highlight w:val="none"/>
              </w:rPr>
              <w:t>集气罩收集</w:t>
            </w:r>
            <w:r>
              <w:rPr>
                <w:rFonts w:hint="eastAsia"/>
                <w:color w:val="auto"/>
                <w:spacing w:val="6"/>
                <w:sz w:val="24"/>
                <w:szCs w:val="24"/>
                <w:highlight w:val="none"/>
                <w:lang w:val="en-US" w:eastAsia="zh-CN"/>
              </w:rPr>
              <w:t>经</w:t>
            </w:r>
            <w:r>
              <w:rPr>
                <w:rFonts w:ascii="Times New Roman" w:hAnsi="Times New Roman" w:eastAsia="Times New Roman" w:cs="Times New Roman"/>
                <w:color w:val="auto"/>
                <w:spacing w:val="6"/>
                <w:sz w:val="24"/>
                <w:szCs w:val="24"/>
                <w:highlight w:val="none"/>
              </w:rPr>
              <w:t>“</w:t>
            </w:r>
            <w:r>
              <w:rPr>
                <w:color w:val="auto"/>
                <w:spacing w:val="6"/>
                <w:sz w:val="24"/>
                <w:szCs w:val="24"/>
                <w:highlight w:val="none"/>
              </w:rPr>
              <w:t>稀碱</w:t>
            </w:r>
            <w:r>
              <w:rPr>
                <w:color w:val="auto"/>
                <w:spacing w:val="12"/>
                <w:sz w:val="24"/>
                <w:szCs w:val="24"/>
                <w:highlight w:val="none"/>
              </w:rPr>
              <w:t>液洗涤</w:t>
            </w:r>
            <w:r>
              <w:rPr>
                <w:rFonts w:ascii="Times New Roman" w:hAnsi="Times New Roman" w:eastAsia="Times New Roman" w:cs="Times New Roman"/>
                <w:color w:val="auto"/>
                <w:spacing w:val="12"/>
                <w:sz w:val="24"/>
                <w:szCs w:val="24"/>
                <w:highlight w:val="none"/>
              </w:rPr>
              <w:t>+</w:t>
            </w:r>
            <w:r>
              <w:rPr>
                <w:color w:val="auto"/>
                <w:spacing w:val="12"/>
                <w:sz w:val="24"/>
                <w:szCs w:val="24"/>
                <w:highlight w:val="none"/>
              </w:rPr>
              <w:t>活性炭吸附</w:t>
            </w:r>
            <w:r>
              <w:rPr>
                <w:rFonts w:ascii="Times New Roman" w:hAnsi="Times New Roman" w:eastAsia="Times New Roman" w:cs="Times New Roman"/>
                <w:color w:val="auto"/>
                <w:spacing w:val="12"/>
                <w:sz w:val="24"/>
                <w:szCs w:val="24"/>
                <w:highlight w:val="none"/>
              </w:rPr>
              <w:t>”</w:t>
            </w:r>
            <w:r>
              <w:rPr>
                <w:rFonts w:hint="eastAsia" w:ascii="Times New Roman" w:hAnsi="Times New Roman" w:eastAsia="宋体" w:cs="Times New Roman"/>
                <w:color w:val="auto"/>
                <w:spacing w:val="12"/>
                <w:sz w:val="24"/>
                <w:szCs w:val="24"/>
                <w:highlight w:val="none"/>
                <w:lang w:val="en-US" w:eastAsia="zh-CN"/>
              </w:rPr>
              <w:t>处理再通过</w:t>
            </w:r>
            <w:r>
              <w:rPr>
                <w:rFonts w:hint="eastAsia" w:eastAsia="宋体"/>
                <w:color w:val="auto"/>
                <w:sz w:val="24"/>
                <w:szCs w:val="24"/>
                <w:highlight w:val="none"/>
                <w:lang w:val="en-US" w:eastAsia="zh-CN"/>
              </w:rPr>
              <w:t>1</w:t>
            </w:r>
            <w:r>
              <w:rPr>
                <w:rFonts w:hint="eastAsia"/>
                <w:color w:val="auto"/>
                <w:sz w:val="24"/>
                <w:szCs w:val="24"/>
                <w:highlight w:val="none"/>
              </w:rPr>
              <w:t>5m排气筒排放</w:t>
            </w:r>
          </w:p>
        </w:tc>
        <w:tc>
          <w:tcPr>
            <w:tcW w:w="963" w:type="pct"/>
            <w:tcBorders>
              <w:top w:val="single" w:color="auto" w:sz="4" w:space="0"/>
              <w:left w:val="single" w:color="auto" w:sz="4" w:space="0"/>
              <w:bottom w:val="single" w:color="auto" w:sz="4" w:space="0"/>
              <w:right w:val="single" w:color="auto" w:sz="8" w:space="0"/>
            </w:tcBorders>
            <w:vAlign w:val="center"/>
          </w:tcPr>
          <w:p w14:paraId="5487002D">
            <w:pPr>
              <w:adjustRightInd w:val="0"/>
              <w:snapToGrid w:val="0"/>
              <w:jc w:val="center"/>
              <w:rPr>
                <w:rFonts w:hint="eastAsia"/>
                <w:color w:val="auto"/>
                <w:sz w:val="24"/>
                <w:szCs w:val="24"/>
                <w:highlight w:val="none"/>
              </w:rPr>
            </w:pPr>
            <w:r>
              <w:rPr>
                <w:rFonts w:hint="eastAsia"/>
                <w:color w:val="auto"/>
                <w:sz w:val="24"/>
                <w:szCs w:val="24"/>
                <w:highlight w:val="none"/>
              </w:rPr>
              <w:t>《恶臭污染物排放标准》（GB14554-93）</w:t>
            </w:r>
          </w:p>
        </w:tc>
      </w:tr>
      <w:tr w14:paraId="635F8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gridSpan w:val="2"/>
            <w:vMerge w:val="continue"/>
            <w:tcBorders>
              <w:left w:val="single" w:color="auto" w:sz="8" w:space="0"/>
              <w:right w:val="single" w:color="auto" w:sz="4" w:space="0"/>
            </w:tcBorders>
            <w:vAlign w:val="center"/>
          </w:tcPr>
          <w:p w14:paraId="026A9268">
            <w:pPr>
              <w:adjustRightInd w:val="0"/>
              <w:snapToGrid w:val="0"/>
              <w:jc w:val="center"/>
              <w:rPr>
                <w:color w:val="auto"/>
                <w:sz w:val="24"/>
                <w:szCs w:val="24"/>
                <w:highlight w:val="none"/>
              </w:rPr>
            </w:pPr>
          </w:p>
        </w:tc>
        <w:tc>
          <w:tcPr>
            <w:tcW w:w="279" w:type="pct"/>
            <w:vMerge w:val="continue"/>
            <w:tcBorders>
              <w:left w:val="single" w:color="auto" w:sz="8" w:space="0"/>
              <w:right w:val="single" w:color="auto" w:sz="4" w:space="0"/>
            </w:tcBorders>
            <w:vAlign w:val="center"/>
          </w:tcPr>
          <w:p w14:paraId="4F67A0A8">
            <w:pPr>
              <w:adjustRightInd w:val="0"/>
              <w:snapToGrid w:val="0"/>
              <w:jc w:val="center"/>
              <w:rPr>
                <w:color w:val="auto"/>
                <w:sz w:val="24"/>
                <w:szCs w:val="24"/>
                <w:highlight w:val="none"/>
              </w:rPr>
            </w:pPr>
          </w:p>
        </w:tc>
        <w:tc>
          <w:tcPr>
            <w:tcW w:w="747" w:type="pct"/>
            <w:tcBorders>
              <w:left w:val="single" w:color="auto" w:sz="4" w:space="0"/>
              <w:right w:val="single" w:color="auto" w:sz="4" w:space="0"/>
            </w:tcBorders>
            <w:vAlign w:val="center"/>
          </w:tcPr>
          <w:p w14:paraId="16FD2B1F">
            <w:pPr>
              <w:jc w:val="center"/>
              <w:rPr>
                <w:rFonts w:hint="eastAsia"/>
                <w:color w:val="auto"/>
                <w:sz w:val="24"/>
                <w:szCs w:val="24"/>
                <w:highlight w:val="none"/>
                <w:lang w:val="en-US" w:eastAsia="zh-CN"/>
              </w:rPr>
            </w:pPr>
            <w:r>
              <w:rPr>
                <w:rFonts w:hint="eastAsia"/>
                <w:color w:val="auto"/>
                <w:sz w:val="24"/>
                <w:szCs w:val="24"/>
                <w:highlight w:val="none"/>
                <w:lang w:val="en-US" w:eastAsia="zh-CN"/>
              </w:rPr>
              <w:t>生产装置区密封点泄漏废气</w:t>
            </w:r>
          </w:p>
        </w:tc>
        <w:tc>
          <w:tcPr>
            <w:tcW w:w="700" w:type="pct"/>
            <w:tcBorders>
              <w:top w:val="single" w:color="auto" w:sz="4" w:space="0"/>
              <w:left w:val="single" w:color="auto" w:sz="4" w:space="0"/>
              <w:bottom w:val="single" w:color="auto" w:sz="4" w:space="0"/>
              <w:right w:val="single" w:color="auto" w:sz="4" w:space="0"/>
            </w:tcBorders>
            <w:vAlign w:val="center"/>
          </w:tcPr>
          <w:p w14:paraId="65963191">
            <w:pPr>
              <w:jc w:val="center"/>
              <w:rPr>
                <w:color w:val="auto"/>
                <w:sz w:val="24"/>
                <w:szCs w:val="24"/>
                <w:highlight w:val="none"/>
              </w:rPr>
            </w:pPr>
            <w:r>
              <w:rPr>
                <w:color w:val="auto"/>
                <w:sz w:val="24"/>
                <w:szCs w:val="24"/>
                <w:highlight w:val="none"/>
              </w:rPr>
              <w:t>VOCs</w:t>
            </w:r>
          </w:p>
        </w:tc>
        <w:tc>
          <w:tcPr>
            <w:tcW w:w="1997" w:type="pct"/>
            <w:tcBorders>
              <w:top w:val="single" w:color="auto" w:sz="4" w:space="0"/>
              <w:left w:val="single" w:color="auto" w:sz="4" w:space="0"/>
              <w:bottom w:val="single" w:color="auto" w:sz="4" w:space="0"/>
              <w:right w:val="single" w:color="auto" w:sz="4" w:space="0"/>
            </w:tcBorders>
            <w:vAlign w:val="center"/>
          </w:tcPr>
          <w:p w14:paraId="776E3B56">
            <w:pPr>
              <w:jc w:val="center"/>
              <w:rPr>
                <w:rFonts w:hint="eastAsia"/>
                <w:color w:val="auto"/>
                <w:sz w:val="24"/>
                <w:szCs w:val="24"/>
                <w:highlight w:val="none"/>
                <w:lang w:val="en-US" w:eastAsia="zh-CN"/>
              </w:rPr>
            </w:pPr>
            <w:r>
              <w:rPr>
                <w:rFonts w:hint="eastAsia"/>
                <w:color w:val="auto"/>
                <w:sz w:val="24"/>
                <w:szCs w:val="24"/>
                <w:highlight w:val="none"/>
                <w:lang w:val="en-US" w:eastAsia="zh-CN"/>
              </w:rPr>
              <w:t>管理高效、控制自动化</w:t>
            </w:r>
          </w:p>
        </w:tc>
        <w:tc>
          <w:tcPr>
            <w:tcW w:w="963" w:type="pct"/>
            <w:tcBorders>
              <w:top w:val="single" w:color="auto" w:sz="4" w:space="0"/>
              <w:left w:val="single" w:color="auto" w:sz="4" w:space="0"/>
              <w:right w:val="single" w:color="auto" w:sz="8" w:space="0"/>
            </w:tcBorders>
            <w:vAlign w:val="center"/>
          </w:tcPr>
          <w:p w14:paraId="25E3EF87">
            <w:pPr>
              <w:adjustRightInd w:val="0"/>
              <w:snapToGrid w:val="0"/>
              <w:jc w:val="center"/>
              <w:rPr>
                <w:rFonts w:hint="eastAsia"/>
                <w:color w:val="auto"/>
                <w:sz w:val="24"/>
                <w:szCs w:val="24"/>
                <w:highlight w:val="none"/>
              </w:rPr>
            </w:pPr>
            <w:r>
              <w:rPr>
                <w:rFonts w:hint="eastAsia" w:ascii="Times New Roman" w:hAnsi="Times New Roman" w:eastAsia="宋体" w:cs="Times New Roman"/>
                <w:color w:val="auto"/>
                <w:sz w:val="24"/>
                <w:szCs w:val="24"/>
                <w:highlight w:val="none"/>
                <w:lang w:val="en-US" w:eastAsia="zh-CN"/>
              </w:rPr>
              <w:t>《挥发性有机物无组织排放控制标准》（GB37822-2019）标准限值</w:t>
            </w:r>
          </w:p>
        </w:tc>
      </w:tr>
      <w:tr w14:paraId="6F17E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gridSpan w:val="2"/>
            <w:vMerge w:val="continue"/>
            <w:tcBorders>
              <w:left w:val="single" w:color="auto" w:sz="8" w:space="0"/>
              <w:right w:val="single" w:color="auto" w:sz="4" w:space="0"/>
            </w:tcBorders>
            <w:vAlign w:val="center"/>
          </w:tcPr>
          <w:p w14:paraId="31C0950C">
            <w:pPr>
              <w:adjustRightInd w:val="0"/>
              <w:snapToGrid w:val="0"/>
              <w:jc w:val="center"/>
              <w:rPr>
                <w:color w:val="auto"/>
                <w:sz w:val="24"/>
                <w:szCs w:val="24"/>
                <w:highlight w:val="none"/>
              </w:rPr>
            </w:pPr>
          </w:p>
        </w:tc>
        <w:tc>
          <w:tcPr>
            <w:tcW w:w="279" w:type="pct"/>
            <w:vMerge w:val="continue"/>
            <w:tcBorders>
              <w:left w:val="single" w:color="auto" w:sz="8" w:space="0"/>
              <w:right w:val="single" w:color="auto" w:sz="4" w:space="0"/>
            </w:tcBorders>
            <w:vAlign w:val="center"/>
          </w:tcPr>
          <w:p w14:paraId="6BD1EA86">
            <w:pPr>
              <w:adjustRightInd w:val="0"/>
              <w:snapToGrid w:val="0"/>
              <w:jc w:val="center"/>
              <w:rPr>
                <w:color w:val="auto"/>
                <w:sz w:val="24"/>
                <w:szCs w:val="24"/>
                <w:highlight w:val="none"/>
              </w:rPr>
            </w:pPr>
          </w:p>
        </w:tc>
        <w:tc>
          <w:tcPr>
            <w:tcW w:w="747" w:type="pct"/>
            <w:tcBorders>
              <w:left w:val="single" w:color="auto" w:sz="4" w:space="0"/>
              <w:right w:val="single" w:color="auto" w:sz="4" w:space="0"/>
            </w:tcBorders>
            <w:vAlign w:val="center"/>
          </w:tcPr>
          <w:p w14:paraId="2881D3FB">
            <w:pPr>
              <w:jc w:val="center"/>
              <w:rPr>
                <w:rFonts w:hint="eastAsia"/>
                <w:color w:val="auto"/>
                <w:sz w:val="24"/>
                <w:szCs w:val="24"/>
                <w:highlight w:val="none"/>
                <w:lang w:val="en-US" w:eastAsia="zh-CN"/>
              </w:rPr>
            </w:pPr>
            <w:r>
              <w:rPr>
                <w:rFonts w:hint="eastAsia"/>
                <w:color w:val="auto"/>
                <w:sz w:val="24"/>
                <w:szCs w:val="24"/>
                <w:highlight w:val="none"/>
                <w:lang w:val="en-US" w:eastAsia="zh-CN"/>
              </w:rPr>
              <w:t>危废贮存库异味</w:t>
            </w:r>
          </w:p>
        </w:tc>
        <w:tc>
          <w:tcPr>
            <w:tcW w:w="700" w:type="pct"/>
            <w:tcBorders>
              <w:top w:val="single" w:color="auto" w:sz="4" w:space="0"/>
              <w:left w:val="single" w:color="auto" w:sz="4" w:space="0"/>
              <w:bottom w:val="single" w:color="auto" w:sz="4" w:space="0"/>
              <w:right w:val="single" w:color="auto" w:sz="4" w:space="0"/>
            </w:tcBorders>
            <w:vAlign w:val="center"/>
          </w:tcPr>
          <w:p w14:paraId="4C9B5804">
            <w:pPr>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臭气浓度</w:t>
            </w:r>
          </w:p>
        </w:tc>
        <w:tc>
          <w:tcPr>
            <w:tcW w:w="1997" w:type="pct"/>
            <w:tcBorders>
              <w:top w:val="single" w:color="auto" w:sz="4" w:space="0"/>
              <w:left w:val="single" w:color="auto" w:sz="4" w:space="0"/>
              <w:bottom w:val="single" w:color="auto" w:sz="4" w:space="0"/>
              <w:right w:val="single" w:color="auto" w:sz="4" w:space="0"/>
            </w:tcBorders>
            <w:vAlign w:val="center"/>
          </w:tcPr>
          <w:p w14:paraId="4F49A8C9">
            <w:pPr>
              <w:jc w:val="center"/>
              <w:rPr>
                <w:rFonts w:hint="eastAsia"/>
                <w:color w:val="auto"/>
                <w:sz w:val="24"/>
                <w:szCs w:val="24"/>
                <w:highlight w:val="none"/>
                <w:lang w:val="en-US" w:eastAsia="zh-CN"/>
              </w:rPr>
            </w:pPr>
            <w:r>
              <w:rPr>
                <w:rFonts w:hint="eastAsia"/>
                <w:color w:val="auto"/>
                <w:sz w:val="24"/>
                <w:szCs w:val="24"/>
                <w:highlight w:val="none"/>
                <w:lang w:val="en-US" w:eastAsia="zh-CN"/>
              </w:rPr>
              <w:t>机械通风，带盖密封分类存放，喷洒生物除臭剂，定期清运处置</w:t>
            </w:r>
          </w:p>
        </w:tc>
        <w:tc>
          <w:tcPr>
            <w:tcW w:w="963" w:type="pct"/>
            <w:tcBorders>
              <w:top w:val="single" w:color="auto" w:sz="4" w:space="0"/>
              <w:left w:val="single" w:color="auto" w:sz="4" w:space="0"/>
              <w:bottom w:val="single" w:color="auto" w:sz="4" w:space="0"/>
              <w:right w:val="single" w:color="auto" w:sz="8" w:space="0"/>
            </w:tcBorders>
            <w:vAlign w:val="center"/>
          </w:tcPr>
          <w:p w14:paraId="63C5BD2F">
            <w:pPr>
              <w:adjustRightInd w:val="0"/>
              <w:snapToGrid w:val="0"/>
              <w:jc w:val="center"/>
              <w:rPr>
                <w:rFonts w:hint="eastAsia"/>
                <w:color w:val="auto"/>
                <w:sz w:val="24"/>
                <w:szCs w:val="24"/>
                <w:highlight w:val="none"/>
              </w:rPr>
            </w:pPr>
            <w:r>
              <w:rPr>
                <w:rFonts w:hint="eastAsia"/>
                <w:color w:val="auto"/>
                <w:sz w:val="24"/>
                <w:szCs w:val="24"/>
                <w:highlight w:val="none"/>
              </w:rPr>
              <w:t>《恶臭污染物排放标准》（GB14554-93）</w:t>
            </w:r>
          </w:p>
        </w:tc>
      </w:tr>
      <w:tr w14:paraId="7B87D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gridSpan w:val="2"/>
            <w:vMerge w:val="continue"/>
            <w:tcBorders>
              <w:left w:val="single" w:color="auto" w:sz="8" w:space="0"/>
              <w:right w:val="single" w:color="auto" w:sz="4" w:space="0"/>
            </w:tcBorders>
            <w:vAlign w:val="center"/>
          </w:tcPr>
          <w:p w14:paraId="236E67CF">
            <w:pPr>
              <w:adjustRightInd w:val="0"/>
              <w:snapToGrid w:val="0"/>
              <w:jc w:val="center"/>
              <w:rPr>
                <w:color w:val="auto"/>
                <w:sz w:val="24"/>
                <w:szCs w:val="24"/>
                <w:highlight w:val="none"/>
              </w:rPr>
            </w:pPr>
          </w:p>
        </w:tc>
        <w:tc>
          <w:tcPr>
            <w:tcW w:w="279" w:type="pct"/>
            <w:vMerge w:val="continue"/>
            <w:tcBorders>
              <w:left w:val="single" w:color="auto" w:sz="8" w:space="0"/>
              <w:right w:val="single" w:color="auto" w:sz="4" w:space="0"/>
            </w:tcBorders>
            <w:vAlign w:val="center"/>
          </w:tcPr>
          <w:p w14:paraId="0D6EFBB7">
            <w:pPr>
              <w:adjustRightInd w:val="0"/>
              <w:snapToGrid w:val="0"/>
              <w:jc w:val="center"/>
              <w:rPr>
                <w:color w:val="auto"/>
                <w:sz w:val="24"/>
                <w:szCs w:val="24"/>
                <w:highlight w:val="none"/>
              </w:rPr>
            </w:pPr>
          </w:p>
        </w:tc>
        <w:tc>
          <w:tcPr>
            <w:tcW w:w="747" w:type="pct"/>
            <w:tcBorders>
              <w:left w:val="single" w:color="auto" w:sz="4" w:space="0"/>
              <w:bottom w:val="single" w:color="auto" w:sz="4" w:space="0"/>
              <w:right w:val="single" w:color="auto" w:sz="4" w:space="0"/>
            </w:tcBorders>
            <w:vAlign w:val="center"/>
          </w:tcPr>
          <w:p w14:paraId="3E565939">
            <w:pPr>
              <w:jc w:val="center"/>
              <w:rPr>
                <w:rFonts w:hint="eastAsia"/>
                <w:color w:val="auto"/>
                <w:sz w:val="24"/>
                <w:szCs w:val="24"/>
                <w:highlight w:val="none"/>
                <w:lang w:val="en-US" w:eastAsia="zh-CN"/>
              </w:rPr>
            </w:pPr>
            <w:r>
              <w:rPr>
                <w:rFonts w:hint="eastAsia"/>
                <w:color w:val="auto"/>
                <w:sz w:val="24"/>
                <w:szCs w:val="24"/>
                <w:highlight w:val="none"/>
                <w:lang w:val="en-US" w:eastAsia="zh-CN"/>
              </w:rPr>
              <w:t>食堂</w:t>
            </w:r>
          </w:p>
        </w:tc>
        <w:tc>
          <w:tcPr>
            <w:tcW w:w="700" w:type="pct"/>
            <w:tcBorders>
              <w:top w:val="single" w:color="auto" w:sz="4" w:space="0"/>
              <w:left w:val="single" w:color="auto" w:sz="4" w:space="0"/>
              <w:bottom w:val="single" w:color="auto" w:sz="4" w:space="0"/>
              <w:right w:val="single" w:color="auto" w:sz="4" w:space="0"/>
            </w:tcBorders>
            <w:vAlign w:val="center"/>
          </w:tcPr>
          <w:p w14:paraId="48AD3FEC">
            <w:pPr>
              <w:jc w:val="center"/>
              <w:rPr>
                <w:rFonts w:hint="default"/>
                <w:color w:val="auto"/>
                <w:sz w:val="24"/>
                <w:szCs w:val="24"/>
                <w:highlight w:val="none"/>
                <w:lang w:val="en-US" w:eastAsia="zh-CN"/>
              </w:rPr>
            </w:pPr>
            <w:r>
              <w:rPr>
                <w:rFonts w:hint="eastAsia"/>
                <w:color w:val="auto"/>
                <w:sz w:val="24"/>
                <w:szCs w:val="24"/>
                <w:highlight w:val="none"/>
                <w:lang w:val="en-US" w:eastAsia="zh-CN"/>
              </w:rPr>
              <w:t>油烟废气</w:t>
            </w:r>
          </w:p>
        </w:tc>
        <w:tc>
          <w:tcPr>
            <w:tcW w:w="1997" w:type="pct"/>
            <w:tcBorders>
              <w:top w:val="single" w:color="auto" w:sz="4" w:space="0"/>
              <w:left w:val="single" w:color="auto" w:sz="4" w:space="0"/>
              <w:bottom w:val="single" w:color="auto" w:sz="4" w:space="0"/>
              <w:right w:val="single" w:color="auto" w:sz="4" w:space="0"/>
            </w:tcBorders>
            <w:vAlign w:val="center"/>
          </w:tcPr>
          <w:p w14:paraId="25DE2B4E">
            <w:pPr>
              <w:jc w:val="center"/>
              <w:rPr>
                <w:rFonts w:hint="default"/>
                <w:color w:val="auto"/>
                <w:sz w:val="24"/>
                <w:szCs w:val="24"/>
                <w:highlight w:val="none"/>
                <w:lang w:val="en-US" w:eastAsia="zh-CN"/>
              </w:rPr>
            </w:pPr>
            <w:r>
              <w:rPr>
                <w:rFonts w:hint="eastAsia"/>
                <w:color w:val="auto"/>
                <w:sz w:val="24"/>
                <w:szCs w:val="24"/>
                <w:highlight w:val="none"/>
                <w:lang w:val="en-US" w:eastAsia="zh-CN"/>
              </w:rPr>
              <w:t>依托现有油烟净化器净化后通过墙体内烟道排放</w:t>
            </w:r>
          </w:p>
        </w:tc>
        <w:tc>
          <w:tcPr>
            <w:tcW w:w="963" w:type="pct"/>
            <w:tcBorders>
              <w:top w:val="single" w:color="auto" w:sz="4" w:space="0"/>
              <w:left w:val="single" w:color="auto" w:sz="4" w:space="0"/>
              <w:bottom w:val="single" w:color="auto" w:sz="4" w:space="0"/>
              <w:right w:val="single" w:color="auto" w:sz="8" w:space="0"/>
            </w:tcBorders>
            <w:vAlign w:val="center"/>
          </w:tcPr>
          <w:p w14:paraId="5FA1E67B">
            <w:pPr>
              <w:adjustRightInd w:val="0"/>
              <w:snapToGrid w:val="0"/>
              <w:jc w:val="center"/>
              <w:rPr>
                <w:rFonts w:hint="eastAsia"/>
                <w:color w:val="auto"/>
                <w:sz w:val="24"/>
                <w:szCs w:val="24"/>
                <w:highlight w:val="none"/>
              </w:rPr>
            </w:pPr>
            <w:r>
              <w:rPr>
                <w:rFonts w:hint="eastAsia"/>
                <w:color w:val="auto"/>
                <w:kern w:val="0"/>
                <w:sz w:val="24"/>
                <w:szCs w:val="24"/>
                <w:highlight w:val="none"/>
                <w:lang w:val="en-US" w:eastAsia="zh-CN"/>
              </w:rPr>
              <w:t>《饮食业油烟排放标准（试行）》（GB18483-2001）标准限值</w:t>
            </w:r>
          </w:p>
        </w:tc>
      </w:tr>
      <w:tr w14:paraId="14470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95" w:type="pct"/>
            <w:vMerge w:val="restart"/>
            <w:tcBorders>
              <w:top w:val="single" w:color="auto" w:sz="4" w:space="0"/>
              <w:left w:val="single" w:color="auto" w:sz="8" w:space="0"/>
              <w:right w:val="single" w:color="auto" w:sz="4" w:space="0"/>
            </w:tcBorders>
            <w:vAlign w:val="center"/>
          </w:tcPr>
          <w:p w14:paraId="7CC623FC">
            <w:pPr>
              <w:adjustRightInd w:val="0"/>
              <w:snapToGrid w:val="0"/>
              <w:jc w:val="center"/>
              <w:rPr>
                <w:color w:val="auto"/>
                <w:sz w:val="24"/>
                <w:szCs w:val="24"/>
                <w:highlight w:val="none"/>
              </w:rPr>
            </w:pPr>
            <w:r>
              <w:rPr>
                <w:color w:val="auto"/>
                <w:sz w:val="24"/>
                <w:szCs w:val="24"/>
                <w:highlight w:val="none"/>
              </w:rPr>
              <w:t>地表水环境</w:t>
            </w:r>
          </w:p>
        </w:tc>
        <w:tc>
          <w:tcPr>
            <w:tcW w:w="295" w:type="pct"/>
            <w:gridSpan w:val="2"/>
            <w:vMerge w:val="restart"/>
            <w:tcBorders>
              <w:top w:val="single" w:color="auto" w:sz="4" w:space="0"/>
              <w:left w:val="single" w:color="auto" w:sz="8" w:space="0"/>
              <w:right w:val="single" w:color="auto" w:sz="4" w:space="0"/>
            </w:tcBorders>
            <w:vAlign w:val="center"/>
          </w:tcPr>
          <w:p w14:paraId="3BCC0A60">
            <w:pPr>
              <w:adjustRightInd w:val="0"/>
              <w:snapToGrid w:val="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施工期</w:t>
            </w:r>
          </w:p>
        </w:tc>
        <w:tc>
          <w:tcPr>
            <w:tcW w:w="747" w:type="pct"/>
            <w:tcBorders>
              <w:top w:val="single" w:color="auto" w:sz="4" w:space="0"/>
              <w:left w:val="single" w:color="auto" w:sz="4" w:space="0"/>
              <w:bottom w:val="single" w:color="auto" w:sz="4" w:space="0"/>
              <w:right w:val="single" w:color="auto" w:sz="4" w:space="0"/>
            </w:tcBorders>
            <w:vAlign w:val="center"/>
          </w:tcPr>
          <w:p w14:paraId="281ADF19">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施工机械及车辆等</w:t>
            </w:r>
          </w:p>
        </w:tc>
        <w:tc>
          <w:tcPr>
            <w:tcW w:w="700" w:type="pct"/>
            <w:tcBorders>
              <w:top w:val="single" w:color="auto" w:sz="4" w:space="0"/>
              <w:left w:val="single" w:color="auto" w:sz="4" w:space="0"/>
              <w:bottom w:val="single" w:color="auto" w:sz="4" w:space="0"/>
              <w:right w:val="single" w:color="auto" w:sz="4" w:space="0"/>
            </w:tcBorders>
            <w:vAlign w:val="center"/>
          </w:tcPr>
          <w:p w14:paraId="035EDC54">
            <w:pPr>
              <w:adjustRightInd w:val="0"/>
              <w:snapToGrid w:val="0"/>
              <w:jc w:val="center"/>
              <w:rPr>
                <w:rFonts w:hint="default" w:eastAsia="宋体"/>
                <w:color w:val="auto"/>
                <w:sz w:val="24"/>
                <w:szCs w:val="24"/>
                <w:highlight w:val="none"/>
                <w:lang w:val="en-US" w:eastAsia="zh-CN"/>
              </w:rPr>
            </w:pPr>
            <w:r>
              <w:rPr>
                <w:color w:val="auto"/>
                <w:sz w:val="24"/>
                <w:szCs w:val="24"/>
                <w:highlight w:val="none"/>
              </w:rPr>
              <w:t>COD、SS</w:t>
            </w:r>
            <w:r>
              <w:rPr>
                <w:rFonts w:hint="eastAsia"/>
                <w:color w:val="auto"/>
                <w:sz w:val="24"/>
                <w:szCs w:val="24"/>
                <w:highlight w:val="none"/>
                <w:lang w:eastAsia="zh-CN"/>
              </w:rPr>
              <w:t>、</w:t>
            </w:r>
            <w:r>
              <w:rPr>
                <w:rFonts w:hint="eastAsia"/>
                <w:color w:val="auto"/>
                <w:sz w:val="24"/>
                <w:szCs w:val="24"/>
                <w:highlight w:val="none"/>
                <w:lang w:val="en-US" w:eastAsia="zh-CN"/>
              </w:rPr>
              <w:t>石油类</w:t>
            </w:r>
          </w:p>
        </w:tc>
        <w:tc>
          <w:tcPr>
            <w:tcW w:w="1997" w:type="pct"/>
            <w:tcBorders>
              <w:top w:val="single" w:color="auto" w:sz="4" w:space="0"/>
              <w:left w:val="single" w:color="auto" w:sz="4" w:space="0"/>
              <w:bottom w:val="single" w:color="auto" w:sz="4" w:space="0"/>
              <w:right w:val="single" w:color="auto" w:sz="4" w:space="0"/>
            </w:tcBorders>
            <w:vAlign w:val="center"/>
          </w:tcPr>
          <w:p w14:paraId="41EF0D83">
            <w:pPr>
              <w:adjustRightInd w:val="0"/>
              <w:snapToGrid w:val="0"/>
              <w:jc w:val="center"/>
              <w:rPr>
                <w:color w:val="auto"/>
                <w:sz w:val="24"/>
                <w:szCs w:val="24"/>
                <w:highlight w:val="none"/>
              </w:rPr>
            </w:pPr>
            <w:r>
              <w:rPr>
                <w:rFonts w:hint="eastAsia"/>
                <w:color w:val="auto"/>
                <w:sz w:val="24"/>
                <w:szCs w:val="24"/>
                <w:highlight w:val="none"/>
                <w:lang w:val="en-US" w:eastAsia="zh-CN"/>
              </w:rPr>
              <w:t>施工废水</w:t>
            </w:r>
            <w:r>
              <w:rPr>
                <w:rFonts w:hint="eastAsia"/>
                <w:color w:val="auto"/>
                <w:sz w:val="24"/>
                <w:szCs w:val="24"/>
                <w:highlight w:val="none"/>
              </w:rPr>
              <w:t>废水经</w:t>
            </w:r>
            <w:r>
              <w:rPr>
                <w:rFonts w:hint="eastAsia"/>
                <w:color w:val="auto"/>
                <w:sz w:val="24"/>
                <w:szCs w:val="24"/>
                <w:highlight w:val="none"/>
                <w:lang w:val="en-US" w:eastAsia="zh-CN"/>
              </w:rPr>
              <w:t>三级沉淀池</w:t>
            </w:r>
            <w:r>
              <w:rPr>
                <w:rFonts w:hint="eastAsia"/>
                <w:color w:val="auto"/>
                <w:sz w:val="24"/>
                <w:szCs w:val="24"/>
                <w:highlight w:val="none"/>
              </w:rPr>
              <w:t>沉淀后回用施工，不外排。</w:t>
            </w:r>
          </w:p>
        </w:tc>
        <w:tc>
          <w:tcPr>
            <w:tcW w:w="963" w:type="pct"/>
            <w:tcBorders>
              <w:top w:val="single" w:color="auto" w:sz="4" w:space="0"/>
              <w:left w:val="single" w:color="auto" w:sz="4" w:space="0"/>
              <w:bottom w:val="single" w:color="auto" w:sz="4" w:space="0"/>
              <w:right w:val="single" w:color="auto" w:sz="8" w:space="0"/>
            </w:tcBorders>
            <w:vAlign w:val="center"/>
          </w:tcPr>
          <w:p w14:paraId="449183F6">
            <w:pPr>
              <w:jc w:val="center"/>
              <w:rPr>
                <w:rFonts w:hint="default"/>
                <w:color w:val="auto"/>
                <w:sz w:val="24"/>
                <w:szCs w:val="24"/>
                <w:highlight w:val="none"/>
                <w:lang w:val="en-US" w:eastAsia="zh-CN"/>
              </w:rPr>
            </w:pPr>
            <w:r>
              <w:rPr>
                <w:rFonts w:hint="eastAsia"/>
                <w:color w:val="auto"/>
                <w:sz w:val="24"/>
                <w:szCs w:val="24"/>
                <w:highlight w:val="none"/>
                <w:lang w:val="en-US" w:eastAsia="zh-CN"/>
              </w:rPr>
              <w:t>/</w:t>
            </w:r>
          </w:p>
        </w:tc>
      </w:tr>
      <w:tr w14:paraId="4FC8F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95" w:type="pct"/>
            <w:vMerge w:val="continue"/>
            <w:tcBorders>
              <w:left w:val="single" w:color="auto" w:sz="8" w:space="0"/>
              <w:right w:val="single" w:color="auto" w:sz="4" w:space="0"/>
            </w:tcBorders>
            <w:vAlign w:val="center"/>
          </w:tcPr>
          <w:p w14:paraId="04F584DA">
            <w:pPr>
              <w:adjustRightInd w:val="0"/>
              <w:snapToGrid w:val="0"/>
              <w:jc w:val="center"/>
              <w:rPr>
                <w:color w:val="auto"/>
                <w:sz w:val="24"/>
                <w:szCs w:val="24"/>
                <w:highlight w:val="none"/>
              </w:rPr>
            </w:pPr>
          </w:p>
        </w:tc>
        <w:tc>
          <w:tcPr>
            <w:tcW w:w="295" w:type="pct"/>
            <w:gridSpan w:val="2"/>
            <w:vMerge w:val="continue"/>
            <w:tcBorders>
              <w:left w:val="single" w:color="auto" w:sz="8" w:space="0"/>
              <w:right w:val="single" w:color="auto" w:sz="4" w:space="0"/>
            </w:tcBorders>
            <w:vAlign w:val="center"/>
          </w:tcPr>
          <w:p w14:paraId="21BE1ED6">
            <w:pPr>
              <w:adjustRightInd w:val="0"/>
              <w:snapToGrid w:val="0"/>
              <w:jc w:val="center"/>
              <w:rPr>
                <w:rFonts w:hint="eastAsia"/>
                <w:color w:val="auto"/>
                <w:sz w:val="24"/>
                <w:szCs w:val="24"/>
                <w:highlight w:val="none"/>
                <w:lang w:val="en-US" w:eastAsia="zh-CN"/>
              </w:rPr>
            </w:pPr>
          </w:p>
        </w:tc>
        <w:tc>
          <w:tcPr>
            <w:tcW w:w="747" w:type="pct"/>
            <w:tcBorders>
              <w:top w:val="single" w:color="auto" w:sz="4" w:space="0"/>
              <w:left w:val="single" w:color="auto" w:sz="4" w:space="0"/>
              <w:bottom w:val="single" w:color="auto" w:sz="4" w:space="0"/>
              <w:right w:val="single" w:color="auto" w:sz="4" w:space="0"/>
            </w:tcBorders>
            <w:vAlign w:val="center"/>
          </w:tcPr>
          <w:p w14:paraId="77EE1B82">
            <w:pPr>
              <w:adjustRightInd w:val="0"/>
              <w:snapToGrid w:val="0"/>
              <w:jc w:val="center"/>
              <w:rPr>
                <w:color w:val="auto"/>
                <w:sz w:val="24"/>
                <w:szCs w:val="24"/>
                <w:highlight w:val="none"/>
              </w:rPr>
            </w:pPr>
            <w:r>
              <w:rPr>
                <w:rFonts w:hint="eastAsia"/>
                <w:color w:val="auto"/>
                <w:sz w:val="24"/>
                <w:szCs w:val="24"/>
                <w:highlight w:val="none"/>
                <w:lang w:val="en-US" w:eastAsia="zh-CN"/>
              </w:rPr>
              <w:t>施工人员</w:t>
            </w:r>
          </w:p>
        </w:tc>
        <w:tc>
          <w:tcPr>
            <w:tcW w:w="700" w:type="pct"/>
            <w:tcBorders>
              <w:top w:val="single" w:color="auto" w:sz="4" w:space="0"/>
              <w:left w:val="single" w:color="auto" w:sz="4" w:space="0"/>
              <w:bottom w:val="single" w:color="auto" w:sz="4" w:space="0"/>
              <w:right w:val="single" w:color="auto" w:sz="4" w:space="0"/>
            </w:tcBorders>
            <w:vAlign w:val="center"/>
          </w:tcPr>
          <w:p w14:paraId="2C15C01C">
            <w:pPr>
              <w:adjustRightInd w:val="0"/>
              <w:snapToGrid w:val="0"/>
              <w:jc w:val="center"/>
              <w:rPr>
                <w:color w:val="auto"/>
                <w:sz w:val="24"/>
                <w:szCs w:val="24"/>
                <w:highlight w:val="none"/>
              </w:rPr>
            </w:pPr>
            <w:r>
              <w:rPr>
                <w:color w:val="auto"/>
                <w:sz w:val="24"/>
                <w:szCs w:val="24"/>
                <w:highlight w:val="none"/>
              </w:rPr>
              <w:t>COD、SS、BOD</w:t>
            </w:r>
            <w:r>
              <w:rPr>
                <w:color w:val="auto"/>
                <w:sz w:val="24"/>
                <w:szCs w:val="24"/>
                <w:highlight w:val="none"/>
                <w:vertAlign w:val="subscript"/>
              </w:rPr>
              <w:t>5</w:t>
            </w:r>
            <w:r>
              <w:rPr>
                <w:color w:val="auto"/>
                <w:sz w:val="24"/>
                <w:szCs w:val="24"/>
                <w:highlight w:val="none"/>
              </w:rPr>
              <w:t>、TP、NH</w:t>
            </w:r>
            <w:r>
              <w:rPr>
                <w:color w:val="auto"/>
                <w:sz w:val="24"/>
                <w:szCs w:val="24"/>
                <w:highlight w:val="none"/>
                <w:vertAlign w:val="subscript"/>
              </w:rPr>
              <w:t>3</w:t>
            </w:r>
            <w:r>
              <w:rPr>
                <w:color w:val="auto"/>
                <w:sz w:val="24"/>
                <w:szCs w:val="24"/>
                <w:highlight w:val="none"/>
              </w:rPr>
              <w:t>-N</w:t>
            </w:r>
            <w:r>
              <w:rPr>
                <w:rFonts w:hint="eastAsia"/>
                <w:color w:val="auto"/>
                <w:sz w:val="24"/>
                <w:szCs w:val="24"/>
                <w:highlight w:val="none"/>
              </w:rPr>
              <w:t>、TN</w:t>
            </w:r>
          </w:p>
        </w:tc>
        <w:tc>
          <w:tcPr>
            <w:tcW w:w="1997" w:type="pct"/>
            <w:tcBorders>
              <w:top w:val="single" w:color="auto" w:sz="4" w:space="0"/>
              <w:left w:val="single" w:color="auto" w:sz="4" w:space="0"/>
              <w:bottom w:val="single" w:color="auto" w:sz="4" w:space="0"/>
              <w:right w:val="single" w:color="auto" w:sz="4" w:space="0"/>
            </w:tcBorders>
            <w:vAlign w:val="center"/>
          </w:tcPr>
          <w:p w14:paraId="4A4D159E">
            <w:pPr>
              <w:adjustRightInd w:val="0"/>
              <w:snapToGrid w:val="0"/>
              <w:jc w:val="center"/>
              <w:rPr>
                <w:color w:val="auto"/>
                <w:sz w:val="24"/>
                <w:szCs w:val="24"/>
                <w:highlight w:val="none"/>
              </w:rPr>
            </w:pPr>
            <w:r>
              <w:rPr>
                <w:rFonts w:hint="eastAsia"/>
                <w:color w:val="auto"/>
                <w:sz w:val="24"/>
                <w:szCs w:val="24"/>
                <w:highlight w:val="none"/>
                <w:lang w:val="en-US" w:eastAsia="zh-CN"/>
              </w:rPr>
              <w:t>生活污水依托厂区已建的隔油-预处理池（容积为15m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）和污水处理站（规模84m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/d），生活污水排入隔油-预处理池处理后排入厂区已建污水处理站处理达《污水综合排放标准》（GB8978-1996）中的三级标准后再通过园区污水管网排至大英经济开发区污水处理厂。</w:t>
            </w:r>
          </w:p>
        </w:tc>
        <w:tc>
          <w:tcPr>
            <w:tcW w:w="963" w:type="pct"/>
            <w:tcBorders>
              <w:top w:val="single" w:color="auto" w:sz="4" w:space="0"/>
              <w:left w:val="single" w:color="auto" w:sz="4" w:space="0"/>
              <w:bottom w:val="single" w:color="auto" w:sz="4" w:space="0"/>
              <w:right w:val="single" w:color="auto" w:sz="8" w:space="0"/>
            </w:tcBorders>
            <w:vAlign w:val="center"/>
          </w:tcPr>
          <w:p w14:paraId="29D0FE76">
            <w:pPr>
              <w:jc w:val="center"/>
              <w:rPr>
                <w:rFonts w:hint="eastAsia"/>
                <w:color w:val="auto"/>
                <w:sz w:val="24"/>
                <w:szCs w:val="24"/>
                <w:highlight w:val="none"/>
                <w:lang w:eastAsia="zh-CN"/>
              </w:rPr>
            </w:pPr>
            <w:r>
              <w:rPr>
                <w:rFonts w:hint="eastAsia"/>
                <w:color w:val="auto"/>
                <w:sz w:val="24"/>
                <w:szCs w:val="24"/>
                <w:highlight w:val="none"/>
                <w:lang w:val="en-US" w:eastAsia="zh-CN"/>
              </w:rPr>
              <w:t>《污水综合排放标准》（GB8978-1996）三级标准</w:t>
            </w:r>
          </w:p>
        </w:tc>
      </w:tr>
      <w:tr w14:paraId="7F217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2" w:hRule="atLeast"/>
          <w:jc w:val="center"/>
        </w:trPr>
        <w:tc>
          <w:tcPr>
            <w:tcW w:w="295" w:type="pct"/>
            <w:vMerge w:val="continue"/>
            <w:tcBorders>
              <w:left w:val="single" w:color="auto" w:sz="8" w:space="0"/>
              <w:right w:val="single" w:color="auto" w:sz="4" w:space="0"/>
            </w:tcBorders>
            <w:vAlign w:val="center"/>
          </w:tcPr>
          <w:p w14:paraId="52E838DA">
            <w:pPr>
              <w:adjustRightInd w:val="0"/>
              <w:snapToGrid w:val="0"/>
              <w:jc w:val="center"/>
              <w:rPr>
                <w:color w:val="auto"/>
                <w:sz w:val="24"/>
                <w:szCs w:val="24"/>
                <w:highlight w:val="none"/>
              </w:rPr>
            </w:pPr>
          </w:p>
        </w:tc>
        <w:tc>
          <w:tcPr>
            <w:tcW w:w="295" w:type="pct"/>
            <w:gridSpan w:val="2"/>
            <w:vMerge w:val="restart"/>
            <w:tcBorders>
              <w:left w:val="single" w:color="auto" w:sz="8" w:space="0"/>
              <w:right w:val="single" w:color="auto" w:sz="4" w:space="0"/>
            </w:tcBorders>
            <w:vAlign w:val="center"/>
          </w:tcPr>
          <w:p w14:paraId="049B1EFF">
            <w:pPr>
              <w:adjustRightInd w:val="0"/>
              <w:snapToGrid w:val="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运营期</w:t>
            </w:r>
          </w:p>
        </w:tc>
        <w:tc>
          <w:tcPr>
            <w:tcW w:w="747" w:type="pct"/>
            <w:tcBorders>
              <w:top w:val="single" w:color="auto" w:sz="4" w:space="0"/>
              <w:left w:val="single" w:color="auto" w:sz="4" w:space="0"/>
              <w:bottom w:val="single" w:color="auto" w:sz="4" w:space="0"/>
              <w:right w:val="single" w:color="auto" w:sz="4" w:space="0"/>
            </w:tcBorders>
            <w:vAlign w:val="center"/>
          </w:tcPr>
          <w:p w14:paraId="50E4FC77">
            <w:pPr>
              <w:adjustRightInd w:val="0"/>
              <w:snapToGrid w:val="0"/>
              <w:jc w:val="center"/>
              <w:rPr>
                <w:color w:val="auto"/>
                <w:sz w:val="24"/>
                <w:szCs w:val="24"/>
                <w:highlight w:val="none"/>
              </w:rPr>
            </w:pPr>
            <w:r>
              <w:rPr>
                <w:color w:val="auto"/>
                <w:sz w:val="24"/>
                <w:szCs w:val="24"/>
                <w:highlight w:val="none"/>
              </w:rPr>
              <w:t>DW001/污水处理站排口</w:t>
            </w:r>
          </w:p>
        </w:tc>
        <w:tc>
          <w:tcPr>
            <w:tcW w:w="700" w:type="pct"/>
            <w:tcBorders>
              <w:top w:val="single" w:color="auto" w:sz="4" w:space="0"/>
              <w:left w:val="single" w:color="auto" w:sz="4" w:space="0"/>
              <w:bottom w:val="single" w:color="auto" w:sz="4" w:space="0"/>
              <w:right w:val="single" w:color="auto" w:sz="4" w:space="0"/>
            </w:tcBorders>
            <w:vAlign w:val="center"/>
          </w:tcPr>
          <w:p w14:paraId="6C9B9A3F">
            <w:pPr>
              <w:adjustRightInd w:val="0"/>
              <w:snapToGrid w:val="0"/>
              <w:jc w:val="center"/>
              <w:rPr>
                <w:color w:val="auto"/>
                <w:sz w:val="24"/>
                <w:szCs w:val="24"/>
                <w:highlight w:val="none"/>
              </w:rPr>
            </w:pPr>
            <w:r>
              <w:rPr>
                <w:color w:val="auto"/>
                <w:sz w:val="24"/>
                <w:szCs w:val="24"/>
                <w:highlight w:val="none"/>
              </w:rPr>
              <w:t>COD、SS、BOD</w:t>
            </w:r>
            <w:r>
              <w:rPr>
                <w:color w:val="auto"/>
                <w:sz w:val="24"/>
                <w:szCs w:val="24"/>
                <w:highlight w:val="none"/>
                <w:vertAlign w:val="subscript"/>
              </w:rPr>
              <w:t>5</w:t>
            </w:r>
            <w:r>
              <w:rPr>
                <w:color w:val="auto"/>
                <w:sz w:val="24"/>
                <w:szCs w:val="24"/>
                <w:highlight w:val="none"/>
              </w:rPr>
              <w:t>、TP、NH</w:t>
            </w:r>
            <w:r>
              <w:rPr>
                <w:color w:val="auto"/>
                <w:sz w:val="24"/>
                <w:szCs w:val="24"/>
                <w:highlight w:val="none"/>
                <w:vertAlign w:val="subscript"/>
              </w:rPr>
              <w:t>3</w:t>
            </w:r>
            <w:r>
              <w:rPr>
                <w:color w:val="auto"/>
                <w:sz w:val="24"/>
                <w:szCs w:val="24"/>
                <w:highlight w:val="none"/>
              </w:rPr>
              <w:t>-N</w:t>
            </w:r>
            <w:r>
              <w:rPr>
                <w:rFonts w:hint="eastAsia"/>
                <w:color w:val="auto"/>
                <w:sz w:val="24"/>
                <w:szCs w:val="24"/>
                <w:highlight w:val="none"/>
              </w:rPr>
              <w:t>、TN</w:t>
            </w:r>
          </w:p>
        </w:tc>
        <w:tc>
          <w:tcPr>
            <w:tcW w:w="1997" w:type="pct"/>
            <w:tcBorders>
              <w:top w:val="single" w:color="auto" w:sz="4" w:space="0"/>
              <w:left w:val="single" w:color="auto" w:sz="4" w:space="0"/>
              <w:bottom w:val="single" w:color="auto" w:sz="4" w:space="0"/>
              <w:right w:val="single" w:color="auto" w:sz="4" w:space="0"/>
            </w:tcBorders>
            <w:vAlign w:val="center"/>
          </w:tcPr>
          <w:p w14:paraId="28F46B76">
            <w:pPr>
              <w:jc w:val="center"/>
              <w:rPr>
                <w:color w:val="auto"/>
                <w:sz w:val="24"/>
                <w:szCs w:val="24"/>
                <w:highlight w:val="none"/>
              </w:rPr>
            </w:pPr>
            <w:r>
              <w:rPr>
                <w:rFonts w:hint="eastAsia"/>
                <w:color w:val="auto"/>
                <w:sz w:val="24"/>
                <w:szCs w:val="24"/>
                <w:highlight w:val="none"/>
              </w:rPr>
              <w:t>现有污水处理站采用“</w:t>
            </w:r>
            <w:r>
              <w:rPr>
                <w:color w:val="auto"/>
                <w:sz w:val="24"/>
                <w:szCs w:val="24"/>
                <w:highlight w:val="none"/>
              </w:rPr>
              <w:t>预处理（芬顿反应+铁碳内电解+混凝沉淀+生化调节）+厌氧（水解酸化法+UASB）+两级</w:t>
            </w:r>
          </w:p>
          <w:p w14:paraId="0B3A7DA6">
            <w:pPr>
              <w:jc w:val="center"/>
              <w:rPr>
                <w:color w:val="auto"/>
                <w:sz w:val="24"/>
                <w:szCs w:val="24"/>
                <w:highlight w:val="none"/>
              </w:rPr>
            </w:pPr>
            <w:r>
              <w:rPr>
                <w:color w:val="auto"/>
                <w:sz w:val="24"/>
                <w:szCs w:val="24"/>
                <w:highlight w:val="none"/>
              </w:rPr>
              <w:t>A/0</w:t>
            </w:r>
            <w:r>
              <w:rPr>
                <w:rFonts w:hint="eastAsia"/>
                <w:color w:val="auto"/>
                <w:sz w:val="24"/>
                <w:szCs w:val="24"/>
                <w:highlight w:val="none"/>
              </w:rPr>
              <w:t>”</w:t>
            </w:r>
            <w:r>
              <w:rPr>
                <w:color w:val="auto"/>
                <w:sz w:val="24"/>
                <w:szCs w:val="24"/>
                <w:highlight w:val="none"/>
              </w:rPr>
              <w:t>的组合废水处理工艺</w:t>
            </w:r>
          </w:p>
        </w:tc>
        <w:tc>
          <w:tcPr>
            <w:tcW w:w="963" w:type="pct"/>
            <w:tcBorders>
              <w:top w:val="single" w:color="auto" w:sz="4" w:space="0"/>
              <w:left w:val="single" w:color="auto" w:sz="4" w:space="0"/>
              <w:bottom w:val="single" w:color="auto" w:sz="4" w:space="0"/>
              <w:right w:val="single" w:color="auto" w:sz="8" w:space="0"/>
            </w:tcBorders>
            <w:vAlign w:val="center"/>
          </w:tcPr>
          <w:p w14:paraId="2D3D5610">
            <w:pPr>
              <w:jc w:val="center"/>
              <w:rPr>
                <w:color w:val="auto"/>
                <w:sz w:val="24"/>
                <w:szCs w:val="24"/>
                <w:highlight w:val="none"/>
              </w:rPr>
            </w:pPr>
            <w:r>
              <w:rPr>
                <w:color w:val="auto"/>
                <w:sz w:val="24"/>
                <w:szCs w:val="24"/>
                <w:highlight w:val="none"/>
              </w:rPr>
              <w:t>执行</w:t>
            </w:r>
            <w:r>
              <w:rPr>
                <w:rFonts w:hint="eastAsia"/>
                <w:color w:val="auto"/>
                <w:sz w:val="24"/>
                <w:szCs w:val="24"/>
                <w:highlight w:val="none"/>
              </w:rPr>
              <w:t>《污水综合排放标准》（GB8978-1996）三级标准</w:t>
            </w:r>
            <w:r>
              <w:rPr>
                <w:rFonts w:hint="eastAsia"/>
                <w:color w:val="auto"/>
                <w:sz w:val="24"/>
                <w:szCs w:val="24"/>
                <w:highlight w:val="none"/>
                <w:lang w:eastAsia="zh-CN"/>
              </w:rPr>
              <w:t>，其中氨氮、总磷执行《污水排入城镇下水道水质标准》（GB/T31962-2015）</w:t>
            </w:r>
          </w:p>
        </w:tc>
      </w:tr>
      <w:tr w14:paraId="70D7B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5" w:type="pct"/>
            <w:vMerge w:val="continue"/>
            <w:tcBorders>
              <w:left w:val="single" w:color="auto" w:sz="8" w:space="0"/>
              <w:bottom w:val="single" w:color="auto" w:sz="4" w:space="0"/>
              <w:right w:val="single" w:color="auto" w:sz="4" w:space="0"/>
            </w:tcBorders>
            <w:vAlign w:val="center"/>
          </w:tcPr>
          <w:p w14:paraId="5763D11B">
            <w:pPr>
              <w:adjustRightInd w:val="0"/>
              <w:snapToGrid w:val="0"/>
              <w:jc w:val="center"/>
              <w:rPr>
                <w:color w:val="auto"/>
                <w:sz w:val="24"/>
                <w:szCs w:val="24"/>
                <w:highlight w:val="none"/>
              </w:rPr>
            </w:pPr>
          </w:p>
        </w:tc>
        <w:tc>
          <w:tcPr>
            <w:tcW w:w="295" w:type="pct"/>
            <w:gridSpan w:val="2"/>
            <w:vMerge w:val="continue"/>
            <w:tcBorders>
              <w:left w:val="single" w:color="auto" w:sz="8" w:space="0"/>
              <w:bottom w:val="single" w:color="auto" w:sz="4" w:space="0"/>
              <w:right w:val="single" w:color="auto" w:sz="4" w:space="0"/>
            </w:tcBorders>
            <w:vAlign w:val="center"/>
          </w:tcPr>
          <w:p w14:paraId="5AFE4CBE">
            <w:pPr>
              <w:adjustRightInd w:val="0"/>
              <w:snapToGrid w:val="0"/>
              <w:jc w:val="center"/>
              <w:rPr>
                <w:color w:val="auto"/>
                <w:sz w:val="24"/>
                <w:szCs w:val="24"/>
                <w:highlight w:val="none"/>
              </w:rPr>
            </w:pPr>
          </w:p>
        </w:tc>
        <w:tc>
          <w:tcPr>
            <w:tcW w:w="747" w:type="pct"/>
            <w:tcBorders>
              <w:top w:val="single" w:color="auto" w:sz="4" w:space="0"/>
              <w:left w:val="single" w:color="auto" w:sz="4" w:space="0"/>
              <w:bottom w:val="single" w:color="auto" w:sz="4" w:space="0"/>
              <w:right w:val="single" w:color="auto" w:sz="4" w:space="0"/>
            </w:tcBorders>
            <w:vAlign w:val="center"/>
          </w:tcPr>
          <w:p w14:paraId="799BA4B2">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YS001/雨水排口</w:t>
            </w:r>
          </w:p>
        </w:tc>
        <w:tc>
          <w:tcPr>
            <w:tcW w:w="700" w:type="pct"/>
            <w:tcBorders>
              <w:top w:val="single" w:color="auto" w:sz="4" w:space="0"/>
              <w:left w:val="single" w:color="auto" w:sz="4" w:space="0"/>
              <w:bottom w:val="single" w:color="auto" w:sz="4" w:space="0"/>
              <w:right w:val="single" w:color="auto" w:sz="4" w:space="0"/>
            </w:tcBorders>
            <w:vAlign w:val="center"/>
          </w:tcPr>
          <w:p w14:paraId="540F8C54">
            <w:pPr>
              <w:adjustRightInd w:val="0"/>
              <w:snapToGrid w:val="0"/>
              <w:jc w:val="center"/>
              <w:rPr>
                <w:color w:val="auto"/>
                <w:sz w:val="24"/>
                <w:szCs w:val="24"/>
                <w:highlight w:val="none"/>
              </w:rPr>
            </w:pPr>
            <w:r>
              <w:rPr>
                <w:rFonts w:hint="eastAsia"/>
                <w:color w:val="auto"/>
                <w:sz w:val="24"/>
                <w:szCs w:val="24"/>
                <w:highlight w:val="none"/>
                <w:lang w:val="en-US" w:eastAsia="zh-CN"/>
              </w:rPr>
              <w:t>pH值、</w:t>
            </w:r>
            <w:r>
              <w:rPr>
                <w:color w:val="auto"/>
                <w:sz w:val="24"/>
                <w:szCs w:val="24"/>
                <w:highlight w:val="none"/>
              </w:rPr>
              <w:t>COD</w:t>
            </w:r>
            <w:r>
              <w:rPr>
                <w:rFonts w:hint="eastAsia"/>
                <w:color w:val="auto"/>
                <w:sz w:val="24"/>
                <w:szCs w:val="24"/>
                <w:highlight w:val="none"/>
                <w:vertAlign w:val="subscript"/>
                <w:lang w:val="en-US" w:eastAsia="zh-CN"/>
              </w:rPr>
              <w:t>Cr</w:t>
            </w:r>
            <w:r>
              <w:rPr>
                <w:color w:val="auto"/>
                <w:sz w:val="24"/>
                <w:szCs w:val="24"/>
                <w:highlight w:val="none"/>
              </w:rPr>
              <w:t>、NH</w:t>
            </w:r>
            <w:r>
              <w:rPr>
                <w:color w:val="auto"/>
                <w:sz w:val="24"/>
                <w:szCs w:val="24"/>
                <w:highlight w:val="none"/>
                <w:vertAlign w:val="subscript"/>
              </w:rPr>
              <w:t>3</w:t>
            </w:r>
            <w:r>
              <w:rPr>
                <w:color w:val="auto"/>
                <w:sz w:val="24"/>
                <w:szCs w:val="24"/>
                <w:highlight w:val="none"/>
              </w:rPr>
              <w:t>-N</w:t>
            </w:r>
            <w:r>
              <w:rPr>
                <w:rFonts w:hint="eastAsia"/>
                <w:color w:val="auto"/>
                <w:sz w:val="24"/>
                <w:szCs w:val="24"/>
                <w:highlight w:val="none"/>
                <w:lang w:eastAsia="zh-CN"/>
              </w:rPr>
              <w:t>、</w:t>
            </w:r>
            <w:r>
              <w:rPr>
                <w:rFonts w:hint="eastAsia"/>
                <w:color w:val="auto"/>
                <w:sz w:val="24"/>
                <w:szCs w:val="24"/>
                <w:highlight w:val="none"/>
                <w:lang w:val="en-US" w:eastAsia="zh-CN"/>
              </w:rPr>
              <w:t>悬浮物</w:t>
            </w:r>
          </w:p>
        </w:tc>
        <w:tc>
          <w:tcPr>
            <w:tcW w:w="1997" w:type="pct"/>
            <w:tcBorders>
              <w:top w:val="single" w:color="auto" w:sz="4" w:space="0"/>
              <w:left w:val="single" w:color="auto" w:sz="4" w:space="0"/>
              <w:bottom w:val="single" w:color="auto" w:sz="4" w:space="0"/>
              <w:right w:val="single" w:color="auto" w:sz="4" w:space="0"/>
            </w:tcBorders>
            <w:vAlign w:val="center"/>
          </w:tcPr>
          <w:p w14:paraId="2A471E58">
            <w:pPr>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排入园区雨水管网</w:t>
            </w:r>
          </w:p>
        </w:tc>
        <w:tc>
          <w:tcPr>
            <w:tcW w:w="963" w:type="pct"/>
            <w:tcBorders>
              <w:top w:val="single" w:color="auto" w:sz="4" w:space="0"/>
              <w:left w:val="single" w:color="auto" w:sz="4" w:space="0"/>
              <w:bottom w:val="single" w:color="auto" w:sz="4" w:space="0"/>
              <w:right w:val="single" w:color="auto" w:sz="8" w:space="0"/>
            </w:tcBorders>
            <w:vAlign w:val="center"/>
          </w:tcPr>
          <w:p w14:paraId="180686F7">
            <w:pPr>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r>
      <w:tr w14:paraId="6D696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5" w:type="pct"/>
            <w:vMerge w:val="restart"/>
            <w:tcBorders>
              <w:top w:val="single" w:color="auto" w:sz="4" w:space="0"/>
              <w:left w:val="single" w:color="auto" w:sz="8" w:space="0"/>
              <w:right w:val="single" w:color="auto" w:sz="4" w:space="0"/>
            </w:tcBorders>
            <w:vAlign w:val="center"/>
          </w:tcPr>
          <w:p w14:paraId="6FFA3E58">
            <w:pPr>
              <w:adjustRightInd w:val="0"/>
              <w:snapToGrid w:val="0"/>
              <w:jc w:val="center"/>
              <w:rPr>
                <w:color w:val="auto"/>
                <w:sz w:val="24"/>
                <w:szCs w:val="24"/>
                <w:highlight w:val="none"/>
              </w:rPr>
            </w:pPr>
            <w:r>
              <w:rPr>
                <w:color w:val="auto"/>
                <w:sz w:val="24"/>
                <w:szCs w:val="24"/>
                <w:highlight w:val="none"/>
              </w:rPr>
              <w:t>声环境</w:t>
            </w:r>
          </w:p>
        </w:tc>
        <w:tc>
          <w:tcPr>
            <w:tcW w:w="295" w:type="pct"/>
            <w:gridSpan w:val="2"/>
            <w:tcBorders>
              <w:top w:val="single" w:color="auto" w:sz="4" w:space="0"/>
              <w:left w:val="single" w:color="auto" w:sz="8" w:space="0"/>
              <w:bottom w:val="single" w:color="auto" w:sz="4" w:space="0"/>
              <w:right w:val="single" w:color="auto" w:sz="4" w:space="0"/>
            </w:tcBorders>
            <w:vAlign w:val="center"/>
          </w:tcPr>
          <w:p w14:paraId="239BE277">
            <w:pPr>
              <w:adjustRightInd w:val="0"/>
              <w:snapToGrid w:val="0"/>
              <w:jc w:val="center"/>
              <w:rPr>
                <w:color w:val="auto"/>
                <w:sz w:val="24"/>
                <w:szCs w:val="24"/>
                <w:highlight w:val="none"/>
              </w:rPr>
            </w:pPr>
            <w:r>
              <w:rPr>
                <w:rFonts w:hint="eastAsia"/>
                <w:color w:val="auto"/>
                <w:sz w:val="24"/>
                <w:szCs w:val="24"/>
                <w:highlight w:val="none"/>
                <w:lang w:val="en-US" w:eastAsia="zh-CN"/>
              </w:rPr>
              <w:t>施工期</w:t>
            </w:r>
          </w:p>
        </w:tc>
        <w:tc>
          <w:tcPr>
            <w:tcW w:w="747" w:type="pct"/>
            <w:tcBorders>
              <w:top w:val="single" w:color="auto" w:sz="4" w:space="0"/>
              <w:left w:val="single" w:color="auto" w:sz="4" w:space="0"/>
              <w:bottom w:val="single" w:color="auto" w:sz="4" w:space="0"/>
              <w:right w:val="single" w:color="auto" w:sz="4" w:space="0"/>
            </w:tcBorders>
            <w:vAlign w:val="center"/>
          </w:tcPr>
          <w:p w14:paraId="2C74DC41">
            <w:pPr>
              <w:adjustRightInd w:val="0"/>
              <w:snapToGrid w:val="0"/>
              <w:jc w:val="center"/>
              <w:rPr>
                <w:rFonts w:hint="default"/>
                <w:color w:val="auto"/>
                <w:sz w:val="24"/>
                <w:szCs w:val="24"/>
                <w:highlight w:val="none"/>
                <w:lang w:val="en-US"/>
              </w:rPr>
            </w:pPr>
            <w:r>
              <w:rPr>
                <w:rFonts w:hint="eastAsia"/>
                <w:color w:val="auto"/>
                <w:sz w:val="24"/>
                <w:szCs w:val="24"/>
                <w:highlight w:val="none"/>
                <w:lang w:val="en-US" w:eastAsia="zh-CN"/>
              </w:rPr>
              <w:t>施工机械及车辆</w:t>
            </w:r>
          </w:p>
        </w:tc>
        <w:tc>
          <w:tcPr>
            <w:tcW w:w="700" w:type="pct"/>
            <w:tcBorders>
              <w:top w:val="single" w:color="auto" w:sz="4" w:space="0"/>
              <w:left w:val="single" w:color="auto" w:sz="4" w:space="0"/>
              <w:bottom w:val="single" w:color="auto" w:sz="4" w:space="0"/>
              <w:right w:val="single" w:color="auto" w:sz="4" w:space="0"/>
            </w:tcBorders>
            <w:vAlign w:val="center"/>
          </w:tcPr>
          <w:p w14:paraId="0BB890A5">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施工噪声</w:t>
            </w:r>
          </w:p>
        </w:tc>
        <w:tc>
          <w:tcPr>
            <w:tcW w:w="1997" w:type="pct"/>
            <w:tcBorders>
              <w:top w:val="single" w:color="auto" w:sz="4" w:space="0"/>
              <w:left w:val="single" w:color="auto" w:sz="4" w:space="0"/>
              <w:bottom w:val="single" w:color="auto" w:sz="4" w:space="0"/>
              <w:right w:val="single" w:color="auto" w:sz="4" w:space="0"/>
            </w:tcBorders>
            <w:vAlign w:val="center"/>
          </w:tcPr>
          <w:p w14:paraId="4AD16D52">
            <w:pPr>
              <w:adjustRightInd w:val="0"/>
              <w:snapToGrid w:val="0"/>
              <w:jc w:val="center"/>
              <w:rPr>
                <w:color w:val="auto"/>
                <w:sz w:val="24"/>
                <w:szCs w:val="24"/>
                <w:highlight w:val="none"/>
              </w:rPr>
            </w:pPr>
            <w:r>
              <w:rPr>
                <w:rFonts w:hint="eastAsia"/>
                <w:color w:val="auto"/>
                <w:sz w:val="24"/>
                <w:szCs w:val="24"/>
                <w:highlight w:val="none"/>
                <w:lang w:val="en-US" w:eastAsia="zh-CN"/>
              </w:rPr>
              <w:t>选用低噪设备，定期对机械设备进行维修维护，合理安排作业时间，杜绝夜间施工，若须连续作业的强噪声施工，应首先征得当地建委、城管等主管部门的同意，并及时向周边各住宅区居民公告；严格进行施工人员管理，文明施工；装卸、搬运钢管、模板等严禁抛掷；施工范围严格设置围挡，对钢筋加工区设置加工棚；合理布局，将主要噪声设备源强（钢筋加工棚、设备加工区）置于施工范围中部。</w:t>
            </w:r>
          </w:p>
        </w:tc>
        <w:tc>
          <w:tcPr>
            <w:tcW w:w="963" w:type="pct"/>
            <w:tcBorders>
              <w:top w:val="single" w:color="auto" w:sz="4" w:space="0"/>
              <w:left w:val="single" w:color="auto" w:sz="4" w:space="0"/>
              <w:bottom w:val="single" w:color="auto" w:sz="4" w:space="0"/>
              <w:right w:val="single" w:color="auto" w:sz="8" w:space="0"/>
            </w:tcBorders>
            <w:vAlign w:val="center"/>
          </w:tcPr>
          <w:p w14:paraId="0AF78211">
            <w:pPr>
              <w:wordWrap w:val="0"/>
              <w:adjustRightInd w:val="0"/>
              <w:snapToGrid w:val="0"/>
              <w:jc w:val="center"/>
              <w:rPr>
                <w:color w:val="auto"/>
                <w:sz w:val="24"/>
                <w:szCs w:val="24"/>
                <w:highlight w:val="none"/>
              </w:rPr>
            </w:pPr>
            <w:r>
              <w:rPr>
                <w:rFonts w:ascii="Times New Roman" w:hAnsi="Times New Roman" w:cs="Times New Roman"/>
                <w:color w:val="auto"/>
                <w:sz w:val="24"/>
                <w:szCs w:val="24"/>
                <w:highlight w:val="none"/>
              </w:rPr>
              <w:t>《建筑施工场界环境噪声排放标准》（GB12523-2011）</w:t>
            </w:r>
          </w:p>
        </w:tc>
      </w:tr>
      <w:tr w14:paraId="3345C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5" w:type="pct"/>
            <w:vMerge w:val="continue"/>
            <w:tcBorders>
              <w:left w:val="single" w:color="auto" w:sz="8" w:space="0"/>
              <w:bottom w:val="single" w:color="auto" w:sz="4" w:space="0"/>
              <w:right w:val="single" w:color="auto" w:sz="4" w:space="0"/>
            </w:tcBorders>
            <w:vAlign w:val="center"/>
          </w:tcPr>
          <w:p w14:paraId="3DAC072A">
            <w:pPr>
              <w:adjustRightInd w:val="0"/>
              <w:snapToGrid w:val="0"/>
              <w:jc w:val="center"/>
              <w:rPr>
                <w:color w:val="auto"/>
                <w:sz w:val="24"/>
                <w:szCs w:val="24"/>
                <w:highlight w:val="none"/>
              </w:rPr>
            </w:pPr>
          </w:p>
        </w:tc>
        <w:tc>
          <w:tcPr>
            <w:tcW w:w="295" w:type="pct"/>
            <w:gridSpan w:val="2"/>
            <w:tcBorders>
              <w:top w:val="single" w:color="auto" w:sz="4" w:space="0"/>
              <w:left w:val="single" w:color="auto" w:sz="8" w:space="0"/>
              <w:bottom w:val="single" w:color="auto" w:sz="4" w:space="0"/>
              <w:right w:val="single" w:color="auto" w:sz="4" w:space="0"/>
            </w:tcBorders>
            <w:vAlign w:val="center"/>
          </w:tcPr>
          <w:p w14:paraId="03B47E33">
            <w:pPr>
              <w:adjustRightInd w:val="0"/>
              <w:snapToGrid w:val="0"/>
              <w:jc w:val="center"/>
              <w:rPr>
                <w:color w:val="auto"/>
                <w:sz w:val="24"/>
                <w:szCs w:val="24"/>
                <w:highlight w:val="none"/>
              </w:rPr>
            </w:pPr>
            <w:r>
              <w:rPr>
                <w:rFonts w:hint="eastAsia"/>
                <w:color w:val="auto"/>
                <w:sz w:val="24"/>
                <w:szCs w:val="24"/>
                <w:highlight w:val="none"/>
                <w:lang w:val="en-US" w:eastAsia="zh-CN"/>
              </w:rPr>
              <w:t>运营期</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14DE81DE">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生产设备及辅助设备</w:t>
            </w: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14:paraId="5D10A175">
            <w:pPr>
              <w:adjustRightInd w:val="0"/>
              <w:snapToGrid w:val="0"/>
              <w:jc w:val="center"/>
              <w:rPr>
                <w:rFonts w:ascii="Times New Roman" w:hAnsi="Times New Roman" w:eastAsia="宋体" w:cs="Times New Roman"/>
                <w:color w:val="auto"/>
                <w:kern w:val="2"/>
                <w:sz w:val="24"/>
                <w:szCs w:val="24"/>
                <w:highlight w:val="none"/>
                <w:lang w:val="en-US" w:eastAsia="zh-CN" w:bidi="ar-SA"/>
              </w:rPr>
            </w:pPr>
            <w:r>
              <w:rPr>
                <w:color w:val="auto"/>
                <w:sz w:val="24"/>
                <w:szCs w:val="24"/>
                <w:highlight w:val="none"/>
              </w:rPr>
              <w:t>厂界环境噪声</w:t>
            </w:r>
          </w:p>
        </w:tc>
        <w:tc>
          <w:tcPr>
            <w:tcW w:w="1997" w:type="pct"/>
            <w:tcBorders>
              <w:top w:val="single" w:color="auto" w:sz="4" w:space="0"/>
              <w:left w:val="single" w:color="auto" w:sz="4" w:space="0"/>
              <w:bottom w:val="single" w:color="auto" w:sz="4" w:space="0"/>
              <w:right w:val="single" w:color="auto" w:sz="4" w:space="0"/>
            </w:tcBorders>
            <w:shd w:val="clear" w:color="auto" w:fill="auto"/>
            <w:vAlign w:val="center"/>
          </w:tcPr>
          <w:p w14:paraId="3DF691A1">
            <w:pPr>
              <w:adjustRightInd w:val="0"/>
              <w:snapToGrid w:val="0"/>
              <w:jc w:val="center"/>
              <w:rPr>
                <w:rFonts w:ascii="Times New Roman" w:hAnsi="Times New Roman" w:eastAsia="宋体" w:cs="Times New Roman"/>
                <w:color w:val="auto"/>
                <w:kern w:val="2"/>
                <w:sz w:val="24"/>
                <w:szCs w:val="24"/>
                <w:highlight w:val="none"/>
                <w:lang w:val="en-US" w:eastAsia="zh-CN" w:bidi="ar-SA"/>
              </w:rPr>
            </w:pPr>
            <w:r>
              <w:rPr>
                <w:color w:val="auto"/>
                <w:sz w:val="24"/>
                <w:szCs w:val="24"/>
                <w:highlight w:val="none"/>
              </w:rPr>
              <w:t>基础减振、厂房隔音</w:t>
            </w:r>
          </w:p>
        </w:tc>
        <w:tc>
          <w:tcPr>
            <w:tcW w:w="963" w:type="pct"/>
            <w:tcBorders>
              <w:top w:val="single" w:color="auto" w:sz="4" w:space="0"/>
              <w:left w:val="single" w:color="auto" w:sz="4" w:space="0"/>
              <w:bottom w:val="single" w:color="auto" w:sz="4" w:space="0"/>
              <w:right w:val="single" w:color="auto" w:sz="8" w:space="0"/>
            </w:tcBorders>
            <w:shd w:val="clear" w:color="auto" w:fill="auto"/>
            <w:vAlign w:val="center"/>
          </w:tcPr>
          <w:p w14:paraId="4E325425">
            <w:pPr>
              <w:wordWrap w:val="0"/>
              <w:adjustRightInd w:val="0"/>
              <w:snapToGrid w:val="0"/>
              <w:jc w:val="center"/>
              <w:rPr>
                <w:rFonts w:ascii="Times New Roman" w:hAnsi="Times New Roman" w:eastAsia="宋体" w:cs="Times New Roman"/>
                <w:color w:val="auto"/>
                <w:kern w:val="2"/>
                <w:sz w:val="24"/>
                <w:szCs w:val="24"/>
                <w:highlight w:val="none"/>
                <w:lang w:val="en-US" w:eastAsia="zh-CN" w:bidi="ar-SA"/>
              </w:rPr>
            </w:pPr>
            <w:r>
              <w:rPr>
                <w:color w:val="auto"/>
                <w:sz w:val="24"/>
                <w:szCs w:val="24"/>
                <w:highlight w:val="none"/>
              </w:rPr>
              <w:t>《工业企业厂界环境噪声排放标准》（GB12348-2008）的</w:t>
            </w:r>
            <w:r>
              <w:rPr>
                <w:rFonts w:hint="eastAsia"/>
                <w:color w:val="auto"/>
                <w:sz w:val="24"/>
                <w:szCs w:val="24"/>
                <w:highlight w:val="none"/>
              </w:rPr>
              <w:t>3</w:t>
            </w:r>
            <w:r>
              <w:rPr>
                <w:rFonts w:hint="eastAsia"/>
                <w:color w:val="auto"/>
                <w:sz w:val="24"/>
                <w:szCs w:val="24"/>
                <w:highlight w:val="none"/>
                <w:lang w:val="en-US" w:eastAsia="zh-CN"/>
              </w:rPr>
              <w:t>类</w:t>
            </w:r>
            <w:r>
              <w:rPr>
                <w:color w:val="auto"/>
                <w:sz w:val="24"/>
                <w:szCs w:val="24"/>
                <w:highlight w:val="none"/>
              </w:rPr>
              <w:t>排放标准</w:t>
            </w:r>
          </w:p>
        </w:tc>
      </w:tr>
      <w:tr w14:paraId="36AC5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gridSpan w:val="3"/>
            <w:tcBorders>
              <w:top w:val="single" w:color="auto" w:sz="4" w:space="0"/>
              <w:left w:val="single" w:color="auto" w:sz="8" w:space="0"/>
              <w:bottom w:val="single" w:color="auto" w:sz="4" w:space="0"/>
              <w:right w:val="single" w:color="auto" w:sz="4" w:space="0"/>
            </w:tcBorders>
            <w:vAlign w:val="center"/>
          </w:tcPr>
          <w:p w14:paraId="16930C3A">
            <w:pPr>
              <w:adjustRightInd w:val="0"/>
              <w:snapToGrid w:val="0"/>
              <w:jc w:val="center"/>
              <w:rPr>
                <w:color w:val="auto"/>
                <w:sz w:val="24"/>
                <w:szCs w:val="24"/>
                <w:highlight w:val="none"/>
              </w:rPr>
            </w:pPr>
            <w:r>
              <w:rPr>
                <w:color w:val="auto"/>
                <w:sz w:val="24"/>
                <w:szCs w:val="24"/>
                <w:highlight w:val="none"/>
              </w:rPr>
              <w:t>电磁辐射</w:t>
            </w:r>
          </w:p>
        </w:tc>
        <w:tc>
          <w:tcPr>
            <w:tcW w:w="747" w:type="pct"/>
            <w:tcBorders>
              <w:top w:val="single" w:color="auto" w:sz="4" w:space="0"/>
              <w:left w:val="single" w:color="auto" w:sz="4" w:space="0"/>
              <w:bottom w:val="single" w:color="auto" w:sz="4" w:space="0"/>
              <w:right w:val="single" w:color="auto" w:sz="4" w:space="0"/>
            </w:tcBorders>
            <w:vAlign w:val="center"/>
          </w:tcPr>
          <w:p w14:paraId="142BBC31">
            <w:pPr>
              <w:adjustRightInd w:val="0"/>
              <w:snapToGrid w:val="0"/>
              <w:jc w:val="center"/>
              <w:rPr>
                <w:color w:val="auto"/>
                <w:sz w:val="24"/>
                <w:szCs w:val="24"/>
                <w:highlight w:val="none"/>
              </w:rPr>
            </w:pPr>
            <w:r>
              <w:rPr>
                <w:color w:val="auto"/>
                <w:sz w:val="24"/>
                <w:szCs w:val="24"/>
                <w:highlight w:val="none"/>
              </w:rPr>
              <w:t>/</w:t>
            </w:r>
          </w:p>
        </w:tc>
        <w:tc>
          <w:tcPr>
            <w:tcW w:w="700" w:type="pct"/>
            <w:tcBorders>
              <w:top w:val="single" w:color="auto" w:sz="4" w:space="0"/>
              <w:left w:val="single" w:color="auto" w:sz="4" w:space="0"/>
              <w:bottom w:val="single" w:color="auto" w:sz="4" w:space="0"/>
              <w:right w:val="single" w:color="auto" w:sz="4" w:space="0"/>
            </w:tcBorders>
            <w:vAlign w:val="center"/>
          </w:tcPr>
          <w:p w14:paraId="68BF5862">
            <w:pPr>
              <w:adjustRightInd w:val="0"/>
              <w:snapToGrid w:val="0"/>
              <w:jc w:val="center"/>
              <w:rPr>
                <w:color w:val="auto"/>
                <w:sz w:val="24"/>
                <w:szCs w:val="24"/>
                <w:highlight w:val="none"/>
              </w:rPr>
            </w:pPr>
            <w:r>
              <w:rPr>
                <w:color w:val="auto"/>
                <w:sz w:val="24"/>
                <w:szCs w:val="24"/>
                <w:highlight w:val="none"/>
              </w:rPr>
              <w:t>/</w:t>
            </w:r>
          </w:p>
        </w:tc>
        <w:tc>
          <w:tcPr>
            <w:tcW w:w="1997" w:type="pct"/>
            <w:tcBorders>
              <w:top w:val="single" w:color="auto" w:sz="4" w:space="0"/>
              <w:left w:val="single" w:color="auto" w:sz="4" w:space="0"/>
              <w:bottom w:val="single" w:color="auto" w:sz="4" w:space="0"/>
              <w:right w:val="single" w:color="auto" w:sz="4" w:space="0"/>
            </w:tcBorders>
            <w:vAlign w:val="center"/>
          </w:tcPr>
          <w:p w14:paraId="1690A9F2">
            <w:pPr>
              <w:adjustRightInd w:val="0"/>
              <w:snapToGrid w:val="0"/>
              <w:jc w:val="center"/>
              <w:rPr>
                <w:color w:val="auto"/>
                <w:sz w:val="24"/>
                <w:szCs w:val="24"/>
                <w:highlight w:val="none"/>
              </w:rPr>
            </w:pPr>
            <w:r>
              <w:rPr>
                <w:color w:val="auto"/>
                <w:sz w:val="24"/>
                <w:szCs w:val="24"/>
                <w:highlight w:val="none"/>
              </w:rPr>
              <w:t>/</w:t>
            </w:r>
          </w:p>
        </w:tc>
        <w:tc>
          <w:tcPr>
            <w:tcW w:w="963" w:type="pct"/>
            <w:tcBorders>
              <w:top w:val="single" w:color="auto" w:sz="4" w:space="0"/>
              <w:left w:val="single" w:color="auto" w:sz="4" w:space="0"/>
              <w:bottom w:val="single" w:color="auto" w:sz="4" w:space="0"/>
              <w:right w:val="single" w:color="auto" w:sz="8" w:space="0"/>
            </w:tcBorders>
            <w:vAlign w:val="center"/>
          </w:tcPr>
          <w:p w14:paraId="028F8890">
            <w:pPr>
              <w:adjustRightInd w:val="0"/>
              <w:snapToGrid w:val="0"/>
              <w:jc w:val="center"/>
              <w:rPr>
                <w:color w:val="auto"/>
                <w:sz w:val="24"/>
                <w:szCs w:val="24"/>
                <w:highlight w:val="none"/>
              </w:rPr>
            </w:pPr>
            <w:r>
              <w:rPr>
                <w:color w:val="auto"/>
                <w:sz w:val="24"/>
                <w:szCs w:val="24"/>
                <w:highlight w:val="none"/>
              </w:rPr>
              <w:t>/</w:t>
            </w:r>
          </w:p>
        </w:tc>
      </w:tr>
      <w:tr w14:paraId="7351F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5" w:type="pct"/>
            <w:vMerge w:val="restart"/>
            <w:tcBorders>
              <w:top w:val="single" w:color="auto" w:sz="4" w:space="0"/>
              <w:left w:val="single" w:color="auto" w:sz="8" w:space="0"/>
              <w:right w:val="single" w:color="auto" w:sz="4" w:space="0"/>
            </w:tcBorders>
            <w:vAlign w:val="center"/>
          </w:tcPr>
          <w:p w14:paraId="490BED98">
            <w:pPr>
              <w:adjustRightInd w:val="0"/>
              <w:snapToGrid w:val="0"/>
              <w:jc w:val="center"/>
              <w:rPr>
                <w:color w:val="auto"/>
                <w:sz w:val="24"/>
                <w:szCs w:val="24"/>
                <w:highlight w:val="none"/>
              </w:rPr>
            </w:pPr>
            <w:r>
              <w:rPr>
                <w:color w:val="auto"/>
                <w:sz w:val="24"/>
                <w:szCs w:val="24"/>
                <w:highlight w:val="none"/>
              </w:rPr>
              <w:t>固体废物</w:t>
            </w:r>
          </w:p>
        </w:tc>
        <w:tc>
          <w:tcPr>
            <w:tcW w:w="295" w:type="pct"/>
            <w:gridSpan w:val="2"/>
            <w:tcBorders>
              <w:top w:val="single" w:color="auto" w:sz="4" w:space="0"/>
              <w:left w:val="single" w:color="auto" w:sz="8" w:space="0"/>
              <w:right w:val="single" w:color="auto" w:sz="4" w:space="0"/>
            </w:tcBorders>
            <w:vAlign w:val="center"/>
          </w:tcPr>
          <w:p w14:paraId="64CD0AD8">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施工期</w:t>
            </w:r>
          </w:p>
        </w:tc>
        <w:tc>
          <w:tcPr>
            <w:tcW w:w="4409" w:type="pct"/>
            <w:gridSpan w:val="4"/>
            <w:tcBorders>
              <w:top w:val="single" w:color="auto" w:sz="4" w:space="0"/>
              <w:left w:val="single" w:color="auto" w:sz="4" w:space="0"/>
              <w:bottom w:val="single" w:color="auto" w:sz="4" w:space="0"/>
              <w:right w:val="single" w:color="auto" w:sz="8" w:space="0"/>
            </w:tcBorders>
            <w:vAlign w:val="center"/>
          </w:tcPr>
          <w:p w14:paraId="4258F387">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施工期主要为</w:t>
            </w:r>
            <w:r>
              <w:rPr>
                <w:rFonts w:ascii="Times New Roman" w:hAnsi="Times New Roman" w:cs="Times New Roman"/>
                <w:color w:val="auto"/>
                <w:sz w:val="24"/>
                <w:szCs w:val="24"/>
                <w:highlight w:val="none"/>
              </w:rPr>
              <w:t>建筑垃圾和施工人员的生活垃圾。</w:t>
            </w:r>
          </w:p>
          <w:p w14:paraId="14A51101">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（1）土石方</w:t>
            </w:r>
          </w:p>
          <w:p w14:paraId="0B360F72">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本项目在厂区预留场地内进行建设，场地已平整，土石方主要为构筑物地基开挖及基础建设产生，其土石方基本能挖填平衡，无弃方。</w:t>
            </w:r>
          </w:p>
          <w:p w14:paraId="3A7C25F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2</w:t>
            </w:r>
            <w:r>
              <w:rPr>
                <w:rFonts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建筑垃圾</w:t>
            </w:r>
          </w:p>
          <w:p w14:paraId="6B1C5ECF">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施工现场应设置建筑废弃物临时堆场并进行防雨、防泄漏处理。施工产生的废料应首先考虑回收利用，对钢筋、钢板、木材等下角料可分类回收，交废物收购站处理；对不能回收的建筑垃圾，如混凝土废料、含砖、石、砂的杂土等应集中堆放，定时清运到指定垃圾场。</w:t>
            </w:r>
          </w:p>
          <w:p w14:paraId="40276C75">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rPr>
                <w:rFonts w:ascii="Times New Roman" w:hAnsi="Times New Roman" w:cs="Times New Roman"/>
                <w:color w:val="auto"/>
                <w:sz w:val="24"/>
                <w:szCs w:val="24"/>
                <w:highlight w:val="none"/>
              </w:rPr>
            </w:pPr>
            <w:r>
              <w:rPr>
                <w:rStyle w:val="34"/>
                <w:rFonts w:ascii="Times New Roman" w:hAnsi="Times New Roman" w:cs="Times New Roman"/>
                <w:color w:val="auto"/>
                <w:kern w:val="0"/>
                <w:sz w:val="24"/>
                <w:szCs w:val="24"/>
                <w:highlight w:val="none"/>
              </w:rPr>
              <w:t>（</w:t>
            </w:r>
            <w:r>
              <w:rPr>
                <w:rStyle w:val="34"/>
                <w:rFonts w:hint="eastAsia" w:cs="Times New Roman"/>
                <w:color w:val="auto"/>
                <w:kern w:val="0"/>
                <w:sz w:val="24"/>
                <w:szCs w:val="24"/>
                <w:highlight w:val="none"/>
                <w:lang w:val="en-US" w:eastAsia="zh-CN"/>
              </w:rPr>
              <w:t>3</w:t>
            </w:r>
            <w:r>
              <w:rPr>
                <w:rStyle w:val="34"/>
                <w:rFonts w:ascii="Times New Roman" w:hAnsi="Times New Roman" w:cs="Times New Roman"/>
                <w:color w:val="auto"/>
                <w:kern w:val="0"/>
                <w:sz w:val="24"/>
                <w:szCs w:val="24"/>
                <w:highlight w:val="none"/>
              </w:rPr>
              <w:t>）</w:t>
            </w:r>
            <w:r>
              <w:rPr>
                <w:rStyle w:val="34"/>
                <w:rFonts w:ascii="Times New Roman" w:hAnsi="Times New Roman" w:cs="Times New Roman"/>
                <w:color w:val="auto"/>
                <w:kern w:val="0"/>
                <w:sz w:val="24"/>
                <w:szCs w:val="24"/>
                <w:highlight w:val="none"/>
                <w:lang w:val="en-US" w:eastAsia="zh-CN"/>
              </w:rPr>
              <w:t>施工期</w:t>
            </w:r>
            <w:r>
              <w:rPr>
                <w:rStyle w:val="34"/>
                <w:rFonts w:ascii="Times New Roman" w:hAnsi="Times New Roman" w:cs="Times New Roman"/>
                <w:color w:val="auto"/>
                <w:kern w:val="0"/>
                <w:sz w:val="24"/>
                <w:szCs w:val="24"/>
                <w:highlight w:val="none"/>
              </w:rPr>
              <w:t>生活垃圾</w:t>
            </w:r>
          </w:p>
          <w:p w14:paraId="03F181DD">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baseline"/>
              <w:rPr>
                <w:color w:val="auto"/>
                <w:kern w:val="0"/>
                <w:sz w:val="24"/>
                <w:szCs w:val="24"/>
                <w:highlight w:val="none"/>
              </w:rPr>
            </w:pPr>
            <w:r>
              <w:rPr>
                <w:rFonts w:ascii="Times New Roman" w:hAnsi="Times New Roman" w:cs="Times New Roman"/>
                <w:color w:val="auto"/>
                <w:sz w:val="24"/>
                <w:szCs w:val="24"/>
                <w:highlight w:val="none"/>
              </w:rPr>
              <w:t>设专人打扫卫生，设置垃圾箱、垃圾桶，每天收集施工区域的生活垃圾，交由环卫部门统一清运、处理。</w:t>
            </w:r>
          </w:p>
        </w:tc>
      </w:tr>
      <w:tr w14:paraId="70AA6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5" w:type="pct"/>
            <w:vMerge w:val="continue"/>
            <w:tcBorders>
              <w:left w:val="single" w:color="auto" w:sz="8" w:space="0"/>
              <w:bottom w:val="single" w:color="auto" w:sz="4" w:space="0"/>
              <w:right w:val="single" w:color="auto" w:sz="4" w:space="0"/>
            </w:tcBorders>
            <w:vAlign w:val="center"/>
          </w:tcPr>
          <w:p w14:paraId="6AA4B6A0">
            <w:pPr>
              <w:adjustRightInd w:val="0"/>
              <w:snapToGrid w:val="0"/>
              <w:jc w:val="center"/>
              <w:rPr>
                <w:color w:val="auto"/>
                <w:sz w:val="24"/>
                <w:szCs w:val="24"/>
                <w:highlight w:val="none"/>
              </w:rPr>
            </w:pPr>
          </w:p>
        </w:tc>
        <w:tc>
          <w:tcPr>
            <w:tcW w:w="295" w:type="pct"/>
            <w:gridSpan w:val="2"/>
            <w:tcBorders>
              <w:left w:val="single" w:color="auto" w:sz="8" w:space="0"/>
              <w:bottom w:val="single" w:color="auto" w:sz="4" w:space="0"/>
              <w:right w:val="single" w:color="auto" w:sz="4" w:space="0"/>
            </w:tcBorders>
            <w:vAlign w:val="center"/>
          </w:tcPr>
          <w:p w14:paraId="26A1BAF3">
            <w:pPr>
              <w:adjustRightInd w:val="0"/>
              <w:snapToGrid w:val="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运营期</w:t>
            </w:r>
          </w:p>
        </w:tc>
        <w:tc>
          <w:tcPr>
            <w:tcW w:w="4409" w:type="pct"/>
            <w:gridSpan w:val="4"/>
            <w:tcBorders>
              <w:top w:val="single" w:color="auto" w:sz="4" w:space="0"/>
              <w:left w:val="single" w:color="auto" w:sz="4" w:space="0"/>
              <w:bottom w:val="single" w:color="auto" w:sz="4" w:space="0"/>
              <w:right w:val="single" w:color="auto" w:sz="8" w:space="0"/>
            </w:tcBorders>
            <w:vAlign w:val="center"/>
          </w:tcPr>
          <w:p w14:paraId="290D1E68">
            <w:pPr>
              <w:keepNext w:val="0"/>
              <w:keepLines w:val="0"/>
              <w:pageBreakBefore w:val="0"/>
              <w:widowControl w:val="0"/>
              <w:kinsoku/>
              <w:wordWrap/>
              <w:overflowPunct/>
              <w:topLinePunct w:val="0"/>
              <w:autoSpaceDE/>
              <w:autoSpaceDN/>
              <w:bidi w:val="0"/>
              <w:spacing w:line="360" w:lineRule="auto"/>
              <w:ind w:left="0" w:right="0" w:firstLine="480" w:firstLineChars="200"/>
              <w:rPr>
                <w:color w:val="auto"/>
                <w:sz w:val="24"/>
                <w:szCs w:val="24"/>
                <w:highlight w:val="none"/>
              </w:rPr>
            </w:pPr>
            <w:r>
              <w:rPr>
                <w:color w:val="auto"/>
                <w:sz w:val="24"/>
                <w:szCs w:val="24"/>
                <w:highlight w:val="none"/>
              </w:rPr>
              <w:t>（1）一般固废</w:t>
            </w:r>
          </w:p>
          <w:p w14:paraId="41807BCA">
            <w:pPr>
              <w:keepNext w:val="0"/>
              <w:keepLines w:val="0"/>
              <w:pageBreakBefore w:val="0"/>
              <w:widowControl w:val="0"/>
              <w:kinsoku/>
              <w:wordWrap/>
              <w:overflowPunct/>
              <w:topLinePunct w:val="0"/>
              <w:autoSpaceDE/>
              <w:autoSpaceDN/>
              <w:bidi w:val="0"/>
              <w:spacing w:line="360" w:lineRule="auto"/>
              <w:ind w:left="0" w:right="0" w:firstLine="480" w:firstLineChars="200"/>
              <w:rPr>
                <w:bCs/>
                <w:color w:val="auto"/>
                <w:sz w:val="24"/>
                <w:szCs w:val="24"/>
                <w:highlight w:val="none"/>
              </w:rPr>
            </w:pPr>
            <w:r>
              <w:rPr>
                <w:bCs/>
                <w:color w:val="auto"/>
                <w:sz w:val="24"/>
                <w:szCs w:val="24"/>
                <w:highlight w:val="none"/>
              </w:rPr>
              <w:t>一般固废主要为</w:t>
            </w:r>
            <w:r>
              <w:rPr>
                <w:rFonts w:hint="eastAsia"/>
                <w:bCs/>
                <w:color w:val="auto"/>
                <w:sz w:val="24"/>
                <w:szCs w:val="24"/>
                <w:highlight w:val="none"/>
                <w:lang w:val="en-US" w:eastAsia="zh-CN"/>
              </w:rPr>
              <w:t>生活垃圾、</w:t>
            </w:r>
            <w:r>
              <w:rPr>
                <w:rFonts w:hint="eastAsia"/>
                <w:bCs/>
                <w:color w:val="auto"/>
                <w:kern w:val="0"/>
                <w:sz w:val="24"/>
                <w:szCs w:val="24"/>
                <w:highlight w:val="none"/>
                <w:lang w:val="en-US" w:eastAsia="zh-CN"/>
              </w:rPr>
              <w:t>废含油棉纱、手套</w:t>
            </w:r>
            <w:r>
              <w:rPr>
                <w:rFonts w:hint="eastAsia"/>
                <w:bCs/>
                <w:color w:val="auto"/>
                <w:sz w:val="24"/>
                <w:szCs w:val="24"/>
                <w:highlight w:val="none"/>
                <w:lang w:val="en-US" w:eastAsia="zh-CN"/>
              </w:rPr>
              <w:t>和预处理池污泥</w:t>
            </w:r>
            <w:r>
              <w:rPr>
                <w:bCs/>
                <w:color w:val="auto"/>
                <w:sz w:val="24"/>
                <w:szCs w:val="24"/>
                <w:highlight w:val="none"/>
              </w:rPr>
              <w:t>，</w:t>
            </w:r>
            <w:r>
              <w:rPr>
                <w:rFonts w:hint="eastAsia"/>
                <w:bCs/>
                <w:color w:val="auto"/>
                <w:sz w:val="24"/>
                <w:szCs w:val="24"/>
                <w:highlight w:val="none"/>
                <w:lang w:val="en-US" w:eastAsia="zh-CN"/>
              </w:rPr>
              <w:t>分类后交由环卫部门清运处置</w:t>
            </w:r>
            <w:r>
              <w:rPr>
                <w:bCs/>
                <w:color w:val="auto"/>
                <w:sz w:val="24"/>
                <w:szCs w:val="24"/>
                <w:highlight w:val="none"/>
              </w:rPr>
              <w:t>。</w:t>
            </w:r>
          </w:p>
          <w:p w14:paraId="712069F6">
            <w:pPr>
              <w:keepNext w:val="0"/>
              <w:keepLines w:val="0"/>
              <w:pageBreakBefore w:val="0"/>
              <w:widowControl w:val="0"/>
              <w:kinsoku/>
              <w:wordWrap/>
              <w:overflowPunct/>
              <w:topLinePunct w:val="0"/>
              <w:autoSpaceDE/>
              <w:autoSpaceDN/>
              <w:bidi w:val="0"/>
              <w:spacing w:line="360" w:lineRule="auto"/>
              <w:ind w:left="0" w:right="0" w:firstLine="480" w:firstLineChars="200"/>
              <w:rPr>
                <w:color w:val="auto"/>
                <w:sz w:val="24"/>
                <w:szCs w:val="24"/>
                <w:highlight w:val="none"/>
              </w:rPr>
            </w:pPr>
            <w:r>
              <w:rPr>
                <w:color w:val="auto"/>
                <w:sz w:val="24"/>
                <w:szCs w:val="24"/>
                <w:highlight w:val="none"/>
              </w:rPr>
              <w:t>（2）危险废物</w:t>
            </w:r>
          </w:p>
          <w:p w14:paraId="1F114800">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baseline"/>
              <w:rPr>
                <w:rFonts w:hint="eastAsia"/>
                <w:bCs/>
                <w:color w:val="auto"/>
                <w:kern w:val="0"/>
                <w:sz w:val="24"/>
                <w:szCs w:val="24"/>
                <w:highlight w:val="none"/>
                <w:lang w:val="en-US" w:eastAsia="zh-CN"/>
              </w:rPr>
            </w:pPr>
            <w:r>
              <w:rPr>
                <w:rFonts w:hint="eastAsia"/>
                <w:bCs/>
                <w:color w:val="auto"/>
                <w:kern w:val="0"/>
                <w:sz w:val="24"/>
                <w:szCs w:val="24"/>
                <w:highlight w:val="none"/>
                <w:lang w:val="en-US" w:eastAsia="zh-CN"/>
              </w:rPr>
              <w:t>主要为废润滑油、污水处理站污泥、废活性炭</w:t>
            </w:r>
            <w:r>
              <w:rPr>
                <w:bCs/>
                <w:color w:val="auto"/>
                <w:kern w:val="0"/>
                <w:sz w:val="24"/>
                <w:szCs w:val="24"/>
                <w:highlight w:val="none"/>
              </w:rPr>
              <w:t>。各液态危险废物分类收集</w:t>
            </w:r>
            <w:r>
              <w:rPr>
                <w:color w:val="auto"/>
                <w:kern w:val="0"/>
                <w:sz w:val="24"/>
                <w:szCs w:val="24"/>
                <w:highlight w:val="none"/>
              </w:rPr>
              <w:t>存于密闭专用收集桶内</w:t>
            </w:r>
            <w:r>
              <w:rPr>
                <w:rFonts w:hint="eastAsia"/>
                <w:color w:val="auto"/>
                <w:kern w:val="0"/>
                <w:sz w:val="24"/>
                <w:szCs w:val="24"/>
                <w:highlight w:val="none"/>
              </w:rPr>
              <w:t>，固液分别存放</w:t>
            </w:r>
            <w:r>
              <w:rPr>
                <w:color w:val="auto"/>
                <w:kern w:val="0"/>
                <w:sz w:val="24"/>
                <w:szCs w:val="24"/>
                <w:highlight w:val="none"/>
              </w:rPr>
              <w:t>，暂存于</w:t>
            </w:r>
            <w:r>
              <w:rPr>
                <w:rFonts w:hint="eastAsia"/>
                <w:color w:val="auto"/>
                <w:kern w:val="0"/>
                <w:sz w:val="24"/>
                <w:szCs w:val="24"/>
                <w:highlight w:val="none"/>
                <w:lang w:eastAsia="zh-CN"/>
              </w:rPr>
              <w:t>危废贮存库</w:t>
            </w:r>
            <w:r>
              <w:rPr>
                <w:color w:val="auto"/>
                <w:kern w:val="0"/>
                <w:sz w:val="24"/>
                <w:szCs w:val="24"/>
                <w:highlight w:val="none"/>
              </w:rPr>
              <w:t>，签订危废处置协议并定期交由危废处理资质单位处理</w:t>
            </w:r>
            <w:r>
              <w:rPr>
                <w:rFonts w:hint="eastAsia"/>
                <w:color w:val="auto"/>
                <w:kern w:val="0"/>
                <w:sz w:val="24"/>
                <w:szCs w:val="24"/>
                <w:highlight w:val="none"/>
              </w:rPr>
              <w:t>（已与四川省兴茂石化有限责任公司签订危废协议）</w:t>
            </w:r>
            <w:r>
              <w:rPr>
                <w:color w:val="auto"/>
                <w:kern w:val="0"/>
                <w:sz w:val="24"/>
                <w:szCs w:val="24"/>
                <w:highlight w:val="none"/>
              </w:rPr>
              <w:t>。</w:t>
            </w:r>
          </w:p>
        </w:tc>
      </w:tr>
      <w:tr w14:paraId="1E286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gridSpan w:val="3"/>
            <w:tcBorders>
              <w:top w:val="single" w:color="auto" w:sz="4" w:space="0"/>
              <w:left w:val="single" w:color="auto" w:sz="8" w:space="0"/>
              <w:bottom w:val="single" w:color="auto" w:sz="4" w:space="0"/>
              <w:right w:val="single" w:color="auto" w:sz="4" w:space="0"/>
            </w:tcBorders>
            <w:vAlign w:val="center"/>
          </w:tcPr>
          <w:p w14:paraId="7E8850A0">
            <w:pPr>
              <w:adjustRightInd w:val="0"/>
              <w:snapToGrid w:val="0"/>
              <w:jc w:val="center"/>
              <w:rPr>
                <w:color w:val="auto"/>
                <w:sz w:val="24"/>
                <w:szCs w:val="24"/>
                <w:highlight w:val="none"/>
              </w:rPr>
            </w:pPr>
            <w:r>
              <w:rPr>
                <w:color w:val="auto"/>
                <w:sz w:val="24"/>
                <w:szCs w:val="24"/>
                <w:highlight w:val="none"/>
              </w:rPr>
              <w:t>土壤及地下水污染防治措施</w:t>
            </w:r>
          </w:p>
        </w:tc>
        <w:tc>
          <w:tcPr>
            <w:tcW w:w="4409" w:type="pct"/>
            <w:gridSpan w:val="4"/>
            <w:tcBorders>
              <w:top w:val="single" w:color="auto" w:sz="4" w:space="0"/>
              <w:left w:val="single" w:color="auto" w:sz="4" w:space="0"/>
              <w:bottom w:val="single" w:color="auto" w:sz="4" w:space="0"/>
              <w:right w:val="single" w:color="auto" w:sz="8" w:space="0"/>
            </w:tcBorders>
            <w:vAlign w:val="center"/>
          </w:tcPr>
          <w:p w14:paraId="443EED79">
            <w:pPr>
              <w:spacing w:line="360" w:lineRule="auto"/>
              <w:ind w:firstLine="480" w:firstLineChars="200"/>
              <w:rPr>
                <w:color w:val="auto"/>
                <w:kern w:val="0"/>
                <w:sz w:val="24"/>
                <w:szCs w:val="24"/>
                <w:highlight w:val="none"/>
              </w:rPr>
            </w:pPr>
            <w:r>
              <w:rPr>
                <w:color w:val="auto"/>
                <w:sz w:val="24"/>
                <w:szCs w:val="24"/>
                <w:highlight w:val="none"/>
              </w:rPr>
              <w:t>项目废气经收集处理后大气沉降对土壤影响较小，本项目危废、</w:t>
            </w:r>
            <w:r>
              <w:rPr>
                <w:rFonts w:hint="eastAsia"/>
                <w:color w:val="auto"/>
                <w:sz w:val="24"/>
                <w:szCs w:val="24"/>
                <w:highlight w:val="none"/>
              </w:rPr>
              <w:t>化学原料</w:t>
            </w:r>
            <w:r>
              <w:rPr>
                <w:color w:val="auto"/>
                <w:sz w:val="24"/>
                <w:szCs w:val="24"/>
                <w:highlight w:val="none"/>
              </w:rPr>
              <w:t>等污染物通过地面漫流、垂直入渗等方式会对周边地下水、土壤环境产生影响；本项目按厂区各功能单元所处的位置划分为重点防渗区、一般防渗区和简单防渗区。</w:t>
            </w:r>
          </w:p>
          <w:p w14:paraId="10C65B04">
            <w:pPr>
              <w:adjustRightInd w:val="0"/>
              <w:snapToGrid w:val="0"/>
              <w:spacing w:line="360" w:lineRule="auto"/>
              <w:ind w:firstLine="482" w:firstLineChars="200"/>
              <w:jc w:val="left"/>
              <w:rPr>
                <w:rFonts w:hint="eastAsia"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rPr>
              <w:t>重点防渗区：</w:t>
            </w:r>
            <w:r>
              <w:rPr>
                <w:rFonts w:hint="eastAsia" w:ascii="Times New Roman" w:hAnsi="Times New Roman" w:eastAsia="宋体" w:cs="Times New Roman"/>
                <w:b w:val="0"/>
                <w:bCs w:val="0"/>
                <w:i w:val="0"/>
                <w:iCs w:val="0"/>
                <w:color w:val="auto"/>
                <w:sz w:val="24"/>
                <w:szCs w:val="24"/>
                <w:highlight w:val="none"/>
                <w:u w:val="none"/>
              </w:rPr>
              <w:t>包</w:t>
            </w:r>
            <w:r>
              <w:rPr>
                <w:rFonts w:hint="eastAsia" w:ascii="Times New Roman" w:hAnsi="Times New Roman" w:eastAsia="宋体" w:cs="Times New Roman"/>
                <w:b w:val="0"/>
                <w:bCs w:val="0"/>
                <w:i w:val="0"/>
                <w:iCs w:val="0"/>
                <w:color w:val="auto"/>
                <w:sz w:val="24"/>
                <w:szCs w:val="24"/>
                <w:highlight w:val="none"/>
                <w:u w:val="none"/>
                <w:lang w:val="en-US" w:eastAsia="zh-CN"/>
              </w:rPr>
              <w:t>括生产车间（生产装置区、成品暂存间、灌装间等）、维修间、</w:t>
            </w:r>
            <w:r>
              <w:rPr>
                <w:rFonts w:hint="eastAsia" w:cs="Times New Roman"/>
                <w:b w:val="0"/>
                <w:bCs w:val="0"/>
                <w:i w:val="0"/>
                <w:iCs w:val="0"/>
                <w:color w:val="auto"/>
                <w:sz w:val="24"/>
                <w:szCs w:val="24"/>
                <w:highlight w:val="none"/>
                <w:u w:val="none"/>
                <w:lang w:val="en-US" w:eastAsia="zh-CN"/>
              </w:rPr>
              <w:t>危废贮存库</w:t>
            </w:r>
            <w:r>
              <w:rPr>
                <w:rFonts w:hint="eastAsia" w:ascii="Times New Roman" w:hAnsi="Times New Roman" w:eastAsia="宋体" w:cs="Times New Roman"/>
                <w:b w:val="0"/>
                <w:bCs w:val="0"/>
                <w:i w:val="0"/>
                <w:iCs w:val="0"/>
                <w:color w:val="auto"/>
                <w:sz w:val="24"/>
                <w:szCs w:val="24"/>
                <w:highlight w:val="none"/>
                <w:u w:val="none"/>
                <w:lang w:val="en-US" w:eastAsia="zh-CN"/>
              </w:rPr>
              <w:t>。</w:t>
            </w:r>
            <w:r>
              <w:rPr>
                <w:rFonts w:hint="eastAsia" w:ascii="Times New Roman" w:hAnsi="Times New Roman" w:eastAsia="宋体" w:cs="Times New Roman"/>
                <w:b w:val="0"/>
                <w:bCs w:val="0"/>
                <w:color w:val="auto"/>
                <w:sz w:val="24"/>
                <w:szCs w:val="24"/>
                <w:highlight w:val="none"/>
                <w:u w:val="none"/>
                <w:lang w:val="en-US" w:eastAsia="zh-CN"/>
              </w:rPr>
              <w:t>其中生产车间内地面采用混凝土砼基基础硬化，收缩缝采用玻纤布+沥青，管线采用碳钢无缝管线连接，</w:t>
            </w:r>
            <w:r>
              <w:rPr>
                <w:rFonts w:hint="eastAsia" w:cs="Times New Roman"/>
                <w:b w:val="0"/>
                <w:bCs w:val="0"/>
                <w:color w:val="auto"/>
                <w:sz w:val="24"/>
                <w:szCs w:val="24"/>
                <w:highlight w:val="none"/>
                <w:u w:val="none"/>
                <w:lang w:val="en-US" w:eastAsia="zh-CN"/>
              </w:rPr>
              <w:t>车间内的罐体周围设置不低于150mm的围堰，</w:t>
            </w:r>
            <w:r>
              <w:rPr>
                <w:rFonts w:hint="eastAsia" w:ascii="Times New Roman" w:hAnsi="Times New Roman" w:eastAsia="宋体" w:cs="Times New Roman"/>
                <w:b w:val="0"/>
                <w:bCs w:val="0"/>
                <w:color w:val="auto"/>
                <w:sz w:val="24"/>
                <w:szCs w:val="24"/>
                <w:highlight w:val="none"/>
                <w:u w:val="none"/>
                <w:lang w:val="en-US" w:eastAsia="zh-CN"/>
              </w:rPr>
              <w:t>车间外四周设置排污沟及围堰，围堰和排污沟采用粘土铺底+10-15cm水泥硬化+2mm厚高密度聚乙烯材料作重点防渗处理；维修间和</w:t>
            </w:r>
            <w:r>
              <w:rPr>
                <w:rFonts w:hint="eastAsia" w:cs="Times New Roman"/>
                <w:b w:val="0"/>
                <w:bCs w:val="0"/>
                <w:color w:val="auto"/>
                <w:sz w:val="24"/>
                <w:szCs w:val="24"/>
                <w:highlight w:val="none"/>
                <w:u w:val="none"/>
                <w:lang w:val="en-US" w:eastAsia="zh-CN"/>
              </w:rPr>
              <w:t>危废贮存库</w:t>
            </w:r>
            <w:r>
              <w:rPr>
                <w:rFonts w:hint="eastAsia" w:ascii="Times New Roman" w:hAnsi="Times New Roman" w:eastAsia="宋体" w:cs="Times New Roman"/>
                <w:b w:val="0"/>
                <w:bCs w:val="0"/>
                <w:color w:val="auto"/>
                <w:sz w:val="24"/>
                <w:szCs w:val="24"/>
                <w:highlight w:val="none"/>
                <w:u w:val="none"/>
                <w:lang w:val="en-US" w:eastAsia="zh-CN"/>
              </w:rPr>
              <w:t>通过地面硬化，采用混凝土砼基基础，收缩缝均采用玻纤布+沥青；四周设置排污沟及围堰，围堰和排污沟</w:t>
            </w:r>
            <w:r>
              <w:rPr>
                <w:rFonts w:hint="eastAsia" w:cs="Times New Roman"/>
                <w:b w:val="0"/>
                <w:bCs w:val="0"/>
                <w:color w:val="auto"/>
                <w:sz w:val="24"/>
                <w:szCs w:val="24"/>
                <w:highlight w:val="none"/>
                <w:u w:val="none"/>
                <w:lang w:val="en-US" w:eastAsia="zh-CN"/>
              </w:rPr>
              <w:t>采用</w:t>
            </w:r>
            <w:r>
              <w:rPr>
                <w:rFonts w:hint="eastAsia" w:ascii="Times New Roman" w:hAnsi="Times New Roman" w:eastAsia="宋体" w:cs="Times New Roman"/>
                <w:b w:val="0"/>
                <w:bCs w:val="0"/>
                <w:color w:val="auto"/>
                <w:sz w:val="24"/>
                <w:szCs w:val="24"/>
                <w:highlight w:val="none"/>
                <w:u w:val="none"/>
                <w:lang w:val="en-US" w:eastAsia="zh-CN"/>
              </w:rPr>
              <w:t>粘土铺底，再在上层铺10-15cm的水泥进行硬化，用2mm厚的高密度聚乙烯材料作防渗处理。落实上述防渗措施后，防渗系数可达到</w:t>
            </w:r>
            <w:r>
              <w:rPr>
                <w:rFonts w:hint="eastAsia"/>
                <w:bCs/>
                <w:color w:val="auto"/>
                <w:sz w:val="24"/>
                <w:szCs w:val="24"/>
                <w:highlight w:val="none"/>
                <w:u w:val="none"/>
              </w:rPr>
              <w:t>K</w:t>
            </w:r>
            <w:r>
              <w:rPr>
                <w:rFonts w:hint="eastAsia" w:ascii="Times New Roman" w:hAnsi="Times New Roman" w:eastAsia="宋体" w:cs="Times New Roman"/>
                <w:b w:val="0"/>
                <w:bCs w:val="0"/>
                <w:color w:val="auto"/>
                <w:sz w:val="24"/>
                <w:szCs w:val="24"/>
                <w:highlight w:val="none"/>
                <w:u w:val="none"/>
                <w:lang w:val="en-US" w:eastAsia="zh-CN"/>
              </w:rPr>
              <w:t>≤</w:t>
            </w:r>
            <w:r>
              <w:rPr>
                <w:rFonts w:hint="eastAsia"/>
                <w:bCs/>
                <w:color w:val="auto"/>
                <w:sz w:val="24"/>
                <w:szCs w:val="24"/>
                <w:highlight w:val="none"/>
                <w:u w:val="none"/>
              </w:rPr>
              <w:t>1.0×</w:t>
            </w:r>
            <w:r>
              <w:rPr>
                <w:rFonts w:hint="eastAsia" w:ascii="Times New Roman" w:hAnsi="Times New Roman" w:eastAsia="宋体" w:cs="Times New Roman"/>
                <w:b w:val="0"/>
                <w:bCs w:val="0"/>
                <w:color w:val="auto"/>
                <w:sz w:val="24"/>
                <w:szCs w:val="24"/>
                <w:highlight w:val="none"/>
                <w:u w:val="none"/>
                <w:lang w:val="en-US" w:eastAsia="zh-CN"/>
              </w:rPr>
              <w:t>10</w:t>
            </w:r>
            <w:r>
              <w:rPr>
                <w:rFonts w:hint="eastAsia" w:ascii="Times New Roman" w:hAnsi="Times New Roman" w:eastAsia="宋体" w:cs="Times New Roman"/>
                <w:b w:val="0"/>
                <w:bCs w:val="0"/>
                <w:color w:val="auto"/>
                <w:sz w:val="24"/>
                <w:szCs w:val="24"/>
                <w:highlight w:val="none"/>
                <w:u w:val="none"/>
                <w:vertAlign w:val="superscript"/>
                <w:lang w:val="en-US" w:eastAsia="zh-CN"/>
              </w:rPr>
              <w:t>-10</w:t>
            </w:r>
            <w:r>
              <w:rPr>
                <w:rFonts w:hint="eastAsia" w:ascii="Times New Roman" w:hAnsi="Times New Roman" w:eastAsia="宋体" w:cs="Times New Roman"/>
                <w:b w:val="0"/>
                <w:bCs w:val="0"/>
                <w:color w:val="auto"/>
                <w:sz w:val="24"/>
                <w:szCs w:val="24"/>
                <w:highlight w:val="none"/>
                <w:u w:val="none"/>
                <w:vertAlign w:val="baseline"/>
                <w:lang w:val="en-US" w:eastAsia="zh-CN"/>
              </w:rPr>
              <w:t>cm/s</w:t>
            </w:r>
            <w:r>
              <w:rPr>
                <w:rFonts w:hint="eastAsia" w:ascii="Times New Roman" w:hAnsi="Times New Roman" w:eastAsia="宋体" w:cs="Times New Roman"/>
                <w:b w:val="0"/>
                <w:bCs w:val="0"/>
                <w:color w:val="auto"/>
                <w:sz w:val="24"/>
                <w:szCs w:val="24"/>
                <w:highlight w:val="none"/>
                <w:u w:val="none"/>
                <w:lang w:val="en-US" w:eastAsia="zh-CN"/>
              </w:rPr>
              <w:t>，能够满足重点防渗要求。</w:t>
            </w:r>
          </w:p>
          <w:p w14:paraId="6B2F3186">
            <w:pPr>
              <w:adjustRightInd w:val="0"/>
              <w:snapToGrid w:val="0"/>
              <w:spacing w:line="360" w:lineRule="auto"/>
              <w:ind w:firstLine="482" w:firstLineChars="200"/>
              <w:jc w:val="left"/>
              <w:rPr>
                <w:bCs/>
                <w:color w:val="auto"/>
                <w:sz w:val="24"/>
                <w:szCs w:val="24"/>
                <w:highlight w:val="none"/>
                <w:u w:val="none"/>
              </w:rPr>
            </w:pPr>
            <w:r>
              <w:rPr>
                <w:rFonts w:hint="eastAsia"/>
                <w:b/>
                <w:bCs/>
                <w:color w:val="auto"/>
                <w:sz w:val="24"/>
                <w:szCs w:val="24"/>
                <w:highlight w:val="none"/>
                <w:u w:val="none"/>
              </w:rPr>
              <w:t>一般防渗区：</w:t>
            </w:r>
            <w:r>
              <w:rPr>
                <w:rFonts w:hint="eastAsia" w:ascii="Times New Roman" w:hAnsi="Times New Roman" w:eastAsia="宋体" w:cs="Times New Roman"/>
                <w:b w:val="0"/>
                <w:bCs w:val="0"/>
                <w:color w:val="auto"/>
                <w:sz w:val="24"/>
                <w:szCs w:val="24"/>
                <w:highlight w:val="none"/>
                <w:u w:val="none"/>
                <w:lang w:val="en-US" w:eastAsia="zh-CN"/>
              </w:rPr>
              <w:t>包括</w:t>
            </w:r>
            <w:r>
              <w:rPr>
                <w:rFonts w:hint="default" w:ascii="Times New Roman" w:hAnsi="Times New Roman" w:cs="Times New Roman"/>
                <w:bCs/>
                <w:color w:val="auto"/>
                <w:sz w:val="24"/>
                <w:szCs w:val="24"/>
                <w:highlight w:val="none"/>
                <w:u w:val="none"/>
                <w:lang w:val="en-US" w:eastAsia="zh-CN"/>
              </w:rPr>
              <w:t>备件库</w:t>
            </w:r>
            <w:r>
              <w:rPr>
                <w:rFonts w:hint="eastAsia" w:ascii="Times New Roman" w:hAnsi="Times New Roman" w:cs="Times New Roman"/>
                <w:bCs/>
                <w:color w:val="auto"/>
                <w:sz w:val="24"/>
                <w:szCs w:val="24"/>
                <w:highlight w:val="none"/>
                <w:u w:val="none"/>
                <w:lang w:val="en-US" w:eastAsia="zh-CN"/>
              </w:rPr>
              <w:t>、锅炉房水处理间以及生产车间其他区域</w:t>
            </w:r>
            <w:r>
              <w:rPr>
                <w:rFonts w:hint="eastAsia"/>
                <w:bCs/>
                <w:color w:val="auto"/>
                <w:sz w:val="24"/>
                <w:szCs w:val="24"/>
                <w:highlight w:val="none"/>
                <w:u w:val="none"/>
              </w:rPr>
              <w:t>。</w:t>
            </w:r>
            <w:r>
              <w:rPr>
                <w:rFonts w:hint="eastAsia" w:ascii="Times New Roman" w:hAnsi="Times New Roman" w:eastAsia="宋体" w:cs="Times New Roman"/>
                <w:bCs/>
                <w:color w:val="auto"/>
                <w:sz w:val="24"/>
                <w:szCs w:val="24"/>
                <w:highlight w:val="none"/>
                <w:u w:val="none"/>
                <w:lang w:val="en-US" w:eastAsia="zh-CN"/>
              </w:rPr>
              <w:t>采用抗混凝土</w:t>
            </w:r>
            <w:r>
              <w:rPr>
                <w:rFonts w:hint="eastAsia" w:cs="Times New Roman"/>
                <w:bCs/>
                <w:color w:val="auto"/>
                <w:sz w:val="24"/>
                <w:szCs w:val="24"/>
                <w:highlight w:val="none"/>
                <w:u w:val="none"/>
                <w:lang w:val="en-US" w:eastAsia="zh-CN"/>
              </w:rPr>
              <w:t>浇筑</w:t>
            </w:r>
            <w:r>
              <w:rPr>
                <w:rFonts w:hint="eastAsia" w:ascii="Times New Roman" w:hAnsi="Times New Roman" w:eastAsia="宋体" w:cs="Times New Roman"/>
                <w:bCs/>
                <w:color w:val="auto"/>
                <w:sz w:val="24"/>
                <w:szCs w:val="24"/>
                <w:highlight w:val="none"/>
                <w:u w:val="none"/>
                <w:lang w:val="en-US" w:eastAsia="zh-CN"/>
              </w:rPr>
              <w:t>硬化+抗渗混凝土防渗，达到防渗系统</w:t>
            </w:r>
            <w:r>
              <w:rPr>
                <w:rFonts w:hint="eastAsia"/>
                <w:bCs/>
                <w:color w:val="auto"/>
                <w:sz w:val="24"/>
                <w:szCs w:val="24"/>
                <w:highlight w:val="none"/>
                <w:u w:val="none"/>
              </w:rPr>
              <w:t>K≤1.0×10</w:t>
            </w:r>
            <w:r>
              <w:rPr>
                <w:rFonts w:hint="eastAsia"/>
                <w:bCs/>
                <w:color w:val="auto"/>
                <w:sz w:val="24"/>
                <w:szCs w:val="24"/>
                <w:highlight w:val="none"/>
                <w:u w:val="none"/>
                <w:vertAlign w:val="superscript"/>
              </w:rPr>
              <w:t>-7</w:t>
            </w:r>
            <w:r>
              <w:rPr>
                <w:rFonts w:hint="eastAsia"/>
                <w:bCs/>
                <w:color w:val="auto"/>
                <w:sz w:val="24"/>
                <w:szCs w:val="24"/>
                <w:highlight w:val="none"/>
                <w:u w:val="none"/>
              </w:rPr>
              <w:t>cm/s</w:t>
            </w:r>
            <w:r>
              <w:rPr>
                <w:rFonts w:hint="eastAsia"/>
                <w:bCs/>
                <w:color w:val="auto"/>
                <w:sz w:val="24"/>
                <w:szCs w:val="24"/>
                <w:highlight w:val="none"/>
                <w:u w:val="none"/>
                <w:lang w:val="en-US" w:eastAsia="zh-CN"/>
              </w:rPr>
              <w:t>的</w:t>
            </w:r>
            <w:r>
              <w:rPr>
                <w:rFonts w:hint="eastAsia"/>
                <w:bCs/>
                <w:color w:val="auto"/>
                <w:sz w:val="24"/>
                <w:szCs w:val="24"/>
                <w:highlight w:val="none"/>
                <w:u w:val="none"/>
              </w:rPr>
              <w:t>防渗要求。</w:t>
            </w:r>
          </w:p>
          <w:p w14:paraId="77DD18CE">
            <w:pPr>
              <w:spacing w:line="360" w:lineRule="auto"/>
              <w:ind w:firstLine="482" w:firstLineChars="200"/>
              <w:rPr>
                <w:color w:val="auto"/>
                <w:sz w:val="24"/>
                <w:szCs w:val="24"/>
                <w:highlight w:val="none"/>
              </w:rPr>
            </w:pPr>
            <w:r>
              <w:rPr>
                <w:rFonts w:hint="eastAsia"/>
                <w:b/>
                <w:bCs/>
                <w:color w:val="auto"/>
                <w:sz w:val="24"/>
                <w:szCs w:val="24"/>
                <w:highlight w:val="none"/>
                <w:u w:val="none"/>
              </w:rPr>
              <w:t>简单防渗区：</w:t>
            </w:r>
            <w:r>
              <w:rPr>
                <w:rFonts w:hint="eastAsia"/>
                <w:bCs/>
                <w:color w:val="auto"/>
                <w:sz w:val="24"/>
                <w:szCs w:val="24"/>
                <w:highlight w:val="none"/>
                <w:u w:val="none"/>
                <w:lang w:val="en-US" w:eastAsia="zh-CN"/>
              </w:rPr>
              <w:t>除了上述重点和一般防渗区外的硬化广场和路面区域</w:t>
            </w:r>
            <w:r>
              <w:rPr>
                <w:rFonts w:hint="eastAsia"/>
                <w:bCs/>
                <w:color w:val="auto"/>
                <w:sz w:val="24"/>
                <w:szCs w:val="24"/>
                <w:highlight w:val="none"/>
                <w:u w:val="none"/>
              </w:rPr>
              <w:t>。</w:t>
            </w:r>
            <w:r>
              <w:rPr>
                <w:rFonts w:hint="eastAsia"/>
                <w:bCs/>
                <w:color w:val="auto"/>
                <w:sz w:val="24"/>
                <w:szCs w:val="24"/>
                <w:highlight w:val="none"/>
                <w:u w:val="none"/>
                <w:lang w:val="en-US" w:eastAsia="zh-CN"/>
              </w:rPr>
              <w:t>采用</w:t>
            </w:r>
            <w:r>
              <w:rPr>
                <w:rFonts w:hint="eastAsia" w:ascii="Times New Roman" w:hAnsi="Times New Roman" w:eastAsia="宋体" w:cs="Times New Roman"/>
                <w:bCs/>
                <w:color w:val="auto"/>
                <w:sz w:val="24"/>
                <w:szCs w:val="24"/>
                <w:highlight w:val="none"/>
                <w:u w:val="none"/>
                <w:lang w:val="en-US" w:eastAsia="zh-CN"/>
              </w:rPr>
              <w:t>粘土铺底，再在上层铺10-15cm的水泥进行硬化，</w:t>
            </w:r>
            <w:r>
              <w:rPr>
                <w:rFonts w:hint="eastAsia"/>
                <w:bCs/>
                <w:color w:val="auto"/>
                <w:sz w:val="24"/>
                <w:szCs w:val="24"/>
                <w:highlight w:val="none"/>
                <w:u w:val="none"/>
              </w:rPr>
              <w:t>可满足简单防</w:t>
            </w:r>
            <w:r>
              <w:rPr>
                <w:rFonts w:hint="eastAsia"/>
                <w:bCs/>
                <w:color w:val="auto"/>
                <w:sz w:val="24"/>
                <w:szCs w:val="24"/>
                <w:highlight w:val="none"/>
              </w:rPr>
              <w:t>渗要求。</w:t>
            </w:r>
            <w:r>
              <w:rPr>
                <w:color w:val="auto"/>
                <w:kern w:val="0"/>
                <w:sz w:val="24"/>
                <w:szCs w:val="24"/>
                <w:highlight w:val="none"/>
              </w:rPr>
              <w:t>同时，地下水污染防治应加强源头控制措施，积极推行实施清洁生产，实现各类废物循环利用，减少污染物的排放量；防止污染物的跑、冒、滴、漏，将污染物泄漏的环境风险事故降到最低限度。</w:t>
            </w:r>
          </w:p>
        </w:tc>
      </w:tr>
      <w:tr w14:paraId="272E0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gridSpan w:val="3"/>
            <w:tcBorders>
              <w:top w:val="single" w:color="auto" w:sz="4" w:space="0"/>
              <w:left w:val="single" w:color="auto" w:sz="8" w:space="0"/>
              <w:bottom w:val="single" w:color="auto" w:sz="4" w:space="0"/>
              <w:right w:val="single" w:color="auto" w:sz="4" w:space="0"/>
            </w:tcBorders>
            <w:vAlign w:val="center"/>
          </w:tcPr>
          <w:p w14:paraId="177934E6">
            <w:pPr>
              <w:adjustRightInd w:val="0"/>
              <w:snapToGrid w:val="0"/>
              <w:jc w:val="center"/>
              <w:rPr>
                <w:color w:val="auto"/>
                <w:sz w:val="24"/>
                <w:szCs w:val="24"/>
                <w:highlight w:val="none"/>
              </w:rPr>
            </w:pPr>
            <w:r>
              <w:rPr>
                <w:color w:val="auto"/>
                <w:sz w:val="24"/>
                <w:szCs w:val="24"/>
                <w:highlight w:val="none"/>
              </w:rPr>
              <w:t>生态保护措施</w:t>
            </w:r>
          </w:p>
        </w:tc>
        <w:tc>
          <w:tcPr>
            <w:tcW w:w="4409" w:type="pct"/>
            <w:gridSpan w:val="4"/>
            <w:tcBorders>
              <w:top w:val="single" w:color="auto" w:sz="4" w:space="0"/>
              <w:left w:val="single" w:color="auto" w:sz="4" w:space="0"/>
              <w:bottom w:val="single" w:color="auto" w:sz="4" w:space="0"/>
              <w:right w:val="single" w:color="auto" w:sz="8" w:space="0"/>
            </w:tcBorders>
            <w:vAlign w:val="center"/>
          </w:tcPr>
          <w:p w14:paraId="3E69C2E1">
            <w:pPr>
              <w:adjustRightInd w:val="0"/>
              <w:snapToGrid w:val="0"/>
              <w:jc w:val="center"/>
              <w:rPr>
                <w:color w:val="auto"/>
                <w:sz w:val="24"/>
                <w:szCs w:val="24"/>
                <w:highlight w:val="none"/>
              </w:rPr>
            </w:pPr>
            <w:r>
              <w:rPr>
                <w:color w:val="auto"/>
                <w:sz w:val="24"/>
                <w:szCs w:val="24"/>
                <w:highlight w:val="none"/>
              </w:rPr>
              <w:t>/</w:t>
            </w:r>
          </w:p>
        </w:tc>
      </w:tr>
      <w:tr w14:paraId="6B7BD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gridSpan w:val="3"/>
            <w:tcBorders>
              <w:top w:val="single" w:color="auto" w:sz="4" w:space="0"/>
              <w:left w:val="single" w:color="auto" w:sz="8" w:space="0"/>
              <w:bottom w:val="single" w:color="auto" w:sz="4" w:space="0"/>
              <w:right w:val="single" w:color="auto" w:sz="4" w:space="0"/>
            </w:tcBorders>
            <w:vAlign w:val="center"/>
          </w:tcPr>
          <w:p w14:paraId="11139B8E">
            <w:pPr>
              <w:adjustRightInd w:val="0"/>
              <w:snapToGrid w:val="0"/>
              <w:jc w:val="center"/>
              <w:rPr>
                <w:color w:val="auto"/>
                <w:spacing w:val="-8"/>
                <w:sz w:val="24"/>
                <w:szCs w:val="24"/>
                <w:highlight w:val="none"/>
              </w:rPr>
            </w:pPr>
            <w:r>
              <w:rPr>
                <w:color w:val="auto"/>
                <w:spacing w:val="-8"/>
                <w:sz w:val="24"/>
                <w:szCs w:val="24"/>
                <w:highlight w:val="none"/>
              </w:rPr>
              <w:t>环境风险</w:t>
            </w:r>
          </w:p>
          <w:p w14:paraId="2AE5EF4E">
            <w:pPr>
              <w:adjustRightInd w:val="0"/>
              <w:snapToGrid w:val="0"/>
              <w:jc w:val="center"/>
              <w:rPr>
                <w:color w:val="auto"/>
                <w:spacing w:val="-8"/>
                <w:sz w:val="24"/>
                <w:szCs w:val="24"/>
                <w:highlight w:val="none"/>
              </w:rPr>
            </w:pPr>
            <w:r>
              <w:rPr>
                <w:color w:val="auto"/>
                <w:spacing w:val="-8"/>
                <w:sz w:val="24"/>
                <w:szCs w:val="24"/>
                <w:highlight w:val="none"/>
              </w:rPr>
              <w:t>防范措施</w:t>
            </w:r>
          </w:p>
        </w:tc>
        <w:tc>
          <w:tcPr>
            <w:tcW w:w="4409" w:type="pct"/>
            <w:gridSpan w:val="4"/>
            <w:tcBorders>
              <w:top w:val="single" w:color="auto" w:sz="4" w:space="0"/>
              <w:left w:val="single" w:color="auto" w:sz="4" w:space="0"/>
              <w:bottom w:val="single" w:color="auto" w:sz="4" w:space="0"/>
              <w:right w:val="single" w:color="auto" w:sz="8" w:space="0"/>
            </w:tcBorders>
            <w:vAlign w:val="center"/>
          </w:tcPr>
          <w:p w14:paraId="070BDB49">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1、总图布置和建筑安全防范措施</w:t>
            </w:r>
          </w:p>
          <w:p w14:paraId="1186304E">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项目总平面布置必须符合《石油化工企业设计防火规范</w:t>
            </w:r>
            <w:r>
              <w:rPr>
                <w:rFonts w:hint="eastAsia" w:cs="Times New Roman"/>
                <w:b w:val="0"/>
                <w:bCs w:val="0"/>
                <w:color w:val="auto"/>
                <w:kern w:val="2"/>
                <w:sz w:val="24"/>
                <w:szCs w:val="24"/>
                <w:highlight w:val="none"/>
                <w:u w:val="none"/>
                <w:lang w:val="en-US" w:eastAsia="zh-CN" w:bidi="ar-SA"/>
              </w:rPr>
              <w:t>》《</w:t>
            </w:r>
            <w:r>
              <w:rPr>
                <w:rFonts w:hint="eastAsia" w:ascii="Times New Roman" w:hAnsi="Times New Roman" w:eastAsia="宋体" w:cs="Times New Roman"/>
                <w:b w:val="0"/>
                <w:bCs w:val="0"/>
                <w:color w:val="auto"/>
                <w:kern w:val="2"/>
                <w:sz w:val="24"/>
                <w:szCs w:val="24"/>
                <w:highlight w:val="none"/>
                <w:u w:val="none"/>
                <w:lang w:val="en-US" w:eastAsia="zh-CN" w:bidi="ar-SA"/>
              </w:rPr>
              <w:t>建筑设计防火规范》等相关规范的要求，保证厂区内各生产装置、设备之间，各生产装置、设备与外环境保护目标之间留有足够的安全、防火距离。</w:t>
            </w:r>
          </w:p>
          <w:p w14:paraId="6157758C">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分区布置应综合考虑工艺流程顺畅的要求，使管线短捷，有利生产、方便管理。厂区内道路</w:t>
            </w:r>
            <w:r>
              <w:rPr>
                <w:rFonts w:hint="eastAsia" w:cs="Times New Roman"/>
                <w:b w:val="0"/>
                <w:bCs w:val="0"/>
                <w:color w:val="auto"/>
                <w:kern w:val="2"/>
                <w:sz w:val="24"/>
                <w:szCs w:val="24"/>
                <w:highlight w:val="none"/>
                <w:u w:val="none"/>
                <w:lang w:val="en-US" w:eastAsia="zh-CN" w:bidi="ar-SA"/>
              </w:rPr>
              <w:t>呈</w:t>
            </w:r>
            <w:r>
              <w:rPr>
                <w:rFonts w:hint="eastAsia" w:ascii="Times New Roman" w:hAnsi="Times New Roman" w:eastAsia="宋体" w:cs="Times New Roman"/>
                <w:b w:val="0"/>
                <w:bCs w:val="0"/>
                <w:color w:val="auto"/>
                <w:kern w:val="2"/>
                <w:sz w:val="24"/>
                <w:szCs w:val="24"/>
                <w:highlight w:val="none"/>
                <w:u w:val="none"/>
                <w:lang w:val="en-US" w:eastAsia="zh-CN" w:bidi="ar-SA"/>
              </w:rPr>
              <w:t>环状布置，生产装置区及罐区内外道路保持畅通，以满足工厂设备安装、检修及消防疏散的要求。罐区与周围建筑物的间距满足规范的要求。新增装置与工厂原有生产装置的间距满足规范要求。</w:t>
            </w:r>
          </w:p>
          <w:p w14:paraId="2D321651">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工艺设备布置露天化，保持良好的通风环境，防止可燃、有毒气体的聚积。对生产过程中存在易燃易爆介质的部分采取必要的防护措施，如设置机械通风、安全泄压等设施。</w:t>
            </w:r>
          </w:p>
          <w:p w14:paraId="5193B00D">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根据生产、贮存的火灾爆炸危险性确定建构筑物的结构型式、耐火等级、防火间距、建筑材料等。各生产装置区内设置完备的安全疏散及防护设施，如安全出入口、防护栏等，以利现场人员事故时紧急撤离。</w:t>
            </w:r>
          </w:p>
          <w:p w14:paraId="3593A918">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2、</w:t>
            </w:r>
            <w:r>
              <w:rPr>
                <w:rFonts w:hint="eastAsia" w:cs="Times New Roman"/>
                <w:b w:val="0"/>
                <w:bCs w:val="0"/>
                <w:color w:val="auto"/>
                <w:kern w:val="2"/>
                <w:sz w:val="24"/>
                <w:szCs w:val="24"/>
                <w:highlight w:val="none"/>
                <w:u w:val="none"/>
                <w:lang w:val="en-US" w:eastAsia="zh-CN" w:bidi="ar-SA"/>
              </w:rPr>
              <w:t>成品暂存间</w:t>
            </w:r>
            <w:r>
              <w:rPr>
                <w:rFonts w:hint="eastAsia" w:ascii="Times New Roman" w:hAnsi="Times New Roman" w:eastAsia="宋体" w:cs="Times New Roman"/>
                <w:b w:val="0"/>
                <w:bCs w:val="0"/>
                <w:color w:val="auto"/>
                <w:kern w:val="2"/>
                <w:sz w:val="24"/>
                <w:szCs w:val="24"/>
                <w:highlight w:val="none"/>
                <w:u w:val="none"/>
                <w:lang w:val="en-US" w:eastAsia="zh-CN" w:bidi="ar-SA"/>
              </w:rPr>
              <w:t>风险防范措施</w:t>
            </w:r>
          </w:p>
          <w:p w14:paraId="5125B2D0">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本次技改</w:t>
            </w:r>
            <w:r>
              <w:rPr>
                <w:rFonts w:hint="eastAsia" w:ascii="Times New Roman" w:hAnsi="Times New Roman" w:eastAsia="宋体" w:cs="Times New Roman"/>
                <w:b w:val="0"/>
                <w:bCs w:val="0"/>
                <w:color w:val="auto"/>
                <w:kern w:val="2"/>
                <w:sz w:val="24"/>
                <w:szCs w:val="24"/>
                <w:highlight w:val="none"/>
                <w:u w:val="none"/>
                <w:lang w:val="en-US" w:eastAsia="zh-CN" w:bidi="ar-SA"/>
              </w:rPr>
              <w:t>在生产车间内</w:t>
            </w:r>
            <w:r>
              <w:rPr>
                <w:rFonts w:hint="default" w:ascii="Times New Roman" w:hAnsi="Times New Roman" w:eastAsia="宋体" w:cs="Times New Roman"/>
                <w:b w:val="0"/>
                <w:bCs w:val="0"/>
                <w:color w:val="auto"/>
                <w:kern w:val="2"/>
                <w:sz w:val="24"/>
                <w:szCs w:val="24"/>
                <w:highlight w:val="none"/>
                <w:u w:val="none"/>
                <w:lang w:val="en-US" w:eastAsia="zh-CN" w:bidi="ar-SA"/>
              </w:rPr>
              <w:t>新增</w:t>
            </w:r>
            <w:r>
              <w:rPr>
                <w:rFonts w:hint="eastAsia" w:ascii="Times New Roman" w:hAnsi="Times New Roman" w:eastAsia="宋体" w:cs="Times New Roman"/>
                <w:b w:val="0"/>
                <w:bCs w:val="0"/>
                <w:color w:val="auto"/>
                <w:kern w:val="2"/>
                <w:sz w:val="24"/>
                <w:szCs w:val="24"/>
                <w:highlight w:val="none"/>
                <w:u w:val="none"/>
                <w:lang w:val="en-US" w:eastAsia="zh-CN" w:bidi="ar-SA"/>
              </w:rPr>
              <w:t>成品暂存间</w:t>
            </w:r>
            <w:r>
              <w:rPr>
                <w:rFonts w:hint="default" w:ascii="Times New Roman" w:hAnsi="Times New Roman" w:eastAsia="宋体" w:cs="Times New Roman"/>
                <w:b w:val="0"/>
                <w:bCs w:val="0"/>
                <w:color w:val="auto"/>
                <w:kern w:val="2"/>
                <w:sz w:val="24"/>
                <w:szCs w:val="24"/>
                <w:highlight w:val="none"/>
                <w:u w:val="none"/>
                <w:lang w:val="en-US" w:eastAsia="zh-CN" w:bidi="ar-SA"/>
              </w:rPr>
              <w:t>，主要进行短期储存生产装置产生的低浓度及高浓度</w:t>
            </w:r>
            <w:r>
              <w:rPr>
                <w:rFonts w:hint="eastAsia" w:ascii="Times New Roman" w:hAnsi="Times New Roman" w:eastAsia="宋体" w:cs="Times New Roman"/>
                <w:b w:val="0"/>
                <w:bCs w:val="0"/>
                <w:color w:val="auto"/>
                <w:kern w:val="2"/>
                <w:sz w:val="24"/>
                <w:szCs w:val="24"/>
                <w:highlight w:val="none"/>
                <w:u w:val="none"/>
                <w:lang w:val="en-US" w:eastAsia="zh-CN" w:bidi="ar-SA"/>
              </w:rPr>
              <w:t>三乙</w:t>
            </w:r>
            <w:r>
              <w:rPr>
                <w:rFonts w:hint="default" w:ascii="Times New Roman" w:hAnsi="Times New Roman" w:eastAsia="宋体" w:cs="Times New Roman"/>
                <w:b w:val="0"/>
                <w:bCs w:val="0"/>
                <w:color w:val="auto"/>
                <w:kern w:val="2"/>
                <w:sz w:val="24"/>
                <w:szCs w:val="24"/>
                <w:highlight w:val="none"/>
                <w:u w:val="none"/>
                <w:lang w:val="en-US" w:eastAsia="zh-CN" w:bidi="ar-SA"/>
              </w:rPr>
              <w:t>醇胺</w:t>
            </w:r>
            <w:r>
              <w:rPr>
                <w:rFonts w:hint="eastAsia" w:ascii="Times New Roman" w:hAnsi="Times New Roman" w:eastAsia="宋体" w:cs="Times New Roman"/>
                <w:b w:val="0"/>
                <w:bCs w:val="0"/>
                <w:color w:val="auto"/>
                <w:kern w:val="2"/>
                <w:sz w:val="24"/>
                <w:szCs w:val="24"/>
                <w:highlight w:val="none"/>
                <w:u w:val="none"/>
                <w:lang w:val="en-US" w:eastAsia="zh-CN" w:bidi="ar-SA"/>
              </w:rPr>
              <w:t>（N-甲基一乙醇胺）</w:t>
            </w:r>
            <w:r>
              <w:rPr>
                <w:rFonts w:hint="default" w:ascii="Times New Roman" w:hAnsi="Times New Roman" w:eastAsia="宋体" w:cs="Times New Roman"/>
                <w:b w:val="0"/>
                <w:bCs w:val="0"/>
                <w:color w:val="auto"/>
                <w:kern w:val="2"/>
                <w:sz w:val="24"/>
                <w:szCs w:val="24"/>
                <w:highlight w:val="none"/>
                <w:u w:val="none"/>
                <w:lang w:val="en-US" w:eastAsia="zh-CN" w:bidi="ar-SA"/>
              </w:rPr>
              <w:t>产品，为降低环境风险，</w:t>
            </w:r>
            <w:r>
              <w:rPr>
                <w:rFonts w:hint="eastAsia" w:ascii="Times New Roman" w:hAnsi="Times New Roman" w:eastAsia="宋体" w:cs="Times New Roman"/>
                <w:b w:val="0"/>
                <w:bCs w:val="0"/>
                <w:color w:val="auto"/>
                <w:kern w:val="2"/>
                <w:sz w:val="24"/>
                <w:szCs w:val="24"/>
                <w:highlight w:val="none"/>
                <w:u w:val="none"/>
                <w:lang w:val="en-US" w:eastAsia="zh-CN" w:bidi="ar-SA"/>
              </w:rPr>
              <w:t>暂存区</w:t>
            </w:r>
            <w:r>
              <w:rPr>
                <w:rFonts w:hint="default" w:ascii="Times New Roman" w:hAnsi="Times New Roman" w:eastAsia="宋体" w:cs="Times New Roman"/>
                <w:b w:val="0"/>
                <w:bCs w:val="0"/>
                <w:color w:val="auto"/>
                <w:kern w:val="2"/>
                <w:sz w:val="24"/>
                <w:szCs w:val="24"/>
                <w:highlight w:val="none"/>
                <w:u w:val="none"/>
                <w:lang w:val="en-US" w:eastAsia="zh-CN" w:bidi="ar-SA"/>
              </w:rPr>
              <w:t>应符合以下要求：</w:t>
            </w:r>
          </w:p>
          <w:p w14:paraId="1BCD4A7F">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（1）单独存放，有防雨、防晒设施，存放在通风良好、防火防爆的地方，并远离其他易燃易爆物质，以防止形成可燃气体。</w:t>
            </w:r>
            <w:r>
              <w:rPr>
                <w:rFonts w:hint="eastAsia" w:ascii="Times New Roman" w:hAnsi="Times New Roman" w:eastAsia="宋体" w:cs="Times New Roman"/>
                <w:b w:val="0"/>
                <w:bCs w:val="0"/>
                <w:color w:val="auto"/>
                <w:kern w:val="2"/>
                <w:sz w:val="24"/>
                <w:szCs w:val="24"/>
                <w:highlight w:val="none"/>
                <w:u w:val="none"/>
                <w:lang w:val="en-US" w:eastAsia="zh-CN" w:bidi="ar-SA"/>
              </w:rPr>
              <w:t>暂存</w:t>
            </w:r>
            <w:r>
              <w:rPr>
                <w:rFonts w:hint="default" w:ascii="Times New Roman" w:hAnsi="Times New Roman" w:eastAsia="宋体" w:cs="Times New Roman"/>
                <w:b w:val="0"/>
                <w:bCs w:val="0"/>
                <w:color w:val="auto"/>
                <w:kern w:val="2"/>
                <w:sz w:val="24"/>
                <w:szCs w:val="24"/>
                <w:highlight w:val="none"/>
                <w:u w:val="none"/>
                <w:lang w:val="en-US" w:eastAsia="zh-CN" w:bidi="ar-SA"/>
              </w:rPr>
              <w:t>区域应设有明显的安全标识和应急处理措施‌；</w:t>
            </w:r>
          </w:p>
          <w:p w14:paraId="4C5918E5">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（2）‌‌远离火种、热源，储存于干燥、通风场所，避免阳光直射和高温。</w:t>
            </w:r>
          </w:p>
          <w:p w14:paraId="57915977">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（3）应远离热源、火花、明火和强氧化剂，避免吸入粉尘、烟、气体、烟雾、蒸气、喷雾等，作业后彻底清洗皮肤，使用防护手套、防护服、防护眼罩和防护面具；</w:t>
            </w:r>
          </w:p>
          <w:p w14:paraId="7183A818">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w:t>
            </w:r>
            <w:r>
              <w:rPr>
                <w:rFonts w:hint="eastAsia" w:ascii="Times New Roman" w:hAnsi="Times New Roman" w:eastAsia="宋体" w:cs="Times New Roman"/>
                <w:b w:val="0"/>
                <w:bCs w:val="0"/>
                <w:color w:val="auto"/>
                <w:kern w:val="2"/>
                <w:sz w:val="24"/>
                <w:szCs w:val="24"/>
                <w:highlight w:val="none"/>
                <w:u w:val="none"/>
                <w:lang w:val="en-US" w:eastAsia="zh-CN" w:bidi="ar-SA"/>
              </w:rPr>
              <w:t>4</w:t>
            </w:r>
            <w:r>
              <w:rPr>
                <w:rFonts w:hint="default" w:ascii="Times New Roman" w:hAnsi="Times New Roman" w:eastAsia="宋体" w:cs="Times New Roman"/>
                <w:b w:val="0"/>
                <w:bCs w:val="0"/>
                <w:color w:val="auto"/>
                <w:kern w:val="2"/>
                <w:sz w:val="24"/>
                <w:szCs w:val="24"/>
                <w:highlight w:val="none"/>
                <w:u w:val="none"/>
                <w:lang w:val="en-US" w:eastAsia="zh-CN" w:bidi="ar-SA"/>
              </w:rPr>
              <w:t>）连接生产系统与储存罐上的各类管道定期检查，防止因磨损、腐蚀等原因发生破裂，泄漏。</w:t>
            </w:r>
          </w:p>
          <w:p w14:paraId="3656DE69">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w:t>
            </w:r>
            <w:r>
              <w:rPr>
                <w:rFonts w:hint="eastAsia" w:ascii="Times New Roman" w:hAnsi="Times New Roman" w:eastAsia="宋体" w:cs="Times New Roman"/>
                <w:b w:val="0"/>
                <w:bCs w:val="0"/>
                <w:color w:val="auto"/>
                <w:kern w:val="2"/>
                <w:sz w:val="24"/>
                <w:szCs w:val="24"/>
                <w:highlight w:val="none"/>
                <w:u w:val="none"/>
                <w:lang w:val="en-US" w:eastAsia="zh-CN" w:bidi="ar-SA"/>
              </w:rPr>
              <w:t>5</w:t>
            </w:r>
            <w:r>
              <w:rPr>
                <w:rFonts w:hint="default" w:ascii="Times New Roman" w:hAnsi="Times New Roman" w:eastAsia="宋体" w:cs="Times New Roman"/>
                <w:b w:val="0"/>
                <w:bCs w:val="0"/>
                <w:color w:val="auto"/>
                <w:kern w:val="2"/>
                <w:sz w:val="24"/>
                <w:szCs w:val="24"/>
                <w:highlight w:val="none"/>
                <w:u w:val="none"/>
                <w:lang w:val="en-US" w:eastAsia="zh-CN" w:bidi="ar-SA"/>
              </w:rPr>
              <w:t>）在</w:t>
            </w:r>
            <w:r>
              <w:rPr>
                <w:rFonts w:hint="eastAsia" w:ascii="Times New Roman" w:hAnsi="Times New Roman" w:eastAsia="宋体" w:cs="Times New Roman"/>
                <w:b w:val="0"/>
                <w:bCs w:val="0"/>
                <w:color w:val="auto"/>
                <w:kern w:val="2"/>
                <w:sz w:val="24"/>
                <w:szCs w:val="24"/>
                <w:highlight w:val="none"/>
                <w:u w:val="none"/>
                <w:lang w:val="en-US" w:eastAsia="zh-CN" w:bidi="ar-SA"/>
              </w:rPr>
              <w:t>暂存容器底部设托盘或其他防渗漏装置，四周</w:t>
            </w:r>
            <w:r>
              <w:rPr>
                <w:rFonts w:hint="default" w:ascii="Times New Roman" w:hAnsi="Times New Roman" w:eastAsia="宋体" w:cs="Times New Roman"/>
                <w:b w:val="0"/>
                <w:bCs w:val="0"/>
                <w:color w:val="auto"/>
                <w:kern w:val="2"/>
                <w:sz w:val="24"/>
                <w:szCs w:val="24"/>
                <w:highlight w:val="none"/>
                <w:u w:val="none"/>
                <w:lang w:val="en-US" w:eastAsia="zh-CN" w:bidi="ar-SA"/>
              </w:rPr>
              <w:t>建</w:t>
            </w:r>
            <w:r>
              <w:rPr>
                <w:rFonts w:hint="eastAsia" w:ascii="Times New Roman" w:hAnsi="Times New Roman" w:eastAsia="宋体" w:cs="Times New Roman"/>
                <w:b w:val="0"/>
                <w:bCs w:val="0"/>
                <w:color w:val="auto"/>
                <w:kern w:val="2"/>
                <w:sz w:val="24"/>
                <w:szCs w:val="24"/>
                <w:highlight w:val="none"/>
                <w:u w:val="none"/>
                <w:lang w:val="en-US" w:eastAsia="zh-CN" w:bidi="ar-SA"/>
              </w:rPr>
              <w:t>不低于150mm的</w:t>
            </w:r>
            <w:r>
              <w:rPr>
                <w:rFonts w:hint="default" w:ascii="Times New Roman" w:hAnsi="Times New Roman" w:eastAsia="宋体" w:cs="Times New Roman"/>
                <w:b w:val="0"/>
                <w:bCs w:val="0"/>
                <w:color w:val="auto"/>
                <w:kern w:val="2"/>
                <w:sz w:val="24"/>
                <w:szCs w:val="24"/>
                <w:highlight w:val="none"/>
                <w:u w:val="none"/>
                <w:lang w:val="en-US" w:eastAsia="zh-CN" w:bidi="ar-SA"/>
              </w:rPr>
              <w:t>围堰，</w:t>
            </w:r>
            <w:r>
              <w:rPr>
                <w:rFonts w:hint="eastAsia" w:ascii="Times New Roman" w:hAnsi="Times New Roman" w:eastAsia="宋体" w:cs="Times New Roman"/>
                <w:b w:val="0"/>
                <w:bCs w:val="0"/>
                <w:color w:val="auto"/>
                <w:kern w:val="2"/>
                <w:sz w:val="24"/>
                <w:szCs w:val="24"/>
                <w:highlight w:val="none"/>
                <w:u w:val="none"/>
                <w:lang w:val="en-US" w:eastAsia="zh-CN" w:bidi="ar-SA"/>
              </w:rPr>
              <w:t>地坪</w:t>
            </w:r>
            <w:r>
              <w:rPr>
                <w:rFonts w:hint="default" w:ascii="Times New Roman" w:hAnsi="Times New Roman" w:eastAsia="宋体" w:cs="Times New Roman"/>
                <w:b w:val="0"/>
                <w:bCs w:val="0"/>
                <w:color w:val="auto"/>
                <w:kern w:val="2"/>
                <w:sz w:val="24"/>
                <w:szCs w:val="24"/>
                <w:highlight w:val="none"/>
                <w:u w:val="none"/>
                <w:lang w:val="en-US" w:eastAsia="zh-CN" w:bidi="ar-SA"/>
              </w:rPr>
              <w:t>必须进行</w:t>
            </w:r>
            <w:r>
              <w:rPr>
                <w:rFonts w:hint="eastAsia" w:ascii="Times New Roman" w:hAnsi="Times New Roman" w:eastAsia="宋体" w:cs="Times New Roman"/>
                <w:b w:val="0"/>
                <w:bCs w:val="0"/>
                <w:color w:val="auto"/>
                <w:kern w:val="2"/>
                <w:sz w:val="24"/>
                <w:szCs w:val="24"/>
                <w:highlight w:val="none"/>
                <w:u w:val="none"/>
                <w:lang w:val="en-US" w:eastAsia="zh-CN" w:bidi="ar-SA"/>
              </w:rPr>
              <w:t>重点</w:t>
            </w:r>
            <w:r>
              <w:rPr>
                <w:rFonts w:hint="default" w:ascii="Times New Roman" w:hAnsi="Times New Roman" w:eastAsia="宋体" w:cs="Times New Roman"/>
                <w:b w:val="0"/>
                <w:bCs w:val="0"/>
                <w:color w:val="auto"/>
                <w:kern w:val="2"/>
                <w:sz w:val="24"/>
                <w:szCs w:val="24"/>
                <w:highlight w:val="none"/>
                <w:u w:val="none"/>
                <w:lang w:val="en-US" w:eastAsia="zh-CN" w:bidi="ar-SA"/>
              </w:rPr>
              <w:t>防渗处理；</w:t>
            </w:r>
          </w:p>
          <w:p w14:paraId="7484BEC2">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w:t>
            </w:r>
            <w:r>
              <w:rPr>
                <w:rFonts w:hint="eastAsia" w:ascii="Times New Roman" w:hAnsi="Times New Roman" w:eastAsia="宋体" w:cs="Times New Roman"/>
                <w:b w:val="0"/>
                <w:bCs w:val="0"/>
                <w:color w:val="auto"/>
                <w:kern w:val="2"/>
                <w:sz w:val="24"/>
                <w:szCs w:val="24"/>
                <w:highlight w:val="none"/>
                <w:u w:val="none"/>
                <w:lang w:val="en-US" w:eastAsia="zh-CN" w:bidi="ar-SA"/>
              </w:rPr>
              <w:t>6</w:t>
            </w:r>
            <w:r>
              <w:rPr>
                <w:rFonts w:hint="default" w:ascii="Times New Roman" w:hAnsi="Times New Roman" w:eastAsia="宋体" w:cs="Times New Roman"/>
                <w:b w:val="0"/>
                <w:bCs w:val="0"/>
                <w:color w:val="auto"/>
                <w:kern w:val="2"/>
                <w:sz w:val="24"/>
                <w:szCs w:val="24"/>
                <w:highlight w:val="none"/>
                <w:u w:val="none"/>
                <w:lang w:val="en-US" w:eastAsia="zh-CN" w:bidi="ar-SA"/>
              </w:rPr>
              <w:t>）配备堵漏装备和工具；</w:t>
            </w:r>
          </w:p>
          <w:p w14:paraId="5A3D76A1">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w:t>
            </w:r>
            <w:r>
              <w:rPr>
                <w:rFonts w:hint="eastAsia" w:ascii="Times New Roman" w:hAnsi="Times New Roman" w:eastAsia="宋体" w:cs="Times New Roman"/>
                <w:b w:val="0"/>
                <w:bCs w:val="0"/>
                <w:color w:val="auto"/>
                <w:kern w:val="2"/>
                <w:sz w:val="24"/>
                <w:szCs w:val="24"/>
                <w:highlight w:val="none"/>
                <w:u w:val="none"/>
                <w:lang w:val="en-US" w:eastAsia="zh-CN" w:bidi="ar-SA"/>
              </w:rPr>
              <w:t>7</w:t>
            </w:r>
            <w:r>
              <w:rPr>
                <w:rFonts w:hint="default" w:ascii="Times New Roman" w:hAnsi="Times New Roman" w:eastAsia="宋体" w:cs="Times New Roman"/>
                <w:b w:val="0"/>
                <w:bCs w:val="0"/>
                <w:color w:val="auto"/>
                <w:kern w:val="2"/>
                <w:sz w:val="24"/>
                <w:szCs w:val="24"/>
                <w:highlight w:val="none"/>
                <w:u w:val="none"/>
                <w:lang w:val="en-US" w:eastAsia="zh-CN" w:bidi="ar-SA"/>
              </w:rPr>
              <w:t>）在</w:t>
            </w:r>
            <w:r>
              <w:rPr>
                <w:rFonts w:hint="eastAsia" w:ascii="Times New Roman" w:hAnsi="Times New Roman" w:eastAsia="宋体" w:cs="Times New Roman"/>
                <w:b w:val="0"/>
                <w:bCs w:val="0"/>
                <w:color w:val="auto"/>
                <w:kern w:val="2"/>
                <w:sz w:val="24"/>
                <w:szCs w:val="24"/>
                <w:highlight w:val="none"/>
                <w:u w:val="none"/>
                <w:lang w:val="en-US" w:eastAsia="zh-CN" w:bidi="ar-SA"/>
              </w:rPr>
              <w:t>储存桶</w:t>
            </w:r>
            <w:r>
              <w:rPr>
                <w:rFonts w:hint="default" w:ascii="Times New Roman" w:hAnsi="Times New Roman" w:eastAsia="宋体" w:cs="Times New Roman"/>
                <w:b w:val="0"/>
                <w:bCs w:val="0"/>
                <w:color w:val="auto"/>
                <w:kern w:val="2"/>
                <w:sz w:val="24"/>
                <w:szCs w:val="24"/>
                <w:highlight w:val="none"/>
                <w:u w:val="none"/>
                <w:lang w:val="en-US" w:eastAsia="zh-CN" w:bidi="ar-SA"/>
              </w:rPr>
              <w:t>20m以内，严禁堆放易燃、可燃物品。</w:t>
            </w:r>
          </w:p>
          <w:p w14:paraId="0D80BE96">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3、危险化学品贮运安全防范措施</w:t>
            </w:r>
          </w:p>
          <w:p w14:paraId="62456D42">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（1）根据《危险化学品安全管理条例》及其它法规、制度和标准，建立完善的危险化学品管理制度，危险化学品取用应制定严格的收发登记制度。</w:t>
            </w:r>
          </w:p>
          <w:p w14:paraId="4AAAECBC">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（2）新上岗员工必须进行必要的安全培训和风险防范技能的考核，经考核合格后方能上岗。定期举行职工安全防范、专业技术、职业卫生防护及应急救援知识的培训教育，提高安全意识和安全操作技能水平。</w:t>
            </w:r>
          </w:p>
          <w:p w14:paraId="46B928E9">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（2）危险化学品的搬运、装卸应做到轻装、轻卸、严禁摔、碰、撞、击及拖拉，倾斜和滚动。一旦发生危险化学品的泄漏或溢出，针对可能产生的危害，应根据该化学品特性采取相应的防治措施。</w:t>
            </w:r>
          </w:p>
          <w:p w14:paraId="750DBD60">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3）各危险化学品罐区及贮存场所应设置明显的危险化学品标牌和警示标志，对贮存、使用的危险化学品应定期检查，并做好记录。进去厂区的车辆，应安装防火罩，机动车装卸化学品后，不得在罐区停放或修理，厂区内严禁吸烟和明火。</w:t>
            </w:r>
          </w:p>
          <w:p w14:paraId="58CCE3EF">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（5）危险化学品厂内输送时，要求管道地上敷设，除与阀门、仪表、设备等连接采用法兰外，其余均采用焊接，并设明显标记，管道采用双阀。</w:t>
            </w:r>
          </w:p>
          <w:p w14:paraId="352160A2">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4、设置消防及火灾报警系统</w:t>
            </w:r>
          </w:p>
          <w:p w14:paraId="55FE7175">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（1）各生产装置区、罐区以及各建筑物内均配置适量手提式和推车式干粉灭火器和CO</w:t>
            </w:r>
            <w:r>
              <w:rPr>
                <w:rFonts w:hint="eastAsia" w:ascii="Times New Roman" w:hAnsi="Times New Roman" w:eastAsia="宋体" w:cs="Times New Roman"/>
                <w:b w:val="0"/>
                <w:bCs w:val="0"/>
                <w:color w:val="auto"/>
                <w:kern w:val="2"/>
                <w:sz w:val="24"/>
                <w:szCs w:val="24"/>
                <w:highlight w:val="none"/>
                <w:u w:val="none"/>
                <w:vertAlign w:val="subscript"/>
                <w:lang w:val="en-US" w:eastAsia="zh-CN" w:bidi="ar-SA"/>
              </w:rPr>
              <w:t>2</w:t>
            </w:r>
            <w:r>
              <w:rPr>
                <w:rFonts w:hint="eastAsia" w:ascii="Times New Roman" w:hAnsi="Times New Roman" w:eastAsia="宋体" w:cs="Times New Roman"/>
                <w:b w:val="0"/>
                <w:bCs w:val="0"/>
                <w:color w:val="auto"/>
                <w:kern w:val="2"/>
                <w:sz w:val="24"/>
                <w:szCs w:val="24"/>
                <w:highlight w:val="none"/>
                <w:u w:val="none"/>
                <w:lang w:val="en-US" w:eastAsia="zh-CN" w:bidi="ar-SA"/>
              </w:rPr>
              <w:t>灭火器，用于扑灭初期火灾和小型火灾。在生产现场配备防毒面具、防护衣、护目镜、口罩、手套等个人防护用品。</w:t>
            </w:r>
          </w:p>
          <w:p w14:paraId="4448BB59">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2）生产车间要求消防水管网在生产装置区呈环状布置，在环网上设有室外地上式消火栓、阀门井，消火栓间距不超过60m。生产车间内设置固定式室内消火栓箱，消火栓间距不大于50m。生产车间内配置一定数量4kg手提式磷酸铵盐干粉灭火器和35kg推车式干粉灭火器。</w:t>
            </w:r>
          </w:p>
          <w:p w14:paraId="4DB0BB7F">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3）罐区设置固定式泡沫灭火系统，同时具有半固定式系统的功能。罐区还需设置固定式消防冷却水系统消防冷却水系统按照固定顶罐设计，冷却范围包括着火罐和距着火罐罐壁1.5倍着火罐直径范围内的相邻罐。固定式消防冷却水系统采用水喷雾系统。</w:t>
            </w:r>
          </w:p>
          <w:p w14:paraId="47563135">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5、电气、电讯安全防范措施</w:t>
            </w:r>
          </w:p>
          <w:p w14:paraId="4AE954B5">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装置区内严格按标准规范严格划分防爆区，在防爆区内选用防爆型电气设备和仪表，对高大的建构筑物、设备、储罐等采取可靠的防雷接地措施。电气设备采取可靠的接地措施。对输送、储存可燃物料的设备、管道和储罐等采取可靠的防静电接地措施。</w:t>
            </w:r>
          </w:p>
          <w:p w14:paraId="1B41EC3C">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6、废水三级防控措施</w:t>
            </w:r>
          </w:p>
          <w:p w14:paraId="2F2A00B5">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新增</w:t>
            </w:r>
            <w:r>
              <w:rPr>
                <w:rFonts w:hint="default" w:ascii="Times New Roman" w:hAnsi="Times New Roman" w:eastAsia="宋体" w:cs="Times New Roman"/>
                <w:b w:val="0"/>
                <w:bCs w:val="0"/>
                <w:color w:val="auto"/>
                <w:kern w:val="2"/>
                <w:sz w:val="24"/>
                <w:szCs w:val="24"/>
                <w:highlight w:val="none"/>
                <w:u w:val="none"/>
                <w:lang w:val="en-US" w:eastAsia="zh-CN" w:bidi="ar-SA"/>
              </w:rPr>
              <w:t>的</w:t>
            </w:r>
            <w:r>
              <w:rPr>
                <w:rFonts w:hint="eastAsia" w:ascii="Times New Roman" w:hAnsi="Times New Roman" w:eastAsia="宋体" w:cs="Times New Roman"/>
                <w:b w:val="0"/>
                <w:bCs w:val="0"/>
                <w:color w:val="auto"/>
                <w:kern w:val="2"/>
                <w:sz w:val="24"/>
                <w:szCs w:val="24"/>
                <w:highlight w:val="none"/>
                <w:u w:val="none"/>
                <w:lang w:val="en-US" w:eastAsia="zh-CN" w:bidi="ar-SA"/>
              </w:rPr>
              <w:t>生产车间</w:t>
            </w:r>
            <w:r>
              <w:rPr>
                <w:rFonts w:hint="default" w:ascii="Times New Roman" w:hAnsi="Times New Roman" w:eastAsia="宋体" w:cs="Times New Roman"/>
                <w:b w:val="0"/>
                <w:bCs w:val="0"/>
                <w:color w:val="auto"/>
                <w:kern w:val="2"/>
                <w:sz w:val="24"/>
                <w:szCs w:val="24"/>
                <w:highlight w:val="none"/>
                <w:u w:val="none"/>
                <w:lang w:val="en-US" w:eastAsia="zh-CN" w:bidi="ar-SA"/>
              </w:rPr>
              <w:t>装置区</w:t>
            </w:r>
            <w:r>
              <w:rPr>
                <w:rFonts w:hint="eastAsia" w:ascii="Times New Roman" w:hAnsi="Times New Roman" w:eastAsia="宋体" w:cs="Times New Roman"/>
                <w:b w:val="0"/>
                <w:bCs w:val="0"/>
                <w:color w:val="auto"/>
                <w:kern w:val="2"/>
                <w:sz w:val="24"/>
                <w:szCs w:val="24"/>
                <w:highlight w:val="none"/>
                <w:u w:val="none"/>
                <w:lang w:val="en-US" w:eastAsia="zh-CN" w:bidi="ar-SA"/>
              </w:rPr>
              <w:t>、灌装间、成品暂存间、危废贮存库设置围堰并做重点防渗，形成一级防控，接入现有二级（事故应急池）、三级（污水处理站）防控措施，避免废水外泄。同时制定应急预案并定期进行演练。</w:t>
            </w:r>
          </w:p>
          <w:p w14:paraId="7A489D0B">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7、危废贮存防控措施</w:t>
            </w:r>
          </w:p>
          <w:p w14:paraId="28256FD1">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eastAsia"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液态危险废物按照类别分置于防渗漏、防腐蚀的专用包装物或者密闭的容器内，暂存于液态危废暂存桶，液态危废暂存桶设置不锈钢托盘，张贴明显的警示标识和警示说明。</w:t>
            </w:r>
          </w:p>
          <w:p w14:paraId="4F936029">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详见环境风险影响专项评价报告</w:t>
            </w:r>
            <w:bookmarkStart w:id="43" w:name="_Toc18760"/>
            <w:bookmarkStart w:id="44" w:name="_Toc14497"/>
            <w:bookmarkStart w:id="45" w:name="_Toc6501"/>
            <w:r>
              <w:rPr>
                <w:rFonts w:hint="eastAsia" w:ascii="Times New Roman" w:hAnsi="Times New Roman" w:eastAsia="宋体" w:cs="Times New Roman"/>
                <w:b w:val="0"/>
                <w:bCs w:val="0"/>
                <w:color w:val="auto"/>
                <w:kern w:val="2"/>
                <w:sz w:val="24"/>
                <w:szCs w:val="24"/>
                <w:highlight w:val="none"/>
                <w:u w:val="none"/>
                <w:lang w:val="en-US" w:eastAsia="zh-CN" w:bidi="ar-SA"/>
              </w:rPr>
              <w:t>7.1</w:t>
            </w:r>
            <w:r>
              <w:rPr>
                <w:rFonts w:hint="default" w:ascii="Times New Roman" w:hAnsi="Times New Roman" w:eastAsia="宋体" w:cs="Times New Roman"/>
                <w:b w:val="0"/>
                <w:bCs w:val="0"/>
                <w:color w:val="auto"/>
                <w:kern w:val="2"/>
                <w:sz w:val="24"/>
                <w:szCs w:val="24"/>
                <w:highlight w:val="none"/>
                <w:u w:val="none"/>
                <w:lang w:val="en-US" w:eastAsia="zh-CN" w:bidi="ar-SA"/>
              </w:rPr>
              <w:t>风险防范措施</w:t>
            </w:r>
            <w:bookmarkEnd w:id="43"/>
            <w:bookmarkEnd w:id="44"/>
            <w:bookmarkEnd w:id="45"/>
            <w:r>
              <w:rPr>
                <w:rFonts w:hint="eastAsia" w:ascii="Times New Roman" w:hAnsi="Times New Roman" w:eastAsia="宋体" w:cs="Times New Roman"/>
                <w:b w:val="0"/>
                <w:bCs w:val="0"/>
                <w:color w:val="auto"/>
                <w:kern w:val="2"/>
                <w:sz w:val="24"/>
                <w:szCs w:val="24"/>
                <w:highlight w:val="none"/>
                <w:u w:val="none"/>
                <w:lang w:val="en-US" w:eastAsia="zh-CN" w:bidi="ar-SA"/>
              </w:rPr>
              <w:t>小节。</w:t>
            </w:r>
          </w:p>
        </w:tc>
      </w:tr>
      <w:tr w14:paraId="12F98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gridSpan w:val="3"/>
            <w:tcBorders>
              <w:top w:val="single" w:color="auto" w:sz="4" w:space="0"/>
              <w:left w:val="single" w:color="auto" w:sz="8" w:space="0"/>
              <w:bottom w:val="single" w:color="auto" w:sz="8" w:space="0"/>
              <w:right w:val="single" w:color="auto" w:sz="4" w:space="0"/>
            </w:tcBorders>
            <w:vAlign w:val="center"/>
          </w:tcPr>
          <w:p w14:paraId="7D38B6B5">
            <w:pPr>
              <w:adjustRightInd w:val="0"/>
              <w:snapToGrid w:val="0"/>
              <w:jc w:val="center"/>
              <w:rPr>
                <w:color w:val="auto"/>
                <w:spacing w:val="-8"/>
                <w:sz w:val="24"/>
                <w:szCs w:val="24"/>
                <w:highlight w:val="none"/>
              </w:rPr>
            </w:pPr>
            <w:r>
              <w:rPr>
                <w:color w:val="auto"/>
                <w:spacing w:val="-8"/>
                <w:sz w:val="24"/>
                <w:szCs w:val="24"/>
                <w:highlight w:val="none"/>
              </w:rPr>
              <w:t>其他环境</w:t>
            </w:r>
          </w:p>
          <w:p w14:paraId="3807A2B3">
            <w:pPr>
              <w:adjustRightInd w:val="0"/>
              <w:snapToGrid w:val="0"/>
              <w:jc w:val="center"/>
              <w:rPr>
                <w:color w:val="auto"/>
                <w:spacing w:val="-8"/>
                <w:sz w:val="24"/>
                <w:szCs w:val="24"/>
                <w:highlight w:val="none"/>
              </w:rPr>
            </w:pPr>
            <w:r>
              <w:rPr>
                <w:color w:val="auto"/>
                <w:spacing w:val="-8"/>
                <w:sz w:val="24"/>
                <w:szCs w:val="24"/>
                <w:highlight w:val="none"/>
              </w:rPr>
              <w:t>管理要求</w:t>
            </w:r>
          </w:p>
        </w:tc>
        <w:tc>
          <w:tcPr>
            <w:tcW w:w="4409" w:type="pct"/>
            <w:gridSpan w:val="4"/>
            <w:tcBorders>
              <w:top w:val="single" w:color="auto" w:sz="4" w:space="0"/>
              <w:left w:val="single" w:color="auto" w:sz="4" w:space="0"/>
              <w:bottom w:val="single" w:color="auto" w:sz="8" w:space="0"/>
              <w:right w:val="single" w:color="auto" w:sz="8" w:space="0"/>
            </w:tcBorders>
            <w:vAlign w:val="center"/>
          </w:tcPr>
          <w:p w14:paraId="7B102E15">
            <w:pPr>
              <w:spacing w:line="360" w:lineRule="auto"/>
              <w:ind w:firstLine="480" w:firstLineChars="200"/>
              <w:rPr>
                <w:color w:val="auto"/>
                <w:sz w:val="24"/>
                <w:szCs w:val="24"/>
                <w:highlight w:val="none"/>
              </w:rPr>
            </w:pPr>
            <w:r>
              <w:rPr>
                <w:color w:val="auto"/>
                <w:sz w:val="24"/>
                <w:szCs w:val="24"/>
                <w:highlight w:val="none"/>
              </w:rPr>
              <w:t>（1）排污口规范化管理</w:t>
            </w:r>
          </w:p>
          <w:p w14:paraId="348C9932">
            <w:pPr>
              <w:spacing w:line="360" w:lineRule="auto"/>
              <w:ind w:firstLine="480" w:firstLineChars="200"/>
              <w:rPr>
                <w:color w:val="auto"/>
                <w:sz w:val="24"/>
                <w:szCs w:val="24"/>
                <w:highlight w:val="none"/>
              </w:rPr>
            </w:pPr>
            <w:r>
              <w:rPr>
                <w:color w:val="auto"/>
                <w:sz w:val="24"/>
                <w:szCs w:val="24"/>
                <w:highlight w:val="none"/>
              </w:rPr>
              <w:t>根据原国家环境保护总局《关于开展排放口规范化整治工作的通知》（环发</w:t>
            </w:r>
            <w:r>
              <w:rPr>
                <w:rFonts w:hint="eastAsia"/>
                <w:color w:val="auto"/>
                <w:sz w:val="24"/>
                <w:szCs w:val="24"/>
                <w:highlight w:val="none"/>
                <w:lang w:eastAsia="zh-CN"/>
              </w:rPr>
              <w:t>〔</w:t>
            </w:r>
            <w:r>
              <w:rPr>
                <w:color w:val="auto"/>
                <w:sz w:val="24"/>
                <w:szCs w:val="24"/>
                <w:highlight w:val="none"/>
              </w:rPr>
              <w:t>1999</w:t>
            </w:r>
            <w:r>
              <w:rPr>
                <w:rFonts w:hint="eastAsia"/>
                <w:color w:val="auto"/>
                <w:sz w:val="24"/>
                <w:szCs w:val="24"/>
                <w:highlight w:val="none"/>
                <w:lang w:eastAsia="zh-CN"/>
              </w:rPr>
              <w:t>〕</w:t>
            </w:r>
            <w:r>
              <w:rPr>
                <w:color w:val="auto"/>
                <w:sz w:val="24"/>
                <w:szCs w:val="24"/>
                <w:highlight w:val="none"/>
              </w:rPr>
              <w:t>24号）及《关于废止、修改部分规章和规范性文件的决定》（总局令第33号）要求，项目污染物外排口需进行规范化设置。为了便于定量准确监测排放总量，必须规范化建设排污口，建设单位应在排放口处</w:t>
            </w:r>
            <w:r>
              <w:rPr>
                <w:rFonts w:hint="eastAsia"/>
                <w:color w:val="auto"/>
                <w:sz w:val="24"/>
                <w:szCs w:val="24"/>
                <w:highlight w:val="none"/>
              </w:rPr>
              <w:t>竖立</w:t>
            </w:r>
            <w:r>
              <w:rPr>
                <w:color w:val="auto"/>
                <w:sz w:val="24"/>
                <w:szCs w:val="24"/>
                <w:highlight w:val="none"/>
              </w:rPr>
              <w:t>或挂上排放口标志牌，牌上应注明污染物名称以警示周围群众。</w:t>
            </w:r>
          </w:p>
          <w:p w14:paraId="257C619F">
            <w:pPr>
              <w:spacing w:line="360" w:lineRule="auto"/>
              <w:ind w:firstLine="480" w:firstLineChars="200"/>
              <w:rPr>
                <w:color w:val="auto"/>
                <w:sz w:val="24"/>
                <w:szCs w:val="24"/>
                <w:highlight w:val="none"/>
              </w:rPr>
            </w:pPr>
            <w:r>
              <w:rPr>
                <w:color w:val="auto"/>
                <w:sz w:val="24"/>
                <w:szCs w:val="24"/>
                <w:highlight w:val="none"/>
              </w:rPr>
              <w:t>（2）环境保护图形标志</w:t>
            </w:r>
          </w:p>
          <w:p w14:paraId="3C88E0CF">
            <w:pPr>
              <w:spacing w:line="360" w:lineRule="auto"/>
              <w:ind w:firstLine="480" w:firstLineChars="200"/>
              <w:rPr>
                <w:color w:val="auto"/>
                <w:sz w:val="24"/>
                <w:szCs w:val="24"/>
                <w:highlight w:val="none"/>
              </w:rPr>
            </w:pPr>
            <w:r>
              <w:rPr>
                <w:color w:val="auto"/>
                <w:sz w:val="24"/>
                <w:szCs w:val="24"/>
                <w:highlight w:val="none"/>
              </w:rPr>
              <w:t>1）废水排放口、废气排放口和噪声排放源图形符号分为提示图形符号和警告图形符号两种，图形符号的设置按GB15562.1-1995执行。</w:t>
            </w:r>
          </w:p>
          <w:p w14:paraId="0B7C2678">
            <w:pPr>
              <w:spacing w:line="360" w:lineRule="auto"/>
              <w:ind w:firstLine="480" w:firstLineChars="200"/>
              <w:rPr>
                <w:color w:val="auto"/>
                <w:sz w:val="24"/>
                <w:szCs w:val="24"/>
                <w:highlight w:val="none"/>
              </w:rPr>
            </w:pPr>
            <w:r>
              <w:rPr>
                <w:color w:val="auto"/>
                <w:sz w:val="24"/>
                <w:szCs w:val="24"/>
                <w:highlight w:val="none"/>
              </w:rPr>
              <w:t>2）固体废物贮存、处置场图形符号分为提示图形符号和警告图形符号两种，图形符号的设置按GB15562.1-1995执行。</w:t>
            </w:r>
          </w:p>
          <w:p w14:paraId="4027B0AE">
            <w:pPr>
              <w:adjustRightInd w:val="0"/>
              <w:snapToGrid w:val="0"/>
              <w:spacing w:line="360" w:lineRule="auto"/>
              <w:ind w:firstLine="480" w:firstLineChars="200"/>
              <w:jc w:val="left"/>
              <w:rPr>
                <w:color w:val="auto"/>
                <w:sz w:val="24"/>
                <w:szCs w:val="24"/>
                <w:highlight w:val="none"/>
              </w:rPr>
            </w:pPr>
            <w:r>
              <w:rPr>
                <w:color w:val="auto"/>
                <w:sz w:val="24"/>
                <w:szCs w:val="24"/>
                <w:highlight w:val="none"/>
              </w:rPr>
              <w:t>（2）三同时验收</w:t>
            </w:r>
          </w:p>
          <w:p w14:paraId="3E5DC681">
            <w:pPr>
              <w:adjustRightInd w:val="0"/>
              <w:snapToGrid w:val="0"/>
              <w:spacing w:line="360" w:lineRule="auto"/>
              <w:ind w:firstLine="480" w:firstLineChars="200"/>
              <w:jc w:val="left"/>
              <w:rPr>
                <w:color w:val="auto"/>
                <w:sz w:val="24"/>
                <w:szCs w:val="24"/>
                <w:highlight w:val="none"/>
              </w:rPr>
            </w:pPr>
            <w:r>
              <w:rPr>
                <w:color w:val="auto"/>
                <w:sz w:val="24"/>
                <w:szCs w:val="24"/>
                <w:highlight w:val="none"/>
              </w:rPr>
              <w:t>根据《</w:t>
            </w:r>
            <w:r>
              <w:rPr>
                <w:rFonts w:hint="eastAsia"/>
                <w:color w:val="auto"/>
                <w:sz w:val="24"/>
                <w:szCs w:val="24"/>
                <w:highlight w:val="none"/>
                <w:lang w:eastAsia="zh-CN"/>
              </w:rPr>
              <w:t>建设项目环境保护管理条例</w:t>
            </w:r>
            <w:bookmarkStart w:id="47" w:name="_GoBack"/>
            <w:bookmarkEnd w:id="47"/>
            <w:r>
              <w:rPr>
                <w:color w:val="auto"/>
                <w:sz w:val="24"/>
                <w:szCs w:val="24"/>
                <w:highlight w:val="none"/>
              </w:rPr>
              <w:t>》（国务院令第682号）、《建设项目竣工环境保护验收暂行办法》（国环规环评</w:t>
            </w:r>
            <w:r>
              <w:rPr>
                <w:rFonts w:hint="eastAsia"/>
                <w:color w:val="auto"/>
                <w:sz w:val="24"/>
                <w:szCs w:val="24"/>
                <w:highlight w:val="none"/>
                <w:lang w:eastAsia="zh-CN"/>
              </w:rPr>
              <w:t>〔</w:t>
            </w:r>
            <w:r>
              <w:rPr>
                <w:color w:val="auto"/>
                <w:sz w:val="24"/>
                <w:szCs w:val="24"/>
                <w:highlight w:val="none"/>
              </w:rPr>
              <w:t>2017</w:t>
            </w:r>
            <w:r>
              <w:rPr>
                <w:rFonts w:hint="eastAsia"/>
                <w:color w:val="auto"/>
                <w:sz w:val="24"/>
                <w:szCs w:val="24"/>
                <w:highlight w:val="none"/>
                <w:lang w:eastAsia="zh-CN"/>
              </w:rPr>
              <w:t>〕</w:t>
            </w:r>
            <w:r>
              <w:rPr>
                <w:color w:val="auto"/>
                <w:sz w:val="24"/>
                <w:szCs w:val="24"/>
                <w:highlight w:val="none"/>
              </w:rPr>
              <w:t>4号）相关法律法规要求，建设项目竣工后须对项目配套建设的环保治理设施予以竣工验收，然后项目方可正式运行。</w:t>
            </w:r>
          </w:p>
          <w:p w14:paraId="29A8907F">
            <w:pPr>
              <w:adjustRightInd w:val="0"/>
              <w:snapToGrid w:val="0"/>
              <w:spacing w:line="360" w:lineRule="auto"/>
              <w:jc w:val="left"/>
              <w:rPr>
                <w:color w:val="auto"/>
                <w:sz w:val="24"/>
                <w:szCs w:val="24"/>
                <w:highlight w:val="none"/>
              </w:rPr>
            </w:pPr>
          </w:p>
          <w:p w14:paraId="3642F1D8">
            <w:pPr>
              <w:adjustRightInd w:val="0"/>
              <w:snapToGrid w:val="0"/>
              <w:spacing w:line="360" w:lineRule="auto"/>
              <w:jc w:val="left"/>
              <w:rPr>
                <w:color w:val="auto"/>
                <w:sz w:val="24"/>
                <w:szCs w:val="24"/>
                <w:highlight w:val="none"/>
              </w:rPr>
            </w:pPr>
          </w:p>
          <w:p w14:paraId="0ACE881E">
            <w:pPr>
              <w:adjustRightInd w:val="0"/>
              <w:snapToGrid w:val="0"/>
              <w:spacing w:line="360" w:lineRule="auto"/>
              <w:jc w:val="left"/>
              <w:rPr>
                <w:color w:val="auto"/>
                <w:sz w:val="24"/>
                <w:szCs w:val="24"/>
                <w:highlight w:val="none"/>
              </w:rPr>
            </w:pPr>
          </w:p>
          <w:p w14:paraId="11FD9B32">
            <w:pPr>
              <w:adjustRightInd w:val="0"/>
              <w:snapToGrid w:val="0"/>
              <w:spacing w:line="360" w:lineRule="auto"/>
              <w:jc w:val="left"/>
              <w:rPr>
                <w:color w:val="auto"/>
                <w:sz w:val="24"/>
                <w:szCs w:val="24"/>
                <w:highlight w:val="none"/>
              </w:rPr>
            </w:pPr>
          </w:p>
          <w:p w14:paraId="493B8FEA">
            <w:pPr>
              <w:adjustRightInd w:val="0"/>
              <w:snapToGrid w:val="0"/>
              <w:spacing w:line="360" w:lineRule="auto"/>
              <w:jc w:val="left"/>
              <w:rPr>
                <w:color w:val="auto"/>
                <w:sz w:val="24"/>
                <w:szCs w:val="24"/>
                <w:highlight w:val="none"/>
              </w:rPr>
            </w:pPr>
          </w:p>
          <w:p w14:paraId="21F95EB5">
            <w:pPr>
              <w:adjustRightInd w:val="0"/>
              <w:snapToGrid w:val="0"/>
              <w:spacing w:line="360" w:lineRule="auto"/>
              <w:jc w:val="left"/>
              <w:rPr>
                <w:color w:val="auto"/>
                <w:sz w:val="24"/>
                <w:szCs w:val="24"/>
                <w:highlight w:val="none"/>
              </w:rPr>
            </w:pPr>
          </w:p>
          <w:p w14:paraId="0CA52FB4">
            <w:pPr>
              <w:adjustRightInd w:val="0"/>
              <w:snapToGrid w:val="0"/>
              <w:spacing w:line="360" w:lineRule="auto"/>
              <w:jc w:val="left"/>
              <w:rPr>
                <w:color w:val="auto"/>
                <w:sz w:val="24"/>
                <w:szCs w:val="24"/>
                <w:highlight w:val="none"/>
              </w:rPr>
            </w:pPr>
          </w:p>
          <w:p w14:paraId="68663D3B">
            <w:pPr>
              <w:adjustRightInd w:val="0"/>
              <w:snapToGrid w:val="0"/>
              <w:spacing w:line="360" w:lineRule="auto"/>
              <w:jc w:val="left"/>
              <w:rPr>
                <w:color w:val="auto"/>
                <w:sz w:val="24"/>
                <w:szCs w:val="24"/>
                <w:highlight w:val="none"/>
              </w:rPr>
            </w:pPr>
          </w:p>
          <w:p w14:paraId="580D3840">
            <w:pPr>
              <w:adjustRightInd w:val="0"/>
              <w:snapToGrid w:val="0"/>
              <w:spacing w:line="360" w:lineRule="auto"/>
              <w:jc w:val="left"/>
              <w:rPr>
                <w:color w:val="auto"/>
                <w:sz w:val="24"/>
                <w:szCs w:val="24"/>
                <w:highlight w:val="none"/>
              </w:rPr>
            </w:pPr>
          </w:p>
          <w:p w14:paraId="252AAB38">
            <w:pPr>
              <w:adjustRightInd w:val="0"/>
              <w:snapToGrid w:val="0"/>
              <w:spacing w:line="360" w:lineRule="auto"/>
              <w:jc w:val="left"/>
              <w:rPr>
                <w:color w:val="auto"/>
                <w:sz w:val="24"/>
                <w:szCs w:val="24"/>
                <w:highlight w:val="none"/>
              </w:rPr>
            </w:pPr>
          </w:p>
          <w:p w14:paraId="1F91E5C9">
            <w:pPr>
              <w:adjustRightInd w:val="0"/>
              <w:snapToGrid w:val="0"/>
              <w:spacing w:line="360" w:lineRule="auto"/>
              <w:jc w:val="left"/>
              <w:rPr>
                <w:color w:val="auto"/>
                <w:sz w:val="24"/>
                <w:szCs w:val="24"/>
                <w:highlight w:val="none"/>
              </w:rPr>
            </w:pPr>
          </w:p>
          <w:p w14:paraId="4C353DEE">
            <w:pPr>
              <w:adjustRightInd w:val="0"/>
              <w:snapToGrid w:val="0"/>
              <w:spacing w:line="360" w:lineRule="auto"/>
              <w:jc w:val="left"/>
              <w:rPr>
                <w:color w:val="auto"/>
                <w:sz w:val="24"/>
                <w:szCs w:val="24"/>
                <w:highlight w:val="none"/>
              </w:rPr>
            </w:pPr>
          </w:p>
          <w:p w14:paraId="3602F7F7">
            <w:pPr>
              <w:adjustRightInd w:val="0"/>
              <w:snapToGrid w:val="0"/>
              <w:spacing w:line="360" w:lineRule="auto"/>
              <w:jc w:val="left"/>
              <w:rPr>
                <w:color w:val="auto"/>
                <w:sz w:val="24"/>
                <w:szCs w:val="24"/>
                <w:highlight w:val="none"/>
              </w:rPr>
            </w:pPr>
          </w:p>
          <w:p w14:paraId="79B0791F">
            <w:pPr>
              <w:adjustRightInd w:val="0"/>
              <w:snapToGrid w:val="0"/>
              <w:spacing w:line="360" w:lineRule="auto"/>
              <w:jc w:val="left"/>
              <w:rPr>
                <w:color w:val="auto"/>
                <w:sz w:val="24"/>
                <w:szCs w:val="24"/>
                <w:highlight w:val="none"/>
              </w:rPr>
            </w:pPr>
          </w:p>
          <w:p w14:paraId="74AD5E5E">
            <w:pPr>
              <w:adjustRightInd w:val="0"/>
              <w:snapToGrid w:val="0"/>
              <w:spacing w:line="360" w:lineRule="auto"/>
              <w:jc w:val="left"/>
              <w:rPr>
                <w:color w:val="auto"/>
                <w:sz w:val="24"/>
                <w:szCs w:val="24"/>
                <w:highlight w:val="none"/>
              </w:rPr>
            </w:pPr>
          </w:p>
          <w:p w14:paraId="5A8D10F7">
            <w:pPr>
              <w:adjustRightInd w:val="0"/>
              <w:snapToGrid w:val="0"/>
              <w:spacing w:line="360" w:lineRule="auto"/>
              <w:jc w:val="left"/>
              <w:rPr>
                <w:color w:val="auto"/>
                <w:sz w:val="24"/>
                <w:szCs w:val="24"/>
                <w:highlight w:val="none"/>
              </w:rPr>
            </w:pPr>
          </w:p>
          <w:p w14:paraId="4918CF9B">
            <w:pPr>
              <w:adjustRightInd w:val="0"/>
              <w:snapToGrid w:val="0"/>
              <w:spacing w:line="360" w:lineRule="auto"/>
              <w:jc w:val="left"/>
              <w:rPr>
                <w:color w:val="auto"/>
                <w:sz w:val="24"/>
                <w:szCs w:val="24"/>
                <w:highlight w:val="none"/>
              </w:rPr>
            </w:pPr>
          </w:p>
          <w:p w14:paraId="0B0D9612">
            <w:pPr>
              <w:adjustRightInd w:val="0"/>
              <w:snapToGrid w:val="0"/>
              <w:spacing w:line="360" w:lineRule="auto"/>
              <w:jc w:val="left"/>
              <w:rPr>
                <w:color w:val="auto"/>
                <w:sz w:val="24"/>
                <w:szCs w:val="24"/>
                <w:highlight w:val="none"/>
              </w:rPr>
            </w:pPr>
          </w:p>
          <w:p w14:paraId="05F0DD50">
            <w:pPr>
              <w:adjustRightInd w:val="0"/>
              <w:snapToGrid w:val="0"/>
              <w:spacing w:line="360" w:lineRule="auto"/>
              <w:jc w:val="left"/>
              <w:rPr>
                <w:color w:val="auto"/>
                <w:sz w:val="24"/>
                <w:szCs w:val="24"/>
                <w:highlight w:val="none"/>
              </w:rPr>
            </w:pPr>
          </w:p>
        </w:tc>
      </w:tr>
    </w:tbl>
    <w:p w14:paraId="55ADFAC7">
      <w:pPr>
        <w:pageBreakBefore/>
        <w:widowControl/>
        <w:spacing w:before="100" w:beforeAutospacing="1" w:after="100" w:afterAutospacing="1"/>
        <w:jc w:val="center"/>
        <w:outlineLvl w:val="0"/>
        <w:rPr>
          <w:b/>
          <w:snapToGrid w:val="0"/>
          <w:color w:val="auto"/>
          <w:kern w:val="0"/>
          <w:sz w:val="30"/>
          <w:szCs w:val="30"/>
          <w:highlight w:val="none"/>
        </w:rPr>
      </w:pPr>
      <w:bookmarkStart w:id="46" w:name="_Toc70265313"/>
      <w:r>
        <w:rPr>
          <w:b/>
          <w:snapToGrid w:val="0"/>
          <w:color w:val="auto"/>
          <w:kern w:val="0"/>
          <w:sz w:val="30"/>
          <w:szCs w:val="30"/>
          <w:highlight w:val="none"/>
        </w:rPr>
        <w:t>六、结论</w:t>
      </w:r>
      <w:bookmarkEnd w:id="46"/>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E7A6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25223D4">
            <w:pPr>
              <w:spacing w:line="360" w:lineRule="auto"/>
              <w:ind w:firstLine="480"/>
              <w:rPr>
                <w:color w:val="auto"/>
                <w:sz w:val="24"/>
                <w:highlight w:val="none"/>
              </w:rPr>
            </w:pPr>
            <w:r>
              <w:rPr>
                <w:b/>
                <w:color w:val="auto"/>
                <w:sz w:val="24"/>
                <w:highlight w:val="none"/>
              </w:rPr>
              <w:t>本项目建设符合国家现行的产业政策，符合当地相关规划，选址合理，项目的污染物排放通过采取相应的环境保护对策措施可以实现达标排放、满足总量控制要求，所采用的环保措施技术经济合理可行，项目实施后不会对区域地表水、环境空气、声学环境产生明显不利影响，环境风险可控，可接受。项目建设无明显环境制约因素，只要落实本报告提出的环保对策措施，从环境保护的角度分析，项目在拟选址建设是可行的。</w:t>
            </w:r>
          </w:p>
        </w:tc>
      </w:tr>
    </w:tbl>
    <w:p w14:paraId="2DD38471">
      <w:pPr>
        <w:spacing w:line="360" w:lineRule="auto"/>
        <w:outlineLvl w:val="0"/>
        <w:rPr>
          <w:rFonts w:eastAsia="黑体"/>
          <w:color w:val="auto"/>
          <w:sz w:val="30"/>
          <w:highlight w:val="none"/>
        </w:rPr>
        <w:sectPr>
          <w:pgSz w:w="11906" w:h="16838"/>
          <w:pgMar w:top="1440" w:right="1080" w:bottom="1440" w:left="1080" w:header="851" w:footer="1077" w:gutter="0"/>
          <w:pgNumType w:fmt="decimal"/>
          <w:cols w:space="720" w:num="1"/>
          <w:docGrid w:linePitch="312" w:charSpace="0"/>
        </w:sectPr>
      </w:pPr>
    </w:p>
    <w:p w14:paraId="5898D607">
      <w:pPr>
        <w:pageBreakBefore/>
        <w:widowControl/>
        <w:spacing w:before="100" w:beforeAutospacing="1" w:after="100" w:afterAutospacing="1"/>
        <w:jc w:val="left"/>
        <w:outlineLvl w:val="0"/>
        <w:rPr>
          <w:b w:val="0"/>
          <w:bCs/>
          <w:snapToGrid w:val="0"/>
          <w:color w:val="auto"/>
          <w:kern w:val="0"/>
          <w:sz w:val="30"/>
          <w:szCs w:val="30"/>
          <w:highlight w:val="none"/>
        </w:rPr>
      </w:pPr>
      <w:r>
        <w:rPr>
          <w:b/>
          <w:snapToGrid w:val="0"/>
          <w:color w:val="auto"/>
          <w:kern w:val="0"/>
          <w:sz w:val="30"/>
          <w:szCs w:val="30"/>
          <w:highlight w:val="none"/>
        </w:rPr>
        <w:t>附表</w:t>
      </w:r>
    </w:p>
    <w:p w14:paraId="0802CBCB">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eastAsia="方正小标宋_GBK"/>
          <w:snapToGrid w:val="0"/>
          <w:color w:val="auto"/>
          <w:sz w:val="38"/>
          <w:szCs w:val="38"/>
          <w:highlight w:val="none"/>
        </w:rPr>
      </w:pPr>
      <w:r>
        <w:rPr>
          <w:rFonts w:hint="eastAsia" w:ascii="宋体" w:hAnsi="宋体" w:eastAsia="宋体" w:cs="宋体"/>
          <w:b w:val="0"/>
          <w:bCs w:val="0"/>
          <w:snapToGrid w:val="0"/>
          <w:color w:val="auto"/>
          <w:sz w:val="38"/>
          <w:szCs w:val="38"/>
          <w:highlight w:val="none"/>
        </w:rPr>
        <w:t>建设项目污染物排放量汇总表</w:t>
      </w:r>
      <w:r>
        <w:rPr>
          <w:rFonts w:hint="eastAsia" w:ascii="Times New Roman" w:hAnsi="Times New Roman" w:eastAsia="方正小标宋_GBK"/>
          <w:snapToGrid w:val="0"/>
          <w:color w:val="auto"/>
          <w:szCs w:val="24"/>
          <w:highlight w:val="none"/>
        </w:rPr>
        <w:t>单位：t/a</w:t>
      </w:r>
    </w:p>
    <w:tbl>
      <w:tblPr>
        <w:tblStyle w:val="27"/>
        <w:tblpPr w:leftFromText="180" w:rightFromText="180" w:vertAnchor="text" w:tblpY="1"/>
        <w:tblOverlap w:val="never"/>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2895"/>
        <w:gridCol w:w="1515"/>
        <w:gridCol w:w="1200"/>
        <w:gridCol w:w="1410"/>
        <w:gridCol w:w="1500"/>
        <w:gridCol w:w="1304"/>
        <w:gridCol w:w="1587"/>
        <w:gridCol w:w="1198"/>
      </w:tblGrid>
      <w:tr w14:paraId="5A37A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179" w:type="dxa"/>
            <w:tcBorders>
              <w:tl2br w:val="single" w:color="auto" w:sz="4" w:space="0"/>
            </w:tcBorders>
            <w:tcMar>
              <w:left w:w="28" w:type="dxa"/>
              <w:right w:w="28" w:type="dxa"/>
            </w:tcMar>
            <w:vAlign w:val="center"/>
          </w:tcPr>
          <w:p w14:paraId="2A902A78">
            <w:pPr>
              <w:pStyle w:val="48"/>
              <w:spacing w:beforeLines="0" w:afterLines="0" w:line="240" w:lineRule="auto"/>
              <w:jc w:val="righ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项目</w:t>
            </w:r>
          </w:p>
          <w:p w14:paraId="3CE61751">
            <w:pPr>
              <w:pStyle w:val="48"/>
              <w:spacing w:beforeLines="0" w:afterLines="0" w:line="240" w:lineRule="auto"/>
              <w:jc w:val="lef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分类</w:t>
            </w:r>
          </w:p>
        </w:tc>
        <w:tc>
          <w:tcPr>
            <w:tcW w:w="2895" w:type="dxa"/>
            <w:tcMar>
              <w:left w:w="28" w:type="dxa"/>
              <w:right w:w="28" w:type="dxa"/>
            </w:tcMar>
            <w:vAlign w:val="center"/>
          </w:tcPr>
          <w:p w14:paraId="3F5807D7">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污染物名称</w:t>
            </w:r>
          </w:p>
        </w:tc>
        <w:tc>
          <w:tcPr>
            <w:tcW w:w="1515" w:type="dxa"/>
            <w:tcMar>
              <w:left w:w="28" w:type="dxa"/>
              <w:right w:w="28" w:type="dxa"/>
            </w:tcMar>
            <w:vAlign w:val="center"/>
          </w:tcPr>
          <w:p w14:paraId="178F6686">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2B901897">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1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①</w:t>
            </w:r>
            <w:r>
              <w:rPr>
                <w:rFonts w:ascii="Times New Roman" w:eastAsia="黑体"/>
                <w:snapToGrid w:val="0"/>
                <w:color w:val="auto"/>
                <w:spacing w:val="-6"/>
                <w:kern w:val="21"/>
                <w:szCs w:val="21"/>
                <w:highlight w:val="none"/>
              </w:rPr>
              <w:fldChar w:fldCharType="end"/>
            </w:r>
          </w:p>
        </w:tc>
        <w:tc>
          <w:tcPr>
            <w:tcW w:w="1200" w:type="dxa"/>
            <w:tcMar>
              <w:left w:w="28" w:type="dxa"/>
              <w:right w:w="28" w:type="dxa"/>
            </w:tcMar>
            <w:vAlign w:val="center"/>
          </w:tcPr>
          <w:p w14:paraId="5961A3EB">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14CC76C7">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许可排放量</w:t>
            </w:r>
          </w:p>
          <w:p w14:paraId="620E099A">
            <w:pPr>
              <w:pStyle w:val="48"/>
              <w:spacing w:beforeLines="0" w:afterLines="0"/>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2 \* GB3 \* MERGEFORMAT </w:instrText>
            </w:r>
            <w:r>
              <w:rPr>
                <w:rFonts w:ascii="Times New Roman" w:eastAsia="黑体"/>
                <w:snapToGrid w:val="0"/>
                <w:color w:val="auto"/>
                <w:spacing w:val="-6"/>
                <w:kern w:val="21"/>
                <w:szCs w:val="21"/>
                <w:highlight w:val="none"/>
              </w:rPr>
              <w:fldChar w:fldCharType="separate"/>
            </w:r>
            <w:r>
              <w:rPr>
                <w:rFonts w:hint="eastAsia" w:hAnsi="宋体" w:cs="宋体"/>
                <w:snapToGrid w:val="0"/>
                <w:color w:val="auto"/>
                <w:spacing w:val="-6"/>
                <w:kern w:val="21"/>
                <w:szCs w:val="21"/>
                <w:highlight w:val="none"/>
              </w:rPr>
              <w:t>②</w:t>
            </w:r>
            <w:r>
              <w:rPr>
                <w:rFonts w:ascii="Times New Roman" w:eastAsia="黑体"/>
                <w:snapToGrid w:val="0"/>
                <w:color w:val="auto"/>
                <w:spacing w:val="-6"/>
                <w:kern w:val="21"/>
                <w:szCs w:val="21"/>
                <w:highlight w:val="none"/>
              </w:rPr>
              <w:fldChar w:fldCharType="end"/>
            </w:r>
          </w:p>
        </w:tc>
        <w:tc>
          <w:tcPr>
            <w:tcW w:w="1410" w:type="dxa"/>
            <w:tcMar>
              <w:left w:w="28" w:type="dxa"/>
              <w:right w:w="28" w:type="dxa"/>
            </w:tcMar>
            <w:vAlign w:val="center"/>
          </w:tcPr>
          <w:p w14:paraId="094667E2">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在建工程</w:t>
            </w:r>
          </w:p>
          <w:p w14:paraId="30311B28">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3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③</w:t>
            </w:r>
            <w:r>
              <w:rPr>
                <w:rFonts w:ascii="Times New Roman" w:eastAsia="黑体"/>
                <w:snapToGrid w:val="0"/>
                <w:color w:val="auto"/>
                <w:spacing w:val="-6"/>
                <w:kern w:val="21"/>
                <w:szCs w:val="21"/>
                <w:highlight w:val="none"/>
              </w:rPr>
              <w:fldChar w:fldCharType="end"/>
            </w:r>
          </w:p>
        </w:tc>
        <w:tc>
          <w:tcPr>
            <w:tcW w:w="1500" w:type="dxa"/>
            <w:tcMar>
              <w:left w:w="28" w:type="dxa"/>
              <w:right w:w="28" w:type="dxa"/>
            </w:tcMar>
            <w:vAlign w:val="center"/>
          </w:tcPr>
          <w:p w14:paraId="3EBB3D0D">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本项目</w:t>
            </w:r>
          </w:p>
          <w:p w14:paraId="6A3872C7">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4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④</w:t>
            </w:r>
            <w:r>
              <w:rPr>
                <w:rFonts w:ascii="Times New Roman" w:eastAsia="黑体"/>
                <w:snapToGrid w:val="0"/>
                <w:color w:val="auto"/>
                <w:spacing w:val="-6"/>
                <w:kern w:val="21"/>
                <w:szCs w:val="21"/>
                <w:highlight w:val="none"/>
              </w:rPr>
              <w:fldChar w:fldCharType="end"/>
            </w:r>
          </w:p>
        </w:tc>
        <w:tc>
          <w:tcPr>
            <w:tcW w:w="1304" w:type="dxa"/>
            <w:tcMar>
              <w:left w:w="28" w:type="dxa"/>
              <w:right w:w="28" w:type="dxa"/>
            </w:tcMar>
            <w:vAlign w:val="center"/>
          </w:tcPr>
          <w:p w14:paraId="5665F163">
            <w:pPr>
              <w:pStyle w:val="48"/>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以新带老削减量</w:t>
            </w:r>
          </w:p>
          <w:p w14:paraId="1FD72AD1">
            <w:pPr>
              <w:pStyle w:val="48"/>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（新建项目不填）</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5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⑤</w:t>
            </w:r>
            <w:r>
              <w:rPr>
                <w:rFonts w:ascii="Times New Roman" w:eastAsia="黑体"/>
                <w:snapToGrid w:val="0"/>
                <w:color w:val="auto"/>
                <w:spacing w:val="-16"/>
                <w:kern w:val="21"/>
                <w:szCs w:val="21"/>
                <w:highlight w:val="none"/>
              </w:rPr>
              <w:fldChar w:fldCharType="end"/>
            </w:r>
          </w:p>
        </w:tc>
        <w:tc>
          <w:tcPr>
            <w:tcW w:w="1587" w:type="dxa"/>
            <w:tcMar>
              <w:left w:w="28" w:type="dxa"/>
              <w:right w:w="28" w:type="dxa"/>
            </w:tcMar>
            <w:vAlign w:val="center"/>
          </w:tcPr>
          <w:p w14:paraId="0FB39D00">
            <w:pPr>
              <w:pStyle w:val="48"/>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本项目建成后</w:t>
            </w:r>
          </w:p>
          <w:p w14:paraId="349E1A6E">
            <w:pPr>
              <w:pStyle w:val="48"/>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全厂排放量（固体废物产生量）</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6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⑥</w:t>
            </w:r>
            <w:r>
              <w:rPr>
                <w:rFonts w:ascii="Times New Roman" w:eastAsia="黑体"/>
                <w:snapToGrid w:val="0"/>
                <w:color w:val="auto"/>
                <w:spacing w:val="-16"/>
                <w:kern w:val="21"/>
                <w:szCs w:val="21"/>
                <w:highlight w:val="none"/>
              </w:rPr>
              <w:fldChar w:fldCharType="end"/>
            </w:r>
          </w:p>
        </w:tc>
        <w:tc>
          <w:tcPr>
            <w:tcW w:w="1198" w:type="dxa"/>
            <w:tcMar>
              <w:left w:w="28" w:type="dxa"/>
              <w:right w:w="28" w:type="dxa"/>
            </w:tcMar>
            <w:vAlign w:val="center"/>
          </w:tcPr>
          <w:p w14:paraId="5BCE6E95">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变化量</w:t>
            </w:r>
          </w:p>
          <w:p w14:paraId="7813B20F">
            <w:pPr>
              <w:pStyle w:val="4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7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⑦</w:t>
            </w:r>
            <w:r>
              <w:rPr>
                <w:rFonts w:ascii="Times New Roman" w:eastAsia="黑体"/>
                <w:snapToGrid w:val="0"/>
                <w:color w:val="auto"/>
                <w:spacing w:val="-6"/>
                <w:kern w:val="21"/>
                <w:szCs w:val="21"/>
                <w:highlight w:val="none"/>
              </w:rPr>
              <w:fldChar w:fldCharType="end"/>
            </w:r>
          </w:p>
        </w:tc>
      </w:tr>
      <w:tr w14:paraId="7151F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1179" w:type="dxa"/>
            <w:vMerge w:val="restart"/>
            <w:vAlign w:val="center"/>
          </w:tcPr>
          <w:p w14:paraId="5B420784">
            <w:pPr>
              <w:adjustRightInd w:val="0"/>
              <w:snapToGrid w:val="0"/>
              <w:jc w:val="center"/>
              <w:rPr>
                <w:snapToGrid w:val="0"/>
                <w:color w:val="auto"/>
                <w:kern w:val="21"/>
                <w:szCs w:val="21"/>
                <w:highlight w:val="none"/>
              </w:rPr>
            </w:pPr>
            <w:r>
              <w:rPr>
                <w:snapToGrid w:val="0"/>
                <w:color w:val="auto"/>
                <w:kern w:val="21"/>
                <w:szCs w:val="21"/>
                <w:highlight w:val="none"/>
              </w:rPr>
              <w:t>废气</w:t>
            </w:r>
          </w:p>
        </w:tc>
        <w:tc>
          <w:tcPr>
            <w:tcW w:w="2895" w:type="dxa"/>
            <w:vAlign w:val="center"/>
          </w:tcPr>
          <w:p w14:paraId="4A0BCCF8">
            <w:pPr>
              <w:jc w:val="center"/>
              <w:rPr>
                <w:rFonts w:ascii="宋体" w:cs="宋体"/>
                <w:color w:val="auto"/>
                <w:sz w:val="24"/>
                <w:highlight w:val="none"/>
              </w:rPr>
            </w:pPr>
            <w:r>
              <w:rPr>
                <w:rFonts w:hint="eastAsia"/>
                <w:color w:val="auto"/>
                <w:highlight w:val="none"/>
              </w:rPr>
              <w:t>颗粒物</w:t>
            </w:r>
          </w:p>
        </w:tc>
        <w:tc>
          <w:tcPr>
            <w:tcW w:w="1515" w:type="dxa"/>
            <w:vAlign w:val="center"/>
          </w:tcPr>
          <w:p w14:paraId="188474C0">
            <w:pPr>
              <w:keepNext w:val="0"/>
              <w:keepLines w:val="0"/>
              <w:widowControl/>
              <w:suppressLineNumbers w:val="0"/>
              <w:jc w:val="center"/>
              <w:textAlignment w:val="center"/>
              <w:rPr>
                <w:rFonts w:hint="default"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0.21</w:t>
            </w:r>
          </w:p>
        </w:tc>
        <w:tc>
          <w:tcPr>
            <w:tcW w:w="1200" w:type="dxa"/>
            <w:vAlign w:val="center"/>
          </w:tcPr>
          <w:p w14:paraId="5C074A9C">
            <w:pPr>
              <w:keepNext w:val="0"/>
              <w:keepLines w:val="0"/>
              <w:widowControl/>
              <w:suppressLineNumbers w:val="0"/>
              <w:jc w:val="center"/>
              <w:textAlignment w:val="center"/>
              <w:rPr>
                <w:color w:val="auto"/>
                <w:highlight w:val="none"/>
              </w:rPr>
            </w:pPr>
            <w:r>
              <w:rPr>
                <w:rFonts w:hint="eastAsia" w:cs="Times New Roman"/>
                <w:i w:val="0"/>
                <w:iCs w:val="0"/>
                <w:color w:val="auto"/>
                <w:kern w:val="0"/>
                <w:sz w:val="21"/>
                <w:szCs w:val="21"/>
                <w:highlight w:val="none"/>
                <w:u w:val="none"/>
                <w:lang w:val="en-US" w:eastAsia="zh-CN" w:bidi="ar"/>
              </w:rPr>
              <w:t>/</w:t>
            </w:r>
          </w:p>
        </w:tc>
        <w:tc>
          <w:tcPr>
            <w:tcW w:w="1410" w:type="dxa"/>
            <w:vAlign w:val="center"/>
          </w:tcPr>
          <w:p w14:paraId="528C2284">
            <w:pPr>
              <w:widowControl/>
              <w:jc w:val="center"/>
              <w:textAlignment w:val="center"/>
              <w:rPr>
                <w:color w:val="auto"/>
                <w:highlight w:val="none"/>
              </w:rPr>
            </w:pPr>
            <w:r>
              <w:rPr>
                <w:color w:val="auto"/>
                <w:kern w:val="0"/>
                <w:szCs w:val="21"/>
                <w:highlight w:val="none"/>
                <w:lang w:bidi="ar"/>
              </w:rPr>
              <w:t>/</w:t>
            </w:r>
          </w:p>
        </w:tc>
        <w:tc>
          <w:tcPr>
            <w:tcW w:w="1500" w:type="dxa"/>
            <w:vAlign w:val="center"/>
          </w:tcPr>
          <w:p w14:paraId="254EE83D">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cs="Times New Roman"/>
                <w:i w:val="0"/>
                <w:iCs w:val="0"/>
                <w:color w:val="auto"/>
                <w:kern w:val="0"/>
                <w:sz w:val="21"/>
                <w:szCs w:val="21"/>
                <w:highlight w:val="none"/>
                <w:u w:val="none"/>
                <w:lang w:val="en-US" w:eastAsia="zh-CN" w:bidi="ar"/>
              </w:rPr>
              <w:t>0</w:t>
            </w:r>
          </w:p>
        </w:tc>
        <w:tc>
          <w:tcPr>
            <w:tcW w:w="1304" w:type="dxa"/>
            <w:vAlign w:val="center"/>
          </w:tcPr>
          <w:p w14:paraId="6696B1D0">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5250AE9D">
            <w:pPr>
              <w:keepNext w:val="0"/>
              <w:keepLines w:val="0"/>
              <w:widowControl/>
              <w:suppressLineNumbers w:val="0"/>
              <w:jc w:val="center"/>
              <w:textAlignment w:val="center"/>
              <w:rPr>
                <w:rFonts w:hint="default"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0.21</w:t>
            </w:r>
          </w:p>
        </w:tc>
        <w:tc>
          <w:tcPr>
            <w:tcW w:w="1198" w:type="dxa"/>
            <w:vAlign w:val="center"/>
          </w:tcPr>
          <w:p w14:paraId="5B848606">
            <w:pPr>
              <w:keepNext w:val="0"/>
              <w:keepLines w:val="0"/>
              <w:widowControl/>
              <w:suppressLineNumbers w:val="0"/>
              <w:jc w:val="center"/>
              <w:textAlignment w:val="center"/>
              <w:rPr>
                <w:rFonts w:hint="eastAsia" w:eastAsia="宋体"/>
                <w:snapToGrid w:val="0"/>
                <w:color w:val="auto"/>
                <w:kern w:val="21"/>
                <w:szCs w:val="21"/>
                <w:highlight w:val="none"/>
                <w:lang w:eastAsia="zh-CN"/>
              </w:rPr>
            </w:pPr>
            <w:r>
              <w:rPr>
                <w:rFonts w:hint="eastAsia" w:cs="Times New Roman"/>
                <w:i w:val="0"/>
                <w:iCs w:val="0"/>
                <w:color w:val="auto"/>
                <w:kern w:val="0"/>
                <w:sz w:val="21"/>
                <w:szCs w:val="21"/>
                <w:highlight w:val="none"/>
                <w:u w:val="none"/>
                <w:lang w:val="en-US" w:eastAsia="zh-CN" w:bidi="ar"/>
              </w:rPr>
              <w:t>0</w:t>
            </w:r>
          </w:p>
        </w:tc>
      </w:tr>
      <w:tr w14:paraId="63B3A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179" w:type="dxa"/>
            <w:vMerge w:val="continue"/>
            <w:vAlign w:val="center"/>
          </w:tcPr>
          <w:p w14:paraId="2043B428">
            <w:pPr>
              <w:adjustRightInd w:val="0"/>
              <w:snapToGrid w:val="0"/>
              <w:jc w:val="center"/>
              <w:rPr>
                <w:snapToGrid w:val="0"/>
                <w:color w:val="auto"/>
                <w:kern w:val="21"/>
                <w:szCs w:val="21"/>
                <w:highlight w:val="none"/>
              </w:rPr>
            </w:pPr>
          </w:p>
        </w:tc>
        <w:tc>
          <w:tcPr>
            <w:tcW w:w="2895" w:type="dxa"/>
            <w:vAlign w:val="center"/>
          </w:tcPr>
          <w:p w14:paraId="5ED41173">
            <w:pPr>
              <w:jc w:val="center"/>
              <w:rPr>
                <w:rFonts w:ascii="宋体" w:cs="宋体"/>
                <w:snapToGrid w:val="0"/>
                <w:color w:val="auto"/>
                <w:kern w:val="21"/>
                <w:sz w:val="24"/>
                <w:szCs w:val="21"/>
                <w:highlight w:val="none"/>
              </w:rPr>
            </w:pPr>
            <w:r>
              <w:rPr>
                <w:color w:val="auto"/>
                <w:highlight w:val="none"/>
              </w:rPr>
              <w:t>SO</w:t>
            </w:r>
            <w:r>
              <w:rPr>
                <w:color w:val="auto"/>
                <w:highlight w:val="none"/>
                <w:vertAlign w:val="subscript"/>
              </w:rPr>
              <w:t>2</w:t>
            </w:r>
          </w:p>
        </w:tc>
        <w:tc>
          <w:tcPr>
            <w:tcW w:w="1515" w:type="dxa"/>
            <w:vAlign w:val="center"/>
          </w:tcPr>
          <w:p w14:paraId="4BC54CD0">
            <w:pPr>
              <w:keepNext w:val="0"/>
              <w:keepLines w:val="0"/>
              <w:widowControl/>
              <w:suppressLineNumbers w:val="0"/>
              <w:jc w:val="center"/>
              <w:textAlignment w:val="center"/>
              <w:rPr>
                <w:rFonts w:hint="default"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0.034</w:t>
            </w:r>
          </w:p>
        </w:tc>
        <w:tc>
          <w:tcPr>
            <w:tcW w:w="1200" w:type="dxa"/>
            <w:vAlign w:val="center"/>
          </w:tcPr>
          <w:p w14:paraId="7519B7A6">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410" w:type="dxa"/>
            <w:vAlign w:val="center"/>
          </w:tcPr>
          <w:p w14:paraId="20C281DB">
            <w:pPr>
              <w:widowControl/>
              <w:jc w:val="center"/>
              <w:textAlignment w:val="center"/>
              <w:rPr>
                <w:snapToGrid w:val="0"/>
                <w:color w:val="auto"/>
                <w:kern w:val="21"/>
                <w:szCs w:val="21"/>
                <w:highlight w:val="none"/>
              </w:rPr>
            </w:pPr>
            <w:r>
              <w:rPr>
                <w:color w:val="auto"/>
                <w:kern w:val="0"/>
                <w:szCs w:val="21"/>
                <w:highlight w:val="none"/>
                <w:lang w:bidi="ar"/>
              </w:rPr>
              <w:t>/</w:t>
            </w:r>
          </w:p>
        </w:tc>
        <w:tc>
          <w:tcPr>
            <w:tcW w:w="1500" w:type="dxa"/>
            <w:vAlign w:val="center"/>
          </w:tcPr>
          <w:p w14:paraId="1829F07A">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304" w:type="dxa"/>
            <w:vAlign w:val="center"/>
          </w:tcPr>
          <w:p w14:paraId="37115105">
            <w:pPr>
              <w:keepNext w:val="0"/>
              <w:keepLines w:val="0"/>
              <w:widowControl/>
              <w:suppressLineNumbers w:val="0"/>
              <w:jc w:val="center"/>
              <w:textAlignment w:val="center"/>
              <w:rPr>
                <w:snapToGrid w:val="0"/>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43A7C40C">
            <w:pPr>
              <w:keepNext w:val="0"/>
              <w:keepLines w:val="0"/>
              <w:widowControl/>
              <w:suppressLineNumbers w:val="0"/>
              <w:jc w:val="center"/>
              <w:textAlignment w:val="center"/>
              <w:rPr>
                <w:snapToGrid w:val="0"/>
                <w:color w:val="auto"/>
                <w:kern w:val="21"/>
                <w:sz w:val="21"/>
                <w:szCs w:val="21"/>
                <w:highlight w:val="none"/>
              </w:rPr>
            </w:pPr>
            <w:r>
              <w:rPr>
                <w:rFonts w:hint="eastAsia"/>
                <w:snapToGrid w:val="0"/>
                <w:color w:val="auto"/>
                <w:kern w:val="21"/>
                <w:sz w:val="21"/>
                <w:szCs w:val="21"/>
                <w:highlight w:val="none"/>
                <w:lang w:val="en-US" w:eastAsia="zh-CN"/>
              </w:rPr>
              <w:t>0.034</w:t>
            </w:r>
          </w:p>
        </w:tc>
        <w:tc>
          <w:tcPr>
            <w:tcW w:w="1198" w:type="dxa"/>
            <w:vAlign w:val="center"/>
          </w:tcPr>
          <w:p w14:paraId="4B74EB0D">
            <w:pPr>
              <w:keepNext w:val="0"/>
              <w:keepLines w:val="0"/>
              <w:widowControl/>
              <w:suppressLineNumbers w:val="0"/>
              <w:jc w:val="center"/>
              <w:textAlignment w:val="center"/>
              <w:rPr>
                <w:rFonts w:hint="eastAsia" w:eastAsia="宋体"/>
                <w:snapToGrid w:val="0"/>
                <w:color w:val="auto"/>
                <w:kern w:val="21"/>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3AE78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79" w:type="dxa"/>
            <w:vMerge w:val="continue"/>
            <w:vAlign w:val="center"/>
          </w:tcPr>
          <w:p w14:paraId="3DC6FC78">
            <w:pPr>
              <w:adjustRightInd w:val="0"/>
              <w:snapToGrid w:val="0"/>
              <w:jc w:val="center"/>
              <w:rPr>
                <w:snapToGrid w:val="0"/>
                <w:color w:val="auto"/>
                <w:kern w:val="21"/>
                <w:szCs w:val="21"/>
                <w:highlight w:val="none"/>
              </w:rPr>
            </w:pPr>
          </w:p>
        </w:tc>
        <w:tc>
          <w:tcPr>
            <w:tcW w:w="2895" w:type="dxa"/>
            <w:vAlign w:val="center"/>
          </w:tcPr>
          <w:p w14:paraId="616CEAE5">
            <w:pPr>
              <w:jc w:val="center"/>
              <w:rPr>
                <w:rFonts w:ascii="宋体" w:cs="宋体"/>
                <w:snapToGrid w:val="0"/>
                <w:color w:val="auto"/>
                <w:kern w:val="21"/>
                <w:sz w:val="24"/>
                <w:szCs w:val="21"/>
                <w:highlight w:val="none"/>
              </w:rPr>
            </w:pPr>
            <w:r>
              <w:rPr>
                <w:color w:val="auto"/>
                <w:highlight w:val="none"/>
              </w:rPr>
              <w:t>NO</w:t>
            </w:r>
            <w:r>
              <w:rPr>
                <w:color w:val="auto"/>
                <w:highlight w:val="none"/>
                <w:vertAlign w:val="subscript"/>
              </w:rPr>
              <w:t>x</w:t>
            </w:r>
          </w:p>
        </w:tc>
        <w:tc>
          <w:tcPr>
            <w:tcW w:w="1515" w:type="dxa"/>
            <w:vAlign w:val="center"/>
          </w:tcPr>
          <w:p w14:paraId="63F71334">
            <w:pPr>
              <w:keepNext w:val="0"/>
              <w:keepLines w:val="0"/>
              <w:widowControl/>
              <w:suppressLineNumbers w:val="0"/>
              <w:jc w:val="center"/>
              <w:textAlignment w:val="center"/>
              <w:rPr>
                <w:rFonts w:hint="default"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0.324</w:t>
            </w:r>
          </w:p>
        </w:tc>
        <w:tc>
          <w:tcPr>
            <w:tcW w:w="1200" w:type="dxa"/>
            <w:vAlign w:val="center"/>
          </w:tcPr>
          <w:p w14:paraId="392E473E">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1410" w:type="dxa"/>
            <w:vAlign w:val="center"/>
          </w:tcPr>
          <w:p w14:paraId="2F5F373D">
            <w:pPr>
              <w:widowControl/>
              <w:jc w:val="center"/>
              <w:textAlignment w:val="center"/>
              <w:rPr>
                <w:snapToGrid w:val="0"/>
                <w:color w:val="auto"/>
                <w:kern w:val="21"/>
                <w:szCs w:val="21"/>
                <w:highlight w:val="none"/>
              </w:rPr>
            </w:pPr>
            <w:r>
              <w:rPr>
                <w:color w:val="auto"/>
                <w:kern w:val="0"/>
                <w:szCs w:val="21"/>
                <w:highlight w:val="none"/>
                <w:lang w:bidi="ar"/>
              </w:rPr>
              <w:t>/</w:t>
            </w:r>
          </w:p>
        </w:tc>
        <w:tc>
          <w:tcPr>
            <w:tcW w:w="1500" w:type="dxa"/>
            <w:vAlign w:val="center"/>
          </w:tcPr>
          <w:p w14:paraId="5A98AD55">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w:t>
            </w:r>
          </w:p>
        </w:tc>
        <w:tc>
          <w:tcPr>
            <w:tcW w:w="1304" w:type="dxa"/>
            <w:vAlign w:val="center"/>
          </w:tcPr>
          <w:p w14:paraId="007D1ACD">
            <w:pPr>
              <w:keepNext w:val="0"/>
              <w:keepLines w:val="0"/>
              <w:widowControl/>
              <w:suppressLineNumbers w:val="0"/>
              <w:jc w:val="center"/>
              <w:textAlignment w:val="center"/>
              <w:rPr>
                <w:snapToGrid w:val="0"/>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6096EB84">
            <w:pPr>
              <w:keepNext w:val="0"/>
              <w:keepLines w:val="0"/>
              <w:widowControl/>
              <w:suppressLineNumbers w:val="0"/>
              <w:jc w:val="center"/>
              <w:textAlignment w:val="center"/>
              <w:rPr>
                <w:color w:val="auto"/>
                <w:sz w:val="21"/>
                <w:szCs w:val="21"/>
                <w:highlight w:val="none"/>
              </w:rPr>
            </w:pPr>
            <w:r>
              <w:rPr>
                <w:rFonts w:hint="eastAsia"/>
                <w:snapToGrid w:val="0"/>
                <w:color w:val="auto"/>
                <w:kern w:val="21"/>
                <w:sz w:val="21"/>
                <w:szCs w:val="21"/>
                <w:highlight w:val="none"/>
                <w:lang w:val="en-US" w:eastAsia="zh-CN"/>
              </w:rPr>
              <w:t>0.324</w:t>
            </w:r>
          </w:p>
        </w:tc>
        <w:tc>
          <w:tcPr>
            <w:tcW w:w="1198" w:type="dxa"/>
            <w:vAlign w:val="center"/>
          </w:tcPr>
          <w:p w14:paraId="4DA41633">
            <w:pPr>
              <w:keepNext w:val="0"/>
              <w:keepLines w:val="0"/>
              <w:widowControl/>
              <w:suppressLineNumbers w:val="0"/>
              <w:jc w:val="center"/>
              <w:textAlignment w:val="center"/>
              <w:rPr>
                <w:rFonts w:hint="eastAsia" w:eastAsia="宋体"/>
                <w:snapToGrid w:val="0"/>
                <w:color w:val="auto"/>
                <w:kern w:val="21"/>
                <w:sz w:val="21"/>
                <w:szCs w:val="21"/>
                <w:highlight w:val="none"/>
                <w:lang w:eastAsia="zh-CN"/>
              </w:rPr>
            </w:pPr>
            <w:r>
              <w:rPr>
                <w:rFonts w:hint="eastAsia" w:cs="Times New Roman"/>
                <w:i w:val="0"/>
                <w:iCs w:val="0"/>
                <w:color w:val="auto"/>
                <w:kern w:val="0"/>
                <w:sz w:val="21"/>
                <w:szCs w:val="21"/>
                <w:highlight w:val="none"/>
                <w:u w:val="none"/>
                <w:lang w:val="en-US" w:eastAsia="zh-CN" w:bidi="ar"/>
              </w:rPr>
              <w:t>0</w:t>
            </w:r>
          </w:p>
        </w:tc>
      </w:tr>
      <w:tr w14:paraId="46775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79" w:type="dxa"/>
            <w:vMerge w:val="continue"/>
            <w:vAlign w:val="center"/>
          </w:tcPr>
          <w:p w14:paraId="26650C68">
            <w:pPr>
              <w:adjustRightInd w:val="0"/>
              <w:snapToGrid w:val="0"/>
              <w:jc w:val="center"/>
              <w:rPr>
                <w:snapToGrid w:val="0"/>
                <w:color w:val="auto"/>
                <w:kern w:val="21"/>
                <w:szCs w:val="21"/>
                <w:highlight w:val="none"/>
              </w:rPr>
            </w:pPr>
          </w:p>
        </w:tc>
        <w:tc>
          <w:tcPr>
            <w:tcW w:w="2895" w:type="dxa"/>
            <w:vAlign w:val="center"/>
          </w:tcPr>
          <w:p w14:paraId="61E77B82">
            <w:pPr>
              <w:jc w:val="center"/>
              <w:rPr>
                <w:bCs/>
                <w:color w:val="auto"/>
                <w:szCs w:val="21"/>
                <w:highlight w:val="none"/>
              </w:rPr>
            </w:pPr>
            <w:r>
              <w:rPr>
                <w:rFonts w:hint="eastAsia"/>
                <w:color w:val="auto"/>
                <w:highlight w:val="none"/>
              </w:rPr>
              <w:t>VOCs</w:t>
            </w:r>
          </w:p>
        </w:tc>
        <w:tc>
          <w:tcPr>
            <w:tcW w:w="1515" w:type="dxa"/>
            <w:vAlign w:val="center"/>
          </w:tcPr>
          <w:p w14:paraId="7E4AEA15">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6.808</w:t>
            </w:r>
          </w:p>
        </w:tc>
        <w:tc>
          <w:tcPr>
            <w:tcW w:w="1200" w:type="dxa"/>
            <w:vAlign w:val="center"/>
          </w:tcPr>
          <w:p w14:paraId="4419AB47">
            <w:pPr>
              <w:keepNext w:val="0"/>
              <w:keepLines w:val="0"/>
              <w:widowControl/>
              <w:suppressLineNumbers w:val="0"/>
              <w:jc w:val="center"/>
              <w:textAlignment w:val="center"/>
              <w:rPr>
                <w:rFonts w:hint="default"/>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1410" w:type="dxa"/>
            <w:vAlign w:val="center"/>
          </w:tcPr>
          <w:p w14:paraId="15AC1562">
            <w:pPr>
              <w:widowControl/>
              <w:jc w:val="center"/>
              <w:textAlignment w:val="center"/>
              <w:rPr>
                <w:snapToGrid w:val="0"/>
                <w:color w:val="auto"/>
                <w:kern w:val="21"/>
                <w:szCs w:val="21"/>
                <w:highlight w:val="none"/>
              </w:rPr>
            </w:pPr>
            <w:r>
              <w:rPr>
                <w:color w:val="auto"/>
                <w:kern w:val="0"/>
                <w:szCs w:val="21"/>
                <w:highlight w:val="none"/>
                <w:lang w:bidi="ar"/>
              </w:rPr>
              <w:t>/</w:t>
            </w:r>
          </w:p>
        </w:tc>
        <w:tc>
          <w:tcPr>
            <w:tcW w:w="1500" w:type="dxa"/>
            <w:vAlign w:val="center"/>
          </w:tcPr>
          <w:p w14:paraId="57865722">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cs="Times New Roman"/>
                <w:i w:val="0"/>
                <w:iCs w:val="0"/>
                <w:color w:val="auto"/>
                <w:kern w:val="0"/>
                <w:sz w:val="21"/>
                <w:szCs w:val="21"/>
                <w:highlight w:val="none"/>
                <w:u w:val="none"/>
                <w:lang w:val="en-US" w:eastAsia="zh-CN" w:bidi="ar"/>
              </w:rPr>
              <w:t>0.909</w:t>
            </w:r>
          </w:p>
        </w:tc>
        <w:tc>
          <w:tcPr>
            <w:tcW w:w="1304" w:type="dxa"/>
            <w:vAlign w:val="center"/>
          </w:tcPr>
          <w:p w14:paraId="1E16E786">
            <w:pPr>
              <w:widowControl/>
              <w:jc w:val="center"/>
              <w:textAlignment w:val="center"/>
              <w:rPr>
                <w:color w:val="auto"/>
                <w:szCs w:val="21"/>
                <w:highlight w:val="none"/>
              </w:rPr>
            </w:pPr>
            <w:r>
              <w:rPr>
                <w:color w:val="auto"/>
                <w:kern w:val="0"/>
                <w:szCs w:val="21"/>
                <w:highlight w:val="none"/>
                <w:lang w:bidi="ar"/>
              </w:rPr>
              <w:t>/</w:t>
            </w:r>
          </w:p>
        </w:tc>
        <w:tc>
          <w:tcPr>
            <w:tcW w:w="1587" w:type="dxa"/>
            <w:vAlign w:val="center"/>
          </w:tcPr>
          <w:p w14:paraId="21F1DE2E">
            <w:pPr>
              <w:keepNext w:val="0"/>
              <w:keepLines w:val="0"/>
              <w:widowControl/>
              <w:suppressLineNumbers w:val="0"/>
              <w:jc w:val="center"/>
              <w:textAlignment w:val="center"/>
              <w:rPr>
                <w:rFonts w:hint="default"/>
                <w:color w:val="auto"/>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7.71</w:t>
            </w:r>
            <w:r>
              <w:rPr>
                <w:rFonts w:hint="eastAsia" w:cs="Times New Roman"/>
                <w:i w:val="0"/>
                <w:iCs w:val="0"/>
                <w:color w:val="auto"/>
                <w:kern w:val="0"/>
                <w:sz w:val="21"/>
                <w:szCs w:val="21"/>
                <w:highlight w:val="none"/>
                <w:u w:val="none"/>
                <w:lang w:val="en-US" w:eastAsia="zh-CN" w:bidi="ar"/>
              </w:rPr>
              <w:t>7</w:t>
            </w:r>
          </w:p>
        </w:tc>
        <w:tc>
          <w:tcPr>
            <w:tcW w:w="1198" w:type="dxa"/>
            <w:vAlign w:val="center"/>
          </w:tcPr>
          <w:p w14:paraId="55568BB8">
            <w:pPr>
              <w:keepNext w:val="0"/>
              <w:keepLines w:val="0"/>
              <w:widowControl/>
              <w:suppressLineNumbers w:val="0"/>
              <w:jc w:val="center"/>
              <w:textAlignment w:val="center"/>
              <w:rPr>
                <w:rFonts w:hint="default" w:eastAsia="宋体"/>
                <w:snapToGrid w:val="0"/>
                <w:color w:val="auto"/>
                <w:kern w:val="21"/>
                <w:szCs w:val="21"/>
                <w:highlight w:val="none"/>
                <w:lang w:val="en-US" w:eastAsia="zh-CN"/>
              </w:rPr>
            </w:pPr>
            <w:r>
              <w:rPr>
                <w:rFonts w:hint="default" w:cs="Times New Roman"/>
                <w:i w:val="0"/>
                <w:iCs w:val="0"/>
                <w:color w:val="auto"/>
                <w:kern w:val="0"/>
                <w:sz w:val="21"/>
                <w:szCs w:val="21"/>
                <w:highlight w:val="none"/>
                <w:u w:val="none"/>
                <w:lang w:val="en-US" w:eastAsia="zh-CN" w:bidi="ar"/>
              </w:rPr>
              <w:t>+0.909</w:t>
            </w:r>
          </w:p>
        </w:tc>
      </w:tr>
      <w:tr w14:paraId="0427E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79" w:type="dxa"/>
            <w:vMerge w:val="restart"/>
            <w:vAlign w:val="center"/>
          </w:tcPr>
          <w:p w14:paraId="73AB4F3E">
            <w:pPr>
              <w:adjustRightInd w:val="0"/>
              <w:snapToGrid w:val="0"/>
              <w:jc w:val="center"/>
              <w:rPr>
                <w:snapToGrid w:val="0"/>
                <w:color w:val="auto"/>
                <w:kern w:val="21"/>
                <w:szCs w:val="21"/>
                <w:highlight w:val="none"/>
              </w:rPr>
            </w:pPr>
            <w:r>
              <w:rPr>
                <w:snapToGrid w:val="0"/>
                <w:color w:val="auto"/>
                <w:kern w:val="21"/>
                <w:szCs w:val="21"/>
                <w:highlight w:val="none"/>
              </w:rPr>
              <w:t>废水</w:t>
            </w:r>
          </w:p>
        </w:tc>
        <w:tc>
          <w:tcPr>
            <w:tcW w:w="2895" w:type="dxa"/>
            <w:vAlign w:val="center"/>
          </w:tcPr>
          <w:p w14:paraId="6E699C14">
            <w:pPr>
              <w:adjustRightInd w:val="0"/>
              <w:snapToGrid w:val="0"/>
              <w:jc w:val="center"/>
              <w:rPr>
                <w:snapToGrid w:val="0"/>
                <w:color w:val="auto"/>
                <w:kern w:val="21"/>
                <w:szCs w:val="21"/>
                <w:highlight w:val="none"/>
              </w:rPr>
            </w:pPr>
            <w:r>
              <w:rPr>
                <w:snapToGrid w:val="0"/>
                <w:color w:val="auto"/>
                <w:kern w:val="21"/>
                <w:szCs w:val="21"/>
                <w:highlight w:val="none"/>
              </w:rPr>
              <w:t>COD</w:t>
            </w:r>
          </w:p>
        </w:tc>
        <w:tc>
          <w:tcPr>
            <w:tcW w:w="1515" w:type="dxa"/>
            <w:vAlign w:val="center"/>
          </w:tcPr>
          <w:p w14:paraId="46E2D5DB">
            <w:pPr>
              <w:widowControl/>
              <w:jc w:val="center"/>
              <w:textAlignment w:val="center"/>
              <w:rPr>
                <w:rFonts w:hint="default" w:eastAsia="宋体"/>
                <w:color w:val="auto"/>
                <w:highlight w:val="none"/>
                <w:lang w:val="en-US" w:eastAsia="zh-CN"/>
              </w:rPr>
            </w:pPr>
            <w:r>
              <w:rPr>
                <w:rFonts w:hint="eastAsia"/>
                <w:color w:val="auto"/>
                <w:kern w:val="0"/>
                <w:szCs w:val="21"/>
                <w:highlight w:val="none"/>
                <w:lang w:val="en-US" w:eastAsia="zh-CN" w:bidi="ar"/>
              </w:rPr>
              <w:t>4.635</w:t>
            </w:r>
          </w:p>
        </w:tc>
        <w:tc>
          <w:tcPr>
            <w:tcW w:w="1200" w:type="dxa"/>
            <w:vAlign w:val="center"/>
          </w:tcPr>
          <w:p w14:paraId="3968D3A6">
            <w:pPr>
              <w:keepNext w:val="0"/>
              <w:keepLines w:val="0"/>
              <w:widowControl/>
              <w:suppressLineNumbers w:val="0"/>
              <w:jc w:val="center"/>
              <w:textAlignment w:val="center"/>
              <w:rPr>
                <w:rFonts w:hint="default"/>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4.635</w:t>
            </w:r>
          </w:p>
        </w:tc>
        <w:tc>
          <w:tcPr>
            <w:tcW w:w="1410" w:type="dxa"/>
            <w:vAlign w:val="center"/>
          </w:tcPr>
          <w:p w14:paraId="2ED2EC26">
            <w:pPr>
              <w:widowControl/>
              <w:jc w:val="center"/>
              <w:textAlignment w:val="center"/>
              <w:rPr>
                <w:color w:val="auto"/>
                <w:sz w:val="21"/>
                <w:szCs w:val="21"/>
                <w:highlight w:val="none"/>
              </w:rPr>
            </w:pPr>
            <w:r>
              <w:rPr>
                <w:color w:val="auto"/>
                <w:kern w:val="0"/>
                <w:sz w:val="21"/>
                <w:szCs w:val="21"/>
                <w:highlight w:val="none"/>
                <w:lang w:bidi="ar"/>
              </w:rPr>
              <w:t>/</w:t>
            </w:r>
          </w:p>
        </w:tc>
        <w:tc>
          <w:tcPr>
            <w:tcW w:w="1500" w:type="dxa"/>
            <w:vAlign w:val="center"/>
          </w:tcPr>
          <w:p w14:paraId="424ABB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304" w:type="dxa"/>
            <w:vAlign w:val="center"/>
          </w:tcPr>
          <w:p w14:paraId="120C86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63DC22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6.135</w:t>
            </w:r>
          </w:p>
        </w:tc>
        <w:tc>
          <w:tcPr>
            <w:tcW w:w="1198" w:type="dxa"/>
            <w:vAlign w:val="center"/>
          </w:tcPr>
          <w:p w14:paraId="66EF8B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1.5</w:t>
            </w:r>
          </w:p>
        </w:tc>
      </w:tr>
      <w:tr w14:paraId="36C2D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179" w:type="dxa"/>
            <w:vMerge w:val="continue"/>
            <w:vAlign w:val="center"/>
          </w:tcPr>
          <w:p w14:paraId="50EB87A9">
            <w:pPr>
              <w:adjustRightInd w:val="0"/>
              <w:snapToGrid w:val="0"/>
              <w:jc w:val="center"/>
              <w:rPr>
                <w:snapToGrid w:val="0"/>
                <w:color w:val="auto"/>
                <w:kern w:val="21"/>
                <w:szCs w:val="21"/>
                <w:highlight w:val="none"/>
              </w:rPr>
            </w:pPr>
          </w:p>
        </w:tc>
        <w:tc>
          <w:tcPr>
            <w:tcW w:w="2895" w:type="dxa"/>
            <w:vAlign w:val="center"/>
          </w:tcPr>
          <w:p w14:paraId="6B5C9E41">
            <w:pPr>
              <w:adjustRightInd w:val="0"/>
              <w:snapToGrid w:val="0"/>
              <w:jc w:val="center"/>
              <w:rPr>
                <w:snapToGrid w:val="0"/>
                <w:color w:val="auto"/>
                <w:kern w:val="21"/>
                <w:szCs w:val="21"/>
                <w:highlight w:val="none"/>
              </w:rPr>
            </w:pPr>
            <w:r>
              <w:rPr>
                <w:snapToGrid w:val="0"/>
                <w:color w:val="auto"/>
                <w:kern w:val="21"/>
                <w:szCs w:val="21"/>
                <w:highlight w:val="none"/>
              </w:rPr>
              <w:t>NH</w:t>
            </w:r>
            <w:r>
              <w:rPr>
                <w:snapToGrid w:val="0"/>
                <w:color w:val="auto"/>
                <w:kern w:val="21"/>
                <w:szCs w:val="21"/>
                <w:highlight w:val="none"/>
                <w:vertAlign w:val="subscript"/>
              </w:rPr>
              <w:t>3</w:t>
            </w:r>
            <w:r>
              <w:rPr>
                <w:snapToGrid w:val="0"/>
                <w:color w:val="auto"/>
                <w:kern w:val="21"/>
                <w:szCs w:val="21"/>
                <w:highlight w:val="none"/>
              </w:rPr>
              <w:t>-N</w:t>
            </w:r>
          </w:p>
        </w:tc>
        <w:tc>
          <w:tcPr>
            <w:tcW w:w="1515" w:type="dxa"/>
            <w:vAlign w:val="center"/>
          </w:tcPr>
          <w:p w14:paraId="6CF18F39">
            <w:pPr>
              <w:widowControl/>
              <w:jc w:val="center"/>
              <w:textAlignment w:val="center"/>
              <w:rPr>
                <w:rFonts w:hint="default" w:eastAsia="宋体"/>
                <w:color w:val="auto"/>
                <w:highlight w:val="none"/>
                <w:lang w:val="en-US" w:eastAsia="zh-CN"/>
              </w:rPr>
            </w:pPr>
            <w:r>
              <w:rPr>
                <w:rFonts w:hint="eastAsia"/>
                <w:color w:val="auto"/>
                <w:kern w:val="0"/>
                <w:szCs w:val="21"/>
                <w:highlight w:val="none"/>
                <w:lang w:val="en-US" w:eastAsia="zh-CN" w:bidi="ar"/>
              </w:rPr>
              <w:t>0.417</w:t>
            </w:r>
          </w:p>
        </w:tc>
        <w:tc>
          <w:tcPr>
            <w:tcW w:w="1200" w:type="dxa"/>
            <w:vAlign w:val="center"/>
          </w:tcPr>
          <w:p w14:paraId="28212E1F">
            <w:pPr>
              <w:keepNext w:val="0"/>
              <w:keepLines w:val="0"/>
              <w:widowControl/>
              <w:suppressLineNumbers w:val="0"/>
              <w:jc w:val="center"/>
              <w:textAlignment w:val="center"/>
              <w:rPr>
                <w:rFonts w:hint="default"/>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0.417</w:t>
            </w:r>
          </w:p>
        </w:tc>
        <w:tc>
          <w:tcPr>
            <w:tcW w:w="1410" w:type="dxa"/>
            <w:vAlign w:val="center"/>
          </w:tcPr>
          <w:p w14:paraId="6817D3FC">
            <w:pPr>
              <w:widowControl/>
              <w:jc w:val="center"/>
              <w:textAlignment w:val="center"/>
              <w:rPr>
                <w:color w:val="auto"/>
                <w:sz w:val="21"/>
                <w:szCs w:val="21"/>
                <w:highlight w:val="none"/>
              </w:rPr>
            </w:pPr>
            <w:r>
              <w:rPr>
                <w:color w:val="auto"/>
                <w:kern w:val="0"/>
                <w:sz w:val="21"/>
                <w:szCs w:val="21"/>
                <w:highlight w:val="none"/>
                <w:lang w:bidi="ar"/>
              </w:rPr>
              <w:t>/</w:t>
            </w:r>
          </w:p>
        </w:tc>
        <w:tc>
          <w:tcPr>
            <w:tcW w:w="1500" w:type="dxa"/>
            <w:vAlign w:val="center"/>
          </w:tcPr>
          <w:p w14:paraId="12A20F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0.214</w:t>
            </w:r>
          </w:p>
        </w:tc>
        <w:tc>
          <w:tcPr>
            <w:tcW w:w="1304" w:type="dxa"/>
            <w:vAlign w:val="center"/>
          </w:tcPr>
          <w:p w14:paraId="1A32DF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20E1A6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0.631</w:t>
            </w:r>
          </w:p>
        </w:tc>
        <w:tc>
          <w:tcPr>
            <w:tcW w:w="1198" w:type="dxa"/>
            <w:vAlign w:val="center"/>
          </w:tcPr>
          <w:p w14:paraId="63E4091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0.214</w:t>
            </w:r>
          </w:p>
        </w:tc>
      </w:tr>
      <w:tr w14:paraId="5A8DB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179" w:type="dxa"/>
            <w:vMerge w:val="restart"/>
            <w:vAlign w:val="center"/>
          </w:tcPr>
          <w:p w14:paraId="05185B4B">
            <w:pPr>
              <w:adjustRightInd w:val="0"/>
              <w:snapToGrid w:val="0"/>
              <w:jc w:val="center"/>
              <w:rPr>
                <w:snapToGrid w:val="0"/>
                <w:color w:val="auto"/>
                <w:kern w:val="21"/>
                <w:szCs w:val="21"/>
                <w:highlight w:val="none"/>
              </w:rPr>
            </w:pPr>
            <w:r>
              <w:rPr>
                <w:snapToGrid w:val="0"/>
                <w:color w:val="auto"/>
                <w:kern w:val="21"/>
                <w:szCs w:val="21"/>
                <w:highlight w:val="none"/>
              </w:rPr>
              <w:t>一般工业</w:t>
            </w:r>
          </w:p>
          <w:p w14:paraId="34B03229">
            <w:pPr>
              <w:adjustRightInd w:val="0"/>
              <w:snapToGrid w:val="0"/>
              <w:jc w:val="center"/>
              <w:rPr>
                <w:snapToGrid w:val="0"/>
                <w:color w:val="auto"/>
                <w:kern w:val="21"/>
                <w:szCs w:val="21"/>
                <w:highlight w:val="none"/>
              </w:rPr>
            </w:pPr>
            <w:r>
              <w:rPr>
                <w:snapToGrid w:val="0"/>
                <w:color w:val="auto"/>
                <w:kern w:val="21"/>
                <w:szCs w:val="21"/>
                <w:highlight w:val="none"/>
              </w:rPr>
              <w:t>固体废物</w:t>
            </w:r>
          </w:p>
        </w:tc>
        <w:tc>
          <w:tcPr>
            <w:tcW w:w="2895" w:type="dxa"/>
            <w:vAlign w:val="center"/>
          </w:tcPr>
          <w:p w14:paraId="2D1B7E7B">
            <w:pPr>
              <w:jc w:val="center"/>
              <w:rPr>
                <w:rFonts w:hint="default" w:eastAsia="宋体"/>
                <w:bCs/>
                <w:color w:val="auto"/>
                <w:szCs w:val="21"/>
                <w:highlight w:val="none"/>
                <w:lang w:val="en-US" w:eastAsia="zh-CN"/>
              </w:rPr>
            </w:pPr>
            <w:r>
              <w:rPr>
                <w:rFonts w:hint="eastAsia"/>
                <w:bCs/>
                <w:color w:val="auto"/>
                <w:szCs w:val="21"/>
                <w:highlight w:val="none"/>
                <w:lang w:val="en-US" w:eastAsia="zh-CN"/>
              </w:rPr>
              <w:t>生活垃圾</w:t>
            </w:r>
          </w:p>
        </w:tc>
        <w:tc>
          <w:tcPr>
            <w:tcW w:w="1515" w:type="dxa"/>
            <w:vAlign w:val="center"/>
          </w:tcPr>
          <w:p w14:paraId="4633B74E">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5</w:t>
            </w:r>
          </w:p>
        </w:tc>
        <w:tc>
          <w:tcPr>
            <w:tcW w:w="1200" w:type="dxa"/>
            <w:vAlign w:val="center"/>
          </w:tcPr>
          <w:p w14:paraId="7FB6B2D4">
            <w:pPr>
              <w:jc w:val="center"/>
              <w:rPr>
                <w:rFonts w:hint="default" w:eastAsia="宋体"/>
                <w:color w:val="auto"/>
                <w:highlight w:val="none"/>
                <w:lang w:val="en-US" w:eastAsia="zh-CN"/>
              </w:rPr>
            </w:pPr>
            <w:r>
              <w:rPr>
                <w:snapToGrid w:val="0"/>
                <w:color w:val="auto"/>
                <w:kern w:val="21"/>
                <w:szCs w:val="21"/>
                <w:highlight w:val="none"/>
              </w:rPr>
              <w:t>/</w:t>
            </w:r>
          </w:p>
        </w:tc>
        <w:tc>
          <w:tcPr>
            <w:tcW w:w="1410" w:type="dxa"/>
            <w:vAlign w:val="center"/>
          </w:tcPr>
          <w:p w14:paraId="66A9B448">
            <w:pPr>
              <w:jc w:val="center"/>
              <w:rPr>
                <w:color w:val="auto"/>
                <w:highlight w:val="none"/>
              </w:rPr>
            </w:pPr>
            <w:r>
              <w:rPr>
                <w:snapToGrid w:val="0"/>
                <w:color w:val="auto"/>
                <w:kern w:val="21"/>
                <w:szCs w:val="21"/>
                <w:highlight w:val="none"/>
              </w:rPr>
              <w:t>/</w:t>
            </w:r>
          </w:p>
        </w:tc>
        <w:tc>
          <w:tcPr>
            <w:tcW w:w="1500" w:type="dxa"/>
            <w:vAlign w:val="center"/>
          </w:tcPr>
          <w:p w14:paraId="0FAD50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1304" w:type="dxa"/>
            <w:vAlign w:val="center"/>
          </w:tcPr>
          <w:p w14:paraId="6AE141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2F33C3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8.6</w:t>
            </w:r>
          </w:p>
        </w:tc>
        <w:tc>
          <w:tcPr>
            <w:tcW w:w="1198" w:type="dxa"/>
            <w:vAlign w:val="center"/>
          </w:tcPr>
          <w:p w14:paraId="4FD6B6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3.6</w:t>
            </w:r>
          </w:p>
        </w:tc>
      </w:tr>
      <w:tr w14:paraId="4F9E7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179" w:type="dxa"/>
            <w:vMerge w:val="continue"/>
            <w:vAlign w:val="center"/>
          </w:tcPr>
          <w:p w14:paraId="2D1BCF75">
            <w:pPr>
              <w:adjustRightInd w:val="0"/>
              <w:snapToGrid w:val="0"/>
              <w:jc w:val="center"/>
              <w:rPr>
                <w:snapToGrid w:val="0"/>
                <w:color w:val="auto"/>
                <w:kern w:val="21"/>
                <w:szCs w:val="21"/>
                <w:highlight w:val="none"/>
              </w:rPr>
            </w:pPr>
          </w:p>
        </w:tc>
        <w:tc>
          <w:tcPr>
            <w:tcW w:w="2895" w:type="dxa"/>
            <w:vAlign w:val="center"/>
          </w:tcPr>
          <w:p w14:paraId="13EE5140">
            <w:pPr>
              <w:jc w:val="center"/>
              <w:rPr>
                <w:bCs/>
                <w:color w:val="auto"/>
                <w:szCs w:val="21"/>
                <w:highlight w:val="none"/>
              </w:rPr>
            </w:pPr>
            <w:r>
              <w:rPr>
                <w:rFonts w:hint="eastAsia"/>
                <w:bCs/>
                <w:color w:val="auto"/>
                <w:szCs w:val="21"/>
                <w:highlight w:val="none"/>
                <w:lang w:val="en-US" w:eastAsia="zh-CN"/>
              </w:rPr>
              <w:t>预处理池</w:t>
            </w:r>
            <w:r>
              <w:rPr>
                <w:rFonts w:hint="eastAsia"/>
                <w:bCs/>
                <w:color w:val="auto"/>
                <w:szCs w:val="21"/>
                <w:highlight w:val="none"/>
              </w:rPr>
              <w:t>污泥</w:t>
            </w:r>
          </w:p>
        </w:tc>
        <w:tc>
          <w:tcPr>
            <w:tcW w:w="1515" w:type="dxa"/>
            <w:vAlign w:val="center"/>
          </w:tcPr>
          <w:p w14:paraId="6C4312C5">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0.8</w:t>
            </w:r>
          </w:p>
        </w:tc>
        <w:tc>
          <w:tcPr>
            <w:tcW w:w="1200" w:type="dxa"/>
            <w:vAlign w:val="center"/>
          </w:tcPr>
          <w:p w14:paraId="00B94CEA">
            <w:pPr>
              <w:jc w:val="center"/>
              <w:rPr>
                <w:rFonts w:hint="default" w:eastAsia="宋体"/>
                <w:color w:val="auto"/>
                <w:highlight w:val="none"/>
                <w:lang w:val="en-US" w:eastAsia="zh-CN"/>
              </w:rPr>
            </w:pPr>
            <w:r>
              <w:rPr>
                <w:snapToGrid w:val="0"/>
                <w:color w:val="auto"/>
                <w:kern w:val="21"/>
                <w:szCs w:val="21"/>
                <w:highlight w:val="none"/>
              </w:rPr>
              <w:t>/</w:t>
            </w:r>
          </w:p>
        </w:tc>
        <w:tc>
          <w:tcPr>
            <w:tcW w:w="1410" w:type="dxa"/>
            <w:vAlign w:val="center"/>
          </w:tcPr>
          <w:p w14:paraId="58A1EE6D">
            <w:pPr>
              <w:jc w:val="center"/>
              <w:rPr>
                <w:snapToGrid w:val="0"/>
                <w:color w:val="auto"/>
                <w:kern w:val="21"/>
                <w:szCs w:val="21"/>
                <w:highlight w:val="none"/>
              </w:rPr>
            </w:pPr>
            <w:r>
              <w:rPr>
                <w:snapToGrid w:val="0"/>
                <w:color w:val="auto"/>
                <w:kern w:val="21"/>
                <w:szCs w:val="21"/>
                <w:highlight w:val="none"/>
              </w:rPr>
              <w:t>/</w:t>
            </w:r>
          </w:p>
        </w:tc>
        <w:tc>
          <w:tcPr>
            <w:tcW w:w="1500" w:type="dxa"/>
            <w:vAlign w:val="center"/>
          </w:tcPr>
          <w:p w14:paraId="0FEC5A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0.288</w:t>
            </w:r>
          </w:p>
        </w:tc>
        <w:tc>
          <w:tcPr>
            <w:tcW w:w="1304" w:type="dxa"/>
            <w:vAlign w:val="center"/>
          </w:tcPr>
          <w:p w14:paraId="5373E8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01875B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1.088</w:t>
            </w:r>
          </w:p>
        </w:tc>
        <w:tc>
          <w:tcPr>
            <w:tcW w:w="1198" w:type="dxa"/>
            <w:vAlign w:val="center"/>
          </w:tcPr>
          <w:p w14:paraId="1D4449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0.288</w:t>
            </w:r>
          </w:p>
        </w:tc>
      </w:tr>
      <w:tr w14:paraId="47254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179" w:type="dxa"/>
            <w:vMerge w:val="continue"/>
            <w:vAlign w:val="center"/>
          </w:tcPr>
          <w:p w14:paraId="2A036E73">
            <w:pPr>
              <w:adjustRightInd w:val="0"/>
              <w:snapToGrid w:val="0"/>
              <w:jc w:val="center"/>
              <w:rPr>
                <w:snapToGrid w:val="0"/>
                <w:color w:val="auto"/>
                <w:kern w:val="21"/>
                <w:szCs w:val="21"/>
                <w:highlight w:val="none"/>
              </w:rPr>
            </w:pPr>
          </w:p>
        </w:tc>
        <w:tc>
          <w:tcPr>
            <w:tcW w:w="2895" w:type="dxa"/>
            <w:vAlign w:val="center"/>
          </w:tcPr>
          <w:p w14:paraId="195304ED">
            <w:pPr>
              <w:jc w:val="center"/>
              <w:rPr>
                <w:rFonts w:hint="default" w:eastAsia="宋体"/>
                <w:bCs/>
                <w:color w:val="auto"/>
                <w:szCs w:val="21"/>
                <w:highlight w:val="none"/>
                <w:lang w:val="en-US" w:eastAsia="zh-CN"/>
              </w:rPr>
            </w:pPr>
            <w:r>
              <w:rPr>
                <w:rFonts w:hint="eastAsia"/>
                <w:bCs/>
                <w:color w:val="auto"/>
                <w:szCs w:val="21"/>
                <w:highlight w:val="none"/>
                <w:lang w:val="en-US" w:eastAsia="zh-CN"/>
              </w:rPr>
              <w:t>废含油棉纱、手套</w:t>
            </w:r>
          </w:p>
        </w:tc>
        <w:tc>
          <w:tcPr>
            <w:tcW w:w="1515" w:type="dxa"/>
            <w:vAlign w:val="center"/>
          </w:tcPr>
          <w:p w14:paraId="4F515B73">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0.04</w:t>
            </w:r>
          </w:p>
        </w:tc>
        <w:tc>
          <w:tcPr>
            <w:tcW w:w="1200" w:type="dxa"/>
            <w:vAlign w:val="center"/>
          </w:tcPr>
          <w:p w14:paraId="0971D38A">
            <w:pPr>
              <w:jc w:val="center"/>
              <w:rPr>
                <w:rFonts w:hint="default" w:eastAsia="宋体"/>
                <w:color w:val="auto"/>
                <w:highlight w:val="none"/>
                <w:lang w:val="en-US" w:eastAsia="zh-CN"/>
              </w:rPr>
            </w:pPr>
            <w:r>
              <w:rPr>
                <w:snapToGrid w:val="0"/>
                <w:color w:val="auto"/>
                <w:kern w:val="21"/>
                <w:szCs w:val="21"/>
                <w:highlight w:val="none"/>
              </w:rPr>
              <w:t>/</w:t>
            </w:r>
          </w:p>
        </w:tc>
        <w:tc>
          <w:tcPr>
            <w:tcW w:w="1410" w:type="dxa"/>
            <w:vAlign w:val="center"/>
          </w:tcPr>
          <w:p w14:paraId="3AAC2E33">
            <w:pPr>
              <w:jc w:val="center"/>
              <w:rPr>
                <w:color w:val="auto"/>
                <w:highlight w:val="none"/>
              </w:rPr>
            </w:pPr>
            <w:r>
              <w:rPr>
                <w:snapToGrid w:val="0"/>
                <w:color w:val="auto"/>
                <w:kern w:val="21"/>
                <w:szCs w:val="21"/>
                <w:highlight w:val="none"/>
              </w:rPr>
              <w:t>/</w:t>
            </w:r>
          </w:p>
        </w:tc>
        <w:tc>
          <w:tcPr>
            <w:tcW w:w="1500" w:type="dxa"/>
            <w:vAlign w:val="center"/>
          </w:tcPr>
          <w:p w14:paraId="5642C4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304" w:type="dxa"/>
            <w:vAlign w:val="center"/>
          </w:tcPr>
          <w:p w14:paraId="1C33D9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5C4B6C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1198" w:type="dxa"/>
            <w:vAlign w:val="center"/>
          </w:tcPr>
          <w:p w14:paraId="5C46C8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14:paraId="1B07D0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179" w:type="dxa"/>
            <w:vMerge w:val="restart"/>
            <w:vAlign w:val="center"/>
          </w:tcPr>
          <w:p w14:paraId="5986BF6A">
            <w:pPr>
              <w:adjustRightInd w:val="0"/>
              <w:snapToGrid w:val="0"/>
              <w:jc w:val="center"/>
              <w:rPr>
                <w:snapToGrid w:val="0"/>
                <w:color w:val="auto"/>
                <w:kern w:val="21"/>
                <w:szCs w:val="21"/>
                <w:highlight w:val="none"/>
              </w:rPr>
            </w:pPr>
            <w:r>
              <w:rPr>
                <w:snapToGrid w:val="0"/>
                <w:color w:val="auto"/>
                <w:kern w:val="21"/>
                <w:szCs w:val="21"/>
                <w:highlight w:val="none"/>
              </w:rPr>
              <w:t>危险废物</w:t>
            </w:r>
          </w:p>
        </w:tc>
        <w:tc>
          <w:tcPr>
            <w:tcW w:w="2895" w:type="dxa"/>
            <w:vAlign w:val="center"/>
          </w:tcPr>
          <w:p w14:paraId="26D416EA">
            <w:pPr>
              <w:jc w:val="center"/>
              <w:rPr>
                <w:rFonts w:hint="default" w:eastAsia="宋体"/>
                <w:bCs/>
                <w:color w:val="auto"/>
                <w:szCs w:val="21"/>
                <w:highlight w:val="none"/>
                <w:lang w:val="en-US" w:eastAsia="zh-CN"/>
              </w:rPr>
            </w:pPr>
            <w:r>
              <w:rPr>
                <w:rFonts w:hint="eastAsia"/>
                <w:bCs/>
                <w:color w:val="auto"/>
                <w:szCs w:val="21"/>
                <w:highlight w:val="none"/>
                <w:lang w:val="en-US" w:eastAsia="zh-CN"/>
              </w:rPr>
              <w:t>废润滑油</w:t>
            </w:r>
          </w:p>
        </w:tc>
        <w:tc>
          <w:tcPr>
            <w:tcW w:w="1515" w:type="dxa"/>
            <w:vAlign w:val="center"/>
          </w:tcPr>
          <w:p w14:paraId="46891486">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2.5</w:t>
            </w:r>
          </w:p>
        </w:tc>
        <w:tc>
          <w:tcPr>
            <w:tcW w:w="1200" w:type="dxa"/>
            <w:vAlign w:val="center"/>
          </w:tcPr>
          <w:p w14:paraId="16B3B89F">
            <w:pPr>
              <w:jc w:val="center"/>
              <w:rPr>
                <w:rFonts w:hint="default" w:eastAsia="宋体"/>
                <w:color w:val="auto"/>
                <w:highlight w:val="none"/>
                <w:lang w:val="en-US" w:eastAsia="zh-CN"/>
              </w:rPr>
            </w:pPr>
            <w:r>
              <w:rPr>
                <w:snapToGrid w:val="0"/>
                <w:color w:val="auto"/>
                <w:kern w:val="21"/>
                <w:szCs w:val="21"/>
                <w:highlight w:val="none"/>
              </w:rPr>
              <w:t>/</w:t>
            </w:r>
          </w:p>
        </w:tc>
        <w:tc>
          <w:tcPr>
            <w:tcW w:w="1410" w:type="dxa"/>
            <w:vAlign w:val="center"/>
          </w:tcPr>
          <w:p w14:paraId="596C7DF8">
            <w:pPr>
              <w:jc w:val="center"/>
              <w:rPr>
                <w:color w:val="auto"/>
                <w:highlight w:val="none"/>
              </w:rPr>
            </w:pPr>
            <w:r>
              <w:rPr>
                <w:snapToGrid w:val="0"/>
                <w:color w:val="auto"/>
                <w:kern w:val="21"/>
                <w:szCs w:val="21"/>
                <w:highlight w:val="none"/>
              </w:rPr>
              <w:t>/</w:t>
            </w:r>
          </w:p>
        </w:tc>
        <w:tc>
          <w:tcPr>
            <w:tcW w:w="1500" w:type="dxa"/>
            <w:vAlign w:val="center"/>
          </w:tcPr>
          <w:p w14:paraId="1E8B13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304" w:type="dxa"/>
            <w:vAlign w:val="center"/>
          </w:tcPr>
          <w:p w14:paraId="1806DE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6B2C49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2.55</w:t>
            </w:r>
          </w:p>
        </w:tc>
        <w:tc>
          <w:tcPr>
            <w:tcW w:w="1198" w:type="dxa"/>
            <w:vAlign w:val="center"/>
          </w:tcPr>
          <w:p w14:paraId="2F4253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22042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179" w:type="dxa"/>
            <w:vMerge w:val="continue"/>
            <w:vAlign w:val="center"/>
          </w:tcPr>
          <w:p w14:paraId="6192BAC2">
            <w:pPr>
              <w:adjustRightInd w:val="0"/>
              <w:snapToGrid w:val="0"/>
              <w:jc w:val="center"/>
              <w:rPr>
                <w:snapToGrid w:val="0"/>
                <w:color w:val="auto"/>
                <w:kern w:val="21"/>
                <w:szCs w:val="21"/>
                <w:highlight w:val="none"/>
              </w:rPr>
            </w:pPr>
          </w:p>
        </w:tc>
        <w:tc>
          <w:tcPr>
            <w:tcW w:w="2895" w:type="dxa"/>
            <w:vAlign w:val="center"/>
          </w:tcPr>
          <w:p w14:paraId="78081F96">
            <w:pPr>
              <w:jc w:val="center"/>
              <w:rPr>
                <w:rFonts w:hint="default" w:eastAsia="宋体"/>
                <w:color w:val="auto"/>
                <w:szCs w:val="21"/>
                <w:highlight w:val="none"/>
                <w:lang w:val="en-US" w:eastAsia="zh-CN"/>
              </w:rPr>
            </w:pPr>
            <w:r>
              <w:rPr>
                <w:rFonts w:hint="eastAsia"/>
                <w:color w:val="auto"/>
                <w:szCs w:val="21"/>
                <w:highlight w:val="none"/>
                <w:lang w:val="en-US" w:eastAsia="zh-CN"/>
              </w:rPr>
              <w:t>污水处理站污泥</w:t>
            </w:r>
          </w:p>
        </w:tc>
        <w:tc>
          <w:tcPr>
            <w:tcW w:w="1515" w:type="dxa"/>
            <w:vAlign w:val="center"/>
          </w:tcPr>
          <w:p w14:paraId="337BDAEA">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5.0</w:t>
            </w:r>
          </w:p>
        </w:tc>
        <w:tc>
          <w:tcPr>
            <w:tcW w:w="1200" w:type="dxa"/>
            <w:vAlign w:val="center"/>
          </w:tcPr>
          <w:p w14:paraId="23BADC40">
            <w:pPr>
              <w:jc w:val="center"/>
              <w:rPr>
                <w:rFonts w:hint="default"/>
                <w:color w:val="auto"/>
                <w:kern w:val="0"/>
                <w:szCs w:val="21"/>
                <w:highlight w:val="none"/>
                <w:lang w:val="en-US" w:eastAsia="zh-CN" w:bidi="ar"/>
              </w:rPr>
            </w:pPr>
            <w:r>
              <w:rPr>
                <w:snapToGrid w:val="0"/>
                <w:color w:val="auto"/>
                <w:kern w:val="21"/>
                <w:szCs w:val="21"/>
                <w:highlight w:val="none"/>
              </w:rPr>
              <w:t>/</w:t>
            </w:r>
          </w:p>
        </w:tc>
        <w:tc>
          <w:tcPr>
            <w:tcW w:w="1410" w:type="dxa"/>
            <w:vAlign w:val="center"/>
          </w:tcPr>
          <w:p w14:paraId="101D19B2">
            <w:pPr>
              <w:jc w:val="center"/>
              <w:rPr>
                <w:snapToGrid w:val="0"/>
                <w:color w:val="auto"/>
                <w:kern w:val="21"/>
                <w:szCs w:val="21"/>
                <w:highlight w:val="none"/>
              </w:rPr>
            </w:pPr>
            <w:r>
              <w:rPr>
                <w:snapToGrid w:val="0"/>
                <w:color w:val="auto"/>
                <w:kern w:val="21"/>
                <w:szCs w:val="21"/>
                <w:highlight w:val="none"/>
              </w:rPr>
              <w:t>/</w:t>
            </w:r>
          </w:p>
        </w:tc>
        <w:tc>
          <w:tcPr>
            <w:tcW w:w="1500" w:type="dxa"/>
            <w:vAlign w:val="center"/>
          </w:tcPr>
          <w:p w14:paraId="32F60E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0.264</w:t>
            </w:r>
          </w:p>
        </w:tc>
        <w:tc>
          <w:tcPr>
            <w:tcW w:w="1304" w:type="dxa"/>
            <w:vAlign w:val="center"/>
          </w:tcPr>
          <w:p w14:paraId="2C3A38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019865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5.26</w:t>
            </w:r>
            <w:r>
              <w:rPr>
                <w:rFonts w:hint="eastAsia" w:cs="Times New Roman"/>
                <w:i w:val="0"/>
                <w:iCs w:val="0"/>
                <w:color w:val="auto"/>
                <w:kern w:val="0"/>
                <w:sz w:val="21"/>
                <w:szCs w:val="21"/>
                <w:highlight w:val="none"/>
                <w:u w:val="none"/>
                <w:lang w:val="en-US" w:eastAsia="zh-CN" w:bidi="ar"/>
              </w:rPr>
              <w:t>4</w:t>
            </w:r>
          </w:p>
        </w:tc>
        <w:tc>
          <w:tcPr>
            <w:tcW w:w="1198" w:type="dxa"/>
            <w:vAlign w:val="center"/>
          </w:tcPr>
          <w:p w14:paraId="02DB78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+0.264</w:t>
            </w:r>
          </w:p>
        </w:tc>
      </w:tr>
      <w:tr w14:paraId="158EC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179" w:type="dxa"/>
            <w:vMerge w:val="continue"/>
            <w:vAlign w:val="center"/>
          </w:tcPr>
          <w:p w14:paraId="2E6AF061">
            <w:pPr>
              <w:adjustRightInd w:val="0"/>
              <w:snapToGrid w:val="0"/>
              <w:jc w:val="center"/>
              <w:rPr>
                <w:snapToGrid w:val="0"/>
                <w:color w:val="auto"/>
                <w:kern w:val="21"/>
                <w:szCs w:val="21"/>
                <w:highlight w:val="none"/>
              </w:rPr>
            </w:pPr>
          </w:p>
        </w:tc>
        <w:tc>
          <w:tcPr>
            <w:tcW w:w="2895" w:type="dxa"/>
            <w:vAlign w:val="center"/>
          </w:tcPr>
          <w:p w14:paraId="12233B81">
            <w:pPr>
              <w:jc w:val="center"/>
              <w:rPr>
                <w:rFonts w:hint="eastAsia" w:eastAsia="宋体"/>
                <w:bCs/>
                <w:color w:val="auto"/>
                <w:szCs w:val="21"/>
                <w:highlight w:val="none"/>
                <w:lang w:eastAsia="zh-CN"/>
              </w:rPr>
            </w:pPr>
            <w:r>
              <w:rPr>
                <w:rFonts w:hint="eastAsia"/>
                <w:color w:val="auto"/>
                <w:szCs w:val="21"/>
                <w:highlight w:val="none"/>
                <w:lang w:val="en-US" w:eastAsia="zh-CN"/>
              </w:rPr>
              <w:t>废活性炭</w:t>
            </w:r>
          </w:p>
        </w:tc>
        <w:tc>
          <w:tcPr>
            <w:tcW w:w="1515" w:type="dxa"/>
            <w:vAlign w:val="center"/>
          </w:tcPr>
          <w:p w14:paraId="44A2B4D9">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0.5</w:t>
            </w:r>
          </w:p>
        </w:tc>
        <w:tc>
          <w:tcPr>
            <w:tcW w:w="1200" w:type="dxa"/>
            <w:vAlign w:val="center"/>
          </w:tcPr>
          <w:p w14:paraId="0E122D3B">
            <w:pPr>
              <w:jc w:val="center"/>
              <w:rPr>
                <w:rFonts w:hint="default" w:eastAsia="宋体"/>
                <w:color w:val="auto"/>
                <w:highlight w:val="none"/>
                <w:lang w:val="en-US" w:eastAsia="zh-CN"/>
              </w:rPr>
            </w:pPr>
            <w:r>
              <w:rPr>
                <w:snapToGrid w:val="0"/>
                <w:color w:val="auto"/>
                <w:kern w:val="21"/>
                <w:szCs w:val="21"/>
                <w:highlight w:val="none"/>
              </w:rPr>
              <w:t>/</w:t>
            </w:r>
          </w:p>
        </w:tc>
        <w:tc>
          <w:tcPr>
            <w:tcW w:w="1410" w:type="dxa"/>
            <w:vAlign w:val="center"/>
          </w:tcPr>
          <w:p w14:paraId="77537BE5">
            <w:pPr>
              <w:jc w:val="center"/>
              <w:rPr>
                <w:color w:val="auto"/>
                <w:highlight w:val="none"/>
              </w:rPr>
            </w:pPr>
            <w:r>
              <w:rPr>
                <w:snapToGrid w:val="0"/>
                <w:color w:val="auto"/>
                <w:kern w:val="21"/>
                <w:szCs w:val="21"/>
                <w:highlight w:val="none"/>
              </w:rPr>
              <w:t>/</w:t>
            </w:r>
          </w:p>
        </w:tc>
        <w:tc>
          <w:tcPr>
            <w:tcW w:w="1500" w:type="dxa"/>
            <w:vAlign w:val="center"/>
          </w:tcPr>
          <w:p w14:paraId="23CAF4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0.0009</w:t>
            </w:r>
          </w:p>
        </w:tc>
        <w:tc>
          <w:tcPr>
            <w:tcW w:w="1304" w:type="dxa"/>
            <w:vAlign w:val="center"/>
          </w:tcPr>
          <w:p w14:paraId="182598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vAlign w:val="center"/>
          </w:tcPr>
          <w:p w14:paraId="231FC5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0.500</w:t>
            </w:r>
            <w:r>
              <w:rPr>
                <w:rFonts w:hint="eastAsia" w:cs="Times New Roman"/>
                <w:i w:val="0"/>
                <w:iCs w:val="0"/>
                <w:color w:val="auto"/>
                <w:kern w:val="0"/>
                <w:sz w:val="21"/>
                <w:szCs w:val="21"/>
                <w:highlight w:val="none"/>
                <w:u w:val="none"/>
                <w:lang w:val="en-US" w:eastAsia="zh-CN" w:bidi="ar"/>
              </w:rPr>
              <w:t>9</w:t>
            </w:r>
          </w:p>
        </w:tc>
        <w:tc>
          <w:tcPr>
            <w:tcW w:w="1198" w:type="dxa"/>
            <w:vAlign w:val="center"/>
          </w:tcPr>
          <w:p w14:paraId="3F31E0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+0.0009</w:t>
            </w:r>
          </w:p>
        </w:tc>
      </w:tr>
      <w:tr w14:paraId="0F2AE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179" w:type="dxa"/>
            <w:vMerge w:val="continue"/>
            <w:vAlign w:val="center"/>
          </w:tcPr>
          <w:p w14:paraId="5FFA6BBD">
            <w:pPr>
              <w:adjustRightInd w:val="0"/>
              <w:snapToGrid w:val="0"/>
              <w:jc w:val="center"/>
              <w:rPr>
                <w:snapToGrid w:val="0"/>
                <w:color w:val="auto"/>
                <w:kern w:val="21"/>
                <w:szCs w:val="21"/>
                <w:highlight w:val="none"/>
              </w:rPr>
            </w:pPr>
          </w:p>
        </w:tc>
        <w:tc>
          <w:tcPr>
            <w:tcW w:w="2895" w:type="dxa"/>
            <w:vAlign w:val="center"/>
          </w:tcPr>
          <w:p w14:paraId="256031B6">
            <w:pPr>
              <w:jc w:val="center"/>
              <w:rPr>
                <w:rFonts w:hint="eastAsia"/>
                <w:color w:val="auto"/>
                <w:szCs w:val="21"/>
                <w:highlight w:val="none"/>
                <w:lang w:val="en-US" w:eastAsia="zh-CN"/>
              </w:rPr>
            </w:pPr>
            <w:r>
              <w:rPr>
                <w:rFonts w:hint="eastAsia"/>
                <w:color w:val="auto"/>
                <w:szCs w:val="21"/>
                <w:highlight w:val="none"/>
                <w:lang w:val="en-US" w:eastAsia="zh-CN"/>
              </w:rPr>
              <w:t>检验废液及废试剂</w:t>
            </w:r>
          </w:p>
        </w:tc>
        <w:tc>
          <w:tcPr>
            <w:tcW w:w="1515" w:type="dxa"/>
            <w:vAlign w:val="center"/>
          </w:tcPr>
          <w:p w14:paraId="31AA580F">
            <w:pPr>
              <w:widowControl/>
              <w:jc w:val="center"/>
              <w:textAlignment w:val="center"/>
              <w:rPr>
                <w:rFonts w:hint="eastAsia"/>
                <w:color w:val="auto"/>
                <w:highlight w:val="none"/>
                <w:lang w:val="en-US" w:eastAsia="zh-CN"/>
              </w:rPr>
            </w:pPr>
            <w:r>
              <w:rPr>
                <w:rFonts w:hint="eastAsia"/>
                <w:color w:val="auto"/>
                <w:highlight w:val="none"/>
                <w:lang w:val="en-US" w:eastAsia="zh-CN"/>
              </w:rPr>
              <w:t>0.5</w:t>
            </w:r>
          </w:p>
        </w:tc>
        <w:tc>
          <w:tcPr>
            <w:tcW w:w="1200" w:type="dxa"/>
            <w:vAlign w:val="center"/>
          </w:tcPr>
          <w:p w14:paraId="4231FEF6">
            <w:pPr>
              <w:jc w:val="center"/>
              <w:rPr>
                <w:rFonts w:hint="default"/>
                <w:color w:val="auto"/>
                <w:highlight w:val="none"/>
                <w:lang w:val="en-US" w:eastAsia="zh-CN"/>
              </w:rPr>
            </w:pPr>
            <w:r>
              <w:rPr>
                <w:snapToGrid w:val="0"/>
                <w:color w:val="auto"/>
                <w:kern w:val="21"/>
                <w:szCs w:val="21"/>
                <w:highlight w:val="none"/>
              </w:rPr>
              <w:t>/</w:t>
            </w:r>
          </w:p>
        </w:tc>
        <w:tc>
          <w:tcPr>
            <w:tcW w:w="1410" w:type="dxa"/>
            <w:vAlign w:val="center"/>
          </w:tcPr>
          <w:p w14:paraId="2C6A2B58">
            <w:pPr>
              <w:jc w:val="center"/>
              <w:rPr>
                <w:snapToGrid w:val="0"/>
                <w:color w:val="auto"/>
                <w:kern w:val="21"/>
                <w:szCs w:val="21"/>
                <w:highlight w:val="none"/>
              </w:rPr>
            </w:pPr>
            <w:r>
              <w:rPr>
                <w:snapToGrid w:val="0"/>
                <w:color w:val="auto"/>
                <w:kern w:val="21"/>
                <w:szCs w:val="21"/>
                <w:highlight w:val="none"/>
              </w:rPr>
              <w:t>/</w:t>
            </w:r>
          </w:p>
        </w:tc>
        <w:tc>
          <w:tcPr>
            <w:tcW w:w="1500" w:type="dxa"/>
            <w:shd w:val="clear" w:color="auto" w:fill="auto"/>
            <w:vAlign w:val="center"/>
          </w:tcPr>
          <w:p w14:paraId="4A27C76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304" w:type="dxa"/>
            <w:vAlign w:val="center"/>
          </w:tcPr>
          <w:p w14:paraId="4910FD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87" w:type="dxa"/>
            <w:vAlign w:val="center"/>
          </w:tcPr>
          <w:p w14:paraId="0F6BCD7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198" w:type="dxa"/>
            <w:vAlign w:val="center"/>
          </w:tcPr>
          <w:p w14:paraId="63A44A6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bl>
    <w:p w14:paraId="4CA7679C">
      <w:pPr>
        <w:pStyle w:val="48"/>
        <w:spacing w:before="192" w:beforeLines="80" w:after="24"/>
        <w:jc w:val="left"/>
        <w:rPr>
          <w:rFonts w:ascii="Times New Roman"/>
          <w:snapToGrid w:val="0"/>
          <w:color w:val="auto"/>
          <w:spacing w:val="-6"/>
          <w:kern w:val="21"/>
          <w:szCs w:val="21"/>
          <w:highlight w:val="none"/>
        </w:r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p>
    <w:p w14:paraId="2A2DEBDD">
      <w:pPr>
        <w:rPr>
          <w:rFonts w:ascii="Times New Roman"/>
          <w:snapToGrid w:val="0"/>
          <w:color w:val="auto"/>
          <w:spacing w:val="-6"/>
          <w:kern w:val="21"/>
          <w:szCs w:val="21"/>
          <w:highlight w:val="none"/>
        </w:rPr>
      </w:pPr>
    </w:p>
    <w:p w14:paraId="5ABAF339">
      <w:pPr>
        <w:pStyle w:val="9"/>
        <w:rPr>
          <w:color w:val="auto"/>
          <w:highlight w:val="none"/>
        </w:rPr>
      </w:pPr>
    </w:p>
    <w:sectPr>
      <w:headerReference r:id="rId12" w:type="first"/>
      <w:footerReference r:id="rId15" w:type="first"/>
      <w:headerReference r:id="rId10" w:type="default"/>
      <w:footerReference r:id="rId13" w:type="default"/>
      <w:headerReference r:id="rId11" w:type="even"/>
      <w:footerReference r:id="rId14" w:type="even"/>
      <w:pgSz w:w="16838" w:h="11906" w:orient="landscape"/>
      <w:pgMar w:top="1531" w:right="1701" w:bottom="1531" w:left="1701" w:header="851" w:footer="119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CIDFont+F1">
    <w:altName w:val="Cambria"/>
    <w:panose1 w:val="00000000000000000000"/>
    <w:charset w:val="00"/>
    <w:family w:val="roman"/>
    <w:pitch w:val="default"/>
    <w:sig w:usb0="00000000" w:usb1="00000000" w:usb2="00000000" w:usb3="00000000" w:csb0="00040001" w:csb1="00000000"/>
  </w:font>
  <w:font w:name="Cambria">
    <w:panose1 w:val="02040503050406030204"/>
    <w:charset w:val="00"/>
    <w:family w:val="auto"/>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FontAwesom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C35B9">
    <w:pPr>
      <w:snapToGrid w:val="0"/>
      <w:ind w:right="360" w:firstLine="360"/>
      <w:jc w:val="center"/>
      <w:rPr>
        <w:kern w:val="0"/>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62B06">
    <w:pPr>
      <w:framePr w:wrap="around" w:vAnchor="text" w:hAnchor="margin" w:xAlign="center" w:y="1"/>
      <w:snapToGrid w:val="0"/>
      <w:jc w:val="left"/>
      <w:rPr>
        <w:rStyle w:val="31"/>
        <w:kern w:val="0"/>
        <w:sz w:val="18"/>
        <w:szCs w:val="20"/>
      </w:rPr>
    </w:pPr>
    <w:r>
      <w:rPr>
        <w:kern w:val="0"/>
        <w:sz w:val="18"/>
        <w:szCs w:val="20"/>
      </w:rPr>
      <w:fldChar w:fldCharType="begin"/>
    </w:r>
    <w:r>
      <w:rPr>
        <w:rStyle w:val="31"/>
        <w:kern w:val="0"/>
        <w:sz w:val="18"/>
        <w:szCs w:val="20"/>
      </w:rPr>
      <w:instrText xml:space="preserve">PAGE  </w:instrText>
    </w:r>
    <w:r>
      <w:rPr>
        <w:kern w:val="0"/>
        <w:sz w:val="18"/>
        <w:szCs w:val="20"/>
      </w:rPr>
      <w:fldChar w:fldCharType="end"/>
    </w:r>
  </w:p>
  <w:p w14:paraId="4CA301DF">
    <w:pPr>
      <w:snapToGrid w:val="0"/>
      <w:ind w:right="360" w:firstLine="360"/>
      <w:jc w:val="left"/>
      <w:rPr>
        <w:kern w:val="0"/>
        <w:sz w:val="18"/>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D5138">
    <w:pPr>
      <w:snapToGrid w:val="0"/>
      <w:ind w:right="360" w:firstLine="360"/>
      <w:jc w:val="center"/>
      <w:rPr>
        <w:kern w:val="0"/>
        <w:sz w:val="18"/>
        <w:szCs w:val="20"/>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215900" cy="17970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15900" cy="179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BF5F4">
                          <w:pPr>
                            <w:pStyle w:val="20"/>
                            <w:jc w:val="center"/>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5pt;width:17pt;mso-position-horizontal:center;mso-position-horizontal-relative:margin;z-index:251667456;mso-width-relative:page;mso-height-relative:page;" filled="f" stroked="f" coordsize="21600,21600" o:gfxdata="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0FVINIAAAADAQAADwAAAAAAAAABACAAAAAiAAAAZHJzL2Rvd25yZXYueG1sUEsBAhQA&#10;FAAAAAgAh07iQDOp1NMxAgAAVQQAAA4AAAAAAAAAAQAgAAAAIQEAAGRycy9lMm9Eb2MueG1sUEsF&#10;BgAAAAAGAAYAWQEAAMQFAAAAAA==&#10;">
              <v:fill on="f" focussize="0,0"/>
              <v:stroke on="f" weight="0.5pt"/>
              <v:imagedata o:title=""/>
              <o:lock v:ext="edit" aspectratio="f"/>
              <v:textbox inset="0mm,0mm,0mm,0mm">
                <w:txbxContent>
                  <w:p w14:paraId="05CBF5F4">
                    <w:pPr>
                      <w:pStyle w:val="20"/>
                      <w:jc w:val="center"/>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EB1C6">
    <w:pPr>
      <w:snapToGrid w:val="0"/>
      <w:ind w:right="360" w:firstLine="360"/>
      <w:jc w:val="center"/>
      <w:rPr>
        <w:kern w:val="0"/>
        <w:sz w:val="18"/>
        <w:szCs w:val="20"/>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15900" cy="1797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215900" cy="179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DF3FF">
                          <w:pPr>
                            <w:pStyle w:val="20"/>
                            <w:jc w:val="center"/>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5pt;width:17pt;mso-position-horizontal:center;mso-position-horizontal-relative:margin;z-index:251666432;mso-width-relative:page;mso-height-relative:page;" filled="f" stroked="f" coordsize="21600,21600" o:gfxdata="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0FVINIAAAADAQAADwAAAAAAAAABACAAAAAiAAAAZHJzL2Rvd25yZXYueG1sUEsBAhQA&#10;FAAAAAgAh07iQN/DLUUxAgAAVQQAAA4AAAAAAAAAAQAgAAAAIQEAAGRycy9lMm9Eb2MueG1sUEsF&#10;BgAAAAAGAAYAWQEAAMQFAAAAAA==&#10;">
              <v:fill on="f" focussize="0,0"/>
              <v:stroke on="f" weight="0.5pt"/>
              <v:imagedata o:title=""/>
              <o:lock v:ext="edit" aspectratio="f"/>
              <v:textbox inset="0mm,0mm,0mm,0mm">
                <w:txbxContent>
                  <w:p w14:paraId="45FDF3FF">
                    <w:pPr>
                      <w:pStyle w:val="20"/>
                      <w:jc w:val="center"/>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F7A77">
    <w:pPr>
      <w:snapToGrid w:val="0"/>
      <w:ind w:right="360" w:firstLine="360"/>
      <w:jc w:val="center"/>
      <w:rPr>
        <w:kern w:val="0"/>
        <w:sz w:val="18"/>
        <w:szCs w:val="20"/>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96240" cy="17970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96240" cy="179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C0BC3">
                          <w:pPr>
                            <w:pStyle w:val="20"/>
                            <w:keepNext w:val="0"/>
                            <w:keepLines w:val="0"/>
                            <w:pageBreakBefore w:val="0"/>
                            <w:widowControl w:val="0"/>
                            <w:kinsoku/>
                            <w:wordWrap/>
                            <w:overflowPunct/>
                            <w:topLinePunct w:val="0"/>
                            <w:bidi w:val="0"/>
                            <w:adjustRightInd/>
                            <w:snapToGrid w:val="0"/>
                            <w:jc w:val="center"/>
                            <w:textAlignment w:val="auto"/>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165</w:t>
                          </w:r>
                          <w:r>
                            <w:rPr>
                              <w:sz w:val="21"/>
                              <w:szCs w:val="2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5pt;width:31.2pt;mso-position-horizontal:center;mso-position-horizontal-relative:margin;z-index:251660288;mso-width-relative:page;mso-height-relative:page;" filled="f" stroked="f" coordsize="21600,21600" o:gfxdata="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fwXDUAAAAAwEAAA8AAAAAAAAAAQAgAAAAIgAAAGRycy9kb3ducmV2LnhtbFBL&#10;AQIUABQAAAAIAIdO4kBrRw8cMwIAAFcEAAAOAAAAAAAAAAEAIAAAACMBAABkcnMvZTJvRG9jLnht&#10;bFBLBQYAAAAABgAGAFkBAADIBQAAAAA=&#10;">
              <v:fill on="f" focussize="0,0"/>
              <v:stroke on="f" weight="0.5pt"/>
              <v:imagedata o:title=""/>
              <o:lock v:ext="edit" aspectratio="f"/>
              <v:textbox inset="0mm,0mm,0mm,0mm">
                <w:txbxContent>
                  <w:p w14:paraId="713C0BC3">
                    <w:pPr>
                      <w:pStyle w:val="20"/>
                      <w:keepNext w:val="0"/>
                      <w:keepLines w:val="0"/>
                      <w:pageBreakBefore w:val="0"/>
                      <w:widowControl w:val="0"/>
                      <w:kinsoku/>
                      <w:wordWrap/>
                      <w:overflowPunct/>
                      <w:topLinePunct w:val="0"/>
                      <w:bidi w:val="0"/>
                      <w:adjustRightInd/>
                      <w:snapToGrid w:val="0"/>
                      <w:jc w:val="center"/>
                      <w:textAlignment w:val="auto"/>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165</w:t>
                    </w:r>
                    <w:r>
                      <w:rPr>
                        <w:sz w:val="21"/>
                        <w:szCs w:val="2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3B940">
    <w:pPr>
      <w:pStyle w:val="20"/>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15900" cy="17970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15900" cy="179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85269C">
                          <w:pPr>
                            <w:pStyle w:val="20"/>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240</w:t>
                          </w:r>
                          <w:r>
                            <w:rPr>
                              <w:sz w:val="21"/>
                              <w:szCs w:val="2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4.15pt;width:17pt;mso-position-horizontal:center;mso-position-horizontal-relative:margin;z-index:251661312;mso-width-relative:page;mso-height-relative:page;" filled="f" stroked="f" coordsize="21600,21600" o:gfxdata="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dBVSDSAAAAAwEAAA8AAAAAAAAAAQAgAAAAIgAAAGRycy9kb3ducmV2LnhtbFBLAQIU&#10;ABQAAAAIAIdO4kCSQjioMgIAAFcEAAAOAAAAAAAAAAEAIAAAACEBAABkcnMvZTJvRG9jLnhtbFBL&#10;BQYAAAAABgAGAFkBAADFBQAAAAA=&#10;">
              <v:fill on="f" focussize="0,0"/>
              <v:stroke on="f" weight="0.5pt"/>
              <v:imagedata o:title=""/>
              <o:lock v:ext="edit" aspectratio="f"/>
              <v:textbox inset="0mm,0mm,0mm,0mm">
                <w:txbxContent>
                  <w:p w14:paraId="1285269C">
                    <w:pPr>
                      <w:pStyle w:val="20"/>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240</w:t>
                    </w:r>
                    <w:r>
                      <w:rPr>
                        <w:sz w:val="21"/>
                        <w:szCs w:val="22"/>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459FF">
    <w:pPr>
      <w:pStyle w:val="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6B135">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7F983">
    <w:pPr>
      <w:pStyle w:val="21"/>
      <w:pBdr>
        <w:bottom w:val="single" w:color="auto" w:sz="4" w:space="1"/>
      </w:pBdr>
      <w:tabs>
        <w:tab w:val="left" w:pos="1071"/>
      </w:tabs>
      <w:spacing w:line="240" w:lineRule="auto"/>
      <w:ind w:left="0" w:leftChars="0" w:firstLine="0" w:firstLineChars="0"/>
      <w:jc w:val="center"/>
      <w:rPr>
        <w:rFonts w:hint="default"/>
        <w:color w:val="auto"/>
        <w:sz w:val="21"/>
        <w:szCs w:val="21"/>
        <w:u w:val="single"/>
        <w:lang w:val="en-US"/>
      </w:rPr>
    </w:pPr>
    <w:r>
      <w:rPr>
        <w:rFonts w:hint="eastAsia"/>
        <w:color w:val="auto"/>
        <w:sz w:val="21"/>
        <w:szCs w:val="21"/>
        <w:lang w:eastAsia="zh-CN"/>
      </w:rPr>
      <w:t>四川屹光新材料制造有限公司3000t/a醇胺技改项目</w:t>
    </w:r>
    <w:r>
      <w:rPr>
        <w:rFonts w:hint="eastAsia" w:ascii="Times New Roman" w:hAnsi="Times New Roman"/>
        <w:color w:val="auto"/>
        <w:sz w:val="21"/>
        <w:szCs w:val="21"/>
        <w:lang w:val="en-US" w:eastAsia="zh-CN"/>
      </w:rPr>
      <w:t>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21F29">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299F7">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8B9DE">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CE837">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F847D"/>
    <w:multiLevelType w:val="singleLevel"/>
    <w:tmpl w:val="81DF847D"/>
    <w:lvl w:ilvl="0" w:tentative="0">
      <w:start w:val="1"/>
      <w:numFmt w:val="decimal"/>
      <w:pStyle w:val="131"/>
      <w:suff w:val="space"/>
      <w:lvlText w:val="图4-%1"/>
      <w:lvlJc w:val="center"/>
      <w:pPr>
        <w:tabs>
          <w:tab w:val="left" w:pos="0"/>
        </w:tabs>
        <w:ind w:left="0" w:leftChars="0" w:firstLine="0" w:firstLineChars="0"/>
      </w:pPr>
      <w:rPr>
        <w:rFonts w:hint="default" w:ascii="Times New Roman" w:hAnsi="Times New Roman" w:eastAsia="宋体" w:cs="Times New Roman"/>
        <w:b/>
        <w:bCs/>
        <w:color w:val="auto"/>
        <w:sz w:val="21"/>
        <w:szCs w:val="21"/>
      </w:rPr>
    </w:lvl>
  </w:abstractNum>
  <w:abstractNum w:abstractNumId="1">
    <w:nsid w:val="8A16FACB"/>
    <w:multiLevelType w:val="singleLevel"/>
    <w:tmpl w:val="8A16FACB"/>
    <w:lvl w:ilvl="0" w:tentative="0">
      <w:start w:val="1"/>
      <w:numFmt w:val="decimal"/>
      <w:pStyle w:val="148"/>
      <w:suff w:val="space"/>
      <w:lvlText w:val="图3-%1"/>
      <w:lvlJc w:val="center"/>
      <w:pPr>
        <w:tabs>
          <w:tab w:val="left" w:pos="0"/>
        </w:tabs>
        <w:ind w:left="0" w:leftChars="0" w:firstLine="0" w:firstLineChars="0"/>
      </w:pPr>
      <w:rPr>
        <w:rFonts w:hint="default" w:ascii="Times New Roman" w:hAnsi="Times New Roman" w:eastAsia="宋体" w:cs="Times New Roman"/>
        <w:b/>
        <w:bCs/>
        <w:sz w:val="21"/>
        <w:szCs w:val="21"/>
      </w:rPr>
    </w:lvl>
  </w:abstractNum>
  <w:abstractNum w:abstractNumId="2">
    <w:nsid w:val="9598A3AB"/>
    <w:multiLevelType w:val="singleLevel"/>
    <w:tmpl w:val="9598A3AB"/>
    <w:lvl w:ilvl="0" w:tentative="0">
      <w:start w:val="1"/>
      <w:numFmt w:val="decimal"/>
      <w:suff w:val="nothing"/>
      <w:lvlText w:val="%1、"/>
      <w:lvlJc w:val="left"/>
    </w:lvl>
  </w:abstractNum>
  <w:abstractNum w:abstractNumId="3">
    <w:nsid w:val="9B80CD75"/>
    <w:multiLevelType w:val="multilevel"/>
    <w:tmpl w:val="9B80CD75"/>
    <w:lvl w:ilvl="0" w:tentative="0">
      <w:start w:val="1"/>
      <w:numFmt w:val="chineseCounting"/>
      <w:suff w:val="nothing"/>
      <w:lvlText w:val="%1、"/>
      <w:lvlJc w:val="left"/>
      <w:pPr>
        <w:tabs>
          <w:tab w:val="left" w:pos="482"/>
        </w:tabs>
        <w:ind w:left="480" w:hanging="480"/>
      </w:pPr>
      <w:rPr>
        <w:rFonts w:hint="eastAsia"/>
        <w:sz w:val="21"/>
        <w:szCs w:val="21"/>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A3308083"/>
    <w:multiLevelType w:val="multilevel"/>
    <w:tmpl w:val="A3308083"/>
    <w:lvl w:ilvl="0" w:tentative="0">
      <w:start w:val="1"/>
      <w:numFmt w:val="decimal"/>
      <w:suff w:val="space"/>
      <w:lvlText w:val="第%1章"/>
      <w:lvlJc w:val="center"/>
      <w:pPr>
        <w:tabs>
          <w:tab w:val="left" w:pos="0"/>
        </w:tabs>
        <w:ind w:left="0" w:leftChars="0" w:firstLine="0" w:firstLineChars="0"/>
      </w:pPr>
      <w:rPr>
        <w:rFonts w:hint="default" w:ascii="Times New Roman" w:hAnsi="Times New Roman" w:eastAsia="宋体" w:cs="Times New Roman"/>
        <w:sz w:val="32"/>
        <w:szCs w:val="32"/>
      </w:rPr>
    </w:lvl>
    <w:lvl w:ilvl="1" w:tentative="0">
      <w:start w:val="1"/>
      <w:numFmt w:val="decimal"/>
      <w:pStyle w:val="3"/>
      <w:suff w:val="space"/>
      <w:lvlText w:val="%1.%2"/>
      <w:lvlJc w:val="left"/>
      <w:pPr>
        <w:tabs>
          <w:tab w:val="left" w:pos="420"/>
        </w:tabs>
        <w:ind w:left="0" w:leftChars="0" w:firstLine="0" w:firstLineChars="0"/>
      </w:pPr>
      <w:rPr>
        <w:rFonts w:hint="default" w:ascii="Times New Roman" w:hAnsi="Times New Roman" w:eastAsia="宋体" w:cs="Times New Roman"/>
        <w:b/>
        <w:bCs/>
        <w:sz w:val="28"/>
        <w:szCs w:val="28"/>
      </w:rPr>
    </w:lvl>
    <w:lvl w:ilvl="2" w:tentative="0">
      <w:start w:val="1"/>
      <w:numFmt w:val="decimal"/>
      <w:suff w:val="space"/>
      <w:lvlText w:val="%1.%2.%3"/>
      <w:lvlJc w:val="left"/>
      <w:pPr>
        <w:tabs>
          <w:tab w:val="left" w:pos="0"/>
        </w:tabs>
        <w:ind w:left="0" w:leftChars="0" w:firstLine="0" w:firstLineChars="0"/>
      </w:pPr>
      <w:rPr>
        <w:rFonts w:hint="default" w:ascii="Times New Roman" w:hAnsi="Times New Roman" w:eastAsia="宋体" w:cs="Times New Roman"/>
        <w:b/>
        <w:bCs/>
        <w:sz w:val="24"/>
        <w:szCs w:val="24"/>
      </w:rPr>
    </w:lvl>
    <w:lvl w:ilvl="3" w:tentative="0">
      <w:start w:val="1"/>
      <w:numFmt w:val="decimal"/>
      <w:suff w:val="space"/>
      <w:lvlText w:val="%1.%2.%3.%4"/>
      <w:lvlJc w:val="left"/>
      <w:pPr>
        <w:tabs>
          <w:tab w:val="left" w:pos="420"/>
        </w:tabs>
        <w:ind w:left="0" w:leftChars="0" w:firstLine="0" w:firstLineChars="0"/>
      </w:pPr>
      <w:rPr>
        <w:rFonts w:hint="default" w:ascii="Times New Roman" w:hAnsi="Times New Roman" w:eastAsia="宋体" w:cs="Times New Roman"/>
        <w:b/>
        <w:bCs/>
        <w:sz w:val="24"/>
        <w:szCs w:val="24"/>
      </w:rPr>
    </w:lvl>
    <w:lvl w:ilvl="4" w:tentative="0">
      <w:start w:val="1"/>
      <w:numFmt w:val="decimal"/>
      <w:lvlRestart w:val="2"/>
      <w:suff w:val="space"/>
      <w:lvlText w:val="表%1.%2-%5"/>
      <w:lvlJc w:val="center"/>
      <w:pPr>
        <w:tabs>
          <w:tab w:val="left" w:pos="420"/>
        </w:tabs>
        <w:ind w:left="0" w:leftChars="0" w:firstLine="0" w:firstLineChars="0"/>
      </w:pPr>
      <w:rPr>
        <w:rFonts w:hint="default"/>
      </w:rPr>
    </w:lvl>
    <w:lvl w:ilvl="5" w:tentative="0">
      <w:start w:val="1"/>
      <w:numFmt w:val="decimal"/>
      <w:lvlRestart w:val="2"/>
      <w:suff w:val="space"/>
      <w:lvlText w:val="图%1.%2-%6"/>
      <w:lvlJc w:val="center"/>
      <w:pPr>
        <w:tabs>
          <w:tab w:val="left" w:pos="420"/>
        </w:tabs>
        <w:ind w:left="0" w:leftChars="0" w:firstLine="0" w:firstLineChars="0"/>
      </w:pPr>
      <w:rPr>
        <w:rFonts w:hint="default" w:ascii="Times New Roman" w:hAnsi="Times New Roman" w:eastAsia="宋体" w:cs="Times New Roman"/>
        <w:b/>
        <w:bCs/>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AE9589D6"/>
    <w:multiLevelType w:val="singleLevel"/>
    <w:tmpl w:val="AE9589D6"/>
    <w:lvl w:ilvl="0" w:tentative="0">
      <w:start w:val="1"/>
      <w:numFmt w:val="decimal"/>
      <w:pStyle w:val="122"/>
      <w:suff w:val="space"/>
      <w:lvlText w:val="图2-%1"/>
      <w:lvlJc w:val="center"/>
      <w:pPr>
        <w:tabs>
          <w:tab w:val="left" w:pos="0"/>
        </w:tabs>
        <w:ind w:left="0" w:leftChars="0" w:firstLine="0" w:firstLineChars="0"/>
      </w:pPr>
      <w:rPr>
        <w:rFonts w:hint="default" w:ascii="Times New Roman" w:hAnsi="Times New Roman" w:eastAsia="宋体" w:cs="Times New Roman"/>
        <w:b/>
        <w:bCs/>
        <w:sz w:val="21"/>
        <w:szCs w:val="21"/>
      </w:rPr>
    </w:lvl>
  </w:abstractNum>
  <w:abstractNum w:abstractNumId="6">
    <w:nsid w:val="AFF9ED37"/>
    <w:multiLevelType w:val="singleLevel"/>
    <w:tmpl w:val="AFF9ED37"/>
    <w:lvl w:ilvl="0" w:tentative="0">
      <w:start w:val="1"/>
      <w:numFmt w:val="decimal"/>
      <w:pStyle w:val="129"/>
      <w:suff w:val="space"/>
      <w:lvlText w:val="图2-%1"/>
      <w:lvlJc w:val="center"/>
      <w:pPr>
        <w:tabs>
          <w:tab w:val="left" w:pos="0"/>
        </w:tabs>
        <w:ind w:left="0" w:leftChars="0" w:firstLine="0" w:firstLineChars="0"/>
      </w:pPr>
      <w:rPr>
        <w:rFonts w:hint="default" w:ascii="Times New Roman" w:hAnsi="Times New Roman" w:eastAsia="宋体" w:cs="Times New Roman"/>
        <w:b/>
        <w:bCs/>
        <w:sz w:val="21"/>
        <w:szCs w:val="21"/>
      </w:rPr>
    </w:lvl>
  </w:abstractNum>
  <w:abstractNum w:abstractNumId="7">
    <w:nsid w:val="B93AFCF5"/>
    <w:multiLevelType w:val="singleLevel"/>
    <w:tmpl w:val="B93AFCF5"/>
    <w:lvl w:ilvl="0" w:tentative="0">
      <w:start w:val="1"/>
      <w:numFmt w:val="decimal"/>
      <w:suff w:val="nothing"/>
      <w:lvlText w:val="%1、"/>
      <w:lvlJc w:val="left"/>
      <w:rPr>
        <w:rFonts w:hint="default"/>
        <w:sz w:val="21"/>
        <w:szCs w:val="21"/>
      </w:rPr>
    </w:lvl>
  </w:abstractNum>
  <w:abstractNum w:abstractNumId="8">
    <w:nsid w:val="BA4506BB"/>
    <w:multiLevelType w:val="singleLevel"/>
    <w:tmpl w:val="BA4506BB"/>
    <w:lvl w:ilvl="0" w:tentative="0">
      <w:start w:val="1"/>
      <w:numFmt w:val="decimal"/>
      <w:pStyle w:val="130"/>
      <w:suff w:val="space"/>
      <w:lvlText w:val="图2-%1"/>
      <w:lvlJc w:val="center"/>
      <w:pPr>
        <w:tabs>
          <w:tab w:val="left" w:pos="0"/>
        </w:tabs>
        <w:ind w:left="0" w:leftChars="0" w:firstLine="0" w:firstLineChars="0"/>
      </w:pPr>
      <w:rPr>
        <w:rFonts w:hint="default" w:ascii="Times New Roman" w:hAnsi="Times New Roman" w:eastAsia="宋体" w:cs="Times New Roman"/>
        <w:b/>
        <w:bCs/>
        <w:color w:val="auto"/>
        <w:sz w:val="21"/>
        <w:szCs w:val="21"/>
      </w:rPr>
    </w:lvl>
  </w:abstractNum>
  <w:abstractNum w:abstractNumId="9">
    <w:nsid w:val="CC952456"/>
    <w:multiLevelType w:val="singleLevel"/>
    <w:tmpl w:val="CC952456"/>
    <w:lvl w:ilvl="0" w:tentative="0">
      <w:start w:val="1"/>
      <w:numFmt w:val="decimal"/>
      <w:pStyle w:val="41"/>
      <w:suff w:val="space"/>
      <w:lvlText w:val="表4-%1"/>
      <w:lvlJc w:val="center"/>
      <w:pPr>
        <w:tabs>
          <w:tab w:val="left" w:pos="0"/>
        </w:tabs>
        <w:ind w:left="0" w:leftChars="0" w:firstLine="0" w:firstLineChars="0"/>
      </w:pPr>
      <w:rPr>
        <w:rFonts w:hint="default" w:ascii="Times New Roman" w:hAnsi="Times New Roman" w:cs="Times New Roman"/>
        <w:b/>
        <w:bCs/>
        <w:sz w:val="21"/>
        <w:szCs w:val="21"/>
      </w:rPr>
    </w:lvl>
  </w:abstractNum>
  <w:abstractNum w:abstractNumId="10">
    <w:nsid w:val="D1DC861E"/>
    <w:multiLevelType w:val="singleLevel"/>
    <w:tmpl w:val="D1DC861E"/>
    <w:lvl w:ilvl="0" w:tentative="0">
      <w:start w:val="1"/>
      <w:numFmt w:val="decimal"/>
      <w:suff w:val="nothing"/>
      <w:lvlText w:val="（%1）"/>
      <w:lvlJc w:val="left"/>
    </w:lvl>
  </w:abstractNum>
  <w:abstractNum w:abstractNumId="11">
    <w:nsid w:val="EDE48082"/>
    <w:multiLevelType w:val="singleLevel"/>
    <w:tmpl w:val="EDE48082"/>
    <w:lvl w:ilvl="0" w:tentative="0">
      <w:start w:val="3"/>
      <w:numFmt w:val="decimal"/>
      <w:suff w:val="nothing"/>
      <w:lvlText w:val="%1、"/>
      <w:lvlJc w:val="left"/>
    </w:lvl>
  </w:abstractNum>
  <w:abstractNum w:abstractNumId="12">
    <w:nsid w:val="08CA7A02"/>
    <w:multiLevelType w:val="singleLevel"/>
    <w:tmpl w:val="08CA7A02"/>
    <w:lvl w:ilvl="0" w:tentative="0">
      <w:start w:val="1"/>
      <w:numFmt w:val="decimal"/>
      <w:suff w:val="nothing"/>
      <w:lvlText w:val="%1、"/>
      <w:lvlJc w:val="left"/>
      <w:rPr>
        <w:rFonts w:hint="default"/>
        <w:sz w:val="21"/>
        <w:szCs w:val="21"/>
      </w:rPr>
    </w:lvl>
  </w:abstractNum>
  <w:abstractNum w:abstractNumId="13">
    <w:nsid w:val="0D2E6EE2"/>
    <w:multiLevelType w:val="singleLevel"/>
    <w:tmpl w:val="0D2E6EE2"/>
    <w:lvl w:ilvl="0" w:tentative="0">
      <w:start w:val="1"/>
      <w:numFmt w:val="decimal"/>
      <w:suff w:val="nothing"/>
      <w:lvlText w:val="%1）"/>
      <w:lvlJc w:val="left"/>
    </w:lvl>
  </w:abstractNum>
  <w:abstractNum w:abstractNumId="14">
    <w:nsid w:val="186CC391"/>
    <w:multiLevelType w:val="singleLevel"/>
    <w:tmpl w:val="186CC391"/>
    <w:lvl w:ilvl="0" w:tentative="0">
      <w:start w:val="1"/>
      <w:numFmt w:val="decimal"/>
      <w:suff w:val="nothing"/>
      <w:lvlText w:val="（%1）"/>
      <w:lvlJc w:val="left"/>
    </w:lvl>
  </w:abstractNum>
  <w:abstractNum w:abstractNumId="15">
    <w:nsid w:val="1A8E0720"/>
    <w:multiLevelType w:val="singleLevel"/>
    <w:tmpl w:val="1A8E0720"/>
    <w:lvl w:ilvl="0" w:tentative="0">
      <w:start w:val="1"/>
      <w:numFmt w:val="decimal"/>
      <w:suff w:val="nothing"/>
      <w:lvlText w:val="（%1）"/>
      <w:lvlJc w:val="left"/>
    </w:lvl>
  </w:abstractNum>
  <w:abstractNum w:abstractNumId="16">
    <w:nsid w:val="20E8A14E"/>
    <w:multiLevelType w:val="singleLevel"/>
    <w:tmpl w:val="20E8A14E"/>
    <w:lvl w:ilvl="0" w:tentative="0">
      <w:start w:val="6"/>
      <w:numFmt w:val="decimal"/>
      <w:suff w:val="nothing"/>
      <w:lvlText w:val="%1、"/>
      <w:lvlJc w:val="left"/>
    </w:lvl>
  </w:abstractNum>
  <w:abstractNum w:abstractNumId="17">
    <w:nsid w:val="234FE7F7"/>
    <w:multiLevelType w:val="singleLevel"/>
    <w:tmpl w:val="234FE7F7"/>
    <w:lvl w:ilvl="0" w:tentative="0">
      <w:start w:val="1"/>
      <w:numFmt w:val="decimal"/>
      <w:suff w:val="nothing"/>
      <w:lvlText w:val="%1、"/>
      <w:lvlJc w:val="left"/>
    </w:lvl>
  </w:abstractNum>
  <w:abstractNum w:abstractNumId="18">
    <w:nsid w:val="259F714B"/>
    <w:multiLevelType w:val="singleLevel"/>
    <w:tmpl w:val="259F714B"/>
    <w:lvl w:ilvl="0" w:tentative="0">
      <w:start w:val="2"/>
      <w:numFmt w:val="decimal"/>
      <w:suff w:val="nothing"/>
      <w:lvlText w:val="%1）"/>
      <w:lvlJc w:val="left"/>
    </w:lvl>
  </w:abstractNum>
  <w:abstractNum w:abstractNumId="19">
    <w:nsid w:val="2BD79E26"/>
    <w:multiLevelType w:val="singleLevel"/>
    <w:tmpl w:val="2BD79E26"/>
    <w:lvl w:ilvl="0" w:tentative="0">
      <w:start w:val="5"/>
      <w:numFmt w:val="decimal"/>
      <w:suff w:val="nothing"/>
      <w:lvlText w:val="（%1）"/>
      <w:lvlJc w:val="left"/>
    </w:lvl>
  </w:abstractNum>
  <w:abstractNum w:abstractNumId="20">
    <w:nsid w:val="2D44D8DD"/>
    <w:multiLevelType w:val="singleLevel"/>
    <w:tmpl w:val="2D44D8DD"/>
    <w:lvl w:ilvl="0" w:tentative="0">
      <w:start w:val="1"/>
      <w:numFmt w:val="decimal"/>
      <w:pStyle w:val="42"/>
      <w:lvlText w:val="表2-%1"/>
      <w:lvlJc w:val="center"/>
      <w:pPr>
        <w:tabs>
          <w:tab w:val="left" w:pos="397"/>
        </w:tabs>
        <w:ind w:left="1701" w:hanging="1701"/>
      </w:pPr>
      <w:rPr>
        <w:rFonts w:hint="default"/>
      </w:rPr>
    </w:lvl>
  </w:abstractNum>
  <w:abstractNum w:abstractNumId="21">
    <w:nsid w:val="30B37043"/>
    <w:multiLevelType w:val="singleLevel"/>
    <w:tmpl w:val="30B37043"/>
    <w:lvl w:ilvl="0" w:tentative="0">
      <w:start w:val="1"/>
      <w:numFmt w:val="decimal"/>
      <w:pStyle w:val="44"/>
      <w:suff w:val="space"/>
      <w:lvlText w:val="图1-%1"/>
      <w:lvlJc w:val="center"/>
      <w:pPr>
        <w:tabs>
          <w:tab w:val="left" w:pos="0"/>
        </w:tabs>
        <w:ind w:left="0" w:leftChars="0" w:firstLine="0" w:firstLineChars="0"/>
      </w:pPr>
      <w:rPr>
        <w:rFonts w:hint="default" w:ascii="Times New Roman" w:hAnsi="Times New Roman" w:eastAsia="宋体" w:cs="Times New Roman"/>
        <w:b/>
        <w:bCs/>
        <w:sz w:val="21"/>
        <w:szCs w:val="21"/>
      </w:rPr>
    </w:lvl>
  </w:abstractNum>
  <w:abstractNum w:abstractNumId="22">
    <w:nsid w:val="37104441"/>
    <w:multiLevelType w:val="singleLevel"/>
    <w:tmpl w:val="37104441"/>
    <w:lvl w:ilvl="0" w:tentative="0">
      <w:start w:val="1"/>
      <w:numFmt w:val="decimal"/>
      <w:suff w:val="nothing"/>
      <w:lvlText w:val="%1、"/>
      <w:lvlJc w:val="left"/>
    </w:lvl>
  </w:abstractNum>
  <w:abstractNum w:abstractNumId="23">
    <w:nsid w:val="4C80BF64"/>
    <w:multiLevelType w:val="singleLevel"/>
    <w:tmpl w:val="4C80BF64"/>
    <w:lvl w:ilvl="0" w:tentative="0">
      <w:start w:val="4"/>
      <w:numFmt w:val="decimal"/>
      <w:suff w:val="nothing"/>
      <w:lvlText w:val="%1、"/>
      <w:lvlJc w:val="left"/>
    </w:lvl>
  </w:abstractNum>
  <w:abstractNum w:abstractNumId="24">
    <w:nsid w:val="59830D32"/>
    <w:multiLevelType w:val="singleLevel"/>
    <w:tmpl w:val="59830D32"/>
    <w:lvl w:ilvl="0" w:tentative="0">
      <w:start w:val="14"/>
      <w:numFmt w:val="decimal"/>
      <w:suff w:val="nothing"/>
      <w:lvlText w:val="（%1）"/>
      <w:lvlJc w:val="left"/>
    </w:lvl>
  </w:abstractNum>
  <w:abstractNum w:abstractNumId="25">
    <w:nsid w:val="5B2912C0"/>
    <w:multiLevelType w:val="singleLevel"/>
    <w:tmpl w:val="5B2912C0"/>
    <w:lvl w:ilvl="0" w:tentative="0">
      <w:start w:val="1"/>
      <w:numFmt w:val="decimal"/>
      <w:suff w:val="nothing"/>
      <w:lvlText w:val="%1、"/>
      <w:lvlJc w:val="left"/>
      <w:rPr>
        <w:rFonts w:hint="default"/>
        <w:sz w:val="21"/>
        <w:szCs w:val="21"/>
      </w:rPr>
    </w:lvl>
  </w:abstractNum>
  <w:abstractNum w:abstractNumId="26">
    <w:nsid w:val="5DDBEFF8"/>
    <w:multiLevelType w:val="singleLevel"/>
    <w:tmpl w:val="5DDBEFF8"/>
    <w:lvl w:ilvl="0" w:tentative="0">
      <w:start w:val="1"/>
      <w:numFmt w:val="decimal"/>
      <w:pStyle w:val="43"/>
      <w:suff w:val="space"/>
      <w:lvlText w:val="表1-%1"/>
      <w:lvlJc w:val="center"/>
      <w:pPr>
        <w:tabs>
          <w:tab w:val="left" w:pos="397"/>
        </w:tabs>
        <w:ind w:left="1701" w:hanging="1701"/>
      </w:pPr>
      <w:rPr>
        <w:rFonts w:hint="default" w:ascii="Times New Roman" w:hAnsi="Times New Roman" w:eastAsia="宋体" w:cs="宋体"/>
        <w:b/>
        <w:bCs/>
        <w:sz w:val="21"/>
        <w:szCs w:val="21"/>
      </w:rPr>
    </w:lvl>
  </w:abstractNum>
  <w:abstractNum w:abstractNumId="27">
    <w:nsid w:val="68ED87E5"/>
    <w:multiLevelType w:val="singleLevel"/>
    <w:tmpl w:val="68ED87E5"/>
    <w:lvl w:ilvl="0" w:tentative="0">
      <w:start w:val="1"/>
      <w:numFmt w:val="decimal"/>
      <w:pStyle w:val="132"/>
      <w:lvlText w:val="表3-%1"/>
      <w:lvlJc w:val="center"/>
      <w:pPr>
        <w:tabs>
          <w:tab w:val="left" w:pos="397"/>
        </w:tabs>
        <w:ind w:left="1984" w:hanging="1984"/>
      </w:pPr>
      <w:rPr>
        <w:rFonts w:hint="default"/>
        <w:b/>
        <w:bCs/>
        <w:sz w:val="21"/>
        <w:szCs w:val="21"/>
      </w:rPr>
    </w:lvl>
  </w:abstractNum>
  <w:abstractNum w:abstractNumId="28">
    <w:nsid w:val="6A8D0577"/>
    <w:multiLevelType w:val="singleLevel"/>
    <w:tmpl w:val="6A8D0577"/>
    <w:lvl w:ilvl="0" w:tentative="0">
      <w:start w:val="8"/>
      <w:numFmt w:val="decimal"/>
      <w:suff w:val="nothing"/>
      <w:lvlText w:val="（%1）"/>
      <w:lvlJc w:val="left"/>
    </w:lvl>
  </w:abstractNum>
  <w:abstractNum w:abstractNumId="29">
    <w:nsid w:val="7F6D609C"/>
    <w:multiLevelType w:val="singleLevel"/>
    <w:tmpl w:val="7F6D609C"/>
    <w:lvl w:ilvl="0" w:tentative="0">
      <w:start w:val="1"/>
      <w:numFmt w:val="decimal"/>
      <w:suff w:val="nothing"/>
      <w:lvlText w:val="%1、"/>
      <w:lvlJc w:val="left"/>
      <w:rPr>
        <w:rFonts w:hint="default"/>
        <w:sz w:val="21"/>
        <w:szCs w:val="21"/>
      </w:rPr>
    </w:lvl>
  </w:abstractNum>
  <w:num w:numId="1">
    <w:abstractNumId w:val="4"/>
  </w:num>
  <w:num w:numId="2">
    <w:abstractNumId w:val="9"/>
  </w:num>
  <w:num w:numId="3">
    <w:abstractNumId w:val="20"/>
  </w:num>
  <w:num w:numId="4">
    <w:abstractNumId w:val="26"/>
  </w:num>
  <w:num w:numId="5">
    <w:abstractNumId w:val="21"/>
  </w:num>
  <w:num w:numId="6">
    <w:abstractNumId w:val="5"/>
  </w:num>
  <w:num w:numId="7">
    <w:abstractNumId w:val="6"/>
  </w:num>
  <w:num w:numId="8">
    <w:abstractNumId w:val="8"/>
  </w:num>
  <w:num w:numId="9">
    <w:abstractNumId w:val="0"/>
  </w:num>
  <w:num w:numId="10">
    <w:abstractNumId w:val="27"/>
  </w:num>
  <w:num w:numId="11">
    <w:abstractNumId w:val="1"/>
  </w:num>
  <w:num w:numId="12">
    <w:abstractNumId w:val="11"/>
  </w:num>
  <w:num w:numId="13">
    <w:abstractNumId w:val="17"/>
  </w:num>
  <w:num w:numId="14">
    <w:abstractNumId w:val="7"/>
  </w:num>
  <w:num w:numId="15">
    <w:abstractNumId w:val="22"/>
  </w:num>
  <w:num w:numId="16">
    <w:abstractNumId w:val="25"/>
  </w:num>
  <w:num w:numId="17">
    <w:abstractNumId w:val="12"/>
  </w:num>
  <w:num w:numId="18">
    <w:abstractNumId w:val="29"/>
  </w:num>
  <w:num w:numId="19">
    <w:abstractNumId w:val="23"/>
  </w:num>
  <w:num w:numId="20">
    <w:abstractNumId w:val="3"/>
  </w:num>
  <w:num w:numId="21">
    <w:abstractNumId w:val="28"/>
  </w:num>
  <w:num w:numId="22">
    <w:abstractNumId w:val="24"/>
  </w:num>
  <w:num w:numId="23">
    <w:abstractNumId w:val="19"/>
  </w:num>
  <w:num w:numId="24">
    <w:abstractNumId w:val="10"/>
  </w:num>
  <w:num w:numId="25">
    <w:abstractNumId w:val="2"/>
  </w:num>
  <w:num w:numId="26">
    <w:abstractNumId w:val="15"/>
  </w:num>
  <w:num w:numId="27">
    <w:abstractNumId w:val="18"/>
  </w:num>
  <w:num w:numId="28">
    <w:abstractNumId w:val="13"/>
  </w:num>
  <w:num w:numId="29">
    <w:abstractNumId w:val="1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4NTI1NDA3Y2ZhOTUyMjAxYjM4MjRlNzZmODg1ZmUifQ=="/>
  </w:docVars>
  <w:rsids>
    <w:rsidRoot w:val="00172A27"/>
    <w:rsid w:val="00000AE8"/>
    <w:rsid w:val="000060B3"/>
    <w:rsid w:val="00006C10"/>
    <w:rsid w:val="00007F5C"/>
    <w:rsid w:val="0004364B"/>
    <w:rsid w:val="00043AD3"/>
    <w:rsid w:val="00061159"/>
    <w:rsid w:val="00061B1F"/>
    <w:rsid w:val="00061B7C"/>
    <w:rsid w:val="00070DA5"/>
    <w:rsid w:val="000733C4"/>
    <w:rsid w:val="00074783"/>
    <w:rsid w:val="0007686A"/>
    <w:rsid w:val="0008070B"/>
    <w:rsid w:val="000810AC"/>
    <w:rsid w:val="00081A02"/>
    <w:rsid w:val="00082231"/>
    <w:rsid w:val="00092D38"/>
    <w:rsid w:val="0009377B"/>
    <w:rsid w:val="00096413"/>
    <w:rsid w:val="000A124C"/>
    <w:rsid w:val="000A14B8"/>
    <w:rsid w:val="000A20C9"/>
    <w:rsid w:val="000A6575"/>
    <w:rsid w:val="000A759C"/>
    <w:rsid w:val="000B058F"/>
    <w:rsid w:val="000B4467"/>
    <w:rsid w:val="000B4ACB"/>
    <w:rsid w:val="000B4DB9"/>
    <w:rsid w:val="000B70C0"/>
    <w:rsid w:val="000C09AC"/>
    <w:rsid w:val="000C112E"/>
    <w:rsid w:val="000C2C3E"/>
    <w:rsid w:val="000C6637"/>
    <w:rsid w:val="000C7405"/>
    <w:rsid w:val="000C767F"/>
    <w:rsid w:val="000D5A44"/>
    <w:rsid w:val="000E2CCD"/>
    <w:rsid w:val="000E37BD"/>
    <w:rsid w:val="000E3ED2"/>
    <w:rsid w:val="00121912"/>
    <w:rsid w:val="001227B8"/>
    <w:rsid w:val="001243EE"/>
    <w:rsid w:val="00125203"/>
    <w:rsid w:val="00131EC8"/>
    <w:rsid w:val="00131F42"/>
    <w:rsid w:val="00134FE6"/>
    <w:rsid w:val="001357F1"/>
    <w:rsid w:val="00140FA8"/>
    <w:rsid w:val="00141BB0"/>
    <w:rsid w:val="00142FEB"/>
    <w:rsid w:val="00143A2D"/>
    <w:rsid w:val="0014573F"/>
    <w:rsid w:val="00145A41"/>
    <w:rsid w:val="00151675"/>
    <w:rsid w:val="00157435"/>
    <w:rsid w:val="00162558"/>
    <w:rsid w:val="001733B2"/>
    <w:rsid w:val="00174481"/>
    <w:rsid w:val="0017504D"/>
    <w:rsid w:val="0017671A"/>
    <w:rsid w:val="00176F64"/>
    <w:rsid w:val="00177422"/>
    <w:rsid w:val="00183145"/>
    <w:rsid w:val="00184590"/>
    <w:rsid w:val="001870D1"/>
    <w:rsid w:val="0018781E"/>
    <w:rsid w:val="0019176F"/>
    <w:rsid w:val="0019262D"/>
    <w:rsid w:val="0019269A"/>
    <w:rsid w:val="001A1B35"/>
    <w:rsid w:val="001A48A2"/>
    <w:rsid w:val="001A6F61"/>
    <w:rsid w:val="001B34A0"/>
    <w:rsid w:val="001B72B8"/>
    <w:rsid w:val="001C054C"/>
    <w:rsid w:val="001C69B3"/>
    <w:rsid w:val="001D1921"/>
    <w:rsid w:val="001D439D"/>
    <w:rsid w:val="001D5595"/>
    <w:rsid w:val="001D7874"/>
    <w:rsid w:val="001D7F22"/>
    <w:rsid w:val="001F088B"/>
    <w:rsid w:val="001F0F17"/>
    <w:rsid w:val="001F19BF"/>
    <w:rsid w:val="001F3347"/>
    <w:rsid w:val="001F69E4"/>
    <w:rsid w:val="001F69FA"/>
    <w:rsid w:val="00204D8A"/>
    <w:rsid w:val="00210451"/>
    <w:rsid w:val="002125B4"/>
    <w:rsid w:val="00212A17"/>
    <w:rsid w:val="002155B8"/>
    <w:rsid w:val="00224839"/>
    <w:rsid w:val="002249B2"/>
    <w:rsid w:val="00226574"/>
    <w:rsid w:val="002278EC"/>
    <w:rsid w:val="0023280E"/>
    <w:rsid w:val="0023480A"/>
    <w:rsid w:val="002377D1"/>
    <w:rsid w:val="002427FB"/>
    <w:rsid w:val="002506BC"/>
    <w:rsid w:val="00251891"/>
    <w:rsid w:val="00251C8C"/>
    <w:rsid w:val="00254345"/>
    <w:rsid w:val="00255137"/>
    <w:rsid w:val="00263EEE"/>
    <w:rsid w:val="00264557"/>
    <w:rsid w:val="0026673B"/>
    <w:rsid w:val="00272BB2"/>
    <w:rsid w:val="002805AB"/>
    <w:rsid w:val="00284204"/>
    <w:rsid w:val="002912C7"/>
    <w:rsid w:val="00291773"/>
    <w:rsid w:val="002A02C9"/>
    <w:rsid w:val="002A168C"/>
    <w:rsid w:val="002A3DC7"/>
    <w:rsid w:val="002A6A2A"/>
    <w:rsid w:val="002B2235"/>
    <w:rsid w:val="002B49E2"/>
    <w:rsid w:val="002B7B00"/>
    <w:rsid w:val="002B7C44"/>
    <w:rsid w:val="002C189C"/>
    <w:rsid w:val="002C2B17"/>
    <w:rsid w:val="002C3435"/>
    <w:rsid w:val="002D279E"/>
    <w:rsid w:val="002D3DD0"/>
    <w:rsid w:val="002D509F"/>
    <w:rsid w:val="002E1BEA"/>
    <w:rsid w:val="002E1F3A"/>
    <w:rsid w:val="002E298A"/>
    <w:rsid w:val="002E428F"/>
    <w:rsid w:val="002E4947"/>
    <w:rsid w:val="002E6DE9"/>
    <w:rsid w:val="00301978"/>
    <w:rsid w:val="0030332C"/>
    <w:rsid w:val="00304BCC"/>
    <w:rsid w:val="003051C2"/>
    <w:rsid w:val="00312296"/>
    <w:rsid w:val="00314735"/>
    <w:rsid w:val="00314F0E"/>
    <w:rsid w:val="00321BC8"/>
    <w:rsid w:val="00321D8E"/>
    <w:rsid w:val="00322A71"/>
    <w:rsid w:val="00325928"/>
    <w:rsid w:val="00332863"/>
    <w:rsid w:val="0033684D"/>
    <w:rsid w:val="00337B42"/>
    <w:rsid w:val="00340EAF"/>
    <w:rsid w:val="00341B42"/>
    <w:rsid w:val="0034348F"/>
    <w:rsid w:val="00344684"/>
    <w:rsid w:val="00356653"/>
    <w:rsid w:val="0035743F"/>
    <w:rsid w:val="00357BE2"/>
    <w:rsid w:val="00360C55"/>
    <w:rsid w:val="0036170C"/>
    <w:rsid w:val="00363DF6"/>
    <w:rsid w:val="00364E1E"/>
    <w:rsid w:val="00366770"/>
    <w:rsid w:val="00366E0F"/>
    <w:rsid w:val="003814E2"/>
    <w:rsid w:val="00381A72"/>
    <w:rsid w:val="00382892"/>
    <w:rsid w:val="003835BA"/>
    <w:rsid w:val="00384676"/>
    <w:rsid w:val="003862C7"/>
    <w:rsid w:val="00387B3E"/>
    <w:rsid w:val="00390857"/>
    <w:rsid w:val="00393F2C"/>
    <w:rsid w:val="00395AD3"/>
    <w:rsid w:val="003A30EE"/>
    <w:rsid w:val="003A4BF3"/>
    <w:rsid w:val="003B1A87"/>
    <w:rsid w:val="003B420D"/>
    <w:rsid w:val="003B49D0"/>
    <w:rsid w:val="003C0BC1"/>
    <w:rsid w:val="003C485A"/>
    <w:rsid w:val="003C6C16"/>
    <w:rsid w:val="003D227A"/>
    <w:rsid w:val="003D53F2"/>
    <w:rsid w:val="003D794D"/>
    <w:rsid w:val="003E3058"/>
    <w:rsid w:val="003E76A9"/>
    <w:rsid w:val="003F0809"/>
    <w:rsid w:val="003F47A3"/>
    <w:rsid w:val="003F4971"/>
    <w:rsid w:val="003F6A8C"/>
    <w:rsid w:val="003F755C"/>
    <w:rsid w:val="004012A9"/>
    <w:rsid w:val="00402229"/>
    <w:rsid w:val="00402BDE"/>
    <w:rsid w:val="00404614"/>
    <w:rsid w:val="00406F01"/>
    <w:rsid w:val="004125B6"/>
    <w:rsid w:val="00416D50"/>
    <w:rsid w:val="00416FD5"/>
    <w:rsid w:val="00417126"/>
    <w:rsid w:val="00417772"/>
    <w:rsid w:val="00420E6A"/>
    <w:rsid w:val="0042129B"/>
    <w:rsid w:val="00425A9E"/>
    <w:rsid w:val="00426D6B"/>
    <w:rsid w:val="00427F1D"/>
    <w:rsid w:val="00431E6C"/>
    <w:rsid w:val="00433CE7"/>
    <w:rsid w:val="00452738"/>
    <w:rsid w:val="00456091"/>
    <w:rsid w:val="00460CA0"/>
    <w:rsid w:val="00463419"/>
    <w:rsid w:val="00463E2B"/>
    <w:rsid w:val="00466321"/>
    <w:rsid w:val="00475431"/>
    <w:rsid w:val="00484B9B"/>
    <w:rsid w:val="004855F6"/>
    <w:rsid w:val="0048642C"/>
    <w:rsid w:val="0048661E"/>
    <w:rsid w:val="00494670"/>
    <w:rsid w:val="004960B6"/>
    <w:rsid w:val="004A3823"/>
    <w:rsid w:val="004B58E3"/>
    <w:rsid w:val="004C2387"/>
    <w:rsid w:val="004E282E"/>
    <w:rsid w:val="004E43BF"/>
    <w:rsid w:val="004E6946"/>
    <w:rsid w:val="004F1368"/>
    <w:rsid w:val="004F1AD8"/>
    <w:rsid w:val="004F2B15"/>
    <w:rsid w:val="004F3F6A"/>
    <w:rsid w:val="005000C1"/>
    <w:rsid w:val="005039CB"/>
    <w:rsid w:val="0050558F"/>
    <w:rsid w:val="00506286"/>
    <w:rsid w:val="00510813"/>
    <w:rsid w:val="0051180F"/>
    <w:rsid w:val="00511990"/>
    <w:rsid w:val="00511DE0"/>
    <w:rsid w:val="00514870"/>
    <w:rsid w:val="00514B9B"/>
    <w:rsid w:val="0051718D"/>
    <w:rsid w:val="00517F02"/>
    <w:rsid w:val="00524303"/>
    <w:rsid w:val="005258A2"/>
    <w:rsid w:val="00530768"/>
    <w:rsid w:val="00537C28"/>
    <w:rsid w:val="005401AE"/>
    <w:rsid w:val="00542E07"/>
    <w:rsid w:val="00545424"/>
    <w:rsid w:val="005472D8"/>
    <w:rsid w:val="00547331"/>
    <w:rsid w:val="005500E5"/>
    <w:rsid w:val="00551E32"/>
    <w:rsid w:val="005523CA"/>
    <w:rsid w:val="00554A7B"/>
    <w:rsid w:val="0055572C"/>
    <w:rsid w:val="0056106A"/>
    <w:rsid w:val="005639AB"/>
    <w:rsid w:val="005720AE"/>
    <w:rsid w:val="005854E1"/>
    <w:rsid w:val="00594D77"/>
    <w:rsid w:val="005969E4"/>
    <w:rsid w:val="005A06B7"/>
    <w:rsid w:val="005A1759"/>
    <w:rsid w:val="005A68A7"/>
    <w:rsid w:val="005B1AB4"/>
    <w:rsid w:val="005B254E"/>
    <w:rsid w:val="005B659D"/>
    <w:rsid w:val="005C640D"/>
    <w:rsid w:val="005D36AB"/>
    <w:rsid w:val="005E5DFD"/>
    <w:rsid w:val="005E690C"/>
    <w:rsid w:val="00603C31"/>
    <w:rsid w:val="006060F7"/>
    <w:rsid w:val="00607FDD"/>
    <w:rsid w:val="00613BC6"/>
    <w:rsid w:val="00617CC3"/>
    <w:rsid w:val="006377A6"/>
    <w:rsid w:val="00637A3D"/>
    <w:rsid w:val="006411EF"/>
    <w:rsid w:val="006458EF"/>
    <w:rsid w:val="00655E02"/>
    <w:rsid w:val="00664D0B"/>
    <w:rsid w:val="006748B8"/>
    <w:rsid w:val="006771F2"/>
    <w:rsid w:val="006775C3"/>
    <w:rsid w:val="00681138"/>
    <w:rsid w:val="00681457"/>
    <w:rsid w:val="0069290A"/>
    <w:rsid w:val="00695E9A"/>
    <w:rsid w:val="0069775A"/>
    <w:rsid w:val="00697813"/>
    <w:rsid w:val="006A3EE8"/>
    <w:rsid w:val="006A72BF"/>
    <w:rsid w:val="006A757E"/>
    <w:rsid w:val="006B03F2"/>
    <w:rsid w:val="006B31C3"/>
    <w:rsid w:val="006B37DC"/>
    <w:rsid w:val="006B4F68"/>
    <w:rsid w:val="006B6041"/>
    <w:rsid w:val="006C0592"/>
    <w:rsid w:val="006C272E"/>
    <w:rsid w:val="006C3D87"/>
    <w:rsid w:val="006C5479"/>
    <w:rsid w:val="006D13B5"/>
    <w:rsid w:val="006D3C66"/>
    <w:rsid w:val="006E12FF"/>
    <w:rsid w:val="006E1DA3"/>
    <w:rsid w:val="006E607E"/>
    <w:rsid w:val="006E6BE6"/>
    <w:rsid w:val="006F118F"/>
    <w:rsid w:val="0070134D"/>
    <w:rsid w:val="00702B88"/>
    <w:rsid w:val="00706C5D"/>
    <w:rsid w:val="007145EF"/>
    <w:rsid w:val="00715E2E"/>
    <w:rsid w:val="00722196"/>
    <w:rsid w:val="00732922"/>
    <w:rsid w:val="007360FC"/>
    <w:rsid w:val="007404B1"/>
    <w:rsid w:val="007421C6"/>
    <w:rsid w:val="00742E9A"/>
    <w:rsid w:val="0074626E"/>
    <w:rsid w:val="00751118"/>
    <w:rsid w:val="0075152A"/>
    <w:rsid w:val="0075162E"/>
    <w:rsid w:val="00754034"/>
    <w:rsid w:val="00756556"/>
    <w:rsid w:val="007618C4"/>
    <w:rsid w:val="00767980"/>
    <w:rsid w:val="00770298"/>
    <w:rsid w:val="00770B19"/>
    <w:rsid w:val="0077463F"/>
    <w:rsid w:val="007778F2"/>
    <w:rsid w:val="007836EA"/>
    <w:rsid w:val="00783990"/>
    <w:rsid w:val="00784534"/>
    <w:rsid w:val="00784CDA"/>
    <w:rsid w:val="0078510B"/>
    <w:rsid w:val="007906C4"/>
    <w:rsid w:val="007940EA"/>
    <w:rsid w:val="007967E8"/>
    <w:rsid w:val="007A2170"/>
    <w:rsid w:val="007A22BF"/>
    <w:rsid w:val="007A3323"/>
    <w:rsid w:val="007B72B8"/>
    <w:rsid w:val="007B7A58"/>
    <w:rsid w:val="007C21B5"/>
    <w:rsid w:val="007D39FC"/>
    <w:rsid w:val="007E100B"/>
    <w:rsid w:val="007E424A"/>
    <w:rsid w:val="007E43D6"/>
    <w:rsid w:val="007E4BD2"/>
    <w:rsid w:val="008009BF"/>
    <w:rsid w:val="00801393"/>
    <w:rsid w:val="00802F88"/>
    <w:rsid w:val="0080446D"/>
    <w:rsid w:val="0081148B"/>
    <w:rsid w:val="0081293E"/>
    <w:rsid w:val="00815465"/>
    <w:rsid w:val="008169F4"/>
    <w:rsid w:val="00817E9A"/>
    <w:rsid w:val="00824739"/>
    <w:rsid w:val="008306BD"/>
    <w:rsid w:val="00831A80"/>
    <w:rsid w:val="00833743"/>
    <w:rsid w:val="008340A4"/>
    <w:rsid w:val="00843ECF"/>
    <w:rsid w:val="008646C5"/>
    <w:rsid w:val="008700BE"/>
    <w:rsid w:val="008703D3"/>
    <w:rsid w:val="00870ED8"/>
    <w:rsid w:val="0087135F"/>
    <w:rsid w:val="00872D94"/>
    <w:rsid w:val="00874E8D"/>
    <w:rsid w:val="00880364"/>
    <w:rsid w:val="00882A52"/>
    <w:rsid w:val="00884578"/>
    <w:rsid w:val="00891592"/>
    <w:rsid w:val="00891E9E"/>
    <w:rsid w:val="00892654"/>
    <w:rsid w:val="0089770C"/>
    <w:rsid w:val="008A2F68"/>
    <w:rsid w:val="008A5289"/>
    <w:rsid w:val="008B4FA6"/>
    <w:rsid w:val="008B5282"/>
    <w:rsid w:val="008B656D"/>
    <w:rsid w:val="008B7C17"/>
    <w:rsid w:val="008B7D2D"/>
    <w:rsid w:val="008C2D01"/>
    <w:rsid w:val="008C40E6"/>
    <w:rsid w:val="008D0B08"/>
    <w:rsid w:val="008D0F7A"/>
    <w:rsid w:val="008D2BFD"/>
    <w:rsid w:val="008D68E4"/>
    <w:rsid w:val="008E0506"/>
    <w:rsid w:val="008E0CFF"/>
    <w:rsid w:val="008E1A5A"/>
    <w:rsid w:val="008E1AAA"/>
    <w:rsid w:val="008E4A3A"/>
    <w:rsid w:val="008E51D7"/>
    <w:rsid w:val="008E5D6B"/>
    <w:rsid w:val="008E76F0"/>
    <w:rsid w:val="008F15FE"/>
    <w:rsid w:val="008F2D29"/>
    <w:rsid w:val="008F4F27"/>
    <w:rsid w:val="008F5187"/>
    <w:rsid w:val="008F60D8"/>
    <w:rsid w:val="00902727"/>
    <w:rsid w:val="0090312B"/>
    <w:rsid w:val="009066AA"/>
    <w:rsid w:val="00907FF1"/>
    <w:rsid w:val="0091736D"/>
    <w:rsid w:val="0093037A"/>
    <w:rsid w:val="009320D2"/>
    <w:rsid w:val="0094154D"/>
    <w:rsid w:val="0095155F"/>
    <w:rsid w:val="00954429"/>
    <w:rsid w:val="0095575A"/>
    <w:rsid w:val="009563CE"/>
    <w:rsid w:val="00962B42"/>
    <w:rsid w:val="00964551"/>
    <w:rsid w:val="00976328"/>
    <w:rsid w:val="0097680D"/>
    <w:rsid w:val="009813F6"/>
    <w:rsid w:val="00982438"/>
    <w:rsid w:val="0098404C"/>
    <w:rsid w:val="00985283"/>
    <w:rsid w:val="00987CB4"/>
    <w:rsid w:val="0099456E"/>
    <w:rsid w:val="00995992"/>
    <w:rsid w:val="009A03E5"/>
    <w:rsid w:val="009A070C"/>
    <w:rsid w:val="009A0F3B"/>
    <w:rsid w:val="009A1BB4"/>
    <w:rsid w:val="009A2628"/>
    <w:rsid w:val="009A27F3"/>
    <w:rsid w:val="009A3200"/>
    <w:rsid w:val="009A67AB"/>
    <w:rsid w:val="009B0897"/>
    <w:rsid w:val="009B5235"/>
    <w:rsid w:val="009B7BD9"/>
    <w:rsid w:val="009C7DD5"/>
    <w:rsid w:val="009E227D"/>
    <w:rsid w:val="009E3827"/>
    <w:rsid w:val="009E5019"/>
    <w:rsid w:val="00A04F1B"/>
    <w:rsid w:val="00A0501B"/>
    <w:rsid w:val="00A05E7E"/>
    <w:rsid w:val="00A120E9"/>
    <w:rsid w:val="00A14947"/>
    <w:rsid w:val="00A17DF3"/>
    <w:rsid w:val="00A32A83"/>
    <w:rsid w:val="00A347C5"/>
    <w:rsid w:val="00A368DB"/>
    <w:rsid w:val="00A423AA"/>
    <w:rsid w:val="00A528B8"/>
    <w:rsid w:val="00A53EC6"/>
    <w:rsid w:val="00A55C0F"/>
    <w:rsid w:val="00A56611"/>
    <w:rsid w:val="00A70EA3"/>
    <w:rsid w:val="00A71AE0"/>
    <w:rsid w:val="00A8713F"/>
    <w:rsid w:val="00A90BA1"/>
    <w:rsid w:val="00A97A9A"/>
    <w:rsid w:val="00AA0671"/>
    <w:rsid w:val="00AA2531"/>
    <w:rsid w:val="00AB1E09"/>
    <w:rsid w:val="00AB5206"/>
    <w:rsid w:val="00AB5330"/>
    <w:rsid w:val="00AB7747"/>
    <w:rsid w:val="00AC02C1"/>
    <w:rsid w:val="00AC14CE"/>
    <w:rsid w:val="00AC2A56"/>
    <w:rsid w:val="00AC4F74"/>
    <w:rsid w:val="00AC771D"/>
    <w:rsid w:val="00AD055E"/>
    <w:rsid w:val="00AD47A7"/>
    <w:rsid w:val="00AF0235"/>
    <w:rsid w:val="00AF0CBF"/>
    <w:rsid w:val="00AF257F"/>
    <w:rsid w:val="00AF33CF"/>
    <w:rsid w:val="00AF4D50"/>
    <w:rsid w:val="00AF6179"/>
    <w:rsid w:val="00B00B9E"/>
    <w:rsid w:val="00B02DE0"/>
    <w:rsid w:val="00B1295A"/>
    <w:rsid w:val="00B20A45"/>
    <w:rsid w:val="00B22C5C"/>
    <w:rsid w:val="00B24F30"/>
    <w:rsid w:val="00B25B69"/>
    <w:rsid w:val="00B31ABF"/>
    <w:rsid w:val="00B31C71"/>
    <w:rsid w:val="00B33BE3"/>
    <w:rsid w:val="00B3592A"/>
    <w:rsid w:val="00B537CD"/>
    <w:rsid w:val="00B53B5D"/>
    <w:rsid w:val="00B6055E"/>
    <w:rsid w:val="00B6317D"/>
    <w:rsid w:val="00B7723F"/>
    <w:rsid w:val="00B80534"/>
    <w:rsid w:val="00B8176F"/>
    <w:rsid w:val="00B8433C"/>
    <w:rsid w:val="00B87491"/>
    <w:rsid w:val="00B9003E"/>
    <w:rsid w:val="00B93A7A"/>
    <w:rsid w:val="00BA29E9"/>
    <w:rsid w:val="00BA566F"/>
    <w:rsid w:val="00BA7142"/>
    <w:rsid w:val="00BB237C"/>
    <w:rsid w:val="00BB41A3"/>
    <w:rsid w:val="00BB7847"/>
    <w:rsid w:val="00BC32DC"/>
    <w:rsid w:val="00BC35B6"/>
    <w:rsid w:val="00BC482F"/>
    <w:rsid w:val="00BC5023"/>
    <w:rsid w:val="00BD1B51"/>
    <w:rsid w:val="00BD4596"/>
    <w:rsid w:val="00BD5FC0"/>
    <w:rsid w:val="00BE1405"/>
    <w:rsid w:val="00BE312D"/>
    <w:rsid w:val="00BE5B51"/>
    <w:rsid w:val="00BE7D09"/>
    <w:rsid w:val="00BF1C20"/>
    <w:rsid w:val="00BF3AD6"/>
    <w:rsid w:val="00BF6EE9"/>
    <w:rsid w:val="00C0130F"/>
    <w:rsid w:val="00C020E1"/>
    <w:rsid w:val="00C059B4"/>
    <w:rsid w:val="00C10578"/>
    <w:rsid w:val="00C135BC"/>
    <w:rsid w:val="00C15C95"/>
    <w:rsid w:val="00C2596A"/>
    <w:rsid w:val="00C27537"/>
    <w:rsid w:val="00C31D6C"/>
    <w:rsid w:val="00C328FE"/>
    <w:rsid w:val="00C33507"/>
    <w:rsid w:val="00C4409D"/>
    <w:rsid w:val="00C44E72"/>
    <w:rsid w:val="00C4548A"/>
    <w:rsid w:val="00C45A06"/>
    <w:rsid w:val="00C47E5B"/>
    <w:rsid w:val="00C61E4B"/>
    <w:rsid w:val="00C64BFF"/>
    <w:rsid w:val="00C704E9"/>
    <w:rsid w:val="00C70E09"/>
    <w:rsid w:val="00C763C9"/>
    <w:rsid w:val="00C770FC"/>
    <w:rsid w:val="00C80057"/>
    <w:rsid w:val="00C8048F"/>
    <w:rsid w:val="00C81AC3"/>
    <w:rsid w:val="00C82232"/>
    <w:rsid w:val="00C82913"/>
    <w:rsid w:val="00C972B1"/>
    <w:rsid w:val="00CA08E4"/>
    <w:rsid w:val="00CA1203"/>
    <w:rsid w:val="00CA2CCE"/>
    <w:rsid w:val="00CA43FD"/>
    <w:rsid w:val="00CA6B3B"/>
    <w:rsid w:val="00CA7EF8"/>
    <w:rsid w:val="00CB2035"/>
    <w:rsid w:val="00CC40C5"/>
    <w:rsid w:val="00CC489B"/>
    <w:rsid w:val="00CD2BCD"/>
    <w:rsid w:val="00CD3A4C"/>
    <w:rsid w:val="00CD5744"/>
    <w:rsid w:val="00CE10E9"/>
    <w:rsid w:val="00CE16FC"/>
    <w:rsid w:val="00CE2910"/>
    <w:rsid w:val="00CE5393"/>
    <w:rsid w:val="00CE7DE8"/>
    <w:rsid w:val="00CF36BE"/>
    <w:rsid w:val="00CF4A3A"/>
    <w:rsid w:val="00CF6000"/>
    <w:rsid w:val="00D003F3"/>
    <w:rsid w:val="00D0364F"/>
    <w:rsid w:val="00D06376"/>
    <w:rsid w:val="00D06834"/>
    <w:rsid w:val="00D22059"/>
    <w:rsid w:val="00D274E5"/>
    <w:rsid w:val="00D308ED"/>
    <w:rsid w:val="00D34806"/>
    <w:rsid w:val="00D34F8A"/>
    <w:rsid w:val="00D36D86"/>
    <w:rsid w:val="00D403B4"/>
    <w:rsid w:val="00D428AA"/>
    <w:rsid w:val="00D441C6"/>
    <w:rsid w:val="00D50A34"/>
    <w:rsid w:val="00D53E42"/>
    <w:rsid w:val="00D53EFA"/>
    <w:rsid w:val="00D639D2"/>
    <w:rsid w:val="00D8092A"/>
    <w:rsid w:val="00D93826"/>
    <w:rsid w:val="00D93FFF"/>
    <w:rsid w:val="00D94A7C"/>
    <w:rsid w:val="00D95896"/>
    <w:rsid w:val="00DA449B"/>
    <w:rsid w:val="00DB2983"/>
    <w:rsid w:val="00DB2BF5"/>
    <w:rsid w:val="00DB38A3"/>
    <w:rsid w:val="00DC1257"/>
    <w:rsid w:val="00DC3DC0"/>
    <w:rsid w:val="00DC5B2B"/>
    <w:rsid w:val="00DC6CFE"/>
    <w:rsid w:val="00DD318D"/>
    <w:rsid w:val="00DD4EA5"/>
    <w:rsid w:val="00DD7A1E"/>
    <w:rsid w:val="00DE3728"/>
    <w:rsid w:val="00DF2E12"/>
    <w:rsid w:val="00DF3C57"/>
    <w:rsid w:val="00DF45B2"/>
    <w:rsid w:val="00DF514A"/>
    <w:rsid w:val="00DF6690"/>
    <w:rsid w:val="00DF6804"/>
    <w:rsid w:val="00E0358D"/>
    <w:rsid w:val="00E04323"/>
    <w:rsid w:val="00E070A2"/>
    <w:rsid w:val="00E11C73"/>
    <w:rsid w:val="00E14918"/>
    <w:rsid w:val="00E2656A"/>
    <w:rsid w:val="00E412D0"/>
    <w:rsid w:val="00E45002"/>
    <w:rsid w:val="00E56322"/>
    <w:rsid w:val="00E60982"/>
    <w:rsid w:val="00E62699"/>
    <w:rsid w:val="00E62C62"/>
    <w:rsid w:val="00E62CB0"/>
    <w:rsid w:val="00E654C1"/>
    <w:rsid w:val="00E657C1"/>
    <w:rsid w:val="00E65D97"/>
    <w:rsid w:val="00E71528"/>
    <w:rsid w:val="00E72A5A"/>
    <w:rsid w:val="00E73354"/>
    <w:rsid w:val="00E91241"/>
    <w:rsid w:val="00E9242D"/>
    <w:rsid w:val="00E95378"/>
    <w:rsid w:val="00EA2912"/>
    <w:rsid w:val="00EB25B7"/>
    <w:rsid w:val="00EB5255"/>
    <w:rsid w:val="00EB5C47"/>
    <w:rsid w:val="00EC11ED"/>
    <w:rsid w:val="00EC3516"/>
    <w:rsid w:val="00ED0639"/>
    <w:rsid w:val="00ED7AE1"/>
    <w:rsid w:val="00EF02B4"/>
    <w:rsid w:val="00EF4755"/>
    <w:rsid w:val="00EF7135"/>
    <w:rsid w:val="00F0124A"/>
    <w:rsid w:val="00F027DB"/>
    <w:rsid w:val="00F10A68"/>
    <w:rsid w:val="00F11223"/>
    <w:rsid w:val="00F14A7A"/>
    <w:rsid w:val="00F150F4"/>
    <w:rsid w:val="00F22985"/>
    <w:rsid w:val="00F2654C"/>
    <w:rsid w:val="00F26667"/>
    <w:rsid w:val="00F3383E"/>
    <w:rsid w:val="00F37AA7"/>
    <w:rsid w:val="00F465A7"/>
    <w:rsid w:val="00F47C0D"/>
    <w:rsid w:val="00F50488"/>
    <w:rsid w:val="00F50B7C"/>
    <w:rsid w:val="00F550E6"/>
    <w:rsid w:val="00F562EB"/>
    <w:rsid w:val="00F56488"/>
    <w:rsid w:val="00F65B50"/>
    <w:rsid w:val="00F74345"/>
    <w:rsid w:val="00F80A0A"/>
    <w:rsid w:val="00F82B19"/>
    <w:rsid w:val="00F8328E"/>
    <w:rsid w:val="00F9212D"/>
    <w:rsid w:val="00F950E7"/>
    <w:rsid w:val="00F952EC"/>
    <w:rsid w:val="00F965DA"/>
    <w:rsid w:val="00FA406A"/>
    <w:rsid w:val="00FB503A"/>
    <w:rsid w:val="00FB516C"/>
    <w:rsid w:val="00FB5E7F"/>
    <w:rsid w:val="00FC03BF"/>
    <w:rsid w:val="00FC2C30"/>
    <w:rsid w:val="00FD0236"/>
    <w:rsid w:val="00FD18F4"/>
    <w:rsid w:val="00FD54DB"/>
    <w:rsid w:val="00FD619F"/>
    <w:rsid w:val="00FE34B2"/>
    <w:rsid w:val="00FE48CF"/>
    <w:rsid w:val="00FF4904"/>
    <w:rsid w:val="00FF7483"/>
    <w:rsid w:val="01213882"/>
    <w:rsid w:val="01290F7E"/>
    <w:rsid w:val="012A2737"/>
    <w:rsid w:val="01341CD3"/>
    <w:rsid w:val="014D28C9"/>
    <w:rsid w:val="015D1E09"/>
    <w:rsid w:val="016B686E"/>
    <w:rsid w:val="01A03665"/>
    <w:rsid w:val="01A0507D"/>
    <w:rsid w:val="01A91B2F"/>
    <w:rsid w:val="01AA2B5F"/>
    <w:rsid w:val="01C553F6"/>
    <w:rsid w:val="01F42D45"/>
    <w:rsid w:val="01F62F61"/>
    <w:rsid w:val="01FE2FD8"/>
    <w:rsid w:val="02051FBA"/>
    <w:rsid w:val="02094E3E"/>
    <w:rsid w:val="021653B1"/>
    <w:rsid w:val="022D1551"/>
    <w:rsid w:val="02657D81"/>
    <w:rsid w:val="02697903"/>
    <w:rsid w:val="02895B83"/>
    <w:rsid w:val="029D06C0"/>
    <w:rsid w:val="02A429BD"/>
    <w:rsid w:val="02AE1145"/>
    <w:rsid w:val="02B1379B"/>
    <w:rsid w:val="02C24BF1"/>
    <w:rsid w:val="02CE3596"/>
    <w:rsid w:val="02D414B8"/>
    <w:rsid w:val="02E81D02"/>
    <w:rsid w:val="02F179EF"/>
    <w:rsid w:val="02F94BC3"/>
    <w:rsid w:val="02F96569"/>
    <w:rsid w:val="030771B4"/>
    <w:rsid w:val="03101E00"/>
    <w:rsid w:val="03334AEF"/>
    <w:rsid w:val="0349192D"/>
    <w:rsid w:val="037265D3"/>
    <w:rsid w:val="03764A75"/>
    <w:rsid w:val="037B18EE"/>
    <w:rsid w:val="03914CEF"/>
    <w:rsid w:val="03991DF6"/>
    <w:rsid w:val="03BD62F6"/>
    <w:rsid w:val="03CE123F"/>
    <w:rsid w:val="03CF47FE"/>
    <w:rsid w:val="03DF1EFE"/>
    <w:rsid w:val="03EA7B21"/>
    <w:rsid w:val="03EC7621"/>
    <w:rsid w:val="044704AB"/>
    <w:rsid w:val="047525C0"/>
    <w:rsid w:val="04921C4C"/>
    <w:rsid w:val="049821F4"/>
    <w:rsid w:val="04D8694E"/>
    <w:rsid w:val="04F65B02"/>
    <w:rsid w:val="04FA6E42"/>
    <w:rsid w:val="050120BD"/>
    <w:rsid w:val="05094BF0"/>
    <w:rsid w:val="052120A3"/>
    <w:rsid w:val="0528562F"/>
    <w:rsid w:val="052E6336"/>
    <w:rsid w:val="05467D5B"/>
    <w:rsid w:val="054E09BE"/>
    <w:rsid w:val="055204D8"/>
    <w:rsid w:val="05F83EAE"/>
    <w:rsid w:val="05F94E3B"/>
    <w:rsid w:val="062F00FC"/>
    <w:rsid w:val="063E7D85"/>
    <w:rsid w:val="064E7880"/>
    <w:rsid w:val="06866637"/>
    <w:rsid w:val="06916497"/>
    <w:rsid w:val="069D7E4F"/>
    <w:rsid w:val="06A70967"/>
    <w:rsid w:val="06CD4601"/>
    <w:rsid w:val="06E82AB7"/>
    <w:rsid w:val="06F86B75"/>
    <w:rsid w:val="06FA0DFD"/>
    <w:rsid w:val="06FB1712"/>
    <w:rsid w:val="0708373E"/>
    <w:rsid w:val="07153E89"/>
    <w:rsid w:val="0722012D"/>
    <w:rsid w:val="07293586"/>
    <w:rsid w:val="07295285"/>
    <w:rsid w:val="07334B04"/>
    <w:rsid w:val="074F5A1D"/>
    <w:rsid w:val="07636392"/>
    <w:rsid w:val="07687F22"/>
    <w:rsid w:val="07746E01"/>
    <w:rsid w:val="07754928"/>
    <w:rsid w:val="07770C56"/>
    <w:rsid w:val="07A21F1D"/>
    <w:rsid w:val="07B33F2A"/>
    <w:rsid w:val="07E37AE3"/>
    <w:rsid w:val="08081641"/>
    <w:rsid w:val="08150D63"/>
    <w:rsid w:val="08236F3D"/>
    <w:rsid w:val="083E4D1A"/>
    <w:rsid w:val="08496505"/>
    <w:rsid w:val="0854278F"/>
    <w:rsid w:val="08895E26"/>
    <w:rsid w:val="088A7F5F"/>
    <w:rsid w:val="088B238E"/>
    <w:rsid w:val="0892156C"/>
    <w:rsid w:val="08AC0BCA"/>
    <w:rsid w:val="08C11115"/>
    <w:rsid w:val="08ED5D40"/>
    <w:rsid w:val="091C3A66"/>
    <w:rsid w:val="092217DD"/>
    <w:rsid w:val="09250A5F"/>
    <w:rsid w:val="093A7294"/>
    <w:rsid w:val="09656A93"/>
    <w:rsid w:val="096D09F7"/>
    <w:rsid w:val="09782A25"/>
    <w:rsid w:val="0985588F"/>
    <w:rsid w:val="099C0D9F"/>
    <w:rsid w:val="09A01905"/>
    <w:rsid w:val="09B131C5"/>
    <w:rsid w:val="09B64A65"/>
    <w:rsid w:val="0A1E2B95"/>
    <w:rsid w:val="0A263993"/>
    <w:rsid w:val="0A2D3AC2"/>
    <w:rsid w:val="0A421973"/>
    <w:rsid w:val="0A5110EC"/>
    <w:rsid w:val="0A783D73"/>
    <w:rsid w:val="0AA755DF"/>
    <w:rsid w:val="0AB25993"/>
    <w:rsid w:val="0AB92CC9"/>
    <w:rsid w:val="0AD55F71"/>
    <w:rsid w:val="0AF824A4"/>
    <w:rsid w:val="0AFD710E"/>
    <w:rsid w:val="0AFF2E86"/>
    <w:rsid w:val="0B006FDD"/>
    <w:rsid w:val="0B051E6E"/>
    <w:rsid w:val="0B120D44"/>
    <w:rsid w:val="0B352404"/>
    <w:rsid w:val="0B445739"/>
    <w:rsid w:val="0B6D59CF"/>
    <w:rsid w:val="0B7C0033"/>
    <w:rsid w:val="0B93329F"/>
    <w:rsid w:val="0BA878CC"/>
    <w:rsid w:val="0BCD4D32"/>
    <w:rsid w:val="0BCF410A"/>
    <w:rsid w:val="0BD27BF6"/>
    <w:rsid w:val="0BDC5164"/>
    <w:rsid w:val="0BE91870"/>
    <w:rsid w:val="0BF81E96"/>
    <w:rsid w:val="0C05627A"/>
    <w:rsid w:val="0C3B3C7D"/>
    <w:rsid w:val="0C45360F"/>
    <w:rsid w:val="0C831E8B"/>
    <w:rsid w:val="0C897A2A"/>
    <w:rsid w:val="0C8F3D96"/>
    <w:rsid w:val="0C963E77"/>
    <w:rsid w:val="0C9D701A"/>
    <w:rsid w:val="0CAB2EAE"/>
    <w:rsid w:val="0CBF7217"/>
    <w:rsid w:val="0CDB1AAE"/>
    <w:rsid w:val="0CEB192D"/>
    <w:rsid w:val="0D0200E8"/>
    <w:rsid w:val="0D0C1637"/>
    <w:rsid w:val="0D1D5845"/>
    <w:rsid w:val="0D200E92"/>
    <w:rsid w:val="0D341A36"/>
    <w:rsid w:val="0D43319C"/>
    <w:rsid w:val="0D503A89"/>
    <w:rsid w:val="0D5F19BA"/>
    <w:rsid w:val="0D621C7D"/>
    <w:rsid w:val="0D701E19"/>
    <w:rsid w:val="0DA16C1C"/>
    <w:rsid w:val="0DC01281"/>
    <w:rsid w:val="0DE13708"/>
    <w:rsid w:val="0DF129EB"/>
    <w:rsid w:val="0DF2282E"/>
    <w:rsid w:val="0E0D2B5F"/>
    <w:rsid w:val="0E0F33E0"/>
    <w:rsid w:val="0E101A52"/>
    <w:rsid w:val="0E1053AA"/>
    <w:rsid w:val="0E1B7D06"/>
    <w:rsid w:val="0E280457"/>
    <w:rsid w:val="0E5D1624"/>
    <w:rsid w:val="0E6364DC"/>
    <w:rsid w:val="0E6A4ABA"/>
    <w:rsid w:val="0E72396F"/>
    <w:rsid w:val="0E73034D"/>
    <w:rsid w:val="0E7616B1"/>
    <w:rsid w:val="0E901B51"/>
    <w:rsid w:val="0E9438E5"/>
    <w:rsid w:val="0EA0228A"/>
    <w:rsid w:val="0ECA5559"/>
    <w:rsid w:val="0EF64BB9"/>
    <w:rsid w:val="0F07543E"/>
    <w:rsid w:val="0F13775A"/>
    <w:rsid w:val="0F1A3BE1"/>
    <w:rsid w:val="0F27041C"/>
    <w:rsid w:val="0F280735"/>
    <w:rsid w:val="0F40346D"/>
    <w:rsid w:val="0F5F45FE"/>
    <w:rsid w:val="0F786D63"/>
    <w:rsid w:val="0F8A3CBD"/>
    <w:rsid w:val="0F9A112B"/>
    <w:rsid w:val="0FA16479"/>
    <w:rsid w:val="0FAB4813"/>
    <w:rsid w:val="0FE00A0F"/>
    <w:rsid w:val="0FE8601C"/>
    <w:rsid w:val="10236CF7"/>
    <w:rsid w:val="103319CE"/>
    <w:rsid w:val="10333112"/>
    <w:rsid w:val="1034712E"/>
    <w:rsid w:val="105D18A6"/>
    <w:rsid w:val="106D2F64"/>
    <w:rsid w:val="10737D45"/>
    <w:rsid w:val="10752F31"/>
    <w:rsid w:val="10A65B52"/>
    <w:rsid w:val="10B63710"/>
    <w:rsid w:val="10BE2E9B"/>
    <w:rsid w:val="10E00647"/>
    <w:rsid w:val="10F10820"/>
    <w:rsid w:val="111C2F7A"/>
    <w:rsid w:val="113C1891"/>
    <w:rsid w:val="11577BF0"/>
    <w:rsid w:val="115F642C"/>
    <w:rsid w:val="116577BB"/>
    <w:rsid w:val="11665CA1"/>
    <w:rsid w:val="118A5213"/>
    <w:rsid w:val="119D1293"/>
    <w:rsid w:val="11B522DA"/>
    <w:rsid w:val="11D566EF"/>
    <w:rsid w:val="12086AC4"/>
    <w:rsid w:val="1214574B"/>
    <w:rsid w:val="121D73C5"/>
    <w:rsid w:val="1252592B"/>
    <w:rsid w:val="12577104"/>
    <w:rsid w:val="125B1EE2"/>
    <w:rsid w:val="12624369"/>
    <w:rsid w:val="12761785"/>
    <w:rsid w:val="12B13247"/>
    <w:rsid w:val="12DE15D3"/>
    <w:rsid w:val="12E2137E"/>
    <w:rsid w:val="13141499"/>
    <w:rsid w:val="133F0731"/>
    <w:rsid w:val="134D555D"/>
    <w:rsid w:val="13597800"/>
    <w:rsid w:val="135D6BDE"/>
    <w:rsid w:val="136C3935"/>
    <w:rsid w:val="137133CC"/>
    <w:rsid w:val="13765074"/>
    <w:rsid w:val="13951726"/>
    <w:rsid w:val="139A07B8"/>
    <w:rsid w:val="139A1F90"/>
    <w:rsid w:val="13D6569B"/>
    <w:rsid w:val="13F002AF"/>
    <w:rsid w:val="13FA7106"/>
    <w:rsid w:val="13FD26E9"/>
    <w:rsid w:val="14396509"/>
    <w:rsid w:val="143C0CA7"/>
    <w:rsid w:val="14497D3D"/>
    <w:rsid w:val="14523BE0"/>
    <w:rsid w:val="149C7998"/>
    <w:rsid w:val="14D26F15"/>
    <w:rsid w:val="14DD2C3C"/>
    <w:rsid w:val="14DD7766"/>
    <w:rsid w:val="150C68EE"/>
    <w:rsid w:val="15144742"/>
    <w:rsid w:val="15273305"/>
    <w:rsid w:val="153151ED"/>
    <w:rsid w:val="1549518F"/>
    <w:rsid w:val="15572C4F"/>
    <w:rsid w:val="155A0B81"/>
    <w:rsid w:val="15871BAD"/>
    <w:rsid w:val="15B323C2"/>
    <w:rsid w:val="15BA5956"/>
    <w:rsid w:val="15D74510"/>
    <w:rsid w:val="15FF1F8C"/>
    <w:rsid w:val="16087E1D"/>
    <w:rsid w:val="162064AB"/>
    <w:rsid w:val="16247C45"/>
    <w:rsid w:val="162D171F"/>
    <w:rsid w:val="163E7CF3"/>
    <w:rsid w:val="165B089D"/>
    <w:rsid w:val="16931F84"/>
    <w:rsid w:val="16995B55"/>
    <w:rsid w:val="16AF6B89"/>
    <w:rsid w:val="16B014D8"/>
    <w:rsid w:val="17100D53"/>
    <w:rsid w:val="1723614E"/>
    <w:rsid w:val="173B76DF"/>
    <w:rsid w:val="174063FB"/>
    <w:rsid w:val="17450245"/>
    <w:rsid w:val="17455DB5"/>
    <w:rsid w:val="17620A24"/>
    <w:rsid w:val="17693981"/>
    <w:rsid w:val="17701D14"/>
    <w:rsid w:val="17735226"/>
    <w:rsid w:val="17737AF6"/>
    <w:rsid w:val="17817D24"/>
    <w:rsid w:val="17A10E21"/>
    <w:rsid w:val="17A23167"/>
    <w:rsid w:val="17B521F1"/>
    <w:rsid w:val="17BD2138"/>
    <w:rsid w:val="17CF12FB"/>
    <w:rsid w:val="17FE054F"/>
    <w:rsid w:val="18194E5B"/>
    <w:rsid w:val="18222CE7"/>
    <w:rsid w:val="182757CA"/>
    <w:rsid w:val="18407B66"/>
    <w:rsid w:val="184243B2"/>
    <w:rsid w:val="18441ED8"/>
    <w:rsid w:val="184D1D4E"/>
    <w:rsid w:val="18577013"/>
    <w:rsid w:val="189F624C"/>
    <w:rsid w:val="18A0407D"/>
    <w:rsid w:val="18B96776"/>
    <w:rsid w:val="190331C4"/>
    <w:rsid w:val="190C6E47"/>
    <w:rsid w:val="190E21A6"/>
    <w:rsid w:val="191B446F"/>
    <w:rsid w:val="192D2AD0"/>
    <w:rsid w:val="194128BC"/>
    <w:rsid w:val="19677DDD"/>
    <w:rsid w:val="197B11BE"/>
    <w:rsid w:val="19806D72"/>
    <w:rsid w:val="19822D55"/>
    <w:rsid w:val="19902683"/>
    <w:rsid w:val="19923117"/>
    <w:rsid w:val="19A60971"/>
    <w:rsid w:val="19C91603"/>
    <w:rsid w:val="19D00EAC"/>
    <w:rsid w:val="1A1C66C0"/>
    <w:rsid w:val="1A2C6FED"/>
    <w:rsid w:val="1A3C7678"/>
    <w:rsid w:val="1A4147B9"/>
    <w:rsid w:val="1A42393B"/>
    <w:rsid w:val="1A5B5BFF"/>
    <w:rsid w:val="1A6C6E07"/>
    <w:rsid w:val="1A746B01"/>
    <w:rsid w:val="1AAD45DE"/>
    <w:rsid w:val="1ABF7F3C"/>
    <w:rsid w:val="1AE300CE"/>
    <w:rsid w:val="1AE40FDD"/>
    <w:rsid w:val="1AF22118"/>
    <w:rsid w:val="1AF91522"/>
    <w:rsid w:val="1B046F80"/>
    <w:rsid w:val="1B3267B5"/>
    <w:rsid w:val="1B40161D"/>
    <w:rsid w:val="1B441859"/>
    <w:rsid w:val="1B46240B"/>
    <w:rsid w:val="1B53571D"/>
    <w:rsid w:val="1B5771AB"/>
    <w:rsid w:val="1B6606B1"/>
    <w:rsid w:val="1BA2167E"/>
    <w:rsid w:val="1BA6647D"/>
    <w:rsid w:val="1BBD36B0"/>
    <w:rsid w:val="1BCC481A"/>
    <w:rsid w:val="1C077DEC"/>
    <w:rsid w:val="1C197B20"/>
    <w:rsid w:val="1C204A0A"/>
    <w:rsid w:val="1C3E795C"/>
    <w:rsid w:val="1C427EC4"/>
    <w:rsid w:val="1C5E4847"/>
    <w:rsid w:val="1C5E7925"/>
    <w:rsid w:val="1C6A6B78"/>
    <w:rsid w:val="1C9E5148"/>
    <w:rsid w:val="1CA51364"/>
    <w:rsid w:val="1CBD66FD"/>
    <w:rsid w:val="1CFD070F"/>
    <w:rsid w:val="1D096772"/>
    <w:rsid w:val="1D113AD3"/>
    <w:rsid w:val="1D2C0B06"/>
    <w:rsid w:val="1D3F6002"/>
    <w:rsid w:val="1D5D2423"/>
    <w:rsid w:val="1D5F6196"/>
    <w:rsid w:val="1D6132A5"/>
    <w:rsid w:val="1D680F26"/>
    <w:rsid w:val="1D8E56D5"/>
    <w:rsid w:val="1DB00010"/>
    <w:rsid w:val="1DC37D43"/>
    <w:rsid w:val="1DDB5873"/>
    <w:rsid w:val="1DE345D9"/>
    <w:rsid w:val="1DF55E73"/>
    <w:rsid w:val="1E407150"/>
    <w:rsid w:val="1E4A3FC0"/>
    <w:rsid w:val="1E5767B2"/>
    <w:rsid w:val="1E7A43DA"/>
    <w:rsid w:val="1E975A11"/>
    <w:rsid w:val="1E9A3427"/>
    <w:rsid w:val="1EA976D1"/>
    <w:rsid w:val="1EBB224A"/>
    <w:rsid w:val="1EC530AD"/>
    <w:rsid w:val="1F306021"/>
    <w:rsid w:val="1F452858"/>
    <w:rsid w:val="1F5649E8"/>
    <w:rsid w:val="1F676B35"/>
    <w:rsid w:val="1F6F6B0B"/>
    <w:rsid w:val="1F890B18"/>
    <w:rsid w:val="1FB3458D"/>
    <w:rsid w:val="1FE7539E"/>
    <w:rsid w:val="1FEB612B"/>
    <w:rsid w:val="201A43EC"/>
    <w:rsid w:val="20256A93"/>
    <w:rsid w:val="202D60B8"/>
    <w:rsid w:val="203717D3"/>
    <w:rsid w:val="20671BE0"/>
    <w:rsid w:val="20963CB8"/>
    <w:rsid w:val="20A6204D"/>
    <w:rsid w:val="20A81A1B"/>
    <w:rsid w:val="20B07FB6"/>
    <w:rsid w:val="20B646FB"/>
    <w:rsid w:val="20BA658A"/>
    <w:rsid w:val="20BD6CCC"/>
    <w:rsid w:val="20DF263D"/>
    <w:rsid w:val="20F346B8"/>
    <w:rsid w:val="21092E4A"/>
    <w:rsid w:val="21235BDB"/>
    <w:rsid w:val="213B74B1"/>
    <w:rsid w:val="21534ADC"/>
    <w:rsid w:val="215A2310"/>
    <w:rsid w:val="215D1C34"/>
    <w:rsid w:val="21622C67"/>
    <w:rsid w:val="21854CD6"/>
    <w:rsid w:val="218912A4"/>
    <w:rsid w:val="219375DC"/>
    <w:rsid w:val="219E0947"/>
    <w:rsid w:val="21B9578A"/>
    <w:rsid w:val="21D249F9"/>
    <w:rsid w:val="21D7200F"/>
    <w:rsid w:val="21DE318A"/>
    <w:rsid w:val="21E527E9"/>
    <w:rsid w:val="21EA10ED"/>
    <w:rsid w:val="21EF5B80"/>
    <w:rsid w:val="220A51AC"/>
    <w:rsid w:val="22576990"/>
    <w:rsid w:val="22696053"/>
    <w:rsid w:val="22721D38"/>
    <w:rsid w:val="2276299F"/>
    <w:rsid w:val="22C86F05"/>
    <w:rsid w:val="22E132CA"/>
    <w:rsid w:val="22F47480"/>
    <w:rsid w:val="22FE5D18"/>
    <w:rsid w:val="23254DF5"/>
    <w:rsid w:val="23BB662F"/>
    <w:rsid w:val="23D419FC"/>
    <w:rsid w:val="23DE1C48"/>
    <w:rsid w:val="23E128E4"/>
    <w:rsid w:val="23E26061"/>
    <w:rsid w:val="23F25EDF"/>
    <w:rsid w:val="240210CD"/>
    <w:rsid w:val="24125580"/>
    <w:rsid w:val="2416287F"/>
    <w:rsid w:val="24170DE9"/>
    <w:rsid w:val="24303173"/>
    <w:rsid w:val="24513B9B"/>
    <w:rsid w:val="24635DDC"/>
    <w:rsid w:val="248F6BD1"/>
    <w:rsid w:val="249A0CC0"/>
    <w:rsid w:val="24A370B2"/>
    <w:rsid w:val="24A863B5"/>
    <w:rsid w:val="24B959FC"/>
    <w:rsid w:val="24BF09F7"/>
    <w:rsid w:val="24DB5972"/>
    <w:rsid w:val="24E60DCC"/>
    <w:rsid w:val="251175E6"/>
    <w:rsid w:val="252D53FE"/>
    <w:rsid w:val="2531075C"/>
    <w:rsid w:val="2550488D"/>
    <w:rsid w:val="25866B22"/>
    <w:rsid w:val="25A16BBC"/>
    <w:rsid w:val="25AB17E9"/>
    <w:rsid w:val="25C13A60"/>
    <w:rsid w:val="25CD4981"/>
    <w:rsid w:val="25D0124F"/>
    <w:rsid w:val="25E07345"/>
    <w:rsid w:val="25EC2D81"/>
    <w:rsid w:val="25EF2CF8"/>
    <w:rsid w:val="2621357A"/>
    <w:rsid w:val="26435111"/>
    <w:rsid w:val="264F05EB"/>
    <w:rsid w:val="267113D4"/>
    <w:rsid w:val="268362C1"/>
    <w:rsid w:val="26BB3CAD"/>
    <w:rsid w:val="26C568DA"/>
    <w:rsid w:val="26CF35F2"/>
    <w:rsid w:val="26E61D8B"/>
    <w:rsid w:val="26F45E5C"/>
    <w:rsid w:val="26F966D0"/>
    <w:rsid w:val="2702368A"/>
    <w:rsid w:val="27244C3D"/>
    <w:rsid w:val="272F6103"/>
    <w:rsid w:val="27663AD0"/>
    <w:rsid w:val="276E51C4"/>
    <w:rsid w:val="277057A2"/>
    <w:rsid w:val="27714EC5"/>
    <w:rsid w:val="277809D3"/>
    <w:rsid w:val="27830464"/>
    <w:rsid w:val="27953DA4"/>
    <w:rsid w:val="27AB3D22"/>
    <w:rsid w:val="27B51C8E"/>
    <w:rsid w:val="27D0567F"/>
    <w:rsid w:val="27E15995"/>
    <w:rsid w:val="27F60D15"/>
    <w:rsid w:val="28164F13"/>
    <w:rsid w:val="28525232"/>
    <w:rsid w:val="285F4DC5"/>
    <w:rsid w:val="28733137"/>
    <w:rsid w:val="2877576E"/>
    <w:rsid w:val="287C52CB"/>
    <w:rsid w:val="28852A79"/>
    <w:rsid w:val="28A22D11"/>
    <w:rsid w:val="28B47FB3"/>
    <w:rsid w:val="28C406F4"/>
    <w:rsid w:val="28D64DCE"/>
    <w:rsid w:val="28E1152A"/>
    <w:rsid w:val="290A0A85"/>
    <w:rsid w:val="290B4DE9"/>
    <w:rsid w:val="29206EB8"/>
    <w:rsid w:val="29323B5D"/>
    <w:rsid w:val="29595666"/>
    <w:rsid w:val="295B2D42"/>
    <w:rsid w:val="297665B1"/>
    <w:rsid w:val="29791BFE"/>
    <w:rsid w:val="29874881"/>
    <w:rsid w:val="299A2A69"/>
    <w:rsid w:val="29A066A7"/>
    <w:rsid w:val="29A21D20"/>
    <w:rsid w:val="29B07C39"/>
    <w:rsid w:val="29B35110"/>
    <w:rsid w:val="29BA30F1"/>
    <w:rsid w:val="29CC071C"/>
    <w:rsid w:val="29E325E0"/>
    <w:rsid w:val="2A1831C5"/>
    <w:rsid w:val="2A212A03"/>
    <w:rsid w:val="2A452503"/>
    <w:rsid w:val="2A583F7A"/>
    <w:rsid w:val="2A64640A"/>
    <w:rsid w:val="2AB63109"/>
    <w:rsid w:val="2AE31A25"/>
    <w:rsid w:val="2AF77AFE"/>
    <w:rsid w:val="2B1A7222"/>
    <w:rsid w:val="2B211456"/>
    <w:rsid w:val="2B270514"/>
    <w:rsid w:val="2B500AC6"/>
    <w:rsid w:val="2B76581D"/>
    <w:rsid w:val="2B8D4DDD"/>
    <w:rsid w:val="2B960845"/>
    <w:rsid w:val="2BA936A8"/>
    <w:rsid w:val="2BC42687"/>
    <w:rsid w:val="2BF452D0"/>
    <w:rsid w:val="2BFA7026"/>
    <w:rsid w:val="2C163734"/>
    <w:rsid w:val="2C236B3C"/>
    <w:rsid w:val="2C293467"/>
    <w:rsid w:val="2C315A5A"/>
    <w:rsid w:val="2C3222F8"/>
    <w:rsid w:val="2C3342E6"/>
    <w:rsid w:val="2C3C763E"/>
    <w:rsid w:val="2C452F5E"/>
    <w:rsid w:val="2C4B1C25"/>
    <w:rsid w:val="2C963119"/>
    <w:rsid w:val="2C9F5E1F"/>
    <w:rsid w:val="2CC17B44"/>
    <w:rsid w:val="2D161F27"/>
    <w:rsid w:val="2D312AFC"/>
    <w:rsid w:val="2D6814EE"/>
    <w:rsid w:val="2D774259"/>
    <w:rsid w:val="2D9E56F5"/>
    <w:rsid w:val="2D9F4C59"/>
    <w:rsid w:val="2DA03DC0"/>
    <w:rsid w:val="2DAA4A7C"/>
    <w:rsid w:val="2DBF6267"/>
    <w:rsid w:val="2DC4107B"/>
    <w:rsid w:val="2DD514A8"/>
    <w:rsid w:val="2DE27D71"/>
    <w:rsid w:val="2DE560C7"/>
    <w:rsid w:val="2E667F96"/>
    <w:rsid w:val="2E8226AB"/>
    <w:rsid w:val="2E833480"/>
    <w:rsid w:val="2E9A1E47"/>
    <w:rsid w:val="2EA11AA1"/>
    <w:rsid w:val="2EB033E7"/>
    <w:rsid w:val="2EB34F42"/>
    <w:rsid w:val="2EC21951"/>
    <w:rsid w:val="2ED55EC9"/>
    <w:rsid w:val="2ED73061"/>
    <w:rsid w:val="2EE71B4D"/>
    <w:rsid w:val="2EE9081E"/>
    <w:rsid w:val="2EF25B3B"/>
    <w:rsid w:val="2F005D9A"/>
    <w:rsid w:val="2F0E76D8"/>
    <w:rsid w:val="2F13062B"/>
    <w:rsid w:val="2F1403FE"/>
    <w:rsid w:val="2F193C67"/>
    <w:rsid w:val="2F5702EB"/>
    <w:rsid w:val="2F5A7DDB"/>
    <w:rsid w:val="2F634EE2"/>
    <w:rsid w:val="2F787676"/>
    <w:rsid w:val="2FB4194A"/>
    <w:rsid w:val="2FCC3B5B"/>
    <w:rsid w:val="2FD065E6"/>
    <w:rsid w:val="2FD45DE0"/>
    <w:rsid w:val="2FD96870"/>
    <w:rsid w:val="2FF34A11"/>
    <w:rsid w:val="2FF70416"/>
    <w:rsid w:val="300E1C6F"/>
    <w:rsid w:val="302931C9"/>
    <w:rsid w:val="302C20AC"/>
    <w:rsid w:val="30466321"/>
    <w:rsid w:val="30580BC9"/>
    <w:rsid w:val="305B0BC6"/>
    <w:rsid w:val="3068551B"/>
    <w:rsid w:val="306B7457"/>
    <w:rsid w:val="309A2B85"/>
    <w:rsid w:val="30A40237"/>
    <w:rsid w:val="30B359F5"/>
    <w:rsid w:val="30E7063D"/>
    <w:rsid w:val="30E738F1"/>
    <w:rsid w:val="30EB4AA9"/>
    <w:rsid w:val="30EC6BC1"/>
    <w:rsid w:val="31072112"/>
    <w:rsid w:val="311E2ED7"/>
    <w:rsid w:val="313371A1"/>
    <w:rsid w:val="31342FDA"/>
    <w:rsid w:val="31507291"/>
    <w:rsid w:val="315216B2"/>
    <w:rsid w:val="315619EE"/>
    <w:rsid w:val="315C449C"/>
    <w:rsid w:val="31A12001"/>
    <w:rsid w:val="31B82709"/>
    <w:rsid w:val="31B934DF"/>
    <w:rsid w:val="31BC0201"/>
    <w:rsid w:val="31D05482"/>
    <w:rsid w:val="31FF4BF1"/>
    <w:rsid w:val="321672B0"/>
    <w:rsid w:val="321F0C8F"/>
    <w:rsid w:val="32400B34"/>
    <w:rsid w:val="325B6344"/>
    <w:rsid w:val="3283252A"/>
    <w:rsid w:val="329E6876"/>
    <w:rsid w:val="32A509D4"/>
    <w:rsid w:val="32A95256"/>
    <w:rsid w:val="32B71FB1"/>
    <w:rsid w:val="32BD1587"/>
    <w:rsid w:val="32CE6B16"/>
    <w:rsid w:val="32DF6F75"/>
    <w:rsid w:val="33172E76"/>
    <w:rsid w:val="331E705E"/>
    <w:rsid w:val="3328091C"/>
    <w:rsid w:val="332C1A8F"/>
    <w:rsid w:val="332E1CAB"/>
    <w:rsid w:val="333015F2"/>
    <w:rsid w:val="33337DE1"/>
    <w:rsid w:val="334B6320"/>
    <w:rsid w:val="33515799"/>
    <w:rsid w:val="33615BDC"/>
    <w:rsid w:val="3361798A"/>
    <w:rsid w:val="336B0809"/>
    <w:rsid w:val="33867109"/>
    <w:rsid w:val="338E62A6"/>
    <w:rsid w:val="33B60B6C"/>
    <w:rsid w:val="33D934D4"/>
    <w:rsid w:val="33E74334"/>
    <w:rsid w:val="33FE2F6A"/>
    <w:rsid w:val="340E07E5"/>
    <w:rsid w:val="34192013"/>
    <w:rsid w:val="34235BF7"/>
    <w:rsid w:val="34252623"/>
    <w:rsid w:val="34443B7D"/>
    <w:rsid w:val="346E1E4E"/>
    <w:rsid w:val="34864ACF"/>
    <w:rsid w:val="3490414B"/>
    <w:rsid w:val="349F4C0E"/>
    <w:rsid w:val="34AE30A3"/>
    <w:rsid w:val="3518328F"/>
    <w:rsid w:val="35472BB0"/>
    <w:rsid w:val="358C5FA8"/>
    <w:rsid w:val="358F0F5E"/>
    <w:rsid w:val="35B469C4"/>
    <w:rsid w:val="35B61A33"/>
    <w:rsid w:val="35C15DF1"/>
    <w:rsid w:val="35DB7EC8"/>
    <w:rsid w:val="35FA48FF"/>
    <w:rsid w:val="360127A7"/>
    <w:rsid w:val="36074A7F"/>
    <w:rsid w:val="361C403D"/>
    <w:rsid w:val="36204297"/>
    <w:rsid w:val="364A17C1"/>
    <w:rsid w:val="36625EF3"/>
    <w:rsid w:val="368A111C"/>
    <w:rsid w:val="36923549"/>
    <w:rsid w:val="36A06A1C"/>
    <w:rsid w:val="36B75FBF"/>
    <w:rsid w:val="36BD0C45"/>
    <w:rsid w:val="36C6662E"/>
    <w:rsid w:val="37175896"/>
    <w:rsid w:val="376932B2"/>
    <w:rsid w:val="3797463F"/>
    <w:rsid w:val="37C63D34"/>
    <w:rsid w:val="37C87FD8"/>
    <w:rsid w:val="37DC4405"/>
    <w:rsid w:val="37E00298"/>
    <w:rsid w:val="37F85506"/>
    <w:rsid w:val="38563836"/>
    <w:rsid w:val="38B302F9"/>
    <w:rsid w:val="38BE1E36"/>
    <w:rsid w:val="38CB7018"/>
    <w:rsid w:val="38D435B9"/>
    <w:rsid w:val="38E726E0"/>
    <w:rsid w:val="38F12CD3"/>
    <w:rsid w:val="38F94775"/>
    <w:rsid w:val="38FD0155"/>
    <w:rsid w:val="391F6A9A"/>
    <w:rsid w:val="392971ED"/>
    <w:rsid w:val="39325651"/>
    <w:rsid w:val="394D42A6"/>
    <w:rsid w:val="395F70CB"/>
    <w:rsid w:val="397305AE"/>
    <w:rsid w:val="397617FF"/>
    <w:rsid w:val="3998257A"/>
    <w:rsid w:val="39A65364"/>
    <w:rsid w:val="39CD62D6"/>
    <w:rsid w:val="39E16883"/>
    <w:rsid w:val="3A1855DA"/>
    <w:rsid w:val="3A347BA7"/>
    <w:rsid w:val="3A446FEF"/>
    <w:rsid w:val="3A676A2B"/>
    <w:rsid w:val="3A7E00E9"/>
    <w:rsid w:val="3A872856"/>
    <w:rsid w:val="3AA801A6"/>
    <w:rsid w:val="3AA86AE2"/>
    <w:rsid w:val="3AB17449"/>
    <w:rsid w:val="3AEA0046"/>
    <w:rsid w:val="3B023801"/>
    <w:rsid w:val="3B1A313B"/>
    <w:rsid w:val="3B3763D1"/>
    <w:rsid w:val="3B5A4322"/>
    <w:rsid w:val="3B634513"/>
    <w:rsid w:val="3B894B33"/>
    <w:rsid w:val="3B8F3312"/>
    <w:rsid w:val="3B984165"/>
    <w:rsid w:val="3BA548F3"/>
    <w:rsid w:val="3BB6616B"/>
    <w:rsid w:val="3BB70A8F"/>
    <w:rsid w:val="3BD01095"/>
    <w:rsid w:val="3BDA29D0"/>
    <w:rsid w:val="3BF135B5"/>
    <w:rsid w:val="3BF2114E"/>
    <w:rsid w:val="3C2F6E1E"/>
    <w:rsid w:val="3C4F64BA"/>
    <w:rsid w:val="3C532F06"/>
    <w:rsid w:val="3C5B574B"/>
    <w:rsid w:val="3CA1704A"/>
    <w:rsid w:val="3CA379A6"/>
    <w:rsid w:val="3CA97838"/>
    <w:rsid w:val="3CB21257"/>
    <w:rsid w:val="3CD726D4"/>
    <w:rsid w:val="3CDA245A"/>
    <w:rsid w:val="3CDC3688"/>
    <w:rsid w:val="3D134B10"/>
    <w:rsid w:val="3D1E06B7"/>
    <w:rsid w:val="3D2070CF"/>
    <w:rsid w:val="3D324B55"/>
    <w:rsid w:val="3D3268DE"/>
    <w:rsid w:val="3D436353"/>
    <w:rsid w:val="3D4520CB"/>
    <w:rsid w:val="3D5027EA"/>
    <w:rsid w:val="3D552F3F"/>
    <w:rsid w:val="3D69400B"/>
    <w:rsid w:val="3DBA18C6"/>
    <w:rsid w:val="3DD43E5A"/>
    <w:rsid w:val="3DE9514C"/>
    <w:rsid w:val="3DFA391A"/>
    <w:rsid w:val="3E1E10A3"/>
    <w:rsid w:val="3E2E2B5F"/>
    <w:rsid w:val="3E3143FD"/>
    <w:rsid w:val="3E3521A4"/>
    <w:rsid w:val="3E414F15"/>
    <w:rsid w:val="3E4A084B"/>
    <w:rsid w:val="3E68328F"/>
    <w:rsid w:val="3E7B2F82"/>
    <w:rsid w:val="3E8D391A"/>
    <w:rsid w:val="3E907376"/>
    <w:rsid w:val="3E955526"/>
    <w:rsid w:val="3EA16CA1"/>
    <w:rsid w:val="3EA17C71"/>
    <w:rsid w:val="3EA50C8C"/>
    <w:rsid w:val="3EA846BF"/>
    <w:rsid w:val="3EA930C4"/>
    <w:rsid w:val="3EAD7F28"/>
    <w:rsid w:val="3EBD1C80"/>
    <w:rsid w:val="3ECD4D55"/>
    <w:rsid w:val="3EDA0523"/>
    <w:rsid w:val="3F012566"/>
    <w:rsid w:val="3F0F0BE2"/>
    <w:rsid w:val="3F374877"/>
    <w:rsid w:val="3F4A7E6C"/>
    <w:rsid w:val="3F670EF1"/>
    <w:rsid w:val="3F740A45"/>
    <w:rsid w:val="3F9E0482"/>
    <w:rsid w:val="3FAE3F57"/>
    <w:rsid w:val="3FC76BDC"/>
    <w:rsid w:val="3FE262FA"/>
    <w:rsid w:val="3FEE579B"/>
    <w:rsid w:val="4012098A"/>
    <w:rsid w:val="40480434"/>
    <w:rsid w:val="40642868"/>
    <w:rsid w:val="40695715"/>
    <w:rsid w:val="407A6407"/>
    <w:rsid w:val="408E2A0D"/>
    <w:rsid w:val="40A02F12"/>
    <w:rsid w:val="40AC75E0"/>
    <w:rsid w:val="40B3434E"/>
    <w:rsid w:val="411F3465"/>
    <w:rsid w:val="4151127F"/>
    <w:rsid w:val="41655034"/>
    <w:rsid w:val="4182569C"/>
    <w:rsid w:val="41CC4B1E"/>
    <w:rsid w:val="41CF762F"/>
    <w:rsid w:val="41D777C8"/>
    <w:rsid w:val="41D81760"/>
    <w:rsid w:val="4200449D"/>
    <w:rsid w:val="420662CD"/>
    <w:rsid w:val="423050F8"/>
    <w:rsid w:val="423A3BCC"/>
    <w:rsid w:val="423D5A66"/>
    <w:rsid w:val="424821CE"/>
    <w:rsid w:val="424E57D2"/>
    <w:rsid w:val="42540971"/>
    <w:rsid w:val="425649D5"/>
    <w:rsid w:val="42666D6B"/>
    <w:rsid w:val="426A4555"/>
    <w:rsid w:val="42832CB3"/>
    <w:rsid w:val="428D2C32"/>
    <w:rsid w:val="428D74ED"/>
    <w:rsid w:val="42B20583"/>
    <w:rsid w:val="42B26C49"/>
    <w:rsid w:val="42C62DC1"/>
    <w:rsid w:val="42D90FAE"/>
    <w:rsid w:val="42DD6111"/>
    <w:rsid w:val="42EF4FB3"/>
    <w:rsid w:val="42F500EF"/>
    <w:rsid w:val="42F61781"/>
    <w:rsid w:val="43147759"/>
    <w:rsid w:val="432B1D63"/>
    <w:rsid w:val="43317379"/>
    <w:rsid w:val="433A6FE6"/>
    <w:rsid w:val="43403B63"/>
    <w:rsid w:val="43444A45"/>
    <w:rsid w:val="43480868"/>
    <w:rsid w:val="434A135B"/>
    <w:rsid w:val="4350713C"/>
    <w:rsid w:val="436653E0"/>
    <w:rsid w:val="436C448B"/>
    <w:rsid w:val="438D20D6"/>
    <w:rsid w:val="439E0060"/>
    <w:rsid w:val="43B5612B"/>
    <w:rsid w:val="43B6787E"/>
    <w:rsid w:val="43C4431A"/>
    <w:rsid w:val="43D83CB6"/>
    <w:rsid w:val="43DF63F9"/>
    <w:rsid w:val="442567B2"/>
    <w:rsid w:val="44531571"/>
    <w:rsid w:val="44674630"/>
    <w:rsid w:val="44B951CC"/>
    <w:rsid w:val="44C541F3"/>
    <w:rsid w:val="44CD14E0"/>
    <w:rsid w:val="44CD30D2"/>
    <w:rsid w:val="44E346A3"/>
    <w:rsid w:val="44F20B0B"/>
    <w:rsid w:val="45060352"/>
    <w:rsid w:val="450C3278"/>
    <w:rsid w:val="451172DF"/>
    <w:rsid w:val="4526218D"/>
    <w:rsid w:val="452E5F4C"/>
    <w:rsid w:val="45374F2B"/>
    <w:rsid w:val="453E0514"/>
    <w:rsid w:val="454B2248"/>
    <w:rsid w:val="45612018"/>
    <w:rsid w:val="458946E9"/>
    <w:rsid w:val="45A1630C"/>
    <w:rsid w:val="45A47C0E"/>
    <w:rsid w:val="461E050F"/>
    <w:rsid w:val="46220091"/>
    <w:rsid w:val="462E347E"/>
    <w:rsid w:val="46577FD6"/>
    <w:rsid w:val="46911751"/>
    <w:rsid w:val="46AE0786"/>
    <w:rsid w:val="46D955A7"/>
    <w:rsid w:val="46E84499"/>
    <w:rsid w:val="47133957"/>
    <w:rsid w:val="472B0583"/>
    <w:rsid w:val="473653B6"/>
    <w:rsid w:val="473D34AB"/>
    <w:rsid w:val="4745361A"/>
    <w:rsid w:val="474749E2"/>
    <w:rsid w:val="47806D7C"/>
    <w:rsid w:val="478E46CB"/>
    <w:rsid w:val="479C6D1D"/>
    <w:rsid w:val="47A07E0C"/>
    <w:rsid w:val="47AE2B5F"/>
    <w:rsid w:val="47DA640E"/>
    <w:rsid w:val="47EB0505"/>
    <w:rsid w:val="480165F2"/>
    <w:rsid w:val="480A0577"/>
    <w:rsid w:val="480B000A"/>
    <w:rsid w:val="48297EA7"/>
    <w:rsid w:val="48382F58"/>
    <w:rsid w:val="4870272E"/>
    <w:rsid w:val="48B6159A"/>
    <w:rsid w:val="48D80297"/>
    <w:rsid w:val="48DC7D87"/>
    <w:rsid w:val="492C7222"/>
    <w:rsid w:val="49437E31"/>
    <w:rsid w:val="494C0358"/>
    <w:rsid w:val="49725FF6"/>
    <w:rsid w:val="4985480D"/>
    <w:rsid w:val="499E3B0C"/>
    <w:rsid w:val="49C03AC2"/>
    <w:rsid w:val="49CC1421"/>
    <w:rsid w:val="49D14AF1"/>
    <w:rsid w:val="49DC7715"/>
    <w:rsid w:val="4A023139"/>
    <w:rsid w:val="4A033157"/>
    <w:rsid w:val="4A394D65"/>
    <w:rsid w:val="4A4666EC"/>
    <w:rsid w:val="4A5120AF"/>
    <w:rsid w:val="4A5D4EF8"/>
    <w:rsid w:val="4A606A49"/>
    <w:rsid w:val="4A63098A"/>
    <w:rsid w:val="4A69389D"/>
    <w:rsid w:val="4A732366"/>
    <w:rsid w:val="4A7B576F"/>
    <w:rsid w:val="4A933F9F"/>
    <w:rsid w:val="4A9874A8"/>
    <w:rsid w:val="4A9F5166"/>
    <w:rsid w:val="4AD60806"/>
    <w:rsid w:val="4AF561A9"/>
    <w:rsid w:val="4B1B7B98"/>
    <w:rsid w:val="4B2048EF"/>
    <w:rsid w:val="4B3E523A"/>
    <w:rsid w:val="4B5A000D"/>
    <w:rsid w:val="4B6B71A0"/>
    <w:rsid w:val="4B7C0C37"/>
    <w:rsid w:val="4B7C5657"/>
    <w:rsid w:val="4B7C7600"/>
    <w:rsid w:val="4BAD4340"/>
    <w:rsid w:val="4BC8091F"/>
    <w:rsid w:val="4C3E497A"/>
    <w:rsid w:val="4C4A0649"/>
    <w:rsid w:val="4C6D21AF"/>
    <w:rsid w:val="4C7E5ECA"/>
    <w:rsid w:val="4C876AA5"/>
    <w:rsid w:val="4CAB28BE"/>
    <w:rsid w:val="4CE94821"/>
    <w:rsid w:val="4CFB6E34"/>
    <w:rsid w:val="4D0E00FB"/>
    <w:rsid w:val="4D176606"/>
    <w:rsid w:val="4D197444"/>
    <w:rsid w:val="4D2E2B7B"/>
    <w:rsid w:val="4D2E4BB0"/>
    <w:rsid w:val="4D4019FD"/>
    <w:rsid w:val="4D4952BF"/>
    <w:rsid w:val="4D613A06"/>
    <w:rsid w:val="4D7A191D"/>
    <w:rsid w:val="4D832F14"/>
    <w:rsid w:val="4DA74B94"/>
    <w:rsid w:val="4DAC3D04"/>
    <w:rsid w:val="4DC369AC"/>
    <w:rsid w:val="4DEB45C9"/>
    <w:rsid w:val="4DEC4FB0"/>
    <w:rsid w:val="4DFF0074"/>
    <w:rsid w:val="4E075D8A"/>
    <w:rsid w:val="4E2106A0"/>
    <w:rsid w:val="4E380B11"/>
    <w:rsid w:val="4E4A08F5"/>
    <w:rsid w:val="4E6A0A71"/>
    <w:rsid w:val="4E6E05F0"/>
    <w:rsid w:val="4E7E2A58"/>
    <w:rsid w:val="4EB5265B"/>
    <w:rsid w:val="4EB83F6D"/>
    <w:rsid w:val="4EC00FAD"/>
    <w:rsid w:val="4EDF4FDA"/>
    <w:rsid w:val="4EF613B2"/>
    <w:rsid w:val="4F275AD4"/>
    <w:rsid w:val="4F413421"/>
    <w:rsid w:val="4F5828DA"/>
    <w:rsid w:val="4F900739"/>
    <w:rsid w:val="4F9843DC"/>
    <w:rsid w:val="4FA666B8"/>
    <w:rsid w:val="4FBC30A4"/>
    <w:rsid w:val="4FC62A8C"/>
    <w:rsid w:val="4FE20F0D"/>
    <w:rsid w:val="4FE51552"/>
    <w:rsid w:val="4FE53400"/>
    <w:rsid w:val="50044DBA"/>
    <w:rsid w:val="50067498"/>
    <w:rsid w:val="500F4BA8"/>
    <w:rsid w:val="50212524"/>
    <w:rsid w:val="502E4DFF"/>
    <w:rsid w:val="50504C4B"/>
    <w:rsid w:val="505E00AD"/>
    <w:rsid w:val="506568B4"/>
    <w:rsid w:val="507E1724"/>
    <w:rsid w:val="509C6E7C"/>
    <w:rsid w:val="509C7DFC"/>
    <w:rsid w:val="509E6460"/>
    <w:rsid w:val="50BD4E4D"/>
    <w:rsid w:val="50D852D8"/>
    <w:rsid w:val="510B3C59"/>
    <w:rsid w:val="510C6D30"/>
    <w:rsid w:val="51165E00"/>
    <w:rsid w:val="5128521C"/>
    <w:rsid w:val="5162104E"/>
    <w:rsid w:val="51644DBE"/>
    <w:rsid w:val="51656440"/>
    <w:rsid w:val="51744D14"/>
    <w:rsid w:val="51981AD3"/>
    <w:rsid w:val="51B7313F"/>
    <w:rsid w:val="51F64AEC"/>
    <w:rsid w:val="52240852"/>
    <w:rsid w:val="522E5FA1"/>
    <w:rsid w:val="52335C94"/>
    <w:rsid w:val="5237602E"/>
    <w:rsid w:val="525646AB"/>
    <w:rsid w:val="52662470"/>
    <w:rsid w:val="52736113"/>
    <w:rsid w:val="528124CD"/>
    <w:rsid w:val="529C2335"/>
    <w:rsid w:val="52B70F1D"/>
    <w:rsid w:val="52C00D2C"/>
    <w:rsid w:val="52C51E4C"/>
    <w:rsid w:val="52EA30A1"/>
    <w:rsid w:val="52FE7EA7"/>
    <w:rsid w:val="533E1B07"/>
    <w:rsid w:val="5358625C"/>
    <w:rsid w:val="53665686"/>
    <w:rsid w:val="5383114F"/>
    <w:rsid w:val="538F3C48"/>
    <w:rsid w:val="53A039CC"/>
    <w:rsid w:val="53A1505A"/>
    <w:rsid w:val="53F32A44"/>
    <w:rsid w:val="53FE40E0"/>
    <w:rsid w:val="54063E08"/>
    <w:rsid w:val="543437E8"/>
    <w:rsid w:val="545C7CB8"/>
    <w:rsid w:val="547F1945"/>
    <w:rsid w:val="54AC7CFC"/>
    <w:rsid w:val="54AD25D8"/>
    <w:rsid w:val="54B43966"/>
    <w:rsid w:val="54D22DD7"/>
    <w:rsid w:val="54D577B2"/>
    <w:rsid w:val="54E26C25"/>
    <w:rsid w:val="54F73313"/>
    <w:rsid w:val="54F80955"/>
    <w:rsid w:val="550472DD"/>
    <w:rsid w:val="55372441"/>
    <w:rsid w:val="554D7917"/>
    <w:rsid w:val="555170A7"/>
    <w:rsid w:val="555D3FFE"/>
    <w:rsid w:val="556C3D06"/>
    <w:rsid w:val="556F40C9"/>
    <w:rsid w:val="5574220C"/>
    <w:rsid w:val="557E463C"/>
    <w:rsid w:val="5587536D"/>
    <w:rsid w:val="559B174B"/>
    <w:rsid w:val="55CE0CF4"/>
    <w:rsid w:val="55E240BA"/>
    <w:rsid w:val="56225976"/>
    <w:rsid w:val="56565BD8"/>
    <w:rsid w:val="565E59A8"/>
    <w:rsid w:val="56611367"/>
    <w:rsid w:val="56722261"/>
    <w:rsid w:val="567D78EE"/>
    <w:rsid w:val="569021B1"/>
    <w:rsid w:val="569752EE"/>
    <w:rsid w:val="56B22A9C"/>
    <w:rsid w:val="56C54212"/>
    <w:rsid w:val="56C73718"/>
    <w:rsid w:val="56D555C3"/>
    <w:rsid w:val="56E07375"/>
    <w:rsid w:val="56EA4A42"/>
    <w:rsid w:val="56F72230"/>
    <w:rsid w:val="56FB3ACE"/>
    <w:rsid w:val="56FB665A"/>
    <w:rsid w:val="57062473"/>
    <w:rsid w:val="571C25F3"/>
    <w:rsid w:val="57216E26"/>
    <w:rsid w:val="57492170"/>
    <w:rsid w:val="574B711A"/>
    <w:rsid w:val="574F4A53"/>
    <w:rsid w:val="57767744"/>
    <w:rsid w:val="57810C94"/>
    <w:rsid w:val="57851CC5"/>
    <w:rsid w:val="57A3640A"/>
    <w:rsid w:val="57B72A76"/>
    <w:rsid w:val="57C3426C"/>
    <w:rsid w:val="57CE1F93"/>
    <w:rsid w:val="57DD560C"/>
    <w:rsid w:val="57FC4BE2"/>
    <w:rsid w:val="58052EDC"/>
    <w:rsid w:val="581A5930"/>
    <w:rsid w:val="584E10E7"/>
    <w:rsid w:val="5859061E"/>
    <w:rsid w:val="586E70E8"/>
    <w:rsid w:val="588743D1"/>
    <w:rsid w:val="5887701A"/>
    <w:rsid w:val="589B0227"/>
    <w:rsid w:val="58A3441E"/>
    <w:rsid w:val="58B77EC9"/>
    <w:rsid w:val="58C710A1"/>
    <w:rsid w:val="590E24C4"/>
    <w:rsid w:val="590F0978"/>
    <w:rsid w:val="592D411D"/>
    <w:rsid w:val="594C6863"/>
    <w:rsid w:val="595071D5"/>
    <w:rsid w:val="596301B7"/>
    <w:rsid w:val="597162CA"/>
    <w:rsid w:val="597436C4"/>
    <w:rsid w:val="597E179D"/>
    <w:rsid w:val="59B17500"/>
    <w:rsid w:val="59C0439F"/>
    <w:rsid w:val="59DA07EB"/>
    <w:rsid w:val="59DD2E60"/>
    <w:rsid w:val="59F303DB"/>
    <w:rsid w:val="5A405C9C"/>
    <w:rsid w:val="5ABE2233"/>
    <w:rsid w:val="5AD01551"/>
    <w:rsid w:val="5ADF0FAC"/>
    <w:rsid w:val="5AE62FCF"/>
    <w:rsid w:val="5AED4582"/>
    <w:rsid w:val="5AF56A26"/>
    <w:rsid w:val="5B1B5A04"/>
    <w:rsid w:val="5B667984"/>
    <w:rsid w:val="5B77749C"/>
    <w:rsid w:val="5B8936AB"/>
    <w:rsid w:val="5BA506CF"/>
    <w:rsid w:val="5BB93F58"/>
    <w:rsid w:val="5BCC5AE7"/>
    <w:rsid w:val="5BCE2E04"/>
    <w:rsid w:val="5BDF5D95"/>
    <w:rsid w:val="5BFE7528"/>
    <w:rsid w:val="5C2B03DA"/>
    <w:rsid w:val="5C341DB5"/>
    <w:rsid w:val="5C507532"/>
    <w:rsid w:val="5C533B72"/>
    <w:rsid w:val="5C594DF3"/>
    <w:rsid w:val="5C5A6B1F"/>
    <w:rsid w:val="5C675C48"/>
    <w:rsid w:val="5C6934EE"/>
    <w:rsid w:val="5C741C2D"/>
    <w:rsid w:val="5CDD1B09"/>
    <w:rsid w:val="5D0709E7"/>
    <w:rsid w:val="5D137698"/>
    <w:rsid w:val="5D292FB6"/>
    <w:rsid w:val="5D3C274B"/>
    <w:rsid w:val="5D630A87"/>
    <w:rsid w:val="5D6567D3"/>
    <w:rsid w:val="5D6677C8"/>
    <w:rsid w:val="5D72616D"/>
    <w:rsid w:val="5D8F31C2"/>
    <w:rsid w:val="5D953302"/>
    <w:rsid w:val="5D97000B"/>
    <w:rsid w:val="5DA22939"/>
    <w:rsid w:val="5DAA27D0"/>
    <w:rsid w:val="5DAF4DE4"/>
    <w:rsid w:val="5DAF7B7C"/>
    <w:rsid w:val="5DD05347"/>
    <w:rsid w:val="5DE0757A"/>
    <w:rsid w:val="5DE60909"/>
    <w:rsid w:val="5E155E97"/>
    <w:rsid w:val="5E1877E1"/>
    <w:rsid w:val="5E2467F1"/>
    <w:rsid w:val="5E280F21"/>
    <w:rsid w:val="5E2929A8"/>
    <w:rsid w:val="5E4719EF"/>
    <w:rsid w:val="5E642484"/>
    <w:rsid w:val="5E8048B9"/>
    <w:rsid w:val="5E875D79"/>
    <w:rsid w:val="5F101A34"/>
    <w:rsid w:val="5F1A2B43"/>
    <w:rsid w:val="5F2F78E6"/>
    <w:rsid w:val="5F7206A6"/>
    <w:rsid w:val="5F7C1524"/>
    <w:rsid w:val="5F8D3732"/>
    <w:rsid w:val="5FB837BB"/>
    <w:rsid w:val="5FCD546F"/>
    <w:rsid w:val="5FF7291A"/>
    <w:rsid w:val="5FF76DFD"/>
    <w:rsid w:val="60104614"/>
    <w:rsid w:val="60365B77"/>
    <w:rsid w:val="606423AA"/>
    <w:rsid w:val="60667E05"/>
    <w:rsid w:val="60807E7F"/>
    <w:rsid w:val="60C54BFB"/>
    <w:rsid w:val="60C92058"/>
    <w:rsid w:val="60CC405A"/>
    <w:rsid w:val="60CF669F"/>
    <w:rsid w:val="60E931E1"/>
    <w:rsid w:val="60F75319"/>
    <w:rsid w:val="60FE6ED6"/>
    <w:rsid w:val="61580554"/>
    <w:rsid w:val="617C2816"/>
    <w:rsid w:val="61B04A28"/>
    <w:rsid w:val="61E215D8"/>
    <w:rsid w:val="6212070B"/>
    <w:rsid w:val="621B3775"/>
    <w:rsid w:val="621F0042"/>
    <w:rsid w:val="62364782"/>
    <w:rsid w:val="62991E82"/>
    <w:rsid w:val="62F82F7B"/>
    <w:rsid w:val="63003F91"/>
    <w:rsid w:val="631657EC"/>
    <w:rsid w:val="63461009"/>
    <w:rsid w:val="635C42FB"/>
    <w:rsid w:val="6372336A"/>
    <w:rsid w:val="6374344C"/>
    <w:rsid w:val="63924901"/>
    <w:rsid w:val="6394356A"/>
    <w:rsid w:val="6394792E"/>
    <w:rsid w:val="63A36BC5"/>
    <w:rsid w:val="63C523CF"/>
    <w:rsid w:val="63C61B2C"/>
    <w:rsid w:val="63CC112D"/>
    <w:rsid w:val="63D34B90"/>
    <w:rsid w:val="63D40BE9"/>
    <w:rsid w:val="64102431"/>
    <w:rsid w:val="641E704E"/>
    <w:rsid w:val="64264A2E"/>
    <w:rsid w:val="642E06F6"/>
    <w:rsid w:val="643248A8"/>
    <w:rsid w:val="64405216"/>
    <w:rsid w:val="644A1BF1"/>
    <w:rsid w:val="647D707E"/>
    <w:rsid w:val="64A5243A"/>
    <w:rsid w:val="64AA12AF"/>
    <w:rsid w:val="64F531DE"/>
    <w:rsid w:val="650B7638"/>
    <w:rsid w:val="65263982"/>
    <w:rsid w:val="65373578"/>
    <w:rsid w:val="65634344"/>
    <w:rsid w:val="65961255"/>
    <w:rsid w:val="65C0376D"/>
    <w:rsid w:val="65C87340"/>
    <w:rsid w:val="65F242EE"/>
    <w:rsid w:val="660109D5"/>
    <w:rsid w:val="66150A3A"/>
    <w:rsid w:val="66291E25"/>
    <w:rsid w:val="6632293D"/>
    <w:rsid w:val="667D600F"/>
    <w:rsid w:val="669730E8"/>
    <w:rsid w:val="66993A5C"/>
    <w:rsid w:val="66CA300B"/>
    <w:rsid w:val="66FD73EF"/>
    <w:rsid w:val="67024A05"/>
    <w:rsid w:val="67095CF3"/>
    <w:rsid w:val="670B6EB7"/>
    <w:rsid w:val="671F124A"/>
    <w:rsid w:val="67694B7C"/>
    <w:rsid w:val="677A33C6"/>
    <w:rsid w:val="6782764B"/>
    <w:rsid w:val="67910119"/>
    <w:rsid w:val="679E164C"/>
    <w:rsid w:val="67AE0F94"/>
    <w:rsid w:val="67C1666E"/>
    <w:rsid w:val="67C31165"/>
    <w:rsid w:val="67C8136F"/>
    <w:rsid w:val="67CB34E6"/>
    <w:rsid w:val="67DE15BD"/>
    <w:rsid w:val="67E15898"/>
    <w:rsid w:val="680267DA"/>
    <w:rsid w:val="680F340C"/>
    <w:rsid w:val="681B6FB9"/>
    <w:rsid w:val="681D13CB"/>
    <w:rsid w:val="681F6961"/>
    <w:rsid w:val="684538D3"/>
    <w:rsid w:val="68610A2F"/>
    <w:rsid w:val="68805514"/>
    <w:rsid w:val="68BA4E6C"/>
    <w:rsid w:val="68C51F63"/>
    <w:rsid w:val="68C80C4C"/>
    <w:rsid w:val="68C944AD"/>
    <w:rsid w:val="69083E29"/>
    <w:rsid w:val="69085BD7"/>
    <w:rsid w:val="69150930"/>
    <w:rsid w:val="69316E2F"/>
    <w:rsid w:val="69390486"/>
    <w:rsid w:val="694E2071"/>
    <w:rsid w:val="69524CB2"/>
    <w:rsid w:val="69531548"/>
    <w:rsid w:val="69766163"/>
    <w:rsid w:val="697A3B33"/>
    <w:rsid w:val="697B074E"/>
    <w:rsid w:val="69913E1E"/>
    <w:rsid w:val="69B0699A"/>
    <w:rsid w:val="69D44760"/>
    <w:rsid w:val="6A033D6D"/>
    <w:rsid w:val="6A130A53"/>
    <w:rsid w:val="6A3E3430"/>
    <w:rsid w:val="6A520EC7"/>
    <w:rsid w:val="6A933B2E"/>
    <w:rsid w:val="6A9C736D"/>
    <w:rsid w:val="6AA238E4"/>
    <w:rsid w:val="6AC569CA"/>
    <w:rsid w:val="6AD424F9"/>
    <w:rsid w:val="6AE506CE"/>
    <w:rsid w:val="6AE94366"/>
    <w:rsid w:val="6AF87E20"/>
    <w:rsid w:val="6B322639"/>
    <w:rsid w:val="6B382BF2"/>
    <w:rsid w:val="6B531BE5"/>
    <w:rsid w:val="6B9D4CFC"/>
    <w:rsid w:val="6BAC3191"/>
    <w:rsid w:val="6BB01C8D"/>
    <w:rsid w:val="6BB35606"/>
    <w:rsid w:val="6BB64846"/>
    <w:rsid w:val="6BEB1E5F"/>
    <w:rsid w:val="6BF602C2"/>
    <w:rsid w:val="6C1D4987"/>
    <w:rsid w:val="6C213D3C"/>
    <w:rsid w:val="6C2324E5"/>
    <w:rsid w:val="6C335661"/>
    <w:rsid w:val="6C45629B"/>
    <w:rsid w:val="6C510FE7"/>
    <w:rsid w:val="6C636C38"/>
    <w:rsid w:val="6CA10D6E"/>
    <w:rsid w:val="6CA43E69"/>
    <w:rsid w:val="6CEF557A"/>
    <w:rsid w:val="6CF90865"/>
    <w:rsid w:val="6D017349"/>
    <w:rsid w:val="6D181E1B"/>
    <w:rsid w:val="6D235E08"/>
    <w:rsid w:val="6DA31CD2"/>
    <w:rsid w:val="6DB25F09"/>
    <w:rsid w:val="6DB34098"/>
    <w:rsid w:val="6DB545B6"/>
    <w:rsid w:val="6DB620A5"/>
    <w:rsid w:val="6DC06B4C"/>
    <w:rsid w:val="6DC57796"/>
    <w:rsid w:val="6DD42A93"/>
    <w:rsid w:val="6DD90730"/>
    <w:rsid w:val="6DE02FB4"/>
    <w:rsid w:val="6E142E9C"/>
    <w:rsid w:val="6E5024FA"/>
    <w:rsid w:val="6E514CED"/>
    <w:rsid w:val="6E5A6ED5"/>
    <w:rsid w:val="6E641B01"/>
    <w:rsid w:val="6E7A30D3"/>
    <w:rsid w:val="6E8A470A"/>
    <w:rsid w:val="6EB563D5"/>
    <w:rsid w:val="6EC53036"/>
    <w:rsid w:val="6ECC348B"/>
    <w:rsid w:val="6ED92677"/>
    <w:rsid w:val="6EDC1FE0"/>
    <w:rsid w:val="6F1277AF"/>
    <w:rsid w:val="6F225983"/>
    <w:rsid w:val="6F375ECB"/>
    <w:rsid w:val="6F3D43B7"/>
    <w:rsid w:val="6F40431D"/>
    <w:rsid w:val="6F582F05"/>
    <w:rsid w:val="6FF661BE"/>
    <w:rsid w:val="6FFC5590"/>
    <w:rsid w:val="700D00C4"/>
    <w:rsid w:val="70507AE8"/>
    <w:rsid w:val="706D1DD0"/>
    <w:rsid w:val="70856B87"/>
    <w:rsid w:val="708876D9"/>
    <w:rsid w:val="70963EF4"/>
    <w:rsid w:val="709B592D"/>
    <w:rsid w:val="70CB2A08"/>
    <w:rsid w:val="70D527EE"/>
    <w:rsid w:val="70DE203F"/>
    <w:rsid w:val="710152B4"/>
    <w:rsid w:val="710A1230"/>
    <w:rsid w:val="71110E5E"/>
    <w:rsid w:val="71190D0F"/>
    <w:rsid w:val="7141612A"/>
    <w:rsid w:val="714C2528"/>
    <w:rsid w:val="715B5300"/>
    <w:rsid w:val="717604C9"/>
    <w:rsid w:val="71771B4C"/>
    <w:rsid w:val="718129CA"/>
    <w:rsid w:val="71876A7D"/>
    <w:rsid w:val="71AF60F7"/>
    <w:rsid w:val="71B82B06"/>
    <w:rsid w:val="71B84408"/>
    <w:rsid w:val="71C30273"/>
    <w:rsid w:val="71C34D91"/>
    <w:rsid w:val="71D27F8A"/>
    <w:rsid w:val="71F87130"/>
    <w:rsid w:val="71FE187B"/>
    <w:rsid w:val="71FE51AF"/>
    <w:rsid w:val="720E1EB5"/>
    <w:rsid w:val="72273572"/>
    <w:rsid w:val="7230374B"/>
    <w:rsid w:val="723119D5"/>
    <w:rsid w:val="723F34F8"/>
    <w:rsid w:val="724F2AC9"/>
    <w:rsid w:val="72553024"/>
    <w:rsid w:val="726F6624"/>
    <w:rsid w:val="727A0CEA"/>
    <w:rsid w:val="728240C1"/>
    <w:rsid w:val="72846BA4"/>
    <w:rsid w:val="72B868C0"/>
    <w:rsid w:val="72BA1917"/>
    <w:rsid w:val="72FD3AD9"/>
    <w:rsid w:val="730333A6"/>
    <w:rsid w:val="73122968"/>
    <w:rsid w:val="731358A4"/>
    <w:rsid w:val="731735E6"/>
    <w:rsid w:val="731F5D5E"/>
    <w:rsid w:val="73450EFF"/>
    <w:rsid w:val="73467A28"/>
    <w:rsid w:val="7347269D"/>
    <w:rsid w:val="735C60DA"/>
    <w:rsid w:val="73AD3F4B"/>
    <w:rsid w:val="73C51AD5"/>
    <w:rsid w:val="73CF6B38"/>
    <w:rsid w:val="73E5597F"/>
    <w:rsid w:val="73F02467"/>
    <w:rsid w:val="74197CF2"/>
    <w:rsid w:val="741E793C"/>
    <w:rsid w:val="742476D0"/>
    <w:rsid w:val="743C18A5"/>
    <w:rsid w:val="745A41EA"/>
    <w:rsid w:val="745E3944"/>
    <w:rsid w:val="74623603"/>
    <w:rsid w:val="74740621"/>
    <w:rsid w:val="747B1109"/>
    <w:rsid w:val="74995C02"/>
    <w:rsid w:val="74C7238F"/>
    <w:rsid w:val="74EE4A2A"/>
    <w:rsid w:val="74F31E31"/>
    <w:rsid w:val="75113932"/>
    <w:rsid w:val="75151DA7"/>
    <w:rsid w:val="75573A09"/>
    <w:rsid w:val="75826D11"/>
    <w:rsid w:val="75827BD5"/>
    <w:rsid w:val="759F01CF"/>
    <w:rsid w:val="75A6673F"/>
    <w:rsid w:val="75B6064D"/>
    <w:rsid w:val="75BA734C"/>
    <w:rsid w:val="75CE5EF2"/>
    <w:rsid w:val="75D7325B"/>
    <w:rsid w:val="75E208E0"/>
    <w:rsid w:val="760B4F58"/>
    <w:rsid w:val="762027B2"/>
    <w:rsid w:val="7621477C"/>
    <w:rsid w:val="762322A2"/>
    <w:rsid w:val="762F5C32"/>
    <w:rsid w:val="763269A6"/>
    <w:rsid w:val="7635099D"/>
    <w:rsid w:val="766B6202"/>
    <w:rsid w:val="767264E3"/>
    <w:rsid w:val="76746FA2"/>
    <w:rsid w:val="76861250"/>
    <w:rsid w:val="76927E46"/>
    <w:rsid w:val="76A33622"/>
    <w:rsid w:val="76BE1D31"/>
    <w:rsid w:val="76D637B8"/>
    <w:rsid w:val="76DB492B"/>
    <w:rsid w:val="76F14A4C"/>
    <w:rsid w:val="76FE5229"/>
    <w:rsid w:val="770A4E05"/>
    <w:rsid w:val="774E334F"/>
    <w:rsid w:val="775F37AE"/>
    <w:rsid w:val="776A6950"/>
    <w:rsid w:val="77762421"/>
    <w:rsid w:val="77843214"/>
    <w:rsid w:val="778925D9"/>
    <w:rsid w:val="7798281C"/>
    <w:rsid w:val="77A54974"/>
    <w:rsid w:val="77B51620"/>
    <w:rsid w:val="77B56B1F"/>
    <w:rsid w:val="77D17DE4"/>
    <w:rsid w:val="77EB44F2"/>
    <w:rsid w:val="780836F0"/>
    <w:rsid w:val="780F09F4"/>
    <w:rsid w:val="781641CB"/>
    <w:rsid w:val="781C344D"/>
    <w:rsid w:val="78372E8C"/>
    <w:rsid w:val="78436C2C"/>
    <w:rsid w:val="78751649"/>
    <w:rsid w:val="78801C2E"/>
    <w:rsid w:val="78832A30"/>
    <w:rsid w:val="788C66B2"/>
    <w:rsid w:val="789A5D59"/>
    <w:rsid w:val="789A7939"/>
    <w:rsid w:val="78A90480"/>
    <w:rsid w:val="78C0202A"/>
    <w:rsid w:val="78D06955"/>
    <w:rsid w:val="78E94012"/>
    <w:rsid w:val="78FD502C"/>
    <w:rsid w:val="79391AD8"/>
    <w:rsid w:val="795F322A"/>
    <w:rsid w:val="79627585"/>
    <w:rsid w:val="796F0FB3"/>
    <w:rsid w:val="797E760E"/>
    <w:rsid w:val="79AF3A62"/>
    <w:rsid w:val="79B55907"/>
    <w:rsid w:val="79CC26FA"/>
    <w:rsid w:val="79E31191"/>
    <w:rsid w:val="79F301DD"/>
    <w:rsid w:val="79F503F9"/>
    <w:rsid w:val="7A100B8D"/>
    <w:rsid w:val="7A182F0A"/>
    <w:rsid w:val="7A1F0FD2"/>
    <w:rsid w:val="7A1F3C5F"/>
    <w:rsid w:val="7A23293F"/>
    <w:rsid w:val="7A2834FA"/>
    <w:rsid w:val="7A364017"/>
    <w:rsid w:val="7A4D1FE3"/>
    <w:rsid w:val="7A5C6135"/>
    <w:rsid w:val="7A6531D0"/>
    <w:rsid w:val="7A736890"/>
    <w:rsid w:val="7A7D6327"/>
    <w:rsid w:val="7A8265E1"/>
    <w:rsid w:val="7A8E5E23"/>
    <w:rsid w:val="7A927353"/>
    <w:rsid w:val="7ABA2078"/>
    <w:rsid w:val="7AEA485B"/>
    <w:rsid w:val="7B146277"/>
    <w:rsid w:val="7B443D2A"/>
    <w:rsid w:val="7B4D3DE0"/>
    <w:rsid w:val="7B5E4885"/>
    <w:rsid w:val="7B686D42"/>
    <w:rsid w:val="7B7F7F7B"/>
    <w:rsid w:val="7B826A6E"/>
    <w:rsid w:val="7B841746"/>
    <w:rsid w:val="7B881550"/>
    <w:rsid w:val="7B923A26"/>
    <w:rsid w:val="7BA348A0"/>
    <w:rsid w:val="7BBF6874"/>
    <w:rsid w:val="7BC20FF5"/>
    <w:rsid w:val="7BE870EF"/>
    <w:rsid w:val="7BED33D5"/>
    <w:rsid w:val="7C2520E9"/>
    <w:rsid w:val="7C306556"/>
    <w:rsid w:val="7C6C5AC7"/>
    <w:rsid w:val="7C9840E8"/>
    <w:rsid w:val="7C9B6FCC"/>
    <w:rsid w:val="7CA04122"/>
    <w:rsid w:val="7CB072E8"/>
    <w:rsid w:val="7CC6544B"/>
    <w:rsid w:val="7CDD4957"/>
    <w:rsid w:val="7CEA0055"/>
    <w:rsid w:val="7CF95C52"/>
    <w:rsid w:val="7D0239FF"/>
    <w:rsid w:val="7D2D3A06"/>
    <w:rsid w:val="7D4642C8"/>
    <w:rsid w:val="7D5E40CD"/>
    <w:rsid w:val="7D605AC2"/>
    <w:rsid w:val="7D893322"/>
    <w:rsid w:val="7D914324"/>
    <w:rsid w:val="7DCD56F2"/>
    <w:rsid w:val="7DD547CA"/>
    <w:rsid w:val="7DF24263"/>
    <w:rsid w:val="7DF46895"/>
    <w:rsid w:val="7DFB58B2"/>
    <w:rsid w:val="7DFD162B"/>
    <w:rsid w:val="7DFF2CE6"/>
    <w:rsid w:val="7E1C1A4A"/>
    <w:rsid w:val="7E360127"/>
    <w:rsid w:val="7E573431"/>
    <w:rsid w:val="7E662DF8"/>
    <w:rsid w:val="7E6C389F"/>
    <w:rsid w:val="7E7C1B25"/>
    <w:rsid w:val="7E867872"/>
    <w:rsid w:val="7EA47CF8"/>
    <w:rsid w:val="7ECA6AD2"/>
    <w:rsid w:val="7F001CE7"/>
    <w:rsid w:val="7F3333B2"/>
    <w:rsid w:val="7F36330D"/>
    <w:rsid w:val="7F500E71"/>
    <w:rsid w:val="7F617028"/>
    <w:rsid w:val="7F70401B"/>
    <w:rsid w:val="7F8A15E4"/>
    <w:rsid w:val="7FA44C39"/>
    <w:rsid w:val="7FC959FD"/>
    <w:rsid w:val="7FE47E50"/>
    <w:rsid w:val="7FE575EA"/>
    <w:rsid w:val="7FE74340"/>
    <w:rsid w:val="7FEB1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name="toc 1" w:locked="1"/>
    <w:lsdException w:qFormat="1" w:unhideWhenUsed="0" w:uiPriority="39" w:semiHidden="0" w:name="toc 2" w:locked="1"/>
    <w:lsdException w:qFormat="1"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qFormat="1" w:unhideWhenUsed="0" w:uiPriority="99"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numPr>
        <w:ilvl w:val="1"/>
        <w:numId w:val="1"/>
      </w:numPr>
      <w:spacing w:before="10" w:beforeLines="0" w:beforeAutospacing="0" w:afterLines="0" w:afterAutospacing="0" w:line="360" w:lineRule="auto"/>
      <w:outlineLvl w:val="1"/>
    </w:pPr>
    <w:rPr>
      <w:rFonts w:ascii="Times New Roman" w:hAnsi="Times New Roman" w:eastAsia="宋体" w:cs="Times New Roman"/>
      <w:b/>
      <w:bCs/>
      <w:sz w:val="28"/>
      <w:szCs w:val="28"/>
    </w:rPr>
  </w:style>
  <w:style w:type="paragraph" w:styleId="4">
    <w:name w:val="heading 3"/>
    <w:basedOn w:val="1"/>
    <w:next w:val="1"/>
    <w:semiHidden/>
    <w:unhideWhenUsed/>
    <w:qFormat/>
    <w:locked/>
    <w:uiPriority w:val="0"/>
    <w:pPr>
      <w:spacing w:beforeAutospacing="1" w:afterAutospacing="1"/>
      <w:jc w:val="left"/>
      <w:outlineLvl w:val="2"/>
    </w:pPr>
    <w:rPr>
      <w:rFonts w:hint="eastAsia" w:ascii="宋体" w:hAnsi="宋体"/>
      <w:b/>
      <w:bCs/>
      <w:kern w:val="0"/>
      <w:sz w:val="27"/>
      <w:szCs w:val="27"/>
    </w:rPr>
  </w:style>
  <w:style w:type="paragraph" w:styleId="5">
    <w:name w:val="heading 4"/>
    <w:basedOn w:val="1"/>
    <w:next w:val="1"/>
    <w:qFormat/>
    <w:locked/>
    <w:uiPriority w:val="1"/>
    <w:pPr>
      <w:ind w:left="853" w:hanging="601"/>
      <w:outlineLvl w:val="4"/>
    </w:pPr>
    <w:rPr>
      <w:rFonts w:ascii="宋体" w:hAnsi="宋体" w:eastAsia="宋体" w:cs="宋体"/>
      <w:b/>
      <w:bCs/>
      <w:sz w:val="24"/>
      <w:szCs w:val="24"/>
      <w:lang w:val="zh-CN" w:eastAsia="zh-CN" w:bidi="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locked/>
    <w:uiPriority w:val="0"/>
    <w:pPr>
      <w:ind w:firstLine="420"/>
    </w:pPr>
    <w:rPr>
      <w:sz w:val="28"/>
      <w:szCs w:val="20"/>
    </w:rPr>
  </w:style>
  <w:style w:type="paragraph" w:styleId="7">
    <w:name w:val="caption"/>
    <w:basedOn w:val="1"/>
    <w:next w:val="1"/>
    <w:unhideWhenUsed/>
    <w:qFormat/>
    <w:locked/>
    <w:uiPriority w:val="0"/>
    <w:rPr>
      <w:rFonts w:ascii="Calibri Light" w:hAnsi="Calibri Light" w:eastAsia="黑体"/>
      <w:sz w:val="20"/>
      <w:szCs w:val="20"/>
    </w:rPr>
  </w:style>
  <w:style w:type="paragraph" w:styleId="8">
    <w:name w:val="annotation text"/>
    <w:basedOn w:val="1"/>
    <w:link w:val="63"/>
    <w:semiHidden/>
    <w:qFormat/>
    <w:uiPriority w:val="0"/>
    <w:pPr>
      <w:jc w:val="left"/>
    </w:pPr>
    <w:rPr>
      <w:kern w:val="0"/>
      <w:sz w:val="24"/>
      <w:szCs w:val="20"/>
    </w:rPr>
  </w:style>
  <w:style w:type="paragraph" w:styleId="9">
    <w:name w:val="Body Text"/>
    <w:basedOn w:val="1"/>
    <w:link w:val="61"/>
    <w:qFormat/>
    <w:uiPriority w:val="0"/>
    <w:pPr>
      <w:widowControl/>
      <w:snapToGrid w:val="0"/>
      <w:spacing w:before="60" w:after="160" w:line="259" w:lineRule="auto"/>
      <w:ind w:right="113"/>
    </w:pPr>
    <w:rPr>
      <w:kern w:val="0"/>
      <w:sz w:val="18"/>
      <w:szCs w:val="20"/>
    </w:rPr>
  </w:style>
  <w:style w:type="paragraph" w:styleId="10">
    <w:name w:val="Body Text Indent"/>
    <w:basedOn w:val="1"/>
    <w:next w:val="11"/>
    <w:link w:val="68"/>
    <w:qFormat/>
    <w:uiPriority w:val="0"/>
    <w:pPr>
      <w:spacing w:after="120"/>
      <w:ind w:left="420" w:leftChars="200"/>
    </w:pPr>
    <w:rPr>
      <w:kern w:val="0"/>
      <w:sz w:val="24"/>
      <w:szCs w:val="20"/>
    </w:rPr>
  </w:style>
  <w:style w:type="paragraph" w:styleId="11">
    <w:name w:val="index heading"/>
    <w:basedOn w:val="1"/>
    <w:next w:val="12"/>
    <w:qFormat/>
    <w:locked/>
    <w:uiPriority w:val="0"/>
    <w:pPr>
      <w:spacing w:before="120" w:after="120"/>
      <w:jc w:val="left"/>
    </w:pPr>
    <w:rPr>
      <w:b/>
      <w:bCs/>
      <w:i/>
      <w:iCs/>
      <w:sz w:val="20"/>
    </w:rPr>
  </w:style>
  <w:style w:type="paragraph" w:styleId="12">
    <w:name w:val="index 1"/>
    <w:basedOn w:val="1"/>
    <w:next w:val="1"/>
    <w:qFormat/>
    <w:locked/>
    <w:uiPriority w:val="0"/>
    <w:pPr>
      <w:adjustRightInd w:val="0"/>
      <w:snapToGrid w:val="0"/>
      <w:jc w:val="center"/>
    </w:pPr>
    <w:rPr>
      <w:sz w:val="20"/>
    </w:rPr>
  </w:style>
  <w:style w:type="paragraph" w:styleId="13">
    <w:name w:val="Block Text"/>
    <w:basedOn w:val="1"/>
    <w:qFormat/>
    <w:locked/>
    <w:uiPriority w:val="0"/>
    <w:pPr>
      <w:spacing w:line="360" w:lineRule="auto"/>
      <w:ind w:left="42" w:leftChars="20" w:right="20" w:rightChars="20" w:firstLine="480" w:firstLineChars="200"/>
    </w:pPr>
    <w:rPr>
      <w:sz w:val="24"/>
      <w:szCs w:val="20"/>
    </w:rPr>
  </w:style>
  <w:style w:type="paragraph" w:styleId="14">
    <w:name w:val="toc 3"/>
    <w:basedOn w:val="1"/>
    <w:next w:val="1"/>
    <w:unhideWhenUsed/>
    <w:qFormat/>
    <w:locked/>
    <w:uiPriority w:val="0"/>
    <w:pPr>
      <w:widowControl/>
      <w:autoSpaceDE/>
      <w:autoSpaceDN/>
      <w:snapToGrid w:val="0"/>
      <w:spacing w:after="200"/>
      <w:ind w:left="840" w:leftChars="400"/>
    </w:pPr>
    <w:rPr>
      <w:rFonts w:ascii="Tahoma" w:hAnsi="Tahoma" w:eastAsia="微软雅黑" w:cs="Times New Roman"/>
      <w:sz w:val="22"/>
      <w:szCs w:val="22"/>
    </w:rPr>
  </w:style>
  <w:style w:type="paragraph" w:styleId="15">
    <w:name w:val="Plain Text"/>
    <w:basedOn w:val="1"/>
    <w:next w:val="1"/>
    <w:link w:val="52"/>
    <w:qFormat/>
    <w:locked/>
    <w:uiPriority w:val="0"/>
    <w:rPr>
      <w:rFonts w:ascii="宋体" w:hAnsi="Courier New"/>
      <w:kern w:val="16"/>
      <w:szCs w:val="21"/>
      <w:vertAlign w:val="superscript"/>
    </w:rPr>
  </w:style>
  <w:style w:type="paragraph" w:styleId="16">
    <w:name w:val="Date"/>
    <w:basedOn w:val="1"/>
    <w:next w:val="1"/>
    <w:link w:val="60"/>
    <w:qFormat/>
    <w:uiPriority w:val="0"/>
    <w:pPr>
      <w:ind w:left="100" w:leftChars="2500"/>
    </w:pPr>
    <w:rPr>
      <w:kern w:val="0"/>
      <w:sz w:val="24"/>
      <w:szCs w:val="20"/>
    </w:rPr>
  </w:style>
  <w:style w:type="paragraph" w:styleId="17">
    <w:name w:val="Body Text Indent 2"/>
    <w:basedOn w:val="1"/>
    <w:next w:val="18"/>
    <w:qFormat/>
    <w:locked/>
    <w:uiPriority w:val="0"/>
    <w:pPr>
      <w:spacing w:after="120" w:line="480" w:lineRule="auto"/>
      <w:ind w:left="420" w:leftChars="200"/>
    </w:pPr>
  </w:style>
  <w:style w:type="paragraph" w:customStyle="1" w:styleId="18">
    <w:name w:val="正文4"/>
    <w:basedOn w:val="1"/>
    <w:qFormat/>
    <w:uiPriority w:val="0"/>
    <w:pPr>
      <w:widowControl/>
      <w:autoSpaceDE w:val="0"/>
      <w:autoSpaceDN w:val="0"/>
      <w:spacing w:after="160" w:line="440" w:lineRule="exact"/>
      <w:ind w:left="567" w:hanging="567"/>
      <w:jc w:val="left"/>
      <w:textAlignment w:val="bottom"/>
    </w:pPr>
    <w:rPr>
      <w:rFonts w:ascii="宋体" w:cs="宋体"/>
      <w:kern w:val="0"/>
      <w:sz w:val="28"/>
      <w:szCs w:val="20"/>
    </w:rPr>
  </w:style>
  <w:style w:type="paragraph" w:styleId="19">
    <w:name w:val="Balloon Text"/>
    <w:basedOn w:val="1"/>
    <w:link w:val="55"/>
    <w:semiHidden/>
    <w:qFormat/>
    <w:uiPriority w:val="0"/>
    <w:rPr>
      <w:kern w:val="0"/>
      <w:sz w:val="18"/>
      <w:szCs w:val="20"/>
    </w:rPr>
  </w:style>
  <w:style w:type="paragraph" w:styleId="20">
    <w:name w:val="footer"/>
    <w:basedOn w:val="1"/>
    <w:link w:val="69"/>
    <w:qFormat/>
    <w:uiPriority w:val="99"/>
    <w:pPr>
      <w:tabs>
        <w:tab w:val="center" w:pos="4153"/>
        <w:tab w:val="right" w:pos="8306"/>
      </w:tabs>
      <w:snapToGrid w:val="0"/>
      <w:jc w:val="left"/>
    </w:pPr>
    <w:rPr>
      <w:kern w:val="0"/>
      <w:sz w:val="18"/>
      <w:szCs w:val="20"/>
    </w:rPr>
  </w:style>
  <w:style w:type="paragraph" w:styleId="21">
    <w:name w:val="header"/>
    <w:basedOn w:val="1"/>
    <w:next w:val="1"/>
    <w:link w:val="59"/>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semiHidden/>
    <w:qFormat/>
    <w:locked/>
    <w:uiPriority w:val="0"/>
    <w:pPr>
      <w:tabs>
        <w:tab w:val="right" w:leader="dot" w:pos="9344"/>
      </w:tabs>
      <w:jc w:val="center"/>
    </w:pPr>
    <w:rPr>
      <w:b/>
      <w:sz w:val="32"/>
      <w:szCs w:val="32"/>
    </w:rPr>
  </w:style>
  <w:style w:type="paragraph" w:styleId="23">
    <w:name w:val="toc 2"/>
    <w:basedOn w:val="1"/>
    <w:next w:val="1"/>
    <w:qFormat/>
    <w:locked/>
    <w:uiPriority w:val="39"/>
    <w:pPr>
      <w:spacing w:before="240"/>
      <w:jc w:val="left"/>
    </w:pPr>
    <w:rPr>
      <w:rFonts w:ascii="Calibri" w:hAnsi="Calibri"/>
      <w:b/>
      <w:bCs/>
      <w:sz w:val="20"/>
    </w:rPr>
  </w:style>
  <w:style w:type="paragraph" w:styleId="24">
    <w:name w:val="Normal (Web)"/>
    <w:basedOn w:val="1"/>
    <w:link w:val="53"/>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8"/>
    <w:next w:val="8"/>
    <w:link w:val="58"/>
    <w:semiHidden/>
    <w:qFormat/>
    <w:uiPriority w:val="0"/>
    <w:rPr>
      <w:b/>
    </w:rPr>
  </w:style>
  <w:style w:type="paragraph" w:styleId="26">
    <w:name w:val="Body Text First Indent 2"/>
    <w:basedOn w:val="10"/>
    <w:next w:val="1"/>
    <w:qFormat/>
    <w:locked/>
    <w:uiPriority w:val="0"/>
    <w:pPr>
      <w:ind w:firstLine="420" w:firstLineChars="200"/>
    </w:pPr>
    <w:rPr>
      <w:kern w:val="2"/>
      <w:sz w:val="21"/>
      <w:szCs w:val="24"/>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0"/>
    <w:rPr>
      <w:b/>
    </w:rPr>
  </w:style>
  <w:style w:type="character" w:styleId="31">
    <w:name w:val="page number"/>
    <w:basedOn w:val="29"/>
    <w:qFormat/>
    <w:locked/>
    <w:uiPriority w:val="0"/>
  </w:style>
  <w:style w:type="character" w:styleId="32">
    <w:name w:val="Emphasis"/>
    <w:basedOn w:val="29"/>
    <w:qFormat/>
    <w:locked/>
    <w:uiPriority w:val="20"/>
  </w:style>
  <w:style w:type="character" w:styleId="33">
    <w:name w:val="Hyperlink"/>
    <w:basedOn w:val="29"/>
    <w:unhideWhenUsed/>
    <w:qFormat/>
    <w:locked/>
    <w:uiPriority w:val="99"/>
    <w:rPr>
      <w:color w:val="0000FF"/>
      <w:u w:val="single"/>
    </w:rPr>
  </w:style>
  <w:style w:type="character" w:styleId="34">
    <w:name w:val="annotation reference"/>
    <w:basedOn w:val="29"/>
    <w:semiHidden/>
    <w:qFormat/>
    <w:uiPriority w:val="0"/>
    <w:rPr>
      <w:sz w:val="21"/>
    </w:rPr>
  </w:style>
  <w:style w:type="paragraph" w:customStyle="1" w:styleId="35">
    <w:name w:val="简单回函地址"/>
    <w:basedOn w:val="1"/>
    <w:next w:val="36"/>
    <w:qFormat/>
    <w:uiPriority w:val="0"/>
    <w:rPr>
      <w:szCs w:val="20"/>
    </w:rPr>
  </w:style>
  <w:style w:type="paragraph" w:customStyle="1" w:styleId="3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37">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8">
    <w:name w:val="真·正文"/>
    <w:basedOn w:val="1"/>
    <w:next w:val="39"/>
    <w:qFormat/>
    <w:uiPriority w:val="0"/>
    <w:pPr>
      <w:spacing w:line="360" w:lineRule="auto"/>
      <w:ind w:left="420" w:leftChars="200"/>
      <w:jc w:val="left"/>
    </w:pPr>
    <w:rPr>
      <w:sz w:val="24"/>
    </w:rPr>
  </w:style>
  <w:style w:type="paragraph" w:customStyle="1" w:styleId="39">
    <w:name w:val="1表格"/>
    <w:basedOn w:val="40"/>
    <w:next w:val="9"/>
    <w:qFormat/>
    <w:uiPriority w:val="0"/>
    <w:pPr>
      <w:spacing w:line="160" w:lineRule="atLeast"/>
      <w:jc w:val="center"/>
    </w:pPr>
  </w:style>
  <w:style w:type="paragraph" w:customStyle="1" w:styleId="40">
    <w:name w:val="1文章"/>
    <w:qFormat/>
    <w:uiPriority w:val="0"/>
    <w:pPr>
      <w:widowControl w:val="0"/>
      <w:snapToGrid w:val="0"/>
      <w:ind w:firstLine="573"/>
      <w:jc w:val="both"/>
    </w:pPr>
    <w:rPr>
      <w:rFonts w:ascii="Times New Roman" w:hAnsi="Times New Roman" w:eastAsia="仿宋_GB2312" w:cs="Times New Roman"/>
      <w:kern w:val="2"/>
      <w:sz w:val="28"/>
      <w:lang w:val="en-US" w:eastAsia="zh-CN" w:bidi="ar-SA"/>
    </w:rPr>
  </w:style>
  <w:style w:type="paragraph" w:customStyle="1" w:styleId="41">
    <w:name w:val="表头4-"/>
    <w:basedOn w:val="1"/>
    <w:qFormat/>
    <w:uiPriority w:val="0"/>
    <w:pPr>
      <w:widowControl/>
      <w:numPr>
        <w:ilvl w:val="0"/>
        <w:numId w:val="2"/>
      </w:numPr>
      <w:tabs>
        <w:tab w:val="left" w:pos="397"/>
        <w:tab w:val="clear" w:pos="0"/>
      </w:tabs>
      <w:spacing w:line="240" w:lineRule="auto"/>
      <w:ind w:left="0" w:firstLine="0"/>
      <w:jc w:val="center"/>
    </w:pPr>
    <w:rPr>
      <w:rFonts w:ascii="Times New Roman" w:hAnsi="Times New Roman" w:eastAsia="宋体"/>
      <w:b/>
      <w:color w:val="000000"/>
      <w:kern w:val="0"/>
    </w:rPr>
  </w:style>
  <w:style w:type="paragraph" w:customStyle="1" w:styleId="42">
    <w:name w:val="表头2-"/>
    <w:basedOn w:val="1"/>
    <w:link w:val="106"/>
    <w:qFormat/>
    <w:uiPriority w:val="0"/>
    <w:pPr>
      <w:numPr>
        <w:ilvl w:val="0"/>
        <w:numId w:val="3"/>
      </w:numPr>
      <w:spacing w:line="240" w:lineRule="auto"/>
      <w:ind w:left="0" w:firstLine="0"/>
      <w:jc w:val="center"/>
    </w:pPr>
    <w:rPr>
      <w:rFonts w:ascii="Times New Roman" w:hAnsi="Times New Roman" w:eastAsia="宋体"/>
      <w:b/>
      <w:bCs/>
    </w:rPr>
  </w:style>
  <w:style w:type="paragraph" w:customStyle="1" w:styleId="43">
    <w:name w:val="表头1-"/>
    <w:basedOn w:val="1"/>
    <w:qFormat/>
    <w:uiPriority w:val="0"/>
    <w:pPr>
      <w:numPr>
        <w:ilvl w:val="0"/>
        <w:numId w:val="4"/>
      </w:numPr>
      <w:spacing w:line="240" w:lineRule="auto"/>
      <w:ind w:left="0" w:firstLine="0"/>
      <w:jc w:val="center"/>
    </w:pPr>
    <w:rPr>
      <w:rFonts w:ascii="Times New Roman" w:hAnsi="Times New Roman" w:eastAsia="宋体"/>
      <w:b/>
    </w:rPr>
  </w:style>
  <w:style w:type="paragraph" w:customStyle="1" w:styleId="44">
    <w:name w:val="图序1"/>
    <w:basedOn w:val="1"/>
    <w:link w:val="107"/>
    <w:qFormat/>
    <w:uiPriority w:val="0"/>
    <w:pPr>
      <w:numPr>
        <w:ilvl w:val="0"/>
        <w:numId w:val="5"/>
      </w:numPr>
      <w:tabs>
        <w:tab w:val="left" w:pos="397"/>
        <w:tab w:val="clear" w:pos="0"/>
      </w:tabs>
      <w:spacing w:line="240" w:lineRule="auto"/>
      <w:jc w:val="center"/>
    </w:pPr>
    <w:rPr>
      <w:rFonts w:ascii="Times New Roman" w:hAnsi="Times New Roman" w:eastAsia="宋体"/>
      <w:b/>
      <w:bCs/>
      <w:szCs w:val="21"/>
    </w:rPr>
  </w:style>
  <w:style w:type="paragraph" w:customStyle="1" w:styleId="45">
    <w:name w:val="报告"/>
    <w:basedOn w:val="1"/>
    <w:link w:val="65"/>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46">
    <w:name w:val="应填表格"/>
    <w:basedOn w:val="1"/>
    <w:qFormat/>
    <w:uiPriority w:val="0"/>
    <w:pPr>
      <w:adjustRightInd w:val="0"/>
      <w:spacing w:before="40" w:after="40"/>
      <w:jc w:val="left"/>
      <w:textAlignment w:val="baseline"/>
    </w:pPr>
    <w:rPr>
      <w:kern w:val="0"/>
      <w:sz w:val="24"/>
      <w:szCs w:val="20"/>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8">
    <w:name w:val="表格"/>
    <w:basedOn w:val="1"/>
    <w:next w:val="1"/>
    <w:link w:val="54"/>
    <w:qFormat/>
    <w:uiPriority w:val="0"/>
    <w:pPr>
      <w:adjustRightInd w:val="0"/>
      <w:snapToGrid w:val="0"/>
      <w:spacing w:beforeLines="10" w:afterLines="10" w:line="259" w:lineRule="auto"/>
      <w:jc w:val="center"/>
    </w:pPr>
    <w:rPr>
      <w:rFonts w:ascii="宋体"/>
      <w:kern w:val="0"/>
      <w:szCs w:val="20"/>
    </w:rPr>
  </w:style>
  <w:style w:type="paragraph" w:customStyle="1" w:styleId="49">
    <w:name w:val="表格内容"/>
    <w:basedOn w:val="15"/>
    <w:next w:val="1"/>
    <w:link w:val="64"/>
    <w:qFormat/>
    <w:uiPriority w:val="0"/>
    <w:pPr>
      <w:jc w:val="center"/>
    </w:pPr>
    <w:rPr>
      <w:rFonts w:eastAsia="Times New Roman"/>
    </w:rPr>
  </w:style>
  <w:style w:type="paragraph" w:customStyle="1" w:styleId="50">
    <w:name w:val="表格首行"/>
    <w:basedOn w:val="1"/>
    <w:next w:val="1"/>
    <w:qFormat/>
    <w:uiPriority w:val="0"/>
    <w:pPr>
      <w:jc w:val="center"/>
    </w:pPr>
    <w:rPr>
      <w:rFonts w:cs="宋体"/>
      <w:b/>
      <w:szCs w:val="20"/>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52">
    <w:name w:val="纯文本 字符"/>
    <w:link w:val="15"/>
    <w:qFormat/>
    <w:uiPriority w:val="0"/>
    <w:rPr>
      <w:rFonts w:ascii="宋体" w:hAnsi="Courier New"/>
      <w:kern w:val="16"/>
      <w:sz w:val="21"/>
      <w:szCs w:val="21"/>
      <w:vertAlign w:val="superscript"/>
    </w:rPr>
  </w:style>
  <w:style w:type="character" w:customStyle="1" w:styleId="53">
    <w:name w:val="普通(网站) 字符"/>
    <w:link w:val="24"/>
    <w:qFormat/>
    <w:locked/>
    <w:uiPriority w:val="0"/>
    <w:rPr>
      <w:rFonts w:ascii="宋体" w:hAnsi="宋体" w:eastAsia="宋体"/>
      <w:sz w:val="24"/>
    </w:rPr>
  </w:style>
  <w:style w:type="character" w:customStyle="1" w:styleId="54">
    <w:name w:val="表格 Char"/>
    <w:link w:val="48"/>
    <w:qFormat/>
    <w:locked/>
    <w:uiPriority w:val="0"/>
    <w:rPr>
      <w:rFonts w:ascii="宋体"/>
      <w:sz w:val="21"/>
    </w:rPr>
  </w:style>
  <w:style w:type="character" w:customStyle="1" w:styleId="55">
    <w:name w:val="批注框文本 字符"/>
    <w:link w:val="19"/>
    <w:semiHidden/>
    <w:qFormat/>
    <w:locked/>
    <w:uiPriority w:val="0"/>
    <w:rPr>
      <w:rFonts w:ascii="Times New Roman" w:hAnsi="Times New Roman" w:eastAsia="宋体"/>
      <w:sz w:val="18"/>
    </w:rPr>
  </w:style>
  <w:style w:type="character" w:customStyle="1" w:styleId="56">
    <w:name w:val="正文文本 字符1"/>
    <w:semiHidden/>
    <w:qFormat/>
    <w:uiPriority w:val="0"/>
    <w:rPr>
      <w:rFonts w:ascii="Times New Roman" w:hAnsi="Times New Roman" w:eastAsia="宋体"/>
      <w:sz w:val="24"/>
    </w:rPr>
  </w:style>
  <w:style w:type="character" w:customStyle="1" w:styleId="57">
    <w:name w:val="批注文字 字符1"/>
    <w:semiHidden/>
    <w:qFormat/>
    <w:uiPriority w:val="0"/>
    <w:rPr>
      <w:rFonts w:ascii="Times New Roman" w:hAnsi="Times New Roman" w:eastAsia="宋体"/>
      <w:sz w:val="24"/>
    </w:rPr>
  </w:style>
  <w:style w:type="character" w:customStyle="1" w:styleId="58">
    <w:name w:val="批注主题 字符"/>
    <w:link w:val="25"/>
    <w:semiHidden/>
    <w:qFormat/>
    <w:locked/>
    <w:uiPriority w:val="0"/>
    <w:rPr>
      <w:rFonts w:ascii="Times New Roman" w:hAnsi="Times New Roman" w:eastAsia="宋体"/>
      <w:b/>
      <w:kern w:val="2"/>
      <w:sz w:val="24"/>
    </w:rPr>
  </w:style>
  <w:style w:type="character" w:customStyle="1" w:styleId="59">
    <w:name w:val="页眉 字符"/>
    <w:link w:val="21"/>
    <w:qFormat/>
    <w:locked/>
    <w:uiPriority w:val="0"/>
    <w:rPr>
      <w:sz w:val="18"/>
    </w:rPr>
  </w:style>
  <w:style w:type="character" w:customStyle="1" w:styleId="60">
    <w:name w:val="日期 字符1"/>
    <w:link w:val="16"/>
    <w:qFormat/>
    <w:locked/>
    <w:uiPriority w:val="0"/>
    <w:rPr>
      <w:rFonts w:ascii="Times New Roman" w:hAnsi="Times New Roman" w:eastAsia="宋体"/>
      <w:sz w:val="24"/>
    </w:rPr>
  </w:style>
  <w:style w:type="character" w:customStyle="1" w:styleId="61">
    <w:name w:val="正文文本 字符"/>
    <w:link w:val="9"/>
    <w:qFormat/>
    <w:locked/>
    <w:uiPriority w:val="0"/>
    <w:rPr>
      <w:sz w:val="18"/>
    </w:rPr>
  </w:style>
  <w:style w:type="character" w:customStyle="1" w:styleId="62">
    <w:name w:val="日期 字符"/>
    <w:semiHidden/>
    <w:qFormat/>
    <w:uiPriority w:val="0"/>
    <w:rPr>
      <w:rFonts w:ascii="Times New Roman" w:hAnsi="Times New Roman" w:eastAsia="宋体"/>
      <w:sz w:val="24"/>
    </w:rPr>
  </w:style>
  <w:style w:type="character" w:customStyle="1" w:styleId="63">
    <w:name w:val="批注文字 字符"/>
    <w:link w:val="8"/>
    <w:qFormat/>
    <w:locked/>
    <w:uiPriority w:val="0"/>
    <w:rPr>
      <w:rFonts w:ascii="Times New Roman" w:hAnsi="Times New Roman" w:eastAsia="宋体"/>
      <w:sz w:val="24"/>
    </w:rPr>
  </w:style>
  <w:style w:type="character" w:customStyle="1" w:styleId="64">
    <w:name w:val="表格内容 Char"/>
    <w:link w:val="49"/>
    <w:qFormat/>
    <w:uiPriority w:val="0"/>
    <w:rPr>
      <w:rFonts w:eastAsia="Times New Roman"/>
      <w:kern w:val="2"/>
      <w:sz w:val="21"/>
      <w:szCs w:val="21"/>
    </w:rPr>
  </w:style>
  <w:style w:type="character" w:customStyle="1" w:styleId="65">
    <w:name w:val="报告 Char"/>
    <w:link w:val="45"/>
    <w:qFormat/>
    <w:uiPriority w:val="0"/>
    <w:rPr>
      <w:rFonts w:ascii="TimesNewRoman" w:hAnsi="TimesNewRoman"/>
      <w:sz w:val="24"/>
    </w:rPr>
  </w:style>
  <w:style w:type="character" w:customStyle="1" w:styleId="66">
    <w:name w:val="页脚 Char"/>
    <w:qFormat/>
    <w:uiPriority w:val="99"/>
  </w:style>
  <w:style w:type="character" w:customStyle="1" w:styleId="67">
    <w:name w:val="页脚 字符"/>
    <w:basedOn w:val="29"/>
    <w:qFormat/>
    <w:uiPriority w:val="99"/>
  </w:style>
  <w:style w:type="character" w:customStyle="1" w:styleId="68">
    <w:name w:val="正文文本缩进 字符"/>
    <w:link w:val="10"/>
    <w:semiHidden/>
    <w:qFormat/>
    <w:locked/>
    <w:uiPriority w:val="0"/>
    <w:rPr>
      <w:rFonts w:ascii="Times New Roman" w:hAnsi="Times New Roman" w:eastAsia="宋体"/>
      <w:sz w:val="24"/>
    </w:rPr>
  </w:style>
  <w:style w:type="character" w:customStyle="1" w:styleId="69">
    <w:name w:val="页脚 字符1"/>
    <w:link w:val="20"/>
    <w:qFormat/>
    <w:locked/>
    <w:uiPriority w:val="99"/>
    <w:rPr>
      <w:sz w:val="18"/>
    </w:rPr>
  </w:style>
  <w:style w:type="paragraph" w:customStyle="1" w:styleId="70">
    <w:name w:val="报告书"/>
    <w:basedOn w:val="1"/>
    <w:qFormat/>
    <w:uiPriority w:val="0"/>
    <w:pPr>
      <w:autoSpaceDE w:val="0"/>
      <w:autoSpaceDN w:val="0"/>
      <w:adjustRightInd w:val="0"/>
      <w:spacing w:line="360" w:lineRule="auto"/>
      <w:ind w:firstLine="420" w:firstLineChars="200"/>
      <w:textAlignment w:val="bottom"/>
    </w:pPr>
    <w:rPr>
      <w:bCs/>
      <w:sz w:val="24"/>
    </w:rPr>
  </w:style>
  <w:style w:type="paragraph" w:customStyle="1" w:styleId="7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72">
    <w:name w:val="Table Paragraph"/>
    <w:basedOn w:val="1"/>
    <w:qFormat/>
    <w:uiPriority w:val="1"/>
  </w:style>
  <w:style w:type="paragraph" w:customStyle="1" w:styleId="73">
    <w:name w:val="正文00"/>
    <w:qFormat/>
    <w:uiPriority w:val="0"/>
    <w:pPr>
      <w:overflowPunct w:val="0"/>
      <w:topLinePunct/>
      <w:adjustRightInd w:val="0"/>
      <w:snapToGrid w:val="0"/>
      <w:spacing w:line="460" w:lineRule="exact"/>
      <w:ind w:firstLine="200" w:firstLineChars="200"/>
      <w:jc w:val="both"/>
    </w:pPr>
    <w:rPr>
      <w:rFonts w:ascii="Times New Roman" w:hAnsi="Times New Roman" w:eastAsia="宋体" w:cs="Times New Roman"/>
      <w:color w:val="0000FF"/>
      <w:kern w:val="2"/>
      <w:sz w:val="24"/>
      <w:szCs w:val="24"/>
      <w:lang w:val="en-US" w:eastAsia="zh-CN" w:bidi="ar-SA"/>
    </w:rPr>
  </w:style>
  <w:style w:type="paragraph" w:customStyle="1" w:styleId="74">
    <w:name w:val="+++ 表头"/>
    <w:basedOn w:val="1"/>
    <w:qFormat/>
    <w:uiPriority w:val="0"/>
    <w:pPr>
      <w:spacing w:line="360" w:lineRule="auto"/>
      <w:jc w:val="center"/>
    </w:pPr>
    <w:rPr>
      <w:rFonts w:cs="宋体"/>
      <w:b/>
      <w:bCs/>
      <w:color w:val="99CC00"/>
      <w:sz w:val="24"/>
    </w:rPr>
  </w:style>
  <w:style w:type="paragraph" w:customStyle="1" w:styleId="75">
    <w:name w:val="Default"/>
    <w:basedOn w:val="76"/>
    <w:unhideWhenUsed/>
    <w:qFormat/>
    <w:uiPriority w:val="0"/>
    <w:pPr>
      <w:autoSpaceDE w:val="0"/>
      <w:autoSpaceDN w:val="0"/>
    </w:pPr>
    <w:rPr>
      <w:rFonts w:hAnsi="宋体"/>
      <w:color w:val="000000"/>
      <w:sz w:val="24"/>
    </w:rPr>
  </w:style>
  <w:style w:type="paragraph" w:customStyle="1" w:styleId="76">
    <w:name w:val="纯文本1"/>
    <w:basedOn w:val="1"/>
    <w:qFormat/>
    <w:uiPriority w:val="0"/>
    <w:pPr>
      <w:adjustRightInd w:val="0"/>
      <w:textAlignment w:val="baseline"/>
    </w:pPr>
    <w:rPr>
      <w:rFonts w:ascii="宋体" w:hAnsi="Courier New"/>
      <w:kern w:val="0"/>
      <w:sz w:val="28"/>
      <w:szCs w:val="20"/>
    </w:rPr>
  </w:style>
  <w:style w:type="paragraph" w:styleId="77">
    <w:name w:val="List Paragraph"/>
    <w:basedOn w:val="1"/>
    <w:qFormat/>
    <w:uiPriority w:val="34"/>
    <w:pPr>
      <w:ind w:firstLine="420" w:firstLineChars="200"/>
    </w:pPr>
  </w:style>
  <w:style w:type="character" w:customStyle="1" w:styleId="78">
    <w:name w:val="h3"/>
    <w:basedOn w:val="29"/>
    <w:qFormat/>
    <w:uiPriority w:val="0"/>
  </w:style>
  <w:style w:type="paragraph" w:customStyle="1" w:styleId="79">
    <w:name w:val="表格Table"/>
    <w:basedOn w:val="1"/>
    <w:qFormat/>
    <w:uiPriority w:val="0"/>
    <w:pPr>
      <w:jc w:val="left"/>
    </w:pPr>
    <w:rPr>
      <w:rFonts w:cs="Arial"/>
      <w:sz w:val="20"/>
    </w:rPr>
  </w:style>
  <w:style w:type="paragraph" w:customStyle="1" w:styleId="80">
    <w:name w:val="报告正文格式"/>
    <w:basedOn w:val="1"/>
    <w:qFormat/>
    <w:uiPriority w:val="0"/>
    <w:pPr>
      <w:spacing w:line="360" w:lineRule="auto"/>
      <w:ind w:firstLine="480" w:firstLineChars="200"/>
    </w:pPr>
    <w:rPr>
      <w:sz w:val="24"/>
    </w:rPr>
  </w:style>
  <w:style w:type="paragraph" w:customStyle="1" w:styleId="81">
    <w:name w:val="++++正文"/>
    <w:basedOn w:val="1"/>
    <w:qFormat/>
    <w:uiPriority w:val="0"/>
    <w:pPr>
      <w:spacing w:line="360" w:lineRule="auto"/>
      <w:ind w:firstLine="200" w:firstLineChars="200"/>
    </w:pPr>
    <w:rPr>
      <w:rFonts w:eastAsia="黑体"/>
      <w:b/>
      <w:color w:val="0000FF"/>
      <w:sz w:val="24"/>
    </w:rPr>
  </w:style>
  <w:style w:type="paragraph" w:customStyle="1" w:styleId="8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83">
    <w:name w:val="+++++正文"/>
    <w:basedOn w:val="1"/>
    <w:qFormat/>
    <w:uiPriority w:val="0"/>
    <w:pPr>
      <w:spacing w:line="360" w:lineRule="auto"/>
      <w:ind w:firstLine="200" w:firstLineChars="200"/>
    </w:pPr>
    <w:rPr>
      <w:sz w:val="24"/>
    </w:rPr>
  </w:style>
  <w:style w:type="paragraph" w:customStyle="1" w:styleId="84">
    <w:name w:val="++++++++正文"/>
    <w:basedOn w:val="1"/>
    <w:qFormat/>
    <w:uiPriority w:val="0"/>
    <w:pPr>
      <w:autoSpaceDE w:val="0"/>
      <w:autoSpaceDN w:val="0"/>
      <w:adjustRightInd w:val="0"/>
      <w:spacing w:line="360" w:lineRule="auto"/>
      <w:ind w:firstLine="200" w:firstLineChars="200"/>
    </w:pPr>
    <w:rPr>
      <w:sz w:val="24"/>
      <w:szCs w:val="20"/>
    </w:rPr>
  </w:style>
  <w:style w:type="paragraph" w:customStyle="1" w:styleId="85">
    <w:name w:val="表格头"/>
    <w:basedOn w:val="1"/>
    <w:qFormat/>
    <w:uiPriority w:val="0"/>
    <w:pPr>
      <w:spacing w:line="360" w:lineRule="auto"/>
      <w:ind w:firstLine="200" w:firstLineChars="200"/>
      <w:jc w:val="center"/>
    </w:pPr>
    <w:rPr>
      <w:rFonts w:ascii="黑体" w:hAnsi="黑体" w:eastAsia="黑体"/>
      <w:b/>
      <w:kern w:val="0"/>
      <w:sz w:val="24"/>
    </w:rPr>
  </w:style>
  <w:style w:type="paragraph" w:customStyle="1" w:styleId="86">
    <w:name w:val="哈喽"/>
    <w:basedOn w:val="1"/>
    <w:qFormat/>
    <w:uiPriority w:val="99"/>
    <w:pPr>
      <w:jc w:val="left"/>
    </w:pPr>
    <w:rPr>
      <w:rFonts w:ascii="宋体" w:hAnsi="宋体"/>
      <w:kern w:val="28"/>
      <w:szCs w:val="28"/>
    </w:rPr>
  </w:style>
  <w:style w:type="paragraph" w:customStyle="1" w:styleId="87">
    <w:name w:val="表格文字"/>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88">
    <w:name w:val="表格-内容"/>
    <w:basedOn w:val="1"/>
    <w:qFormat/>
    <w:uiPriority w:val="0"/>
    <w:pPr>
      <w:jc w:val="center"/>
    </w:pPr>
    <w:rPr>
      <w:kern w:val="0"/>
      <w:szCs w:val="21"/>
    </w:rPr>
  </w:style>
  <w:style w:type="paragraph" w:customStyle="1" w:styleId="89">
    <w:name w:val="样式 样式 样式 样式 样式 样式 样式 样式 样式 样式 样式 首行缩进:  2 字符 + 首行缩进:  2 字符 + 首行缩..."/>
    <w:basedOn w:val="1"/>
    <w:qFormat/>
    <w:uiPriority w:val="0"/>
    <w:pPr>
      <w:spacing w:line="312" w:lineRule="auto"/>
      <w:ind w:firstLine="480" w:firstLineChars="200"/>
    </w:pPr>
    <w:rPr>
      <w:rFonts w:ascii="宋体"/>
      <w:sz w:val="24"/>
      <w:szCs w:val="20"/>
    </w:rPr>
  </w:style>
  <w:style w:type="paragraph" w:customStyle="1" w:styleId="90">
    <w:name w:val="我的样式"/>
    <w:basedOn w:val="1"/>
    <w:qFormat/>
    <w:uiPriority w:val="99"/>
    <w:pPr>
      <w:adjustRightInd w:val="0"/>
      <w:snapToGrid w:val="0"/>
      <w:jc w:val="left"/>
      <w:textAlignment w:val="baseline"/>
    </w:pPr>
    <w:rPr>
      <w:rFonts w:ascii="Calibri" w:hAnsi="Calibri"/>
      <w:kern w:val="0"/>
    </w:rPr>
  </w:style>
  <w:style w:type="paragraph" w:customStyle="1" w:styleId="9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2">
    <w:name w:val="表标题"/>
    <w:basedOn w:val="93"/>
    <w:qFormat/>
    <w:uiPriority w:val="0"/>
    <w:pPr>
      <w:adjustRightInd w:val="0"/>
      <w:textAlignment w:val="baseline"/>
    </w:pPr>
    <w:rPr>
      <w:kern w:val="0"/>
      <w:szCs w:val="20"/>
    </w:rPr>
  </w:style>
  <w:style w:type="paragraph" w:customStyle="1" w:styleId="93">
    <w:name w:val="表格标题"/>
    <w:basedOn w:val="1"/>
    <w:next w:val="1"/>
    <w:qFormat/>
    <w:uiPriority w:val="99"/>
    <w:pPr>
      <w:jc w:val="center"/>
    </w:pPr>
    <w:rPr>
      <w:rFonts w:eastAsia="黑体"/>
    </w:rPr>
  </w:style>
  <w:style w:type="paragraph" w:customStyle="1" w:styleId="94">
    <w:name w:val="【表内字】"/>
    <w:basedOn w:val="1"/>
    <w:qFormat/>
    <w:uiPriority w:val="0"/>
    <w:pPr>
      <w:adjustRightInd w:val="0"/>
      <w:snapToGrid w:val="0"/>
      <w:jc w:val="center"/>
    </w:pPr>
    <w:rPr>
      <w:kern w:val="0"/>
      <w:sz w:val="20"/>
    </w:rPr>
  </w:style>
  <w:style w:type="paragraph" w:customStyle="1" w:styleId="95">
    <w:name w:val="【表头】"/>
    <w:qFormat/>
    <w:uiPriority w:val="0"/>
    <w:pPr>
      <w:adjustRightInd w:val="0"/>
      <w:snapToGrid w:val="0"/>
      <w:spacing w:line="360" w:lineRule="auto"/>
      <w:jc w:val="center"/>
    </w:pPr>
    <w:rPr>
      <w:rFonts w:ascii="Calibri" w:hAnsi="Calibri" w:eastAsia="宋体" w:cs="Times New Roman"/>
      <w:b/>
      <w:color w:val="000000"/>
      <w:kern w:val="2"/>
      <w:sz w:val="21"/>
      <w:szCs w:val="24"/>
      <w:lang w:val="en-US" w:eastAsia="zh-CN" w:bidi="ar-SA"/>
    </w:rPr>
  </w:style>
  <w:style w:type="paragraph" w:customStyle="1" w:styleId="96">
    <w:name w:val="正文字体123"/>
    <w:basedOn w:val="1"/>
    <w:qFormat/>
    <w:uiPriority w:val="0"/>
    <w:pPr>
      <w:adjustRightInd w:val="0"/>
      <w:snapToGrid w:val="0"/>
    </w:pPr>
    <w:rPr>
      <w:rFonts w:ascii="Calibri" w:hAnsi="Calibri"/>
      <w:bCs/>
      <w:szCs w:val="28"/>
    </w:rPr>
  </w:style>
  <w:style w:type="paragraph" w:customStyle="1" w:styleId="97">
    <w:name w:val="引用1"/>
    <w:basedOn w:val="1"/>
    <w:next w:val="1"/>
    <w:qFormat/>
    <w:uiPriority w:val="0"/>
    <w:pPr>
      <w:jc w:val="center"/>
    </w:pPr>
    <w:rPr>
      <w:i/>
      <w:color w:val="000000"/>
      <w:sz w:val="24"/>
      <w:szCs w:val="20"/>
    </w:rPr>
  </w:style>
  <w:style w:type="paragraph" w:customStyle="1" w:styleId="98">
    <w:name w:val="p0"/>
    <w:basedOn w:val="1"/>
    <w:qFormat/>
    <w:uiPriority w:val="0"/>
    <w:pPr>
      <w:widowControl/>
    </w:pPr>
    <w:rPr>
      <w:szCs w:val="20"/>
    </w:rPr>
  </w:style>
  <w:style w:type="paragraph" w:customStyle="1" w:styleId="99">
    <w:name w:val="文章正文样式 Char"/>
    <w:basedOn w:val="1"/>
    <w:qFormat/>
    <w:uiPriority w:val="0"/>
    <w:pPr>
      <w:spacing w:line="520" w:lineRule="exact"/>
      <w:ind w:firstLine="480" w:firstLineChars="200"/>
      <w:jc w:val="left"/>
    </w:pPr>
    <w:rPr>
      <w:rFonts w:ascii="宋体" w:hAnsi="宋体" w:cs="宋体"/>
      <w:sz w:val="24"/>
      <w:szCs w:val="20"/>
    </w:rPr>
  </w:style>
  <w:style w:type="paragraph" w:customStyle="1" w:styleId="100">
    <w:name w:val="正文_3"/>
    <w:qFormat/>
    <w:uiPriority w:val="0"/>
    <w:pPr>
      <w:widowControl w:val="0"/>
      <w:jc w:val="both"/>
    </w:pPr>
    <w:rPr>
      <w:rFonts w:ascii="Calibri" w:hAnsi="Calibri" w:eastAsia="宋体" w:cs="Times New Roman"/>
      <w:kern w:val="2"/>
      <w:sz w:val="21"/>
      <w:lang w:val="en-US" w:eastAsia="zh-CN" w:bidi="ar-SA"/>
    </w:rPr>
  </w:style>
  <w:style w:type="character" w:customStyle="1" w:styleId="101">
    <w:name w:val="fontstyle01"/>
    <w:basedOn w:val="29"/>
    <w:qFormat/>
    <w:uiPriority w:val="0"/>
    <w:rPr>
      <w:rFonts w:hint="default" w:ascii="CIDFont+F1" w:hAnsi="CIDFont+F1"/>
      <w:color w:val="000000"/>
      <w:sz w:val="24"/>
      <w:szCs w:val="24"/>
    </w:rPr>
  </w:style>
  <w:style w:type="paragraph" w:customStyle="1" w:styleId="102">
    <w:name w:val="真·表头"/>
    <w:basedOn w:val="1"/>
    <w:qFormat/>
    <w:uiPriority w:val="0"/>
    <w:pPr>
      <w:spacing w:beforeLines="50" w:line="360" w:lineRule="auto"/>
      <w:jc w:val="center"/>
    </w:pPr>
    <w:rPr>
      <w:rFonts w:eastAsia="黑体"/>
      <w:sz w:val="24"/>
      <w:szCs w:val="30"/>
    </w:rPr>
  </w:style>
  <w:style w:type="paragraph" w:customStyle="1" w:styleId="103">
    <w:name w:val="L正文"/>
    <w:basedOn w:val="1"/>
    <w:qFormat/>
    <w:uiPriority w:val="0"/>
    <w:pPr>
      <w:adjustRightInd w:val="0"/>
      <w:snapToGrid w:val="0"/>
      <w:spacing w:line="360" w:lineRule="auto"/>
      <w:ind w:firstLine="200" w:firstLineChars="200"/>
      <w:jc w:val="left"/>
    </w:pPr>
    <w:rPr>
      <w:sz w:val="24"/>
    </w:rPr>
  </w:style>
  <w:style w:type="paragraph" w:customStyle="1" w:styleId="104">
    <w:name w:val="妇幼正文"/>
    <w:basedOn w:val="1"/>
    <w:qFormat/>
    <w:uiPriority w:val="0"/>
    <w:pPr>
      <w:adjustRightInd w:val="0"/>
      <w:spacing w:line="360" w:lineRule="auto"/>
      <w:ind w:firstLine="480" w:firstLineChars="200"/>
    </w:pPr>
    <w:rPr>
      <w:color w:val="000000"/>
      <w:sz w:val="24"/>
    </w:rPr>
  </w:style>
  <w:style w:type="paragraph" w:customStyle="1" w:styleId="105">
    <w:name w:val="表格文字2"/>
    <w:basedOn w:val="87"/>
    <w:qFormat/>
    <w:uiPriority w:val="0"/>
    <w:pPr>
      <w:spacing w:before="60"/>
      <w:jc w:val="center"/>
    </w:pPr>
  </w:style>
  <w:style w:type="character" w:customStyle="1" w:styleId="106">
    <w:name w:val="表头2- Char"/>
    <w:link w:val="42"/>
    <w:qFormat/>
    <w:uiPriority w:val="0"/>
    <w:rPr>
      <w:rFonts w:ascii="Times New Roman" w:hAnsi="Times New Roman" w:eastAsia="宋体" w:cs="Times New Roman"/>
      <w:b/>
      <w:bCs/>
      <w:color w:val="auto"/>
      <w:kern w:val="2"/>
    </w:rPr>
  </w:style>
  <w:style w:type="character" w:customStyle="1" w:styleId="107">
    <w:name w:val="图2- Char"/>
    <w:link w:val="44"/>
    <w:qFormat/>
    <w:uiPriority w:val="0"/>
    <w:rPr>
      <w:rFonts w:ascii="Times New Roman" w:hAnsi="Times New Roman" w:eastAsia="宋体"/>
      <w:b/>
      <w:bCs/>
      <w:sz w:val="21"/>
      <w:szCs w:val="21"/>
    </w:rPr>
  </w:style>
  <w:style w:type="character" w:customStyle="1" w:styleId="108">
    <w:name w:val="font21"/>
    <w:basedOn w:val="29"/>
    <w:qFormat/>
    <w:uiPriority w:val="0"/>
    <w:rPr>
      <w:rFonts w:hint="default" w:ascii="Times New Roman" w:hAnsi="Times New Roman" w:cs="Times New Roman"/>
      <w:color w:val="000000"/>
      <w:sz w:val="20"/>
      <w:szCs w:val="20"/>
      <w:u w:val="none"/>
    </w:rPr>
  </w:style>
  <w:style w:type="paragraph" w:customStyle="1" w:styleId="109">
    <w:name w:val="_Style 62"/>
    <w:next w:val="110"/>
    <w:qFormat/>
    <w:uiPriority w:val="0"/>
    <w:pPr>
      <w:widowControl w:val="0"/>
      <w:snapToGrid w:val="0"/>
      <w:spacing w:line="340" w:lineRule="exact"/>
      <w:jc w:val="center"/>
    </w:pPr>
    <w:rPr>
      <w:rFonts w:ascii="Times New Roman" w:hAnsi="Times New Roman" w:eastAsia="宋体" w:cs="Times New Roman"/>
      <w:snapToGrid w:val="0"/>
      <w:kern w:val="2"/>
      <w:sz w:val="21"/>
      <w:szCs w:val="21"/>
      <w:lang w:val="zh-CN" w:eastAsia="zh-CN" w:bidi="ar-SA"/>
    </w:rPr>
  </w:style>
  <w:style w:type="paragraph" w:customStyle="1" w:styleId="110">
    <w:name w:val="_Style 5"/>
    <w:next w:val="1"/>
    <w:qFormat/>
    <w:uiPriority w:val="0"/>
    <w:pPr>
      <w:widowControl w:val="0"/>
      <w:pBdr>
        <w:bottom w:val="single" w:color="auto" w:sz="6" w:space="1"/>
      </w:pBdr>
      <w:jc w:val="center"/>
    </w:pPr>
    <w:rPr>
      <w:rFonts w:ascii="Arial" w:hAnsi="Arial" w:eastAsia="宋体" w:cs="Arial"/>
      <w:vanish/>
      <w:kern w:val="2"/>
      <w:sz w:val="16"/>
      <w:szCs w:val="16"/>
      <w:lang w:val="en-US" w:eastAsia="zh-CN" w:bidi="ar-SA"/>
    </w:rPr>
  </w:style>
  <w:style w:type="paragraph" w:customStyle="1" w:styleId="111">
    <w:name w:val="01正文"/>
    <w:qFormat/>
    <w:uiPriority w:val="0"/>
    <w:pPr>
      <w:widowControl w:val="0"/>
      <w:autoSpaceDE w:val="0"/>
      <w:autoSpaceDN w:val="0"/>
      <w:adjustRightInd w:val="0"/>
      <w:snapToGrid w:val="0"/>
      <w:spacing w:line="360" w:lineRule="auto"/>
      <w:ind w:firstLine="480" w:firstLineChars="200"/>
      <w:jc w:val="both"/>
    </w:pPr>
    <w:rPr>
      <w:rFonts w:ascii="Calibri" w:hAnsi="Calibri" w:eastAsia="宋体" w:cs="Times New Roman"/>
      <w:kern w:val="2"/>
      <w:sz w:val="24"/>
      <w:szCs w:val="24"/>
      <w:lang w:val="zh-CN" w:eastAsia="zh-CN" w:bidi="ar-SA"/>
    </w:rPr>
  </w:style>
  <w:style w:type="paragraph" w:customStyle="1" w:styleId="11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113">
    <w:name w:val="Table Grid_0"/>
    <w:basedOn w:val="27"/>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4">
    <w:name w:val="font41"/>
    <w:basedOn w:val="29"/>
    <w:qFormat/>
    <w:uiPriority w:val="0"/>
    <w:rPr>
      <w:rFonts w:hint="default" w:ascii="Times New Roman" w:hAnsi="Times New Roman" w:cs="Times New Roman"/>
      <w:b/>
      <w:bCs/>
      <w:color w:val="000000"/>
      <w:sz w:val="21"/>
      <w:szCs w:val="21"/>
      <w:u w:val="none"/>
    </w:rPr>
  </w:style>
  <w:style w:type="character" w:customStyle="1" w:styleId="115">
    <w:name w:val="font51"/>
    <w:basedOn w:val="29"/>
    <w:qFormat/>
    <w:uiPriority w:val="0"/>
    <w:rPr>
      <w:rFonts w:hint="default" w:ascii="Times New Roman" w:hAnsi="Times New Roman" w:cs="Times New Roman"/>
      <w:b/>
      <w:bCs/>
      <w:color w:val="000000"/>
      <w:sz w:val="21"/>
      <w:szCs w:val="21"/>
      <w:u w:val="none"/>
      <w:vertAlign w:val="subscript"/>
    </w:rPr>
  </w:style>
  <w:style w:type="character" w:customStyle="1" w:styleId="116">
    <w:name w:val="font11"/>
    <w:basedOn w:val="29"/>
    <w:qFormat/>
    <w:uiPriority w:val="0"/>
    <w:rPr>
      <w:rFonts w:hint="eastAsia" w:ascii="宋体" w:hAnsi="宋体" w:eastAsia="宋体" w:cs="宋体"/>
      <w:color w:val="000000"/>
      <w:sz w:val="21"/>
      <w:szCs w:val="21"/>
      <w:u w:val="none"/>
    </w:rPr>
  </w:style>
  <w:style w:type="paragraph" w:customStyle="1" w:styleId="117">
    <w:name w:val="表头"/>
    <w:basedOn w:val="1"/>
    <w:qFormat/>
    <w:uiPriority w:val="0"/>
    <w:pPr>
      <w:adjustRightInd w:val="0"/>
      <w:snapToGrid w:val="0"/>
      <w:spacing w:beforeLines="50" w:after="100" w:afterAutospacing="1"/>
      <w:jc w:val="center"/>
    </w:pPr>
    <w:rPr>
      <w:b/>
      <w:szCs w:val="21"/>
    </w:rPr>
  </w:style>
  <w:style w:type="character" w:customStyle="1" w:styleId="118">
    <w:name w:val="font31"/>
    <w:basedOn w:val="29"/>
    <w:qFormat/>
    <w:uiPriority w:val="0"/>
    <w:rPr>
      <w:rFonts w:hint="default" w:ascii="Times New Roman" w:hAnsi="Times New Roman" w:cs="Times New Roman"/>
      <w:color w:val="000000"/>
      <w:sz w:val="21"/>
      <w:szCs w:val="21"/>
      <w:u w:val="none"/>
      <w:vertAlign w:val="subscript"/>
    </w:rPr>
  </w:style>
  <w:style w:type="paragraph" w:customStyle="1" w:styleId="119">
    <w:name w:val="书正文"/>
    <w:basedOn w:val="1"/>
    <w:qFormat/>
    <w:uiPriority w:val="0"/>
    <w:pPr>
      <w:spacing w:line="360" w:lineRule="auto"/>
      <w:ind w:firstLine="480" w:firstLineChars="200"/>
    </w:pPr>
    <w:rPr>
      <w:color w:val="000000"/>
      <w:kern w:val="0"/>
      <w:sz w:val="24"/>
    </w:rPr>
  </w:style>
  <w:style w:type="paragraph" w:customStyle="1" w:styleId="120">
    <w:name w:val="Table Text"/>
    <w:basedOn w:val="1"/>
    <w:semiHidden/>
    <w:qFormat/>
    <w:uiPriority w:val="0"/>
    <w:rPr>
      <w:rFonts w:ascii="宋体" w:hAnsi="宋体" w:eastAsia="宋体" w:cs="宋体"/>
      <w:sz w:val="24"/>
      <w:szCs w:val="24"/>
      <w:lang w:val="en-US" w:eastAsia="en-US" w:bidi="ar-SA"/>
    </w:rPr>
  </w:style>
  <w:style w:type="table" w:customStyle="1" w:styleId="121">
    <w:name w:val="Table Normal"/>
    <w:semiHidden/>
    <w:unhideWhenUsed/>
    <w:qFormat/>
    <w:uiPriority w:val="0"/>
    <w:tblPr>
      <w:tblCellMar>
        <w:top w:w="0" w:type="dxa"/>
        <w:left w:w="0" w:type="dxa"/>
        <w:bottom w:w="0" w:type="dxa"/>
        <w:right w:w="0" w:type="dxa"/>
      </w:tblCellMar>
    </w:tblPr>
  </w:style>
  <w:style w:type="paragraph" w:customStyle="1" w:styleId="122">
    <w:name w:val="图序 2"/>
    <w:basedOn w:val="1"/>
    <w:qFormat/>
    <w:uiPriority w:val="0"/>
    <w:pPr>
      <w:numPr>
        <w:ilvl w:val="0"/>
        <w:numId w:val="6"/>
      </w:numPr>
      <w:jc w:val="center"/>
    </w:pPr>
    <w:rPr>
      <w:rFonts w:ascii="Times New Roman" w:hAnsi="Times New Roman" w:eastAsia="宋体"/>
      <w:b/>
    </w:rPr>
  </w:style>
  <w:style w:type="table" w:customStyle="1" w:styleId="123">
    <w:name w:val="LY-表格样式"/>
    <w:basedOn w:val="27"/>
    <w:qFormat/>
    <w:uiPriority w:val="99"/>
    <w:pPr>
      <w:jc w:val="center"/>
    </w:pPr>
    <w:tblPr>
      <w:jc w:val="center"/>
      <w:tblBorders>
        <w:top w:val="single" w:color="auto" w:sz="12" w:space="0"/>
        <w:bottom w:val="single" w:color="auto" w:sz="12" w:space="0"/>
        <w:insideH w:val="single" w:color="auto" w:sz="6" w:space="0"/>
        <w:insideV w:val="single" w:color="auto" w:sz="6" w:space="0"/>
      </w:tblBorders>
    </w:tblPr>
    <w:trPr>
      <w:jc w:val="center"/>
    </w:trPr>
    <w:tcPr>
      <w:shd w:val="clear" w:color="auto" w:fill="auto"/>
      <w:vAlign w:val="center"/>
    </w:tcPr>
    <w:tblStylePr w:type="firstRow">
      <w:rPr>
        <w:rFonts w:eastAsia="宋体"/>
        <w:b/>
        <w:sz w:val="21"/>
      </w:rPr>
    </w:tblStylePr>
  </w:style>
  <w:style w:type="character" w:customStyle="1" w:styleId="124">
    <w:name w:val="font01"/>
    <w:basedOn w:val="29"/>
    <w:qFormat/>
    <w:uiPriority w:val="0"/>
    <w:rPr>
      <w:rFonts w:hint="eastAsia" w:ascii="宋体" w:hAnsi="宋体" w:eastAsia="宋体" w:cs="宋体"/>
      <w:color w:val="000000"/>
      <w:sz w:val="22"/>
      <w:szCs w:val="22"/>
      <w:u w:val="none"/>
    </w:rPr>
  </w:style>
  <w:style w:type="character" w:customStyle="1" w:styleId="125">
    <w:name w:val="font61"/>
    <w:basedOn w:val="29"/>
    <w:qFormat/>
    <w:uiPriority w:val="0"/>
    <w:rPr>
      <w:rFonts w:hint="eastAsia" w:ascii="宋体" w:hAnsi="宋体" w:eastAsia="宋体" w:cs="宋体"/>
      <w:color w:val="000000"/>
      <w:sz w:val="21"/>
      <w:szCs w:val="21"/>
      <w:u w:val="none"/>
    </w:rPr>
  </w:style>
  <w:style w:type="character" w:customStyle="1" w:styleId="126">
    <w:name w:val="font71"/>
    <w:basedOn w:val="29"/>
    <w:qFormat/>
    <w:uiPriority w:val="0"/>
    <w:rPr>
      <w:rFonts w:hint="default" w:ascii="Times New Roman" w:hAnsi="Times New Roman" w:cs="Times New Roman"/>
      <w:color w:val="000000"/>
      <w:sz w:val="21"/>
      <w:szCs w:val="21"/>
      <w:u w:val="none"/>
    </w:rPr>
  </w:style>
  <w:style w:type="character" w:customStyle="1" w:styleId="127">
    <w:name w:val="font81"/>
    <w:basedOn w:val="29"/>
    <w:qFormat/>
    <w:uiPriority w:val="0"/>
    <w:rPr>
      <w:rFonts w:hint="default" w:ascii="Times New Roman" w:hAnsi="Times New Roman" w:cs="Times New Roman"/>
      <w:color w:val="000000"/>
      <w:sz w:val="21"/>
      <w:szCs w:val="21"/>
      <w:u w:val="none"/>
      <w:vertAlign w:val="superscript"/>
    </w:rPr>
  </w:style>
  <w:style w:type="character" w:customStyle="1" w:styleId="128">
    <w:name w:val="font91"/>
    <w:basedOn w:val="29"/>
    <w:qFormat/>
    <w:uiPriority w:val="0"/>
    <w:rPr>
      <w:rFonts w:hint="default" w:ascii="Times New Roman" w:hAnsi="Times New Roman" w:cs="Times New Roman"/>
      <w:b/>
      <w:bCs/>
      <w:color w:val="000000"/>
      <w:sz w:val="21"/>
      <w:szCs w:val="21"/>
      <w:u w:val="none"/>
    </w:rPr>
  </w:style>
  <w:style w:type="paragraph" w:customStyle="1" w:styleId="129">
    <w:name w:val="样式1"/>
    <w:basedOn w:val="1"/>
    <w:next w:val="130"/>
    <w:qFormat/>
    <w:uiPriority w:val="0"/>
    <w:pPr>
      <w:pageBreakBefore/>
      <w:numPr>
        <w:ilvl w:val="0"/>
        <w:numId w:val="7"/>
      </w:numPr>
      <w:tabs>
        <w:tab w:val="left" w:pos="397"/>
        <w:tab w:val="clear" w:pos="0"/>
      </w:tabs>
      <w:spacing w:line="360" w:lineRule="auto"/>
      <w:jc w:val="center"/>
    </w:pPr>
    <w:rPr>
      <w:rFonts w:ascii="Times New Roman" w:hAnsi="Times New Roman"/>
      <w:b/>
      <w:bCs/>
      <w:color w:val="0070C0"/>
      <w:szCs w:val="21"/>
    </w:rPr>
  </w:style>
  <w:style w:type="paragraph" w:customStyle="1" w:styleId="130">
    <w:name w:val="图序2"/>
    <w:basedOn w:val="1"/>
    <w:next w:val="131"/>
    <w:qFormat/>
    <w:uiPriority w:val="0"/>
    <w:pPr>
      <w:numPr>
        <w:ilvl w:val="0"/>
        <w:numId w:val="8"/>
      </w:numPr>
      <w:spacing w:line="240" w:lineRule="auto"/>
      <w:jc w:val="center"/>
    </w:pPr>
    <w:rPr>
      <w:rFonts w:ascii="Times New Roman" w:hAnsi="Times New Roman" w:eastAsia="宋体"/>
      <w:b/>
    </w:rPr>
  </w:style>
  <w:style w:type="paragraph" w:customStyle="1" w:styleId="131">
    <w:name w:val="图序4"/>
    <w:basedOn w:val="1"/>
    <w:qFormat/>
    <w:uiPriority w:val="0"/>
    <w:pPr>
      <w:numPr>
        <w:ilvl w:val="0"/>
        <w:numId w:val="9"/>
      </w:numPr>
      <w:jc w:val="center"/>
    </w:pPr>
    <w:rPr>
      <w:rFonts w:ascii="Times New Roman" w:hAnsi="Times New Roman" w:eastAsia="宋体"/>
      <w:b/>
      <w:color w:val="000000" w:themeColor="text1"/>
      <w14:textFill>
        <w14:solidFill>
          <w14:schemeClr w14:val="tx1"/>
        </w14:solidFill>
      </w14:textFill>
    </w:rPr>
  </w:style>
  <w:style w:type="paragraph" w:customStyle="1" w:styleId="132">
    <w:name w:val="表头3"/>
    <w:basedOn w:val="1"/>
    <w:link w:val="136"/>
    <w:qFormat/>
    <w:uiPriority w:val="0"/>
    <w:pPr>
      <w:widowControl/>
      <w:numPr>
        <w:ilvl w:val="0"/>
        <w:numId w:val="10"/>
      </w:numPr>
      <w:spacing w:line="240" w:lineRule="auto"/>
      <w:ind w:left="0" w:firstLine="0"/>
      <w:jc w:val="center"/>
    </w:pPr>
    <w:rPr>
      <w:rFonts w:ascii="Times New Roman" w:hAnsi="Times New Roman"/>
      <w:b/>
      <w:bCs/>
      <w:color w:val="000000"/>
      <w:kern w:val="0"/>
      <w:szCs w:val="21"/>
    </w:rPr>
  </w:style>
  <w:style w:type="character" w:customStyle="1" w:styleId="133">
    <w:name w:val="font12"/>
    <w:basedOn w:val="29"/>
    <w:qFormat/>
    <w:uiPriority w:val="0"/>
    <w:rPr>
      <w:rFonts w:hint="eastAsia" w:ascii="宋体" w:hAnsi="宋体" w:eastAsia="宋体" w:cs="宋体"/>
      <w:b/>
      <w:bCs/>
      <w:color w:val="000000"/>
      <w:sz w:val="21"/>
      <w:szCs w:val="21"/>
      <w:u w:val="none"/>
    </w:rPr>
  </w:style>
  <w:style w:type="character" w:customStyle="1" w:styleId="134">
    <w:name w:val="font101"/>
    <w:basedOn w:val="29"/>
    <w:qFormat/>
    <w:uiPriority w:val="0"/>
    <w:rPr>
      <w:rFonts w:hint="default" w:ascii="Times New Roman" w:hAnsi="Times New Roman" w:cs="Times New Roman"/>
      <w:b/>
      <w:bCs/>
      <w:color w:val="000000"/>
      <w:sz w:val="21"/>
      <w:szCs w:val="21"/>
      <w:u w:val="none"/>
    </w:rPr>
  </w:style>
  <w:style w:type="character" w:customStyle="1" w:styleId="135">
    <w:name w:val="font111"/>
    <w:basedOn w:val="29"/>
    <w:qFormat/>
    <w:uiPriority w:val="0"/>
    <w:rPr>
      <w:rFonts w:hint="eastAsia" w:ascii="宋体" w:hAnsi="宋体" w:eastAsia="宋体" w:cs="宋体"/>
      <w:color w:val="FF0000"/>
      <w:sz w:val="21"/>
      <w:szCs w:val="21"/>
      <w:u w:val="none"/>
    </w:rPr>
  </w:style>
  <w:style w:type="character" w:customStyle="1" w:styleId="136">
    <w:name w:val="表头3 Char"/>
    <w:link w:val="132"/>
    <w:qFormat/>
    <w:uiPriority w:val="0"/>
    <w:rPr>
      <w:rFonts w:ascii="Times New Roman" w:hAnsi="Times New Roman"/>
      <w:b/>
      <w:bCs/>
      <w:color w:val="000000"/>
      <w:kern w:val="0"/>
      <w:szCs w:val="21"/>
    </w:rPr>
  </w:style>
  <w:style w:type="character" w:customStyle="1" w:styleId="137">
    <w:name w:val="font181"/>
    <w:basedOn w:val="29"/>
    <w:qFormat/>
    <w:uiPriority w:val="0"/>
    <w:rPr>
      <w:rFonts w:hint="default" w:ascii="Times New Roman" w:hAnsi="Times New Roman" w:cs="Times New Roman"/>
      <w:b/>
      <w:bCs/>
      <w:color w:val="000000"/>
      <w:sz w:val="21"/>
      <w:szCs w:val="21"/>
      <w:u w:val="none"/>
    </w:rPr>
  </w:style>
  <w:style w:type="character" w:customStyle="1" w:styleId="138">
    <w:name w:val="font121"/>
    <w:basedOn w:val="29"/>
    <w:qFormat/>
    <w:uiPriority w:val="0"/>
    <w:rPr>
      <w:rFonts w:hint="eastAsia" w:ascii="宋体" w:hAnsi="宋体" w:eastAsia="宋体" w:cs="宋体"/>
      <w:color w:val="0070C0"/>
      <w:sz w:val="21"/>
      <w:szCs w:val="21"/>
      <w:u w:val="none"/>
    </w:rPr>
  </w:style>
  <w:style w:type="character" w:customStyle="1" w:styleId="139">
    <w:name w:val="font161"/>
    <w:basedOn w:val="29"/>
    <w:qFormat/>
    <w:uiPriority w:val="0"/>
    <w:rPr>
      <w:rFonts w:hint="default" w:ascii="Times New Roman" w:hAnsi="Times New Roman" w:cs="Times New Roman"/>
      <w:color w:val="FF0000"/>
      <w:sz w:val="21"/>
      <w:szCs w:val="21"/>
      <w:u w:val="none"/>
    </w:rPr>
  </w:style>
  <w:style w:type="character" w:customStyle="1" w:styleId="140">
    <w:name w:val="font171"/>
    <w:basedOn w:val="29"/>
    <w:qFormat/>
    <w:uiPriority w:val="0"/>
    <w:rPr>
      <w:rFonts w:hint="eastAsia" w:ascii="宋体" w:hAnsi="宋体" w:eastAsia="宋体" w:cs="宋体"/>
      <w:color w:val="0000FF"/>
      <w:sz w:val="22"/>
      <w:szCs w:val="22"/>
      <w:u w:val="none"/>
    </w:rPr>
  </w:style>
  <w:style w:type="character" w:customStyle="1" w:styleId="141">
    <w:name w:val="font122"/>
    <w:basedOn w:val="29"/>
    <w:qFormat/>
    <w:uiPriority w:val="0"/>
    <w:rPr>
      <w:rFonts w:hint="eastAsia" w:ascii="宋体" w:hAnsi="宋体" w:eastAsia="宋体" w:cs="宋体"/>
      <w:color w:val="0070C0"/>
      <w:sz w:val="22"/>
      <w:szCs w:val="22"/>
      <w:u w:val="none"/>
    </w:rPr>
  </w:style>
  <w:style w:type="character" w:customStyle="1" w:styleId="142">
    <w:name w:val="font131"/>
    <w:basedOn w:val="29"/>
    <w:qFormat/>
    <w:uiPriority w:val="0"/>
    <w:rPr>
      <w:rFonts w:hint="default" w:ascii="Times New Roman" w:hAnsi="Times New Roman" w:cs="Times New Roman"/>
      <w:color w:val="FF0000"/>
      <w:sz w:val="21"/>
      <w:szCs w:val="21"/>
      <w:u w:val="none"/>
    </w:rPr>
  </w:style>
  <w:style w:type="character" w:customStyle="1" w:styleId="143">
    <w:name w:val="font151"/>
    <w:basedOn w:val="29"/>
    <w:qFormat/>
    <w:uiPriority w:val="0"/>
    <w:rPr>
      <w:rFonts w:hint="eastAsia" w:ascii="宋体" w:hAnsi="宋体" w:eastAsia="宋体" w:cs="宋体"/>
      <w:color w:val="000000"/>
      <w:sz w:val="21"/>
      <w:szCs w:val="21"/>
      <w:u w:val="none"/>
    </w:rPr>
  </w:style>
  <w:style w:type="paragraph" w:customStyle="1" w:styleId="144">
    <w:name w:val="Li的正文"/>
    <w:basedOn w:val="1"/>
    <w:qFormat/>
    <w:uiPriority w:val="0"/>
    <w:pPr>
      <w:adjustRightInd w:val="0"/>
      <w:snapToGrid w:val="0"/>
      <w:ind w:firstLine="480"/>
    </w:pPr>
    <w:rPr>
      <w:color w:val="000000"/>
      <w:kern w:val="0"/>
      <w:szCs w:val="20"/>
    </w:rPr>
  </w:style>
  <w:style w:type="paragraph" w:customStyle="1" w:styleId="145">
    <w:name w:val="环评正文"/>
    <w:basedOn w:val="2"/>
    <w:qFormat/>
    <w:uiPriority w:val="0"/>
    <w:pPr>
      <w:keepNext w:val="0"/>
      <w:widowControl/>
      <w:tabs>
        <w:tab w:val="left" w:pos="360"/>
      </w:tabs>
      <w:overflowPunct/>
      <w:adjustRightInd w:val="0"/>
      <w:snapToGrid w:val="0"/>
      <w:spacing w:before="60" w:after="60" w:line="400" w:lineRule="exact"/>
      <w:ind w:left="0" w:firstLine="484"/>
      <w:jc w:val="left"/>
      <w:outlineLvl w:val="9"/>
    </w:pPr>
    <w:rPr>
      <w:rFonts w:eastAsia="仿宋_GB2312"/>
      <w:b w:val="0"/>
      <w:color w:val="auto"/>
      <w:sz w:val="24"/>
      <w:szCs w:val="44"/>
    </w:rPr>
  </w:style>
  <w:style w:type="paragraph" w:customStyle="1" w:styleId="146">
    <w:name w:val="A-表格标题"/>
    <w:basedOn w:val="1"/>
    <w:qFormat/>
    <w:uiPriority w:val="0"/>
    <w:pPr>
      <w:spacing w:line="360" w:lineRule="auto"/>
      <w:jc w:val="center"/>
    </w:pPr>
    <w:rPr>
      <w:rFonts w:ascii="Times New Roman" w:hAnsi="Times New Roman"/>
      <w:b/>
    </w:rPr>
  </w:style>
  <w:style w:type="paragraph" w:customStyle="1" w:styleId="147">
    <w:name w:val="报告表格"/>
    <w:basedOn w:val="1"/>
    <w:qFormat/>
    <w:uiPriority w:val="0"/>
    <w:pPr>
      <w:autoSpaceDE w:val="0"/>
      <w:autoSpaceDN w:val="0"/>
      <w:adjustRightInd w:val="0"/>
      <w:spacing w:before="40" w:after="40"/>
      <w:jc w:val="center"/>
    </w:pPr>
    <w:rPr>
      <w:kern w:val="0"/>
      <w:szCs w:val="20"/>
    </w:rPr>
  </w:style>
  <w:style w:type="paragraph" w:customStyle="1" w:styleId="148">
    <w:name w:val="图序3"/>
    <w:basedOn w:val="1"/>
    <w:qFormat/>
    <w:uiPriority w:val="0"/>
    <w:pPr>
      <w:numPr>
        <w:ilvl w:val="0"/>
        <w:numId w:val="11"/>
      </w:numPr>
      <w:spacing w:line="240" w:lineRule="auto"/>
      <w:ind w:firstLine="0" w:firstLineChars="0"/>
      <w:jc w:val="center"/>
    </w:pPr>
    <w:rPr>
      <w:rFonts w:ascii="Times New Roman" w:hAnsi="Times New Roman" w:eastAsia="宋体"/>
      <w:b/>
    </w:rPr>
  </w:style>
  <w:style w:type="character" w:customStyle="1" w:styleId="149">
    <w:name w:val="font141"/>
    <w:basedOn w:val="29"/>
    <w:qFormat/>
    <w:uiPriority w:val="0"/>
    <w:rPr>
      <w:rFonts w:hint="eastAsia" w:ascii="宋体" w:hAnsi="宋体" w:eastAsia="宋体" w:cs="宋体"/>
      <w:color w:val="FF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wmf"/><Relationship Id="rId44" Type="http://schemas.openxmlformats.org/officeDocument/2006/relationships/oleObject" Target="embeddings/oleObject3.bin"/><Relationship Id="rId43" Type="http://schemas.openxmlformats.org/officeDocument/2006/relationships/image" Target="media/image25.wmf"/><Relationship Id="rId42" Type="http://schemas.openxmlformats.org/officeDocument/2006/relationships/oleObject" Target="embeddings/oleObject2.bin"/><Relationship Id="rId41" Type="http://schemas.openxmlformats.org/officeDocument/2006/relationships/image" Target="media/image24.png"/><Relationship Id="rId40" Type="http://schemas.openxmlformats.org/officeDocument/2006/relationships/image" Target="media/image23.wmf"/><Relationship Id="rId4" Type="http://schemas.openxmlformats.org/officeDocument/2006/relationships/header" Target="header2.xml"/><Relationship Id="rId39" Type="http://schemas.openxmlformats.org/officeDocument/2006/relationships/oleObject" Target="embeddings/oleObject1.bin"/><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135</Pages>
  <Words>5733</Words>
  <Characters>6220</Characters>
  <Lines>811</Lines>
  <Paragraphs>228</Paragraphs>
  <TotalTime>6</TotalTime>
  <ScaleCrop>false</ScaleCrop>
  <LinksUpToDate>false</LinksUpToDate>
  <CharactersWithSpaces>6229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Audrey</cp:lastModifiedBy>
  <cp:lastPrinted>2021-03-26T02:58:00Z</cp:lastPrinted>
  <dcterms:modified xsi:type="dcterms:W3CDTF">2024-12-25T02:51:59Z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4D103FD85164499897CF35CF2CC4B30F_13</vt:lpwstr>
  </property>
  <property fmtid="{D5CDD505-2E9C-101B-9397-08002B2CF9AE}" pid="4" name="KSOTemplateDocerSaveRecord">
    <vt:lpwstr>eyJoZGlkIjoiMzMzNGI0ZWM1ZmJlYjQwOTllMmU4ZTE0ZjY1NGJkNWUiLCJ1c2VySWQiOiIxMDI3NTQ4NTczIn0=</vt:lpwstr>
  </property>
</Properties>
</file>