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遂大环函</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rPr>
        <w:t>〕</w:t>
      </w:r>
      <w:r>
        <w:rPr>
          <w:rFonts w:hint="eastAsia" w:cs="Times New Roman"/>
          <w:sz w:val="32"/>
          <w:szCs w:val="32"/>
          <w:lang w:val="en-US" w:eastAsia="zh-CN"/>
        </w:rPr>
        <w:t>2</w:t>
      </w:r>
      <w:r>
        <w:rPr>
          <w:rFonts w:hint="eastAsia" w:ascii="仿宋" w:hAnsi="仿宋" w:eastAsia="仿宋" w:cs="仿宋"/>
          <w:sz w:val="32"/>
          <w:szCs w:val="32"/>
        </w:rPr>
        <w:t>号</w:t>
      </w:r>
    </w:p>
    <w:p w14:paraId="187037DF">
      <w:pPr>
        <w:pStyle w:val="3"/>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1CD0F1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0AF1F9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关于大英县回马工业园生物质集中供热项目</w:t>
      </w:r>
    </w:p>
    <w:p w14:paraId="50B1DF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环境影响报告表的批复</w:t>
      </w:r>
    </w:p>
    <w:p w14:paraId="1A4C9D87">
      <w:pPr>
        <w:pStyle w:val="9"/>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 w:hAnsi="仿宋" w:eastAsia="仿宋" w:cs="仿宋"/>
          <w:color w:val="auto"/>
          <w:spacing w:val="-6"/>
          <w:kern w:val="2"/>
          <w:sz w:val="32"/>
          <w:szCs w:val="32"/>
          <w:lang w:val="en-US" w:eastAsia="zh-CN" w:bidi="ar-SA"/>
        </w:rPr>
      </w:pPr>
    </w:p>
    <w:p w14:paraId="3769A889">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大英明和能源服务有限公司：</w:t>
      </w:r>
      <w:bookmarkStart w:id="0" w:name="_GoBack"/>
      <w:bookmarkEnd w:id="0"/>
    </w:p>
    <w:p w14:paraId="73D9EAF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你公司报送的《大英县回马工业园生物质集中供热项目环境影响报告表》（以下简称《报告表》）收悉。经研究，批复如下：</w:t>
      </w:r>
    </w:p>
    <w:p w14:paraId="23FC22B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一、项目概况及总体意见</w:t>
      </w:r>
    </w:p>
    <w:p w14:paraId="16E33E8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项目位于大英县回马镇夏家沟村工业园，一区租赁四川融智窑新型建材有限公司厂区内西北侧空地，约</w:t>
      </w:r>
      <w:r>
        <w:rPr>
          <w:rFonts w:hint="default" w:ascii="Times New Roman" w:hAnsi="Times New Roman" w:eastAsia="仿宋" w:cs="Times New Roman"/>
          <w:color w:val="auto"/>
          <w:sz w:val="32"/>
          <w:szCs w:val="32"/>
          <w:lang w:val="en-US" w:eastAsia="zh-CN"/>
        </w:rPr>
        <w:t>1.58</w:t>
      </w:r>
      <w:r>
        <w:rPr>
          <w:rFonts w:hint="eastAsia" w:ascii="仿宋" w:hAnsi="仿宋" w:eastAsia="仿宋" w:cs="仿宋"/>
          <w:color w:val="auto"/>
          <w:sz w:val="32"/>
          <w:szCs w:val="32"/>
          <w:lang w:val="en-US" w:eastAsia="zh-CN"/>
        </w:rPr>
        <w:t>亩；二区征用四川融智窑新型建材有限公司厂界外东北侧空地，约</w:t>
      </w:r>
      <w:r>
        <w:rPr>
          <w:rFonts w:hint="eastAsia" w:ascii="Times New Roman" w:hAnsi="Times New Roman" w:eastAsia="仿宋" w:cs="Times New Roman"/>
          <w:color w:val="auto"/>
          <w:sz w:val="32"/>
          <w:szCs w:val="32"/>
          <w:lang w:val="en-US" w:eastAsia="zh-CN"/>
        </w:rPr>
        <w:t>3.85</w:t>
      </w:r>
      <w:r>
        <w:rPr>
          <w:rFonts w:hint="eastAsia" w:ascii="仿宋" w:hAnsi="仿宋" w:eastAsia="仿宋" w:cs="仿宋"/>
          <w:color w:val="auto"/>
          <w:sz w:val="32"/>
          <w:szCs w:val="32"/>
          <w:lang w:val="en-US" w:eastAsia="zh-CN"/>
        </w:rPr>
        <w:t>亩。在一区、二区分别建设</w:t>
      </w:r>
      <w:r>
        <w:rPr>
          <w:rFonts w:hint="eastAsia" w:ascii="Times New Roman" w:hAnsi="Times New Roman" w:eastAsia="仿宋" w:cs="Times New Roman"/>
          <w:color w:val="auto"/>
          <w:sz w:val="32"/>
          <w:szCs w:val="32"/>
          <w:lang w:val="en-US" w:eastAsia="zh-CN"/>
        </w:rPr>
        <w:t>1台15</w:t>
      </w:r>
      <w:r>
        <w:rPr>
          <w:rFonts w:hint="eastAsia" w:ascii="仿宋" w:hAnsi="仿宋" w:eastAsia="仿宋" w:cs="仿宋"/>
          <w:color w:val="auto"/>
          <w:sz w:val="32"/>
          <w:szCs w:val="32"/>
          <w:lang w:val="en-US" w:eastAsia="zh-CN"/>
        </w:rPr>
        <w:t>蒸吨/小时生物质蒸汽锅炉及原料储存库、灰渣储存间等配套设施，其中一区锅炉为备用锅炉。建成后可为回马镇夏家沟村工业园的企业提供蒸汽</w:t>
      </w:r>
      <w:r>
        <w:rPr>
          <w:rFonts w:hint="eastAsia" w:ascii="Times New Roman" w:hAnsi="Times New Roman" w:eastAsia="仿宋" w:cs="Times New Roman"/>
          <w:color w:val="auto"/>
          <w:sz w:val="32"/>
          <w:szCs w:val="32"/>
          <w:lang w:val="en-US" w:eastAsia="zh-CN"/>
        </w:rPr>
        <w:t>15</w:t>
      </w:r>
      <w:r>
        <w:rPr>
          <w:rFonts w:hint="eastAsia" w:ascii="仿宋" w:hAnsi="仿宋" w:eastAsia="仿宋" w:cs="仿宋"/>
          <w:color w:val="auto"/>
          <w:sz w:val="32"/>
          <w:szCs w:val="32"/>
          <w:lang w:val="en-US" w:eastAsia="zh-CN"/>
        </w:rPr>
        <w:t>蒸吨/小时。项目总投资</w:t>
      </w:r>
      <w:r>
        <w:rPr>
          <w:rFonts w:hint="eastAsia" w:ascii="Times New Roman" w:hAnsi="Times New Roman" w:eastAsia="仿宋" w:cs="Times New Roman"/>
          <w:color w:val="auto"/>
          <w:sz w:val="32"/>
          <w:szCs w:val="32"/>
          <w:lang w:val="en-US" w:eastAsia="zh-CN"/>
        </w:rPr>
        <w:t>2500</w:t>
      </w:r>
      <w:r>
        <w:rPr>
          <w:rFonts w:hint="eastAsia" w:ascii="仿宋" w:hAnsi="仿宋" w:eastAsia="仿宋" w:cs="仿宋"/>
          <w:color w:val="auto"/>
          <w:sz w:val="32"/>
          <w:szCs w:val="32"/>
          <w:lang w:val="en-US" w:eastAsia="zh-CN"/>
        </w:rPr>
        <w:t>万元，其中环保投资</w:t>
      </w:r>
      <w:r>
        <w:rPr>
          <w:rFonts w:hint="eastAsia" w:ascii="Times New Roman" w:hAnsi="Times New Roman" w:eastAsia="仿宋" w:cs="Times New Roman"/>
          <w:color w:val="auto"/>
          <w:sz w:val="32"/>
          <w:szCs w:val="32"/>
          <w:lang w:val="en-US" w:eastAsia="zh-CN"/>
        </w:rPr>
        <w:t>115</w:t>
      </w:r>
      <w:r>
        <w:rPr>
          <w:rFonts w:hint="eastAsia" w:ascii="仿宋" w:hAnsi="仿宋" w:eastAsia="仿宋" w:cs="仿宋"/>
          <w:color w:val="auto"/>
          <w:sz w:val="32"/>
          <w:szCs w:val="32"/>
          <w:lang w:val="en-US" w:eastAsia="zh-CN"/>
        </w:rPr>
        <w:t>万元。</w:t>
      </w:r>
    </w:p>
    <w:p w14:paraId="4D02BD5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sectPr>
          <w:headerReference r:id="rId3" w:type="default"/>
          <w:footerReference r:id="rId5" w:type="default"/>
          <w:headerReference r:id="rId4"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ascii="仿宋" w:hAnsi="仿宋" w:eastAsia="仿宋" w:cs="仿宋"/>
          <w:color w:val="auto"/>
          <w:sz w:val="32"/>
          <w:szCs w:val="32"/>
          <w:lang w:val="en-US" w:eastAsia="zh-CN"/>
        </w:rPr>
        <w:t>项目经大英县发展和改革局登记备案（川投资备【</w:t>
      </w:r>
      <w:r>
        <w:rPr>
          <w:rFonts w:hint="eastAsia" w:ascii="Times New Roman" w:hAnsi="Times New Roman" w:eastAsia="仿宋" w:cs="Times New Roman"/>
          <w:color w:val="auto"/>
          <w:sz w:val="32"/>
          <w:szCs w:val="32"/>
          <w:lang w:val="en-US" w:eastAsia="zh-CN"/>
        </w:rPr>
        <w:t>2410-510923-04-01-478029</w:t>
      </w:r>
      <w:r>
        <w:rPr>
          <w:rFonts w:hint="eastAsia" w:ascii="仿宋" w:hAnsi="仿宋" w:eastAsia="仿宋" w:cs="仿宋"/>
          <w:color w:val="auto"/>
          <w:sz w:val="32"/>
          <w:szCs w:val="32"/>
          <w:lang w:val="en-US" w:eastAsia="zh-CN"/>
        </w:rPr>
        <w:t>】</w:t>
      </w:r>
      <w:r>
        <w:rPr>
          <w:rFonts w:hint="eastAsia" w:ascii="Times New Roman" w:hAnsi="Times New Roman" w:eastAsia="仿宋" w:cs="Times New Roman"/>
          <w:color w:val="auto"/>
          <w:sz w:val="32"/>
          <w:szCs w:val="32"/>
          <w:lang w:val="en-US" w:eastAsia="zh-CN"/>
        </w:rPr>
        <w:t>FGQB-0309</w:t>
      </w:r>
      <w:r>
        <w:rPr>
          <w:rFonts w:hint="eastAsia" w:ascii="仿宋" w:hAnsi="仿宋" w:eastAsia="仿宋" w:cs="仿宋"/>
          <w:color w:val="auto"/>
          <w:sz w:val="32"/>
          <w:szCs w:val="32"/>
          <w:lang w:val="en-US" w:eastAsia="zh-CN"/>
        </w:rPr>
        <w:t>号），属于《产业结构调整指导目录（</w:t>
      </w:r>
      <w:r>
        <w:rPr>
          <w:rFonts w:hint="eastAsia"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年本）》中的鼓励类项目。项目选址的一</w:t>
      </w:r>
    </w:p>
    <w:p w14:paraId="126B223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区、二区土地用途均为工业用地。《报告表》认为项目建设符合国家产业政策，选址符合相关规划要求，符合遂宁市生态环境分区管控要求。</w:t>
      </w:r>
    </w:p>
    <w:p w14:paraId="370BB13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严格落实《报告表》提出的环保对策及措施，严格执行环境保护“三同时”制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3E918E1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二、项目建设及营运期应重点做好以下工作</w:t>
      </w:r>
    </w:p>
    <w:p w14:paraId="0F17C6C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（一）落实污染防治和环境管理措施。</w:t>
      </w:r>
      <w:r>
        <w:rPr>
          <w:rFonts w:hint="eastAsia" w:ascii="仿宋" w:hAnsi="仿宋" w:eastAsia="仿宋" w:cs="仿宋"/>
          <w:color w:val="auto"/>
          <w:sz w:val="32"/>
          <w:szCs w:val="32"/>
          <w:lang w:val="en-US" w:eastAsia="zh-CN"/>
        </w:rPr>
        <w:t>加强环保设施的日常管理和维护，确保环保设施正常运行及各类污染物稳定达标排放。制定并不断完善突发环境事件应急预案，规范内部管理，严格规范操作，定期开展自行监测，防止污染事故的发生。</w:t>
      </w:r>
    </w:p>
    <w:p w14:paraId="2845E34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（二）落实废水处理措施。</w:t>
      </w:r>
      <w:r>
        <w:rPr>
          <w:rFonts w:hint="eastAsia" w:ascii="仿宋" w:hAnsi="仿宋" w:eastAsia="仿宋" w:cs="仿宋"/>
          <w:color w:val="auto"/>
          <w:sz w:val="32"/>
          <w:szCs w:val="32"/>
          <w:lang w:val="en-US" w:eastAsia="zh-CN"/>
        </w:rPr>
        <w:t>项目离子交换树脂再生废水用于锅炉灰渣及除尘器收尘灰调湿，不外排；软水制备废水全部用于四川融智窑新型建材有限公司生产用水，不外排；锅炉排污废水部分用于脱硫塔补充用水，剩余部分汇同生活污水经厂区预处理池处理后，通过乡镇污水管网进入回马镇污水处理厂处理达标后排放。</w:t>
      </w:r>
    </w:p>
    <w:p w14:paraId="58BB041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（三）落实废气治理措施。</w:t>
      </w:r>
      <w:r>
        <w:rPr>
          <w:rFonts w:hint="eastAsia" w:ascii="仿宋" w:hAnsi="仿宋" w:eastAsia="仿宋" w:cs="仿宋"/>
          <w:color w:val="auto"/>
          <w:sz w:val="32"/>
          <w:szCs w:val="32"/>
          <w:lang w:val="en-US" w:eastAsia="zh-CN"/>
        </w:rPr>
        <w:t>锅炉排放的废气污染物主要为</w:t>
      </w:r>
      <w:r>
        <w:rPr>
          <w:rFonts w:hint="default" w:ascii="Times New Roman" w:hAnsi="Times New Roman" w:eastAsia="仿宋" w:cs="Times New Roman"/>
          <w:color w:val="auto"/>
          <w:sz w:val="32"/>
          <w:szCs w:val="32"/>
          <w:lang w:val="en-US" w:eastAsia="zh-CN"/>
        </w:rPr>
        <w:t>SO</w:t>
      </w:r>
      <w:r>
        <w:rPr>
          <w:rFonts w:hint="default" w:ascii="Times New Roman" w:hAnsi="Times New Roman" w:eastAsia="仿宋" w:cs="Times New Roman"/>
          <w:color w:val="auto"/>
          <w:sz w:val="32"/>
          <w:szCs w:val="32"/>
          <w:vertAlign w:val="subscript"/>
          <w:lang w:val="en-US" w:eastAsia="zh-CN"/>
        </w:rPr>
        <w:t>2</w:t>
      </w:r>
      <w:r>
        <w:rPr>
          <w:rFonts w:hint="default" w:ascii="Times New Roman" w:hAnsi="Times New Roman" w:eastAsia="仿宋" w:cs="Times New Roman"/>
          <w:color w:val="auto"/>
          <w:sz w:val="32"/>
          <w:szCs w:val="32"/>
          <w:lang w:val="en-US" w:eastAsia="zh-CN"/>
        </w:rPr>
        <w:t>、NO</w:t>
      </w:r>
      <w:r>
        <w:rPr>
          <w:rFonts w:hint="default" w:ascii="Times New Roman" w:hAnsi="Times New Roman" w:eastAsia="仿宋" w:cs="Times New Roman"/>
          <w:color w:val="auto"/>
          <w:sz w:val="32"/>
          <w:szCs w:val="32"/>
          <w:vertAlign w:val="subscript"/>
          <w:lang w:val="en-US" w:eastAsia="zh-CN"/>
        </w:rPr>
        <w:t>X</w:t>
      </w:r>
      <w:r>
        <w:rPr>
          <w:rFonts w:hint="eastAsia" w:ascii="仿宋" w:hAnsi="仿宋" w:eastAsia="仿宋" w:cs="仿宋"/>
          <w:color w:val="auto"/>
          <w:sz w:val="32"/>
          <w:szCs w:val="32"/>
          <w:lang w:val="en-US" w:eastAsia="zh-CN"/>
        </w:rPr>
        <w:t>和烟尘，经低氮燃烧+</w:t>
      </w:r>
      <w:r>
        <w:rPr>
          <w:rFonts w:hint="default" w:ascii="Times New Roman" w:hAnsi="Times New Roman" w:eastAsia="仿宋" w:cs="Times New Roman"/>
          <w:color w:val="auto"/>
          <w:sz w:val="32"/>
          <w:szCs w:val="32"/>
          <w:lang w:val="en-US" w:eastAsia="zh-CN"/>
        </w:rPr>
        <w:t>SNCR</w:t>
      </w:r>
      <w:r>
        <w:rPr>
          <w:rFonts w:hint="eastAsia" w:ascii="仿宋" w:hAnsi="仿宋" w:eastAsia="仿宋" w:cs="仿宋"/>
          <w:color w:val="auto"/>
          <w:sz w:val="32"/>
          <w:szCs w:val="32"/>
          <w:lang w:val="en-US" w:eastAsia="zh-CN"/>
        </w:rPr>
        <w:t>+旋风除尘+布袋除尘+脱硫处理后经</w:t>
      </w:r>
      <w:r>
        <w:rPr>
          <w:rFonts w:hint="default" w:ascii="Times New Roman" w:hAnsi="Times New Roman" w:eastAsia="仿宋" w:cs="Times New Roman"/>
          <w:color w:val="auto"/>
          <w:sz w:val="32"/>
          <w:szCs w:val="32"/>
          <w:lang w:val="en-US" w:eastAsia="zh-CN"/>
        </w:rPr>
        <w:t>40</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m</w:t>
      </w:r>
      <w:r>
        <w:rPr>
          <w:rFonts w:hint="eastAsia" w:ascii="仿宋" w:hAnsi="仿宋" w:eastAsia="仿宋" w:cs="仿宋"/>
          <w:color w:val="auto"/>
          <w:sz w:val="32"/>
          <w:szCs w:val="32"/>
          <w:lang w:val="en-US" w:eastAsia="zh-CN"/>
        </w:rPr>
        <w:t>高排气筒（</w:t>
      </w:r>
      <w:r>
        <w:rPr>
          <w:rFonts w:hint="eastAsia" w:ascii="Times New Roman" w:hAnsi="Times New Roman" w:eastAsia="仿宋" w:cs="Times New Roman"/>
          <w:color w:val="auto"/>
          <w:sz w:val="32"/>
          <w:szCs w:val="32"/>
          <w:lang w:val="en-US" w:eastAsia="zh-CN"/>
        </w:rPr>
        <w:t>DA001</w:t>
      </w:r>
      <w:r>
        <w:rPr>
          <w:rFonts w:hint="eastAsia" w:ascii="仿宋" w:hAnsi="仿宋" w:eastAsia="仿宋" w:cs="仿宋"/>
          <w:color w:val="auto"/>
          <w:sz w:val="32"/>
          <w:szCs w:val="32"/>
          <w:lang w:val="en-US" w:eastAsia="zh-CN"/>
        </w:rPr>
        <w:t>）排放；清灰和炉渣清运产生的粉尘，采取洒水、密封袋封存等措施进行降尘。</w:t>
      </w:r>
    </w:p>
    <w:p w14:paraId="0FD7D88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（四）落实固废处置措施。</w:t>
      </w:r>
      <w:r>
        <w:rPr>
          <w:rFonts w:hint="eastAsia" w:ascii="仿宋" w:hAnsi="仿宋" w:eastAsia="仿宋" w:cs="仿宋"/>
          <w:color w:val="auto"/>
          <w:sz w:val="32"/>
          <w:szCs w:val="32"/>
          <w:lang w:val="en-US" w:eastAsia="zh-CN"/>
        </w:rPr>
        <w:t>固体废物按要求落实分类收集、贮存、运输及处置措施。生活垃圾统一收集后交由环卫部门处置；化粪池污泥定期委托第三方专业机构清掏处理。炉渣、除尘灰、脱硫塔沉淀池沉渣统一收集后外售综合利用；废离子交换树脂交由厂家回收。废机油、废油桶、含油劳保用品等危险废物分类收集后暂存于危险废物暂存间，定期交由有资质的单位处置，转移过程严格落实《危险废物转移管理办法》。</w:t>
      </w:r>
    </w:p>
    <w:p w14:paraId="0981590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（五）落实噪声防治措施。</w:t>
      </w:r>
      <w:r>
        <w:rPr>
          <w:rFonts w:hint="eastAsia" w:ascii="仿宋" w:hAnsi="仿宋" w:eastAsia="仿宋" w:cs="仿宋"/>
          <w:color w:val="auto"/>
          <w:sz w:val="32"/>
          <w:szCs w:val="32"/>
          <w:lang w:val="en-US" w:eastAsia="zh-CN"/>
        </w:rPr>
        <w:t>主要噪声源应合理布局，在设备选型上应优选低噪声设备，采取隔声、减振、消声等措施，同时加强机械设备的日常维护，确保满足《工业企业厂界环境噪声排放标准》（</w:t>
      </w:r>
      <w:r>
        <w:rPr>
          <w:rFonts w:hint="default" w:ascii="Times New Roman" w:hAnsi="Times New Roman" w:eastAsia="仿宋" w:cs="Times New Roman"/>
          <w:color w:val="auto"/>
          <w:sz w:val="32"/>
          <w:szCs w:val="32"/>
          <w:lang w:val="en-US" w:eastAsia="zh-CN"/>
        </w:rPr>
        <w:t>GB12348-2008</w:t>
      </w:r>
      <w:r>
        <w:rPr>
          <w:rFonts w:hint="eastAsia" w:ascii="仿宋" w:hAnsi="仿宋" w:eastAsia="仿宋" w:cs="仿宋"/>
          <w:color w:val="auto"/>
          <w:sz w:val="32"/>
          <w:szCs w:val="32"/>
          <w:lang w:val="en-US" w:eastAsia="zh-CN"/>
        </w:rPr>
        <w:t>）中的</w:t>
      </w:r>
      <w:r>
        <w:rPr>
          <w:rFonts w:hint="eastAsia" w:ascii="Times New Roman" w:hAnsi="Times New Roman" w:eastAsia="仿宋" w:cs="Times New Roman"/>
          <w:color w:val="auto"/>
          <w:sz w:val="32"/>
          <w:szCs w:val="32"/>
          <w:lang w:val="en-US" w:eastAsia="zh-CN"/>
        </w:rPr>
        <w:t>2</w:t>
      </w:r>
      <w:r>
        <w:rPr>
          <w:rFonts w:hint="eastAsia" w:ascii="仿宋" w:hAnsi="仿宋" w:eastAsia="仿宋" w:cs="仿宋"/>
          <w:color w:val="auto"/>
          <w:sz w:val="32"/>
          <w:szCs w:val="32"/>
          <w:lang w:val="en-US" w:eastAsia="zh-CN"/>
        </w:rPr>
        <w:t>类声环境功能区排放限值的要求。</w:t>
      </w:r>
    </w:p>
    <w:p w14:paraId="7467BCA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（六）落实地下水、土壤污染防治措施。</w:t>
      </w:r>
      <w:r>
        <w:rPr>
          <w:rFonts w:hint="eastAsia" w:ascii="仿宋" w:hAnsi="仿宋" w:eastAsia="仿宋" w:cs="仿宋"/>
          <w:color w:val="auto"/>
          <w:sz w:val="32"/>
          <w:szCs w:val="32"/>
          <w:lang w:val="en-US" w:eastAsia="zh-CN"/>
        </w:rPr>
        <w:t>落实分区防渗措施，防止地下水和土壤环境污染。危险废物暂存间、脱硫水池、沉淀池进行重点防渗；一般固废暂存间、化粪池、锅炉房、软水处理区进行一般防渗；办公区、燃料堆放区、厂区道路等进行简单防渗。</w:t>
      </w:r>
    </w:p>
    <w:p w14:paraId="2ECA93D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三、污染物排放总量</w:t>
      </w:r>
    </w:p>
    <w:p w14:paraId="43433E8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根据《报告表》预测，项目建成后主要大气污染物有组织排放总量为：颗粒物</w:t>
      </w:r>
      <w:r>
        <w:rPr>
          <w:rFonts w:hint="default" w:ascii="Times New Roman" w:hAnsi="Times New Roman" w:eastAsia="仿宋" w:cs="Times New Roman"/>
          <w:color w:val="auto"/>
          <w:sz w:val="32"/>
          <w:szCs w:val="32"/>
          <w:lang w:val="en-US" w:eastAsia="zh-CN"/>
        </w:rPr>
        <w:t>0.12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t/a、SO</w:t>
      </w:r>
      <w:r>
        <w:rPr>
          <w:rFonts w:hint="default" w:ascii="Times New Roman" w:hAnsi="Times New Roman" w:eastAsia="仿宋" w:cs="Times New Roman"/>
          <w:color w:val="auto"/>
          <w:sz w:val="32"/>
          <w:szCs w:val="32"/>
          <w:vertAlign w:val="subscript"/>
          <w:lang w:val="en-US" w:eastAsia="zh-CN"/>
        </w:rPr>
        <w:t>2</w:t>
      </w:r>
      <w:r>
        <w:rPr>
          <w:rFonts w:hint="eastAsia" w:ascii="Times New Roman" w:hAnsi="Times New Roman" w:cs="Times New Roman"/>
          <w:color w:val="auto"/>
          <w:sz w:val="32"/>
          <w:szCs w:val="32"/>
          <w:vertAlign w:val="subscript"/>
          <w:lang w:val="en-US" w:eastAsia="zh-CN"/>
        </w:rPr>
        <w:t xml:space="preserve"> </w:t>
      </w:r>
      <w:r>
        <w:rPr>
          <w:rFonts w:hint="default" w:ascii="Times New Roman" w:hAnsi="Times New Roman" w:eastAsia="仿宋" w:cs="Times New Roman"/>
          <w:color w:val="auto"/>
          <w:sz w:val="32"/>
          <w:szCs w:val="32"/>
          <w:lang w:val="en-US" w:eastAsia="zh-CN"/>
        </w:rPr>
        <w:t>2.458</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t/a、NO</w:t>
      </w:r>
      <w:r>
        <w:rPr>
          <w:rFonts w:hint="default" w:ascii="Times New Roman" w:hAnsi="Times New Roman" w:eastAsia="仿宋" w:cs="Times New Roman"/>
          <w:color w:val="auto"/>
          <w:sz w:val="32"/>
          <w:szCs w:val="32"/>
          <w:vertAlign w:val="subscript"/>
          <w:lang w:val="en-US" w:eastAsia="zh-CN"/>
        </w:rPr>
        <w:t>X</w:t>
      </w:r>
      <w:r>
        <w:rPr>
          <w:rFonts w:hint="eastAsia" w:ascii="Times New Roman" w:hAnsi="Times New Roman" w:cs="Times New Roman"/>
          <w:color w:val="auto"/>
          <w:sz w:val="32"/>
          <w:szCs w:val="32"/>
          <w:vertAlign w:val="subscript"/>
          <w:lang w:val="en-US" w:eastAsia="zh-CN"/>
        </w:rPr>
        <w:t xml:space="preserve"> </w:t>
      </w:r>
      <w:r>
        <w:rPr>
          <w:rFonts w:hint="default" w:ascii="Times New Roman" w:hAnsi="Times New Roman" w:eastAsia="仿宋" w:cs="Times New Roman"/>
          <w:color w:val="auto"/>
          <w:sz w:val="32"/>
          <w:szCs w:val="32"/>
          <w:lang w:val="en-US" w:eastAsia="zh-CN"/>
        </w:rPr>
        <w:t>8.64</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w:t>
      </w:r>
    </w:p>
    <w:p w14:paraId="1E684A2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四、</w:t>
      </w:r>
      <w:r>
        <w:rPr>
          <w:rFonts w:hint="eastAsia" w:ascii="仿宋" w:hAnsi="仿宋" w:eastAsia="仿宋" w:cs="仿宋"/>
          <w:color w:val="auto"/>
          <w:sz w:val="32"/>
          <w:szCs w:val="32"/>
          <w:lang w:val="en-US" w:eastAsia="zh-CN"/>
        </w:rPr>
        <w:t>项目开工建设前，应依法完备其他行政许可手续。</w:t>
      </w:r>
    </w:p>
    <w:p w14:paraId="46BF23F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五、排污许可和环保验收</w:t>
      </w:r>
    </w:p>
    <w:p w14:paraId="66617B7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56E2C45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是建设项目竣工环境保护验收的责任主体，应当在项目竣工后，按照规定的程序和标准，组织对配套建设的环境保护设施及对策措施进行验收，并依法公开验收报告和相关信息，接受社会监督。项目验收合格后方可投入生产或使用。</w:t>
      </w:r>
    </w:p>
    <w:p w14:paraId="6414DCF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六、其他规定</w:t>
      </w:r>
    </w:p>
    <w:p w14:paraId="50BFF41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环境影响评价文件经批准后，如项目的性质、规模、地点、工艺或者防治污染、防止生态破坏的措施发生重大变动，你公司应当重新报批环境影响评价文件，否则不得实施建设。自环境影响评价文件批准之日起，如项目超过</w:t>
      </w:r>
      <w:r>
        <w:rPr>
          <w:rFonts w:hint="default" w:ascii="Times New Roman" w:hAnsi="Times New Roman" w:eastAsia="仿宋" w:cs="Times New Roman"/>
          <w:color w:val="auto"/>
          <w:sz w:val="32"/>
          <w:szCs w:val="32"/>
          <w:lang w:val="en-US" w:eastAsia="zh-CN"/>
        </w:rPr>
        <w:t>5</w:t>
      </w:r>
      <w:r>
        <w:rPr>
          <w:rFonts w:hint="eastAsia" w:ascii="仿宋" w:hAnsi="仿宋" w:eastAsia="仿宋" w:cs="仿宋"/>
          <w:color w:val="auto"/>
          <w:sz w:val="32"/>
          <w:szCs w:val="32"/>
          <w:lang w:val="en-US" w:eastAsia="zh-CN"/>
        </w:rPr>
        <w:t>年方决定开工建设，环境影响评价文件应当报我局重新审核。</w:t>
      </w:r>
    </w:p>
    <w:p w14:paraId="1EC4C81E">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779AAE4A">
      <w:pPr>
        <w:pStyle w:val="22"/>
        <w:keepNext w:val="0"/>
        <w:keepLines w:val="0"/>
        <w:pageBreakBefore w:val="0"/>
        <w:widowControl w:val="0"/>
        <w:kinsoku/>
        <w:wordWrap/>
        <w:overflowPunct/>
        <w:topLinePunct w:val="0"/>
        <w:autoSpaceDE/>
        <w:autoSpaceDN/>
        <w:bidi w:val="0"/>
        <w:adjustRightInd/>
        <w:snapToGrid/>
        <w:spacing w:line="600" w:lineRule="exact"/>
        <w:ind w:firstLine="4864" w:firstLineChars="16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遂宁市大英生态环境局</w:t>
      </w:r>
    </w:p>
    <w:p w14:paraId="58396B84">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 w:hAnsi="仿宋" w:eastAsia="仿宋" w:cs="仿宋"/>
          <w:spacing w:val="-6"/>
          <w:sz w:val="32"/>
          <w:szCs w:val="32"/>
          <w:lang w:val="en-US" w:eastAsia="zh-CN"/>
        </w:rPr>
      </w:pPr>
      <w:r>
        <w:rPr>
          <w:rFonts w:hint="default" w:ascii="Times New Roman" w:hAnsi="Times New Roman" w:eastAsia="仿宋" w:cs="Times New Roman"/>
          <w:spacing w:val="-6"/>
          <w:sz w:val="32"/>
          <w:szCs w:val="32"/>
          <w:lang w:val="en-US" w:eastAsia="zh-CN"/>
        </w:rPr>
        <w:t>2025年1月</w:t>
      </w:r>
      <w:r>
        <w:rPr>
          <w:rFonts w:hint="eastAsia" w:cs="Times New Roman"/>
          <w:spacing w:val="-6"/>
          <w:sz w:val="32"/>
          <w:szCs w:val="32"/>
          <w:lang w:val="en-US" w:eastAsia="zh-CN"/>
        </w:rPr>
        <w:t>14</w:t>
      </w:r>
      <w:r>
        <w:rPr>
          <w:rFonts w:hint="eastAsia" w:ascii="仿宋" w:hAnsi="仿宋" w:eastAsia="仿宋" w:cs="仿宋"/>
          <w:spacing w:val="-6"/>
          <w:sz w:val="32"/>
          <w:szCs w:val="32"/>
          <w:lang w:val="en-US" w:eastAsia="zh-CN"/>
        </w:rPr>
        <w:t xml:space="preserve">日        </w:t>
      </w:r>
    </w:p>
    <w:p w14:paraId="4B3A3F3E">
      <w:pPr>
        <w:pStyle w:val="2"/>
        <w:wordWrap/>
        <w:rPr>
          <w:rFonts w:hint="eastAsia"/>
          <w:lang w:val="en-US" w:eastAsia="zh-CN"/>
        </w:rPr>
      </w:pPr>
    </w:p>
    <w:sectPr>
      <w:footerReference r:id="rId6" w:type="default"/>
      <w:footerReference r:id="rId7"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5B3D">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C7278">
    <w:pPr>
      <w:pStyle w:val="10"/>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5E722">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NJkVN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1D15E722">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30872">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1A430">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ye8Vv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27F1A430">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7F0A1D"/>
    <w:rsid w:val="00951FEE"/>
    <w:rsid w:val="009F3AFC"/>
    <w:rsid w:val="00BC05CB"/>
    <w:rsid w:val="011F28D3"/>
    <w:rsid w:val="01844E19"/>
    <w:rsid w:val="01BE4D35"/>
    <w:rsid w:val="01CF32DE"/>
    <w:rsid w:val="01DD1972"/>
    <w:rsid w:val="01FD40F1"/>
    <w:rsid w:val="02051E2E"/>
    <w:rsid w:val="02B22144"/>
    <w:rsid w:val="030014CC"/>
    <w:rsid w:val="03455479"/>
    <w:rsid w:val="03AC7D7B"/>
    <w:rsid w:val="04013FA5"/>
    <w:rsid w:val="04051239"/>
    <w:rsid w:val="041E0EAD"/>
    <w:rsid w:val="04B073F7"/>
    <w:rsid w:val="04F90CBC"/>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6168DE"/>
    <w:rsid w:val="098F0FA5"/>
    <w:rsid w:val="098F7460"/>
    <w:rsid w:val="09A231A8"/>
    <w:rsid w:val="0A892BC4"/>
    <w:rsid w:val="0ADA51CD"/>
    <w:rsid w:val="0AE4604C"/>
    <w:rsid w:val="0B327E48"/>
    <w:rsid w:val="0B5D195B"/>
    <w:rsid w:val="0B8E1704"/>
    <w:rsid w:val="0BE4740F"/>
    <w:rsid w:val="0C112E71"/>
    <w:rsid w:val="0C4C2651"/>
    <w:rsid w:val="0C8F3D96"/>
    <w:rsid w:val="0F410220"/>
    <w:rsid w:val="0F5D7B56"/>
    <w:rsid w:val="0F926D2E"/>
    <w:rsid w:val="0FB35FED"/>
    <w:rsid w:val="10632F32"/>
    <w:rsid w:val="108B04C2"/>
    <w:rsid w:val="10D95F27"/>
    <w:rsid w:val="10FC434A"/>
    <w:rsid w:val="1142587A"/>
    <w:rsid w:val="11553800"/>
    <w:rsid w:val="12011292"/>
    <w:rsid w:val="129F4917"/>
    <w:rsid w:val="13421B62"/>
    <w:rsid w:val="13A050E7"/>
    <w:rsid w:val="13A244C7"/>
    <w:rsid w:val="13EF0002"/>
    <w:rsid w:val="14096231"/>
    <w:rsid w:val="147409B1"/>
    <w:rsid w:val="14741B39"/>
    <w:rsid w:val="14AA3E63"/>
    <w:rsid w:val="14CA62B3"/>
    <w:rsid w:val="150D00D3"/>
    <w:rsid w:val="15AB60E4"/>
    <w:rsid w:val="15C947BC"/>
    <w:rsid w:val="16243B6E"/>
    <w:rsid w:val="16500214"/>
    <w:rsid w:val="16614C2A"/>
    <w:rsid w:val="16793172"/>
    <w:rsid w:val="172120C7"/>
    <w:rsid w:val="172762F6"/>
    <w:rsid w:val="1735378C"/>
    <w:rsid w:val="17586B74"/>
    <w:rsid w:val="17866686"/>
    <w:rsid w:val="18196B6F"/>
    <w:rsid w:val="1907403C"/>
    <w:rsid w:val="194A1AC8"/>
    <w:rsid w:val="196654F1"/>
    <w:rsid w:val="1A5916FA"/>
    <w:rsid w:val="1A64450C"/>
    <w:rsid w:val="1ACF0994"/>
    <w:rsid w:val="1ACF1846"/>
    <w:rsid w:val="1ADB2985"/>
    <w:rsid w:val="1B326960"/>
    <w:rsid w:val="1B7C3FB9"/>
    <w:rsid w:val="1BCC1635"/>
    <w:rsid w:val="1D04432C"/>
    <w:rsid w:val="1D1F6E89"/>
    <w:rsid w:val="1D383FD6"/>
    <w:rsid w:val="1D430F87"/>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3631F61"/>
    <w:rsid w:val="23775858"/>
    <w:rsid w:val="238D507B"/>
    <w:rsid w:val="23D305B4"/>
    <w:rsid w:val="23E07BD5"/>
    <w:rsid w:val="24EA5565"/>
    <w:rsid w:val="251C281B"/>
    <w:rsid w:val="25280D20"/>
    <w:rsid w:val="25FC1B6A"/>
    <w:rsid w:val="26672398"/>
    <w:rsid w:val="26B37B9F"/>
    <w:rsid w:val="271B5D95"/>
    <w:rsid w:val="273A436A"/>
    <w:rsid w:val="27710810"/>
    <w:rsid w:val="27E16961"/>
    <w:rsid w:val="290D5E5A"/>
    <w:rsid w:val="29BD7D3C"/>
    <w:rsid w:val="29E46919"/>
    <w:rsid w:val="2A1F2C38"/>
    <w:rsid w:val="2A2D6A04"/>
    <w:rsid w:val="2A784B2D"/>
    <w:rsid w:val="2A785045"/>
    <w:rsid w:val="2AAB5339"/>
    <w:rsid w:val="2AC24BA7"/>
    <w:rsid w:val="2B79362F"/>
    <w:rsid w:val="2B8C4F39"/>
    <w:rsid w:val="2B9E2295"/>
    <w:rsid w:val="2C3562B0"/>
    <w:rsid w:val="2C8B41B2"/>
    <w:rsid w:val="2CFA5D9C"/>
    <w:rsid w:val="2DC309C3"/>
    <w:rsid w:val="2DED6716"/>
    <w:rsid w:val="2E07339C"/>
    <w:rsid w:val="2EFC29C4"/>
    <w:rsid w:val="2F1C72B3"/>
    <w:rsid w:val="2F57550A"/>
    <w:rsid w:val="2FC71794"/>
    <w:rsid w:val="310F7B8F"/>
    <w:rsid w:val="31224929"/>
    <w:rsid w:val="31442D31"/>
    <w:rsid w:val="31774C75"/>
    <w:rsid w:val="31F50C2D"/>
    <w:rsid w:val="31FD6612"/>
    <w:rsid w:val="32C1089D"/>
    <w:rsid w:val="32EB3B6C"/>
    <w:rsid w:val="33351A68"/>
    <w:rsid w:val="335D2C02"/>
    <w:rsid w:val="33775400"/>
    <w:rsid w:val="33F01C8F"/>
    <w:rsid w:val="34047828"/>
    <w:rsid w:val="343706EB"/>
    <w:rsid w:val="344E1C6F"/>
    <w:rsid w:val="347C2F67"/>
    <w:rsid w:val="34996C6F"/>
    <w:rsid w:val="34A22009"/>
    <w:rsid w:val="34D12CF9"/>
    <w:rsid w:val="35411821"/>
    <w:rsid w:val="354A265C"/>
    <w:rsid w:val="35B53FBD"/>
    <w:rsid w:val="363D60B8"/>
    <w:rsid w:val="36A77DAA"/>
    <w:rsid w:val="36C83179"/>
    <w:rsid w:val="36CF7301"/>
    <w:rsid w:val="370C4333"/>
    <w:rsid w:val="37225683"/>
    <w:rsid w:val="372748CB"/>
    <w:rsid w:val="37461371"/>
    <w:rsid w:val="376A1E4F"/>
    <w:rsid w:val="37A81FD1"/>
    <w:rsid w:val="386B7755"/>
    <w:rsid w:val="38C236CA"/>
    <w:rsid w:val="39116741"/>
    <w:rsid w:val="3965276B"/>
    <w:rsid w:val="39E83924"/>
    <w:rsid w:val="3A110B07"/>
    <w:rsid w:val="3A2A31CC"/>
    <w:rsid w:val="3B2522B6"/>
    <w:rsid w:val="3B313DE1"/>
    <w:rsid w:val="3B443E1A"/>
    <w:rsid w:val="3B495557"/>
    <w:rsid w:val="3B7918F6"/>
    <w:rsid w:val="3B9603ED"/>
    <w:rsid w:val="3BD232AA"/>
    <w:rsid w:val="3BF770DE"/>
    <w:rsid w:val="3C1E30AA"/>
    <w:rsid w:val="3C620396"/>
    <w:rsid w:val="3C722C08"/>
    <w:rsid w:val="3C7D32C2"/>
    <w:rsid w:val="3C8A5E5F"/>
    <w:rsid w:val="3D996A75"/>
    <w:rsid w:val="3E406C06"/>
    <w:rsid w:val="3ECE409C"/>
    <w:rsid w:val="3ED417EA"/>
    <w:rsid w:val="3EEF569D"/>
    <w:rsid w:val="3F042EDF"/>
    <w:rsid w:val="3F0F2990"/>
    <w:rsid w:val="3F8A2017"/>
    <w:rsid w:val="40100624"/>
    <w:rsid w:val="40B97948"/>
    <w:rsid w:val="40BF5A1E"/>
    <w:rsid w:val="40F45458"/>
    <w:rsid w:val="410302D3"/>
    <w:rsid w:val="41313A1B"/>
    <w:rsid w:val="415844BA"/>
    <w:rsid w:val="41A33677"/>
    <w:rsid w:val="41EC74B9"/>
    <w:rsid w:val="427C7D09"/>
    <w:rsid w:val="42A751E8"/>
    <w:rsid w:val="42B94077"/>
    <w:rsid w:val="42D92940"/>
    <w:rsid w:val="42E61C5A"/>
    <w:rsid w:val="433E49AD"/>
    <w:rsid w:val="43C024AB"/>
    <w:rsid w:val="44000AFA"/>
    <w:rsid w:val="440C3E60"/>
    <w:rsid w:val="44242A3A"/>
    <w:rsid w:val="44496945"/>
    <w:rsid w:val="445043AE"/>
    <w:rsid w:val="44D6679B"/>
    <w:rsid w:val="44EB79FC"/>
    <w:rsid w:val="453B44DF"/>
    <w:rsid w:val="45650C43"/>
    <w:rsid w:val="457B0D80"/>
    <w:rsid w:val="45EE22DC"/>
    <w:rsid w:val="46564467"/>
    <w:rsid w:val="46CE1751"/>
    <w:rsid w:val="47173438"/>
    <w:rsid w:val="47B72074"/>
    <w:rsid w:val="47ED3A8B"/>
    <w:rsid w:val="47FC4AB3"/>
    <w:rsid w:val="48473F43"/>
    <w:rsid w:val="486C0E54"/>
    <w:rsid w:val="489B34E7"/>
    <w:rsid w:val="491F4DFE"/>
    <w:rsid w:val="49225801"/>
    <w:rsid w:val="4944487A"/>
    <w:rsid w:val="496833C9"/>
    <w:rsid w:val="49F74B85"/>
    <w:rsid w:val="4A5D7073"/>
    <w:rsid w:val="4B6126FE"/>
    <w:rsid w:val="4BA71E75"/>
    <w:rsid w:val="4BBC5C4E"/>
    <w:rsid w:val="4C6267F5"/>
    <w:rsid w:val="4CD46FC7"/>
    <w:rsid w:val="4CEA0599"/>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0F6820"/>
    <w:rsid w:val="515E19A1"/>
    <w:rsid w:val="517406A1"/>
    <w:rsid w:val="518979CC"/>
    <w:rsid w:val="52614E59"/>
    <w:rsid w:val="52A56FED"/>
    <w:rsid w:val="53B349BB"/>
    <w:rsid w:val="53ED2369"/>
    <w:rsid w:val="540E1011"/>
    <w:rsid w:val="54454557"/>
    <w:rsid w:val="5467641D"/>
    <w:rsid w:val="54C73958"/>
    <w:rsid w:val="54E51D72"/>
    <w:rsid w:val="55517407"/>
    <w:rsid w:val="55590D4A"/>
    <w:rsid w:val="558A2919"/>
    <w:rsid w:val="559317CE"/>
    <w:rsid w:val="5598523A"/>
    <w:rsid w:val="55D1023B"/>
    <w:rsid w:val="55E55DA1"/>
    <w:rsid w:val="561346BC"/>
    <w:rsid w:val="56446F6C"/>
    <w:rsid w:val="56655A83"/>
    <w:rsid w:val="566A0472"/>
    <w:rsid w:val="56A122EE"/>
    <w:rsid w:val="56B365F2"/>
    <w:rsid w:val="56F20776"/>
    <w:rsid w:val="571C1C97"/>
    <w:rsid w:val="573E7E5F"/>
    <w:rsid w:val="577473DD"/>
    <w:rsid w:val="579B1ED9"/>
    <w:rsid w:val="57DD263C"/>
    <w:rsid w:val="57EE76DD"/>
    <w:rsid w:val="58402ED1"/>
    <w:rsid w:val="585711D8"/>
    <w:rsid w:val="58902BFC"/>
    <w:rsid w:val="58AD279A"/>
    <w:rsid w:val="58C4394C"/>
    <w:rsid w:val="58D418CA"/>
    <w:rsid w:val="58E529EC"/>
    <w:rsid w:val="59030A18"/>
    <w:rsid w:val="59205D38"/>
    <w:rsid w:val="597D4C6F"/>
    <w:rsid w:val="59C94FB5"/>
    <w:rsid w:val="59D820AB"/>
    <w:rsid w:val="5A513A05"/>
    <w:rsid w:val="5A9803FD"/>
    <w:rsid w:val="5B2E7F20"/>
    <w:rsid w:val="5C46174B"/>
    <w:rsid w:val="5C781657"/>
    <w:rsid w:val="5CBA1D36"/>
    <w:rsid w:val="5D307EFB"/>
    <w:rsid w:val="5D942597"/>
    <w:rsid w:val="5DCB6DD4"/>
    <w:rsid w:val="5DDD5997"/>
    <w:rsid w:val="5DDE7CA6"/>
    <w:rsid w:val="5EC51967"/>
    <w:rsid w:val="5EEF1188"/>
    <w:rsid w:val="5EFB1046"/>
    <w:rsid w:val="5F13397F"/>
    <w:rsid w:val="5F304531"/>
    <w:rsid w:val="5F3E598F"/>
    <w:rsid w:val="5F7F5B76"/>
    <w:rsid w:val="5F9E07E1"/>
    <w:rsid w:val="60217911"/>
    <w:rsid w:val="60570CFE"/>
    <w:rsid w:val="60805DB4"/>
    <w:rsid w:val="60B414A2"/>
    <w:rsid w:val="60E60A94"/>
    <w:rsid w:val="613926B5"/>
    <w:rsid w:val="61A44D62"/>
    <w:rsid w:val="61CD7A93"/>
    <w:rsid w:val="61CF012A"/>
    <w:rsid w:val="61D562CA"/>
    <w:rsid w:val="6243457B"/>
    <w:rsid w:val="62466CE8"/>
    <w:rsid w:val="62B47F03"/>
    <w:rsid w:val="62BB2173"/>
    <w:rsid w:val="6307250B"/>
    <w:rsid w:val="63133F4E"/>
    <w:rsid w:val="632C2E62"/>
    <w:rsid w:val="63A23524"/>
    <w:rsid w:val="64EF4296"/>
    <w:rsid w:val="654B3E73"/>
    <w:rsid w:val="65A43DE1"/>
    <w:rsid w:val="66C335AB"/>
    <w:rsid w:val="670815C7"/>
    <w:rsid w:val="67B77544"/>
    <w:rsid w:val="67C91DE0"/>
    <w:rsid w:val="681D537C"/>
    <w:rsid w:val="682A747C"/>
    <w:rsid w:val="682D2963"/>
    <w:rsid w:val="686F7BAE"/>
    <w:rsid w:val="68AF64C7"/>
    <w:rsid w:val="692F54EF"/>
    <w:rsid w:val="69966FC3"/>
    <w:rsid w:val="69BE7A7D"/>
    <w:rsid w:val="69CD2D06"/>
    <w:rsid w:val="6A2932E0"/>
    <w:rsid w:val="6A832EF5"/>
    <w:rsid w:val="6AAA7F05"/>
    <w:rsid w:val="6AAE27AE"/>
    <w:rsid w:val="6AEF34F2"/>
    <w:rsid w:val="6BD65887"/>
    <w:rsid w:val="6C564F9A"/>
    <w:rsid w:val="6C7D1B5B"/>
    <w:rsid w:val="6C846928"/>
    <w:rsid w:val="6CAD5413"/>
    <w:rsid w:val="6CB26586"/>
    <w:rsid w:val="6D274DA7"/>
    <w:rsid w:val="6D3C5791"/>
    <w:rsid w:val="6D5A5D50"/>
    <w:rsid w:val="6DE0074F"/>
    <w:rsid w:val="6DEB6B12"/>
    <w:rsid w:val="6E02688E"/>
    <w:rsid w:val="6E550418"/>
    <w:rsid w:val="6E560B0F"/>
    <w:rsid w:val="6EAF58DB"/>
    <w:rsid w:val="6EF74724"/>
    <w:rsid w:val="6EFF47BA"/>
    <w:rsid w:val="6F394D3C"/>
    <w:rsid w:val="6F657F39"/>
    <w:rsid w:val="6F6E3FD1"/>
    <w:rsid w:val="6F705600"/>
    <w:rsid w:val="6FC445FC"/>
    <w:rsid w:val="6FD61F1E"/>
    <w:rsid w:val="6FF46C64"/>
    <w:rsid w:val="70544BEF"/>
    <w:rsid w:val="708C17E3"/>
    <w:rsid w:val="70D24CB2"/>
    <w:rsid w:val="714B060F"/>
    <w:rsid w:val="71B27028"/>
    <w:rsid w:val="724B2FD5"/>
    <w:rsid w:val="724F0D1A"/>
    <w:rsid w:val="72774C9A"/>
    <w:rsid w:val="727C1767"/>
    <w:rsid w:val="72B86D8A"/>
    <w:rsid w:val="72C65FB9"/>
    <w:rsid w:val="72F86CBC"/>
    <w:rsid w:val="73C80D84"/>
    <w:rsid w:val="73F90F3E"/>
    <w:rsid w:val="740B7313"/>
    <w:rsid w:val="746F0F41"/>
    <w:rsid w:val="74A5181A"/>
    <w:rsid w:val="74AF784E"/>
    <w:rsid w:val="74B80DF9"/>
    <w:rsid w:val="74C657DF"/>
    <w:rsid w:val="75091655"/>
    <w:rsid w:val="751C3136"/>
    <w:rsid w:val="75F05E6C"/>
    <w:rsid w:val="76150602"/>
    <w:rsid w:val="761738FD"/>
    <w:rsid w:val="767A3729"/>
    <w:rsid w:val="7695679F"/>
    <w:rsid w:val="76D249F1"/>
    <w:rsid w:val="76D96E05"/>
    <w:rsid w:val="76FC7D28"/>
    <w:rsid w:val="77992DA9"/>
    <w:rsid w:val="782446B8"/>
    <w:rsid w:val="78532FC3"/>
    <w:rsid w:val="78E33F6B"/>
    <w:rsid w:val="78E7601E"/>
    <w:rsid w:val="78EA778B"/>
    <w:rsid w:val="78F06C72"/>
    <w:rsid w:val="79294BA1"/>
    <w:rsid w:val="7987219A"/>
    <w:rsid w:val="79C96773"/>
    <w:rsid w:val="79D61A12"/>
    <w:rsid w:val="7A195E96"/>
    <w:rsid w:val="7A3945A5"/>
    <w:rsid w:val="7AA33F18"/>
    <w:rsid w:val="7AB14D88"/>
    <w:rsid w:val="7ADF7B23"/>
    <w:rsid w:val="7B191EC6"/>
    <w:rsid w:val="7B6A44CF"/>
    <w:rsid w:val="7B825CBD"/>
    <w:rsid w:val="7BE10C35"/>
    <w:rsid w:val="7BEE3352"/>
    <w:rsid w:val="7C663B77"/>
    <w:rsid w:val="7C7535FD"/>
    <w:rsid w:val="7C7E6484"/>
    <w:rsid w:val="7C7F518D"/>
    <w:rsid w:val="7CCB0AFF"/>
    <w:rsid w:val="7D1512CD"/>
    <w:rsid w:val="7D254B52"/>
    <w:rsid w:val="7D282312"/>
    <w:rsid w:val="7DC26844"/>
    <w:rsid w:val="7E152E18"/>
    <w:rsid w:val="7E17693C"/>
    <w:rsid w:val="7E696DF4"/>
    <w:rsid w:val="7EBC6E92"/>
    <w:rsid w:val="7ED22AB7"/>
    <w:rsid w:val="7ED71E7C"/>
    <w:rsid w:val="7F1B7FBA"/>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adjustRightInd w:val="0"/>
      <w:snapToGrid w:val="0"/>
      <w:spacing w:line="440" w:lineRule="atLeast"/>
      <w:ind w:firstLine="573"/>
    </w:pPr>
    <w:rPr>
      <w:rFonts w:ascii="宋体"/>
    </w:rPr>
  </w:style>
  <w:style w:type="paragraph" w:styleId="5">
    <w:name w:val="List Number"/>
    <w:basedOn w:val="1"/>
    <w:autoRedefine/>
    <w:qFormat/>
    <w:uiPriority w:val="0"/>
    <w:pPr>
      <w:numPr>
        <w:ilvl w:val="0"/>
        <w:numId w:val="1"/>
      </w:numPr>
    </w:pPr>
  </w:style>
  <w:style w:type="paragraph" w:styleId="6">
    <w:name w:val="toa heading"/>
    <w:basedOn w:val="1"/>
    <w:next w:val="1"/>
    <w:autoRedefine/>
    <w:qFormat/>
    <w:uiPriority w:val="0"/>
    <w:pPr>
      <w:spacing w:before="120"/>
    </w:pPr>
    <w:rPr>
      <w:rFonts w:ascii="Arial" w:hAnsi="Arial" w:cs="Arial"/>
    </w:rPr>
  </w:style>
  <w:style w:type="paragraph" w:styleId="7">
    <w:name w:val="Body Text"/>
    <w:basedOn w:val="1"/>
    <w:next w:val="1"/>
    <w:autoRedefine/>
    <w:qFormat/>
    <w:uiPriority w:val="0"/>
    <w:pPr>
      <w:ind w:left="120"/>
    </w:pPr>
    <w:rPr>
      <w:rFonts w:ascii="宋体" w:hAnsi="宋体"/>
      <w:sz w:val="32"/>
      <w:szCs w:val="32"/>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6"/>
    <w:basedOn w:val="1"/>
    <w:next w:val="1"/>
    <w:autoRedefine/>
    <w:qFormat/>
    <w:uiPriority w:val="0"/>
    <w:pPr>
      <w:ind w:left="2100"/>
    </w:pPr>
    <w:rPr>
      <w:rFonts w:ascii="楷体_GB2312" w:hAnsi="Calibri" w:eastAsia="楷体_GB2312"/>
    </w:rPr>
  </w:style>
  <w:style w:type="paragraph" w:styleId="13">
    <w:name w:val="table of figures"/>
    <w:basedOn w:val="1"/>
    <w:next w:val="1"/>
    <w:autoRedefine/>
    <w:qFormat/>
    <w:uiPriority w:val="0"/>
    <w:pPr>
      <w:ind w:left="200" w:leftChars="200" w:hanging="200" w:hanging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next w:val="1"/>
    <w:autoRedefine/>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简单回函地址"/>
    <w:basedOn w:val="1"/>
    <w:next w:val="21"/>
    <w:autoRedefine/>
    <w:qFormat/>
    <w:uiPriority w:val="0"/>
    <w:rPr>
      <w:szCs w:val="20"/>
    </w:rPr>
  </w:style>
  <w:style w:type="paragraph" w:customStyle="1" w:styleId="2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customStyle="1" w:styleId="22">
    <w:name w:val="常用样式（方正仿宋简）"/>
    <w:basedOn w:val="23"/>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3">
    <w:name w:val="正文1"/>
    <w:next w:val="2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_Style 2"/>
    <w:basedOn w:val="1"/>
    <w:autoRedefine/>
    <w:qFormat/>
    <w:uiPriority w:val="34"/>
    <w:pPr>
      <w:ind w:firstLine="420" w:firstLineChars="200"/>
    </w:pPr>
  </w:style>
  <w:style w:type="paragraph" w:customStyle="1" w:styleId="25">
    <w:name w:val="正文文本1"/>
    <w:basedOn w:val="23"/>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8">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font21"/>
    <w:basedOn w:val="18"/>
    <w:autoRedefine/>
    <w:qFormat/>
    <w:uiPriority w:val="0"/>
    <w:rPr>
      <w:rFonts w:hint="eastAsia" w:ascii="宋体" w:hAnsi="宋体" w:eastAsia="宋体" w:cs="宋体"/>
      <w:color w:val="000000"/>
      <w:sz w:val="20"/>
      <w:szCs w:val="20"/>
      <w:u w:val="none"/>
    </w:rPr>
  </w:style>
  <w:style w:type="paragraph" w:customStyle="1" w:styleId="30">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1">
    <w:name w:val="font71"/>
    <w:basedOn w:val="18"/>
    <w:autoRedefine/>
    <w:qFormat/>
    <w:uiPriority w:val="0"/>
    <w:rPr>
      <w:rFonts w:hint="eastAsia" w:ascii="宋体" w:hAnsi="宋体" w:eastAsia="宋体" w:cs="宋体"/>
      <w:color w:val="000000"/>
      <w:sz w:val="22"/>
      <w:szCs w:val="22"/>
      <w:u w:val="none"/>
    </w:rPr>
  </w:style>
  <w:style w:type="paragraph" w:customStyle="1" w:styleId="3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3">
    <w:name w:val="List Paragraph"/>
    <w:basedOn w:val="1"/>
    <w:autoRedefine/>
    <w:qFormat/>
    <w:uiPriority w:val="99"/>
    <w:pPr>
      <w:ind w:firstLine="420" w:firstLineChars="200"/>
    </w:pPr>
  </w:style>
  <w:style w:type="character" w:customStyle="1" w:styleId="34">
    <w:name w:val="font01"/>
    <w:basedOn w:val="18"/>
    <w:autoRedefine/>
    <w:qFormat/>
    <w:uiPriority w:val="0"/>
    <w:rPr>
      <w:rFonts w:hint="eastAsia" w:ascii="宋体" w:hAnsi="宋体" w:eastAsia="宋体" w:cs="宋体"/>
      <w:color w:val="000000"/>
      <w:sz w:val="16"/>
      <w:szCs w:val="16"/>
      <w:u w:val="none"/>
    </w:rPr>
  </w:style>
  <w:style w:type="paragraph" w:customStyle="1" w:styleId="35">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6">
    <w:name w:val="font11"/>
    <w:autoRedefine/>
    <w:qFormat/>
    <w:uiPriority w:val="0"/>
    <w:rPr>
      <w:rFonts w:ascii="宋体" w:eastAsia="宋体" w:cs="宋体"/>
      <w:color w:val="000000"/>
      <w:sz w:val="22"/>
      <w:szCs w:val="22"/>
      <w:u w:val="none"/>
      <w:lang w:bidi="ar-SA"/>
    </w:rPr>
  </w:style>
  <w:style w:type="paragraph" w:customStyle="1" w:styleId="37">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1913</Words>
  <Characters>1984</Characters>
  <Lines>0</Lines>
  <Paragraphs>0</Paragraphs>
  <TotalTime>7</TotalTime>
  <ScaleCrop>false</ScaleCrop>
  <LinksUpToDate>false</LinksUpToDate>
  <CharactersWithSpaces>1993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2025-01-15T01:52:55Z</cp:lastPrinted>
  <dcterms:modified xsi:type="dcterms:W3CDTF">2025-01-15T01:58:09Z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770FC33594934BA7A1849BCD676E20C8_13</vt:lpwstr>
  </property>
  <property fmtid="{D5CDD505-2E9C-101B-9397-08002B2CF9AE}" pid="4" name="KSOTemplateDocerSaveRecord">
    <vt:lpwstr>eyJoZGlkIjoiZjYzYTcyMTA2YTEzZjlmODNjMTcyZWQ1ZGZhOGJjMzQiLCJ1c2VySWQiOiIzNDIwNTM2NzcifQ==</vt:lpwstr>
  </property>
</Properties>
</file>