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CDA1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21CD996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0BBBAD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p>
    <w:p w14:paraId="40CC08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p>
    <w:p w14:paraId="6FAEAE6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p>
    <w:p w14:paraId="4ED13E0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遂宁市安全生产领域</w:t>
      </w:r>
    </w:p>
    <w:p w14:paraId="201F79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“双随机、一公开”抽查事项清单</w:t>
      </w:r>
    </w:p>
    <w:p w14:paraId="1E7AE2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44"/>
          <w:szCs w:val="44"/>
          <w:lang w:val="en-US" w:eastAsia="zh-CN"/>
        </w:rPr>
      </w:pPr>
    </w:p>
    <w:p w14:paraId="3C8F52F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5A23099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35C0EC8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363667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0AB5FF7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4FA075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58D695E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6C6F5F9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14:paraId="4FF8C4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32"/>
          <w:szCs w:val="32"/>
          <w:lang w:val="en-US" w:eastAsia="zh-CN"/>
        </w:rPr>
      </w:pPr>
      <w:r>
        <w:rPr>
          <w:rFonts w:hint="default" w:ascii="方正小标宋简体" w:hAnsi="方正小标宋简体" w:eastAsia="方正小标宋简体" w:cs="方正小标宋简体"/>
          <w:sz w:val="32"/>
          <w:szCs w:val="32"/>
          <w:lang w:val="en-US" w:eastAsia="zh-CN"/>
        </w:rPr>
        <w:t>遂宁市应急管理局</w:t>
      </w:r>
    </w:p>
    <w:p w14:paraId="5F4D73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z w:val="32"/>
          <w:szCs w:val="32"/>
          <w:lang w:val="en-US" w:eastAsia="zh-CN"/>
        </w:rPr>
      </w:pPr>
      <w:r>
        <w:rPr>
          <w:rFonts w:hint="default" w:ascii="方正小标宋简体" w:hAnsi="方正小标宋简体" w:eastAsia="方正小标宋简体" w:cs="方正小标宋简体"/>
          <w:sz w:val="32"/>
          <w:szCs w:val="32"/>
          <w:lang w:val="en-US" w:eastAsia="zh-CN"/>
        </w:rPr>
        <w:t>2021年</w:t>
      </w:r>
    </w:p>
    <w:p w14:paraId="28AD977F">
      <w:pPr>
        <w:pStyle w:val="2"/>
        <w:rPr>
          <w:rFonts w:hint="default" w:ascii="方正小标宋简体" w:hAnsi="方正小标宋简体" w:eastAsia="方正小标宋简体" w:cs="方正小标宋简体"/>
          <w:sz w:val="44"/>
          <w:szCs w:val="44"/>
          <w:lang w:val="en-US" w:eastAsia="zh-CN"/>
        </w:rPr>
      </w:pPr>
    </w:p>
    <w:p w14:paraId="137B6CED">
      <w:pPr>
        <w:rPr>
          <w:rFonts w:hint="default" w:ascii="方正小标宋简体" w:hAnsi="方正小标宋简体" w:eastAsia="方正小标宋简体" w:cs="方正小标宋简体"/>
          <w:sz w:val="44"/>
          <w:szCs w:val="44"/>
          <w:lang w:val="en-US" w:eastAsia="zh-CN"/>
        </w:rPr>
      </w:pPr>
    </w:p>
    <w:p w14:paraId="286BA1B0">
      <w:pPr>
        <w:pStyle w:val="2"/>
        <w:rPr>
          <w:rFonts w:hint="default" w:ascii="方正小标宋简体" w:hAnsi="方正小标宋简体" w:eastAsia="方正小标宋简体" w:cs="方正小标宋简体"/>
          <w:sz w:val="44"/>
          <w:szCs w:val="44"/>
          <w:lang w:val="en-US" w:eastAsia="zh-CN"/>
        </w:rPr>
      </w:pPr>
    </w:p>
    <w:p w14:paraId="32C88542">
      <w:pPr>
        <w:rPr>
          <w:rFonts w:hint="default" w:ascii="方正小标宋简体" w:hAnsi="方正小标宋简体" w:eastAsia="方正小标宋简体" w:cs="方正小标宋简体"/>
          <w:sz w:val="44"/>
          <w:szCs w:val="44"/>
          <w:lang w:val="en-US" w:eastAsia="zh-CN"/>
        </w:rPr>
      </w:pPr>
    </w:p>
    <w:p w14:paraId="4FFC84E6">
      <w:pPr>
        <w:rPr>
          <w:rFonts w:hint="default"/>
          <w:lang w:val="en-US" w:eastAsia="zh-CN"/>
        </w:rPr>
      </w:pPr>
    </w:p>
    <w:p w14:paraId="75D200DF">
      <w:pPr>
        <w:pStyle w:val="2"/>
        <w:rPr>
          <w:rFonts w:hint="eastAsia" w:ascii="仿宋_GB2312" w:hAnsi="仿宋_GB2312" w:eastAsia="仿宋_GB2312" w:cs="仿宋_GB2312"/>
          <w:sz w:val="32"/>
          <w:szCs w:val="32"/>
          <w:lang w:val="en-US" w:eastAsia="zh-CN"/>
        </w:rPr>
      </w:pPr>
    </w:p>
    <w:sdt>
      <w:sdtPr>
        <w:rPr>
          <w:rFonts w:hint="eastAsia" w:ascii="仿宋_GB2312" w:hAnsi="仿宋_GB2312" w:eastAsia="仿宋_GB2312" w:cs="仿宋_GB2312"/>
          <w:color w:val="000000" w:themeColor="text1"/>
          <w:sz w:val="32"/>
          <w:szCs w:val="32"/>
          <w14:textFill>
            <w14:solidFill>
              <w14:schemeClr w14:val="tx1"/>
            </w14:solidFill>
          </w14:textFill>
        </w:rPr>
        <w:id w:val="147458556"/>
        <w:docPartObj>
          <w:docPartGallery w:val="Table of Contents"/>
          <w:docPartUnique/>
        </w:docPartObj>
      </w:sdtPr>
      <w:sdtEndPr>
        <w:rPr>
          <w:rFonts w:hint="eastAsia" w:ascii="Times New Roman" w:hAnsi="Times New Roman" w:eastAsia="仿宋_GB2312" w:cs="仿宋_GB2312"/>
          <w:color w:val="000000" w:themeColor="text1"/>
          <w:sz w:val="18"/>
          <w:szCs w:val="18"/>
          <w14:textFill>
            <w14:solidFill>
              <w14:schemeClr w14:val="tx1"/>
            </w14:solidFill>
          </w14:textFill>
        </w:rPr>
      </w:sdtEndPr>
      <w:sdtContent>
        <w:p w14:paraId="37744C11">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目录</w:t>
          </w:r>
        </w:p>
        <w:p w14:paraId="22ECFCA0">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TOC \o "1-1" \h \u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_Toc31771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安全生产监督检查综合事项检查清单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_Toc31771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07DB2D66">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_Toc11118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煤矿企业检查清单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_Toc11118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1AEA0E58">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_Toc18330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危险化学品生产经营企业检查清单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_Toc18330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- 264 -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75739E21">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_Toc13913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金属非金属地下矿山检查清单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- 356 -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752BF448">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_Toc6981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金属非金属露天矿山重点检查清单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_Toc6981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- 481 -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7A2483BE">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_Toc10291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尾矿库检查清单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_Toc10291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- 536 -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2B361672">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_Toc8389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烟花爆竹生产企业检查清单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_Toc8389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- 730 -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293BB8D6">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_Toc8623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烟花爆竹经营企业检查清单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_Toc8623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- 777 -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70EB2678">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_Toc17664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冶金企业检查清单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_Toc17664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- 809 -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1B5551C6">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_Toc30484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粉尘涉爆企业重点检查清单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_Toc30484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- 845 -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2F9A0BBF">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_Toc8755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存在有限空间作业企业重点检查清单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- 885 -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3A20110C">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_Toc23666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液氨制冷企业检查清单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_Toc23666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- 918 -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74605B11">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_Toc15315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机械企业重点检查清单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_Toc15315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- 949 -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12C391DB">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_Toc28808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纺织企业检查清单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- 975 -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1C268D35">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_Toc8786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建材企业检查清单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- 1008 -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3BBEE64E">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_Toc997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轻工企业重点检查清单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- 1034 -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5DAC9272">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_Toc1604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有色企业检查清单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- 1058 -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p w14:paraId="2EE40C5B">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_Toc9740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烟草企业检查清单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_Toc9740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1089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sz w:val="32"/>
              <w:szCs w:val="32"/>
            </w:rPr>
            <w:t>-</w:t>
          </w:r>
        </w:p>
        <w:p w14:paraId="0575D23A">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_Toc15737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粮食仓储企业检查清单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_Toc15737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1099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sz w:val="32"/>
              <w:szCs w:val="32"/>
            </w:rPr>
            <w:t>-</w:t>
          </w:r>
        </w:p>
        <w:p w14:paraId="6009FEFF">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_Toc4247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安全培训及安全评价机构检测检验机构检查清单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_Toc4247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sz w:val="32"/>
              <w:szCs w:val="32"/>
            </w:rPr>
            <w:t>-</w:t>
          </w:r>
        </w:p>
        <w:p w14:paraId="491A0EC5">
          <w:pPr>
            <w:pStyle w:val="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sz w:val="32"/>
              <w:szCs w:val="32"/>
            </w:rPr>
            <w:instrText xml:space="preserve"> HYPERLINK \l _Toc4604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安全生产应急管理检查清单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_Toc4604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1154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000000" w:themeColor="text1"/>
              <w:sz w:val="32"/>
              <w:szCs w:val="32"/>
              <w14:textFill>
                <w14:solidFill>
                  <w14:schemeClr w14:val="tx1"/>
                </w14:solidFill>
              </w14:textFill>
            </w:rPr>
            <w:fldChar w:fldCharType="end"/>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sz w:val="32"/>
              <w:szCs w:val="32"/>
            </w:rPr>
            <w:t>-</w:t>
          </w:r>
        </w:p>
        <w:p w14:paraId="79F92B06">
          <w:pPr>
            <w:rPr>
              <w:rFonts w:ascii="Times New Roman" w:hAnsi="Times New Roman"/>
              <w:color w:val="000000" w:themeColor="text1"/>
              <w:sz w:val="18"/>
              <w:szCs w:val="18"/>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fldChar w:fldCharType="end"/>
          </w:r>
        </w:p>
      </w:sdtContent>
    </w:sdt>
    <w:p w14:paraId="32EB0B3A">
      <w:pPr>
        <w:pStyle w:val="2"/>
        <w:rPr>
          <w:rFonts w:hint="default"/>
          <w:lang w:val="en-US" w:eastAsia="zh-CN"/>
        </w:rPr>
        <w:sectPr>
          <w:pgSz w:w="11906" w:h="16838"/>
          <w:pgMar w:top="1440" w:right="1800" w:bottom="1440" w:left="1800" w:header="851" w:footer="992" w:gutter="0"/>
          <w:cols w:space="425" w:num="1"/>
          <w:docGrid w:type="lines" w:linePitch="312" w:charSpace="0"/>
        </w:sectPr>
      </w:pPr>
    </w:p>
    <w:p w14:paraId="77D8B28A">
      <w:pPr>
        <w:pStyle w:val="3"/>
        <w:spacing w:line="240" w:lineRule="auto"/>
        <w:jc w:val="center"/>
        <w:rPr>
          <w:rFonts w:hint="eastAsia" w:ascii="仿宋_GB2312" w:hAnsi="仿宋_GB2312" w:eastAsia="仿宋_GB2312" w:cs="仿宋_GB2312"/>
          <w:sz w:val="32"/>
          <w:szCs w:val="32"/>
        </w:rPr>
      </w:pPr>
      <w:bookmarkStart w:id="0" w:name="_Toc31771"/>
      <w:r>
        <w:rPr>
          <w:rFonts w:hint="eastAsia" w:ascii="仿宋_GB2312" w:hAnsi="仿宋_GB2312" w:eastAsia="仿宋_GB2312" w:cs="仿宋_GB2312"/>
          <w:sz w:val="32"/>
          <w:szCs w:val="32"/>
        </w:rPr>
        <w:t>安全生产监督检查综合事项检查清单</w:t>
      </w:r>
      <w:bookmarkEnd w:id="0"/>
    </w:p>
    <w:tbl>
      <w:tblPr>
        <w:tblStyle w:val="8"/>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6"/>
        <w:gridCol w:w="950"/>
        <w:gridCol w:w="951"/>
        <w:gridCol w:w="3899"/>
        <w:gridCol w:w="3899"/>
        <w:gridCol w:w="3899"/>
        <w:gridCol w:w="951"/>
      </w:tblGrid>
      <w:tr w14:paraId="5E57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73" w:hRule="atLeast"/>
          <w:tblHeader/>
          <w:jc w:val="center"/>
        </w:trPr>
        <w:tc>
          <w:tcPr>
            <w:tcW w:w="616" w:type="dxa"/>
            <w:vAlign w:val="center"/>
          </w:tcPr>
          <w:p w14:paraId="0A07BFBB">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序号</w:t>
            </w:r>
          </w:p>
        </w:tc>
        <w:tc>
          <w:tcPr>
            <w:tcW w:w="950" w:type="dxa"/>
            <w:vAlign w:val="center"/>
          </w:tcPr>
          <w:p w14:paraId="4ED9DC4D">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检查事项</w:t>
            </w:r>
          </w:p>
        </w:tc>
        <w:tc>
          <w:tcPr>
            <w:tcW w:w="951" w:type="dxa"/>
            <w:vAlign w:val="center"/>
          </w:tcPr>
          <w:p w14:paraId="02C396F4">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检查内容</w:t>
            </w:r>
          </w:p>
        </w:tc>
        <w:tc>
          <w:tcPr>
            <w:tcW w:w="3899" w:type="dxa"/>
            <w:vAlign w:val="center"/>
          </w:tcPr>
          <w:p w14:paraId="51143AB3">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检查依据</w:t>
            </w:r>
          </w:p>
        </w:tc>
        <w:tc>
          <w:tcPr>
            <w:tcW w:w="3899" w:type="dxa"/>
            <w:vAlign w:val="center"/>
          </w:tcPr>
          <w:p w14:paraId="20FF1652">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主要证据</w:t>
            </w:r>
          </w:p>
        </w:tc>
        <w:tc>
          <w:tcPr>
            <w:tcW w:w="3899" w:type="dxa"/>
            <w:vAlign w:val="center"/>
          </w:tcPr>
          <w:p w14:paraId="6B0DDB2F">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法律责任</w:t>
            </w:r>
          </w:p>
        </w:tc>
        <w:tc>
          <w:tcPr>
            <w:tcW w:w="951" w:type="dxa"/>
            <w:vAlign w:val="center"/>
          </w:tcPr>
          <w:p w14:paraId="0F57222D">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检查结果</w:t>
            </w:r>
          </w:p>
        </w:tc>
      </w:tr>
      <w:tr w14:paraId="6C90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Merge w:val="restart"/>
            <w:vAlign w:val="center"/>
          </w:tcPr>
          <w:p w14:paraId="18CC8D3F">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p>
        </w:tc>
        <w:tc>
          <w:tcPr>
            <w:tcW w:w="950" w:type="dxa"/>
            <w:vMerge w:val="restart"/>
            <w:vAlign w:val="center"/>
          </w:tcPr>
          <w:p w14:paraId="208E577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履行职责情况</w:t>
            </w:r>
          </w:p>
        </w:tc>
        <w:tc>
          <w:tcPr>
            <w:tcW w:w="951" w:type="dxa"/>
            <w:vAlign w:val="center"/>
          </w:tcPr>
          <w:p w14:paraId="73B5F1C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1.1主要负责人履行对本单位安全生产工作职责</w:t>
            </w:r>
          </w:p>
        </w:tc>
        <w:tc>
          <w:tcPr>
            <w:tcW w:w="3899" w:type="dxa"/>
            <w:vAlign w:val="center"/>
          </w:tcPr>
          <w:p w14:paraId="4AAC29D0">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《中华人民共和国安全生产法》第二十一条</w:t>
            </w:r>
            <w:r>
              <w:rPr>
                <w:rFonts w:hint="eastAsia" w:ascii="仿宋_GB2312" w:hAnsi="仿宋_GB2312" w:eastAsia="仿宋_GB2312" w:cs="仿宋_GB2312"/>
                <w:color w:val="auto"/>
                <w:sz w:val="32"/>
                <w:szCs w:val="32"/>
              </w:rPr>
              <w:t xml:space="preserve">  生产经营单位的主要负责人对本单位安全生产工作负有下列职责：</w:t>
            </w:r>
          </w:p>
          <w:p w14:paraId="637C867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（一）建立健全并落实本单位全员安全生产责任制，加强安全生产标准化建设；</w:t>
            </w:r>
          </w:p>
          <w:p w14:paraId="2FBAF4D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（二）组织制定并实施本单位安全生产规章制度和操作规程；</w:t>
            </w:r>
          </w:p>
          <w:p w14:paraId="6665F6A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（三）组织制定并实施本单位安全生产教育和培训计划；</w:t>
            </w:r>
          </w:p>
          <w:p w14:paraId="7712992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（四）保证本单位安全生产投入的有效实施；</w:t>
            </w:r>
          </w:p>
          <w:p w14:paraId="40810DD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（五）组织建立并落实安全风险分级管控和隐患排查治理双重预防工作机制，督促、检查本单位的安全生产工作，及时消除生产安全事故隐患；</w:t>
            </w:r>
          </w:p>
          <w:p w14:paraId="2301237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（六）组织制定并实施本单位的生产安全事故应急救援预案；</w:t>
            </w:r>
          </w:p>
          <w:p w14:paraId="0F6D15CA">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（七）及时、如实报告生产安全事故</w:t>
            </w:r>
            <w:r>
              <w:rPr>
                <w:rFonts w:hint="eastAsia" w:ascii="仿宋_GB2312" w:hAnsi="仿宋_GB2312" w:eastAsia="仿宋_GB2312" w:cs="仿宋_GB2312"/>
                <w:color w:val="auto"/>
                <w:kern w:val="0"/>
                <w:sz w:val="32"/>
                <w:szCs w:val="32"/>
              </w:rPr>
              <w:t>。</w:t>
            </w:r>
          </w:p>
        </w:tc>
        <w:tc>
          <w:tcPr>
            <w:tcW w:w="3899" w:type="dxa"/>
            <w:vAlign w:val="center"/>
          </w:tcPr>
          <w:p w14:paraId="2939FD3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73B6CBB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2655FB9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（3）责任制、规章制度和操作规程等资料；</w:t>
            </w:r>
          </w:p>
          <w:p w14:paraId="375CC49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（4）教育培训计划及培训档案等资料；</w:t>
            </w:r>
          </w:p>
          <w:p w14:paraId="6AD912E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（5）年度安全费用使用计划，上一年度安全费用的提取、使用等相关资料；</w:t>
            </w:r>
          </w:p>
          <w:p w14:paraId="5B45040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（6）主要负责人</w:t>
            </w:r>
            <w:r>
              <w:rPr>
                <w:rFonts w:hint="eastAsia" w:ascii="仿宋_GB2312" w:hAnsi="仿宋_GB2312" w:eastAsia="仿宋_GB2312" w:cs="仿宋_GB2312"/>
                <w:color w:val="auto"/>
                <w:kern w:val="0"/>
                <w:sz w:val="32"/>
                <w:szCs w:val="32"/>
              </w:rPr>
              <w:t>督促、检查本单位的安全生产工作</w:t>
            </w:r>
            <w:r>
              <w:rPr>
                <w:rFonts w:hint="eastAsia" w:ascii="仿宋_GB2312" w:hAnsi="仿宋_GB2312" w:eastAsia="仿宋_GB2312" w:cs="仿宋_GB2312"/>
                <w:color w:val="auto"/>
                <w:sz w:val="32"/>
                <w:szCs w:val="32"/>
              </w:rPr>
              <w:t>记录；</w:t>
            </w:r>
          </w:p>
          <w:p w14:paraId="46FCD3D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（7）生产安全事故应急救援预案及演练记录等相关资料；</w:t>
            </w:r>
          </w:p>
          <w:p w14:paraId="63DBC5B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（8）报告事故的资料；</w:t>
            </w:r>
          </w:p>
          <w:p w14:paraId="73D7FE4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（9）《现场检查记录》《责令限期整改指令书》等相关执法文书；</w:t>
            </w:r>
          </w:p>
          <w:p w14:paraId="26886460">
            <w:pPr>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（10）</w:t>
            </w:r>
            <w:r>
              <w:rPr>
                <w:rFonts w:hint="eastAsia" w:ascii="仿宋_GB2312" w:hAnsi="仿宋_GB2312" w:eastAsia="仿宋_GB2312" w:cs="仿宋_GB2312"/>
                <w:bCs/>
                <w:color w:val="auto"/>
                <w:sz w:val="32"/>
                <w:szCs w:val="32"/>
              </w:rPr>
              <w:t>相关人员任职文件、身份证明及其询问笔录；</w:t>
            </w:r>
          </w:p>
          <w:p w14:paraId="2713A192">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（11）其他相关证据。</w:t>
            </w:r>
          </w:p>
        </w:tc>
        <w:tc>
          <w:tcPr>
            <w:tcW w:w="3899" w:type="dxa"/>
            <w:vAlign w:val="center"/>
          </w:tcPr>
          <w:p w14:paraId="23CC6FFA">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第九十四</w:t>
            </w:r>
            <w:r>
              <w:rPr>
                <w:rFonts w:hint="eastAsia" w:ascii="仿宋_GB2312" w:hAnsi="仿宋_GB2312" w:eastAsia="仿宋_GB2312" w:cs="仿宋_GB2312"/>
                <w:color w:val="auto"/>
                <w:sz w:val="32"/>
                <w:szCs w:val="32"/>
              </w:rPr>
              <w:t>条  生产经营单位的主要负责人未履行本法规定的安全生产管理职责的，责令限期改正，处二万元以上五万元以下的罚款；逾期未改正的，处五万元以上十万元以下的罚款，责令生产经营单位停产停业整顿。</w:t>
            </w:r>
          </w:p>
          <w:p w14:paraId="2F52666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生产经营单位的主要负责人有前款违法行为，导致发生生产安全事故的，给予撤职处分；构成犯罪的，依照刑法有关规定追究刑事责任。</w:t>
            </w:r>
          </w:p>
          <w:p w14:paraId="759BDBB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7E59F54C">
            <w:pPr>
              <w:widowControl/>
              <w:adjustRightInd w:val="0"/>
              <w:snapToGrid w:val="0"/>
              <w:rPr>
                <w:rFonts w:hint="eastAsia" w:ascii="仿宋_GB2312" w:hAnsi="仿宋_GB2312" w:eastAsia="仿宋_GB2312" w:cs="仿宋_GB2312"/>
                <w:color w:val="auto"/>
                <w:kern w:val="0"/>
                <w:sz w:val="32"/>
                <w:szCs w:val="32"/>
              </w:rPr>
            </w:pPr>
          </w:p>
        </w:tc>
        <w:tc>
          <w:tcPr>
            <w:tcW w:w="951" w:type="dxa"/>
          </w:tcPr>
          <w:p w14:paraId="05A80479">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82B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Merge w:val="continue"/>
            <w:vAlign w:val="center"/>
          </w:tcPr>
          <w:p w14:paraId="66F4A565">
            <w:pPr>
              <w:widowControl/>
              <w:adjustRightInd w:val="0"/>
              <w:snapToGrid w:val="0"/>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228A774D">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393809F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w:t>
            </w:r>
            <w:r>
              <w:rPr>
                <w:rFonts w:hint="eastAsia" w:ascii="仿宋_GB2312" w:hAnsi="仿宋_GB2312" w:eastAsia="仿宋_GB2312" w:cs="仿宋_GB2312"/>
                <w:color w:val="auto"/>
                <w:sz w:val="32"/>
                <w:szCs w:val="32"/>
              </w:rPr>
              <w:t>其他负责人和安全生产管理人员</w:t>
            </w:r>
            <w:r>
              <w:rPr>
                <w:rFonts w:hint="eastAsia" w:ascii="仿宋_GB2312" w:hAnsi="仿宋_GB2312" w:eastAsia="仿宋_GB2312" w:cs="仿宋_GB2312"/>
                <w:color w:val="auto"/>
                <w:kern w:val="0"/>
                <w:sz w:val="32"/>
                <w:szCs w:val="32"/>
              </w:rPr>
              <w:t>履行对本单位安全生产工作职责</w:t>
            </w:r>
          </w:p>
        </w:tc>
        <w:tc>
          <w:tcPr>
            <w:tcW w:w="3899" w:type="dxa"/>
            <w:vAlign w:val="center"/>
          </w:tcPr>
          <w:p w14:paraId="4A65D3FC">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《中华人民共和国安全生产法》第二十五条 </w:t>
            </w:r>
            <w:r>
              <w:rPr>
                <w:rFonts w:hint="eastAsia" w:ascii="仿宋_GB2312" w:hAnsi="仿宋_GB2312" w:eastAsia="仿宋_GB2312" w:cs="仿宋_GB2312"/>
                <w:color w:val="auto"/>
                <w:sz w:val="32"/>
                <w:szCs w:val="32"/>
              </w:rPr>
              <w:t>生产经营单位的安全生产管理机构以及安全生产管理人员履行下列职责：</w:t>
            </w:r>
          </w:p>
          <w:p w14:paraId="6DB53857">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（一）组织或者参与拟订本单位安全生产规章制度、操作规程和生产安全事故应急救援预案；</w:t>
            </w:r>
          </w:p>
          <w:p w14:paraId="57C523CF">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（二）组织或者参与本单位安全生产教育和培训，如实记录安全生产教育和培训情况；</w:t>
            </w:r>
          </w:p>
          <w:p w14:paraId="38A88F63">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（三）组织开展危险源辨识和评估，督促落实本单位重大危险源的安全管理措施；</w:t>
            </w:r>
          </w:p>
          <w:p w14:paraId="54C75E40">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（四）组织或者参与本单位应急救援演练；</w:t>
            </w:r>
          </w:p>
          <w:p w14:paraId="34B96939">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（五）检查本单位的安全生产状况，及时排查生产安全事故隐患，提出改进安全生产管理的建议；</w:t>
            </w:r>
          </w:p>
          <w:p w14:paraId="0E7CADED">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（六）制止和纠正违章指挥、强令冒险作业、违反操作规程的行为；</w:t>
            </w:r>
          </w:p>
          <w:p w14:paraId="6547731A">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（七）督促落实本单位安全生产整改措施。</w:t>
            </w:r>
          </w:p>
          <w:p w14:paraId="6F10DC84">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生产经营单位可以设置专职安全生产分管负责人，协助本单位主要负责人履行安全生产管理职责。</w:t>
            </w:r>
          </w:p>
          <w:p w14:paraId="1ECF74A0">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《中华人民共和国安全生产法》第二十六条第一款</w:t>
            </w:r>
            <w:r>
              <w:rPr>
                <w:rFonts w:hint="eastAsia" w:ascii="仿宋_GB2312" w:hAnsi="仿宋_GB2312" w:eastAsia="仿宋_GB2312" w:cs="仿宋_GB2312"/>
                <w:color w:val="auto"/>
                <w:sz w:val="32"/>
                <w:szCs w:val="32"/>
              </w:rPr>
              <w:t>生产经营单位的安全生产管理机构以及安全生产管理人员应当恪尽职守，依法履行职责。</w:t>
            </w:r>
          </w:p>
          <w:p w14:paraId="3CFD8742">
            <w:pPr>
              <w:widowControl/>
              <w:shd w:val="clear" w:color="auto" w:fill="FFFFFF"/>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sz w:val="32"/>
                <w:szCs w:val="32"/>
              </w:rPr>
              <w:t>生产经营单位作出涉及安全生产的经营决策，应当听取安全生产管理机构以及安全生产管理人员的意见。</w:t>
            </w:r>
          </w:p>
        </w:tc>
        <w:tc>
          <w:tcPr>
            <w:tcW w:w="3899" w:type="dxa"/>
            <w:vAlign w:val="center"/>
          </w:tcPr>
          <w:p w14:paraId="3881FA0B">
            <w:pPr>
              <w:rPr>
                <w:rFonts w:hint="eastAsia" w:ascii="仿宋_GB2312" w:hAnsi="仿宋_GB2312" w:eastAsia="仿宋_GB2312" w:cs="仿宋_GB2312"/>
                <w:color w:val="auto"/>
                <w:sz w:val="32"/>
                <w:szCs w:val="32"/>
              </w:rPr>
            </w:pPr>
          </w:p>
        </w:tc>
        <w:tc>
          <w:tcPr>
            <w:tcW w:w="3899" w:type="dxa"/>
            <w:vAlign w:val="center"/>
          </w:tcPr>
          <w:p w14:paraId="0AC4C59D">
            <w:pPr>
              <w:widowControl/>
              <w:shd w:val="clear" w:color="auto" w:fill="FFFFFF"/>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《中华人民共和国安全生产法》第九十六条</w:t>
            </w:r>
            <w:r>
              <w:rPr>
                <w:rFonts w:hint="eastAsia" w:ascii="仿宋_GB2312" w:hAnsi="仿宋_GB2312" w:eastAsia="仿宋_GB2312" w:cs="仿宋_GB2312"/>
                <w:color w:val="auto"/>
                <w:sz w:val="32"/>
                <w:szCs w:val="32"/>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951" w:type="dxa"/>
          </w:tcPr>
          <w:p w14:paraId="21F98A1C">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84E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6" w:type="dxa"/>
            <w:vMerge w:val="restart"/>
            <w:vAlign w:val="center"/>
          </w:tcPr>
          <w:p w14:paraId="22A6B745">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p>
        </w:tc>
        <w:tc>
          <w:tcPr>
            <w:tcW w:w="950" w:type="dxa"/>
            <w:vMerge w:val="restart"/>
            <w:vAlign w:val="center"/>
          </w:tcPr>
          <w:p w14:paraId="3494153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安全投入保障情况</w:t>
            </w:r>
          </w:p>
        </w:tc>
        <w:tc>
          <w:tcPr>
            <w:tcW w:w="951" w:type="dxa"/>
            <w:vAlign w:val="center"/>
          </w:tcPr>
          <w:p w14:paraId="7E81530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2.1 资金投入保障</w:t>
            </w:r>
          </w:p>
        </w:tc>
        <w:tc>
          <w:tcPr>
            <w:tcW w:w="3899" w:type="dxa"/>
            <w:vAlign w:val="center"/>
          </w:tcPr>
          <w:p w14:paraId="3F3F0330">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w:t>
            </w:r>
            <w:r>
              <w:rPr>
                <w:rFonts w:hint="eastAsia" w:ascii="仿宋_GB2312" w:hAnsi="仿宋_GB2312" w:eastAsia="仿宋_GB2312" w:cs="仿宋_GB2312"/>
                <w:b/>
                <w:color w:val="auto"/>
                <w:sz w:val="32"/>
                <w:szCs w:val="32"/>
              </w:rPr>
              <w:t>第二十三条第一款</w:t>
            </w:r>
            <w:r>
              <w:rPr>
                <w:rFonts w:hint="eastAsia" w:ascii="仿宋_GB2312" w:hAnsi="仿宋_GB2312" w:eastAsia="仿宋_GB2312" w:cs="仿宋_GB2312"/>
                <w:color w:val="auto"/>
                <w:sz w:val="32"/>
                <w:szCs w:val="32"/>
              </w:rPr>
              <w:t xml:space="preserve"> 生产经营单位应当具备的安全生产条件所必需的资金投入，由生产经营单位的决策机构、主要负责人或者个人经营的投资人予以保证，并对由于安全生产所必需的资金投入不足导致的后果承担责任。</w:t>
            </w:r>
          </w:p>
        </w:tc>
        <w:tc>
          <w:tcPr>
            <w:tcW w:w="3899" w:type="dxa"/>
            <w:vAlign w:val="center"/>
          </w:tcPr>
          <w:p w14:paraId="05B2DD1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（1）营业执照和公司章程；</w:t>
            </w:r>
          </w:p>
          <w:p w14:paraId="585DB99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2CA499E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（3）安全生产投入保障制度、年度安全费用使用计划、上一年度安全费用的提取、使用等相关资料；</w:t>
            </w:r>
          </w:p>
          <w:p w14:paraId="4EAF0AC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（4）现场核实图片或影像资料；</w:t>
            </w:r>
          </w:p>
          <w:p w14:paraId="62DB60C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（5）《现场检查记录》《责令限期整改指令书》等相关执法文书；</w:t>
            </w:r>
          </w:p>
          <w:p w14:paraId="5BDEA0F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bCs/>
                <w:color w:val="auto"/>
                <w:sz w:val="32"/>
                <w:szCs w:val="32"/>
              </w:rPr>
              <w:t>相关人员任职文件、身份证明及其询问笔录；</w:t>
            </w:r>
          </w:p>
          <w:p w14:paraId="628ADE7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（7）其他相关证据。</w:t>
            </w:r>
          </w:p>
          <w:p w14:paraId="6F6287D2">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0ED12C32">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w:t>
            </w:r>
            <w:r>
              <w:rPr>
                <w:rFonts w:hint="eastAsia" w:ascii="仿宋_GB2312" w:hAnsi="仿宋_GB2312" w:eastAsia="仿宋_GB2312" w:cs="仿宋_GB2312"/>
                <w:b/>
                <w:color w:val="auto"/>
                <w:sz w:val="32"/>
                <w:szCs w:val="32"/>
              </w:rPr>
              <w:t>第九十三条</w:t>
            </w:r>
            <w:r>
              <w:rPr>
                <w:rFonts w:hint="eastAsia" w:ascii="仿宋_GB2312" w:hAnsi="仿宋_GB2312" w:eastAsia="仿宋_GB2312" w:cs="仿宋_GB2312"/>
                <w:color w:val="auto"/>
                <w:sz w:val="32"/>
                <w:szCs w:val="32"/>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47B5F9E8">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有前款违法行为，导致发生生产安全事故的，对生产经营单位的主要负责人给予撤职处分，对个人经营的投资人处二万元以上二十万元以下的罚款；构成犯罪的，依照刑法有关规定追究刑事责任。</w:t>
            </w:r>
          </w:p>
        </w:tc>
        <w:tc>
          <w:tcPr>
            <w:tcW w:w="951" w:type="dxa"/>
          </w:tcPr>
          <w:p w14:paraId="476F3CB4">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2C1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35" w:hRule="atLeast"/>
          <w:jc w:val="center"/>
        </w:trPr>
        <w:tc>
          <w:tcPr>
            <w:tcW w:w="616" w:type="dxa"/>
            <w:vMerge w:val="continue"/>
            <w:vAlign w:val="center"/>
          </w:tcPr>
          <w:p w14:paraId="66A04240">
            <w:pPr>
              <w:widowControl/>
              <w:adjustRightInd w:val="0"/>
              <w:snapToGrid w:val="0"/>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1972A466">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1DFC6C3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2.2 安全费用提取和使用</w:t>
            </w:r>
          </w:p>
        </w:tc>
        <w:tc>
          <w:tcPr>
            <w:tcW w:w="3899" w:type="dxa"/>
            <w:vAlign w:val="center"/>
          </w:tcPr>
          <w:p w14:paraId="1EA2A062">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第二十三条第二款</w:t>
            </w:r>
            <w:r>
              <w:rPr>
                <w:rFonts w:hint="eastAsia" w:ascii="仿宋_GB2312" w:hAnsi="仿宋_GB2312" w:eastAsia="仿宋_GB2312" w:cs="仿宋_GB2312"/>
                <w:color w:val="auto"/>
                <w:sz w:val="32"/>
                <w:szCs w:val="32"/>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r>
              <w:rPr>
                <w:rFonts w:hint="eastAsia" w:ascii="仿宋_GB2312" w:hAnsi="仿宋_GB2312" w:eastAsia="仿宋_GB2312" w:cs="仿宋_GB2312"/>
                <w:color w:val="auto"/>
                <w:kern w:val="0"/>
                <w:sz w:val="32"/>
                <w:szCs w:val="32"/>
              </w:rPr>
              <w:t>（有关生产经营单位的范围及提取比例等，依照</w:t>
            </w:r>
            <w:r>
              <w:rPr>
                <w:rFonts w:hint="eastAsia" w:ascii="仿宋_GB2312" w:hAnsi="仿宋_GB2312" w:eastAsia="仿宋_GB2312" w:cs="仿宋_GB2312"/>
                <w:b/>
                <w:bCs/>
                <w:color w:val="auto"/>
                <w:kern w:val="0"/>
                <w:sz w:val="32"/>
                <w:szCs w:val="32"/>
              </w:rPr>
              <w:t>《企业安全生产费用提取和使用管理办法》（财企〔2012〕16号）</w:t>
            </w:r>
            <w:r>
              <w:rPr>
                <w:rFonts w:hint="eastAsia" w:ascii="仿宋_GB2312" w:hAnsi="仿宋_GB2312" w:eastAsia="仿宋_GB2312" w:cs="仿宋_GB2312"/>
                <w:color w:val="auto"/>
                <w:kern w:val="0"/>
                <w:sz w:val="32"/>
                <w:szCs w:val="32"/>
              </w:rPr>
              <w:t>等规定执行）</w:t>
            </w:r>
          </w:p>
        </w:tc>
        <w:tc>
          <w:tcPr>
            <w:tcW w:w="3899" w:type="dxa"/>
            <w:vAlign w:val="center"/>
          </w:tcPr>
          <w:p w14:paraId="75B7E4D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（1）营业执照和公司章程；</w:t>
            </w:r>
          </w:p>
          <w:p w14:paraId="47454F5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123CE6E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（3）安全生产投入保障制度、年度安全费用使用计划、上一年度安全费用的提取、使用等相关资料；</w:t>
            </w:r>
          </w:p>
          <w:p w14:paraId="4BED9C3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（4）《现场检查记录》《责令限期整改指令书》等相关执法文书；</w:t>
            </w:r>
          </w:p>
          <w:p w14:paraId="23DE213E">
            <w:pPr>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（5）相关人员任职文件、身份证明及其询问笔录；</w:t>
            </w:r>
          </w:p>
          <w:p w14:paraId="1D7F407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（6）其他相关证据。</w:t>
            </w:r>
          </w:p>
          <w:p w14:paraId="00E60698">
            <w:pPr>
              <w:rPr>
                <w:rFonts w:hint="eastAsia" w:ascii="仿宋_GB2312" w:hAnsi="仿宋_GB2312" w:eastAsia="仿宋_GB2312" w:cs="仿宋_GB2312"/>
                <w:color w:val="auto"/>
                <w:sz w:val="32"/>
                <w:szCs w:val="32"/>
              </w:rPr>
            </w:pPr>
          </w:p>
        </w:tc>
        <w:tc>
          <w:tcPr>
            <w:tcW w:w="3899" w:type="dxa"/>
            <w:vAlign w:val="center"/>
          </w:tcPr>
          <w:p w14:paraId="1DC61CB6">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《中华人民共和国安全生产法》第九十三条 </w:t>
            </w:r>
            <w:r>
              <w:rPr>
                <w:rFonts w:hint="eastAsia" w:ascii="仿宋_GB2312" w:hAnsi="仿宋_GB2312" w:eastAsia="仿宋_GB2312" w:cs="仿宋_GB2312"/>
                <w:color w:val="auto"/>
                <w:kern w:val="0"/>
                <w:sz w:val="32"/>
                <w:szCs w:val="32"/>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750B3C52">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有前款违法行为，导致发生生产安全事故的，对生产经营单位的主要负责人给予撤职处分，对个人经营的投资人处二万元以上二十万元以下的罚款；构成犯罪的，依照刑法有关规定追究刑事责任。</w:t>
            </w:r>
          </w:p>
          <w:p w14:paraId="2DD0E8CB">
            <w:pPr>
              <w:widowControl/>
              <w:adjustRightInd w:val="0"/>
              <w:snapToGrid w:val="0"/>
              <w:ind w:firstLine="4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《安全生产违法行为行政处罚办法》第四十三条</w:t>
            </w:r>
            <w:r>
              <w:rPr>
                <w:rFonts w:hint="eastAsia" w:ascii="仿宋_GB2312" w:hAnsi="仿宋_GB2312" w:eastAsia="仿宋_GB2312" w:cs="仿宋_GB2312"/>
                <w:color w:val="auto"/>
                <w:kern w:val="0"/>
                <w:sz w:val="32"/>
                <w:szCs w:val="32"/>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14:paraId="60DEA92A">
            <w:pPr>
              <w:widowControl/>
              <w:adjustRightInd w:val="0"/>
              <w:snapToGrid w:val="0"/>
              <w:ind w:firstLine="4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（一）提取或者使用安全生产费用；……</w:t>
            </w:r>
          </w:p>
          <w:p w14:paraId="48AD631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生产经营单位主要负责人、个人经营的投资人有前款违法行为，导致发生生产安全事故的，依照《生产安全事故罚款处罚规定（试行）》的规定给予处罚。</w:t>
            </w:r>
          </w:p>
        </w:tc>
        <w:tc>
          <w:tcPr>
            <w:tcW w:w="951" w:type="dxa"/>
          </w:tcPr>
          <w:p w14:paraId="67590633">
            <w:pPr>
              <w:widowControl/>
              <w:adjustRightInd w:val="0"/>
              <w:snapToGrid w:val="0"/>
              <w:ind w:firstLine="420"/>
              <w:rPr>
                <w:rFonts w:hint="eastAsia" w:ascii="仿宋_GB2312" w:hAnsi="仿宋_GB2312" w:eastAsia="仿宋_GB2312" w:cs="仿宋_GB2312"/>
                <w:color w:val="auto"/>
                <w:kern w:val="0"/>
                <w:sz w:val="32"/>
                <w:szCs w:val="32"/>
              </w:rPr>
            </w:pPr>
          </w:p>
        </w:tc>
      </w:tr>
      <w:tr w14:paraId="3328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56" w:hRule="atLeast"/>
          <w:jc w:val="center"/>
        </w:trPr>
        <w:tc>
          <w:tcPr>
            <w:tcW w:w="616" w:type="dxa"/>
            <w:vMerge w:val="continue"/>
            <w:vAlign w:val="center"/>
          </w:tcPr>
          <w:p w14:paraId="2E0822B6">
            <w:pPr>
              <w:widowControl/>
              <w:adjustRightInd w:val="0"/>
              <w:snapToGrid w:val="0"/>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267D495D">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374074E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2.3  劳动防护用品配备经费</w:t>
            </w:r>
          </w:p>
        </w:tc>
        <w:tc>
          <w:tcPr>
            <w:tcW w:w="3899" w:type="dxa"/>
            <w:vAlign w:val="center"/>
          </w:tcPr>
          <w:p w14:paraId="235B0E2A">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第四十七条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生产经营单位应当安排用于配备劳动防护用品、进行安全生产培训的经费。</w:t>
            </w:r>
          </w:p>
          <w:p w14:paraId="0C99C19E">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7CB2D4D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（1）营业执照和公司章程；</w:t>
            </w:r>
          </w:p>
          <w:p w14:paraId="1C6C09C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7320538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（3）安全生产投入保障制度、年度安全费用使用计划、上一年度安全费用的提取、使用等相关资料；</w:t>
            </w:r>
          </w:p>
          <w:p w14:paraId="2A64DE9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（4）《现场检查记录》《责令限期整改指令书》等相关执法文书；</w:t>
            </w:r>
          </w:p>
          <w:p w14:paraId="419B4C0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bCs/>
                <w:color w:val="auto"/>
                <w:sz w:val="32"/>
                <w:szCs w:val="32"/>
              </w:rPr>
              <w:t>相关人员任职文件、身份证明及其询问笔录；</w:t>
            </w:r>
          </w:p>
          <w:p w14:paraId="38F09AF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（6）其他相关证据。</w:t>
            </w:r>
          </w:p>
          <w:p w14:paraId="77CBB3B2">
            <w:pPr>
              <w:widowControl/>
              <w:adjustRightInd w:val="0"/>
              <w:snapToGrid w:val="0"/>
              <w:ind w:firstLine="420"/>
              <w:rPr>
                <w:rFonts w:hint="eastAsia" w:ascii="仿宋_GB2312" w:hAnsi="仿宋_GB2312" w:eastAsia="仿宋_GB2312" w:cs="仿宋_GB2312"/>
                <w:color w:val="auto"/>
                <w:kern w:val="0"/>
                <w:sz w:val="32"/>
                <w:szCs w:val="32"/>
              </w:rPr>
            </w:pPr>
          </w:p>
        </w:tc>
        <w:tc>
          <w:tcPr>
            <w:tcW w:w="3899" w:type="dxa"/>
            <w:vAlign w:val="center"/>
          </w:tcPr>
          <w:p w14:paraId="701D7107">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《中华人民共和国安全生产法》第九十三条 </w:t>
            </w:r>
            <w:r>
              <w:rPr>
                <w:rFonts w:hint="eastAsia" w:ascii="仿宋_GB2312" w:hAnsi="仿宋_GB2312" w:eastAsia="仿宋_GB2312" w:cs="仿宋_GB2312"/>
                <w:color w:val="auto"/>
                <w:kern w:val="0"/>
                <w:sz w:val="32"/>
                <w:szCs w:val="32"/>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130BC526">
            <w:pPr>
              <w:widowControl/>
              <w:shd w:val="clear" w:color="auto" w:fill="FFFFFF"/>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有前款违法行为，导致发生生产安全事故的，对生产经营单位的主要负责人给予撤职处分，对个人经营的投资人处二万元以上二十万元以下的罚款；构成犯罪的，依照刑法有关规定追究刑事责任。</w:t>
            </w:r>
          </w:p>
          <w:p w14:paraId="7B647C6D">
            <w:pPr>
              <w:widowControl/>
              <w:adjustRightInd w:val="0"/>
              <w:snapToGrid w:val="0"/>
              <w:ind w:firstLine="4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《安全生产违法行为行政处罚办法》第四十三条</w:t>
            </w:r>
            <w:r>
              <w:rPr>
                <w:rFonts w:hint="eastAsia" w:ascii="仿宋_GB2312" w:hAnsi="仿宋_GB2312" w:eastAsia="仿宋_GB2312" w:cs="仿宋_GB2312"/>
                <w:color w:val="auto"/>
                <w:kern w:val="0"/>
                <w:sz w:val="32"/>
                <w:szCs w:val="32"/>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14:paraId="260A5297">
            <w:pPr>
              <w:widowControl/>
              <w:adjustRightInd w:val="0"/>
              <w:snapToGrid w:val="0"/>
              <w:ind w:firstLine="4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415D4547">
            <w:pPr>
              <w:widowControl/>
              <w:adjustRightInd w:val="0"/>
              <w:snapToGrid w:val="0"/>
              <w:ind w:firstLine="4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（二）用于配备劳动防护用品的经费；</w:t>
            </w:r>
          </w:p>
          <w:p w14:paraId="2DF9CD55">
            <w:pPr>
              <w:widowControl/>
              <w:adjustRightInd w:val="0"/>
              <w:snapToGrid w:val="0"/>
              <w:ind w:firstLine="4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386EEC9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生产经营单位主要负责人、个人经营的投资人有前款违法行为，导致发生生产安全事故的，依照《生产安全事故罚款处罚规定（试行）》的规定给予处罚。</w:t>
            </w:r>
          </w:p>
        </w:tc>
        <w:tc>
          <w:tcPr>
            <w:tcW w:w="951" w:type="dxa"/>
          </w:tcPr>
          <w:p w14:paraId="36C29121">
            <w:pPr>
              <w:widowControl/>
              <w:adjustRightInd w:val="0"/>
              <w:snapToGrid w:val="0"/>
              <w:ind w:firstLine="420"/>
              <w:rPr>
                <w:rFonts w:hint="eastAsia" w:ascii="仿宋_GB2312" w:hAnsi="仿宋_GB2312" w:eastAsia="仿宋_GB2312" w:cs="仿宋_GB2312"/>
                <w:color w:val="auto"/>
                <w:kern w:val="0"/>
                <w:sz w:val="32"/>
                <w:szCs w:val="32"/>
              </w:rPr>
            </w:pPr>
          </w:p>
        </w:tc>
      </w:tr>
      <w:tr w14:paraId="1506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83" w:hRule="atLeast"/>
          <w:jc w:val="center"/>
        </w:trPr>
        <w:tc>
          <w:tcPr>
            <w:tcW w:w="616" w:type="dxa"/>
            <w:vMerge w:val="continue"/>
            <w:vAlign w:val="center"/>
          </w:tcPr>
          <w:p w14:paraId="320E7360">
            <w:pPr>
              <w:widowControl/>
              <w:adjustRightInd w:val="0"/>
              <w:snapToGrid w:val="0"/>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03692788">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1DCC32D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2.4  安全生产教育和培训经费</w:t>
            </w:r>
          </w:p>
        </w:tc>
        <w:tc>
          <w:tcPr>
            <w:tcW w:w="3899" w:type="dxa"/>
            <w:vAlign w:val="center"/>
          </w:tcPr>
          <w:p w14:paraId="57CE33B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第四十七条</w:t>
            </w:r>
            <w:r>
              <w:rPr>
                <w:rFonts w:hint="eastAsia" w:ascii="仿宋_GB2312" w:hAnsi="仿宋_GB2312" w:eastAsia="仿宋_GB2312" w:cs="仿宋_GB2312"/>
                <w:color w:val="auto"/>
                <w:kern w:val="0"/>
                <w:sz w:val="32"/>
                <w:szCs w:val="32"/>
              </w:rPr>
              <w:t>生产经营单位应当安排用于配备劳动防护用品、进行安全生产培训的经费。</w:t>
            </w:r>
          </w:p>
        </w:tc>
        <w:tc>
          <w:tcPr>
            <w:tcW w:w="3899" w:type="dxa"/>
            <w:vAlign w:val="center"/>
          </w:tcPr>
          <w:p w14:paraId="5327702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（1）营业执照和公司章程；</w:t>
            </w:r>
          </w:p>
          <w:p w14:paraId="321364F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117DF8E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（3）安全生产投入保障制度、年度安全费用使用计划、上一年度安全费用的提取、使用等相关资料；</w:t>
            </w:r>
          </w:p>
          <w:p w14:paraId="5DCECDA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（4）《现场检查记录》《责令限期整改指令书》等相关执法文书；</w:t>
            </w:r>
          </w:p>
          <w:p w14:paraId="385FA5E4">
            <w:pPr>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（5）相关人员任职文件、身份证明及其询问笔录；</w:t>
            </w:r>
          </w:p>
          <w:p w14:paraId="36505DF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（6）其他相关证据。</w:t>
            </w:r>
          </w:p>
          <w:p w14:paraId="1031C9CE">
            <w:pPr>
              <w:widowControl/>
              <w:adjustRightInd w:val="0"/>
              <w:snapToGrid w:val="0"/>
              <w:ind w:firstLine="420"/>
              <w:rPr>
                <w:rFonts w:hint="eastAsia" w:ascii="仿宋_GB2312" w:hAnsi="仿宋_GB2312" w:eastAsia="仿宋_GB2312" w:cs="仿宋_GB2312"/>
                <w:color w:val="auto"/>
                <w:kern w:val="0"/>
                <w:sz w:val="32"/>
                <w:szCs w:val="32"/>
              </w:rPr>
            </w:pPr>
          </w:p>
        </w:tc>
        <w:tc>
          <w:tcPr>
            <w:tcW w:w="3899" w:type="dxa"/>
            <w:vAlign w:val="center"/>
          </w:tcPr>
          <w:p w14:paraId="4B274F0F">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《中华人民共和国安全生产法》第九十三条 </w:t>
            </w:r>
            <w:r>
              <w:rPr>
                <w:rFonts w:hint="eastAsia" w:ascii="仿宋_GB2312" w:hAnsi="仿宋_GB2312" w:eastAsia="仿宋_GB2312" w:cs="仿宋_GB2312"/>
                <w:color w:val="auto"/>
                <w:kern w:val="0"/>
                <w:sz w:val="32"/>
                <w:szCs w:val="32"/>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50E8CC2B">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有前款违法行为，导致发生生产安全事故的，对生产经营单位的主要负责人给予撤职处分，对个人经营的投资人处二万元以上二十万元以下的罚款；构成犯罪的，依照刑法有关规定追究刑事责任。</w:t>
            </w:r>
          </w:p>
          <w:p w14:paraId="35A730A3">
            <w:pPr>
              <w:widowControl/>
              <w:adjustRightInd w:val="0"/>
              <w:snapToGrid w:val="0"/>
              <w:ind w:firstLine="4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《安全生产违法行为行政处罚办法》第四十三条</w:t>
            </w:r>
            <w:r>
              <w:rPr>
                <w:rFonts w:hint="eastAsia" w:ascii="仿宋_GB2312" w:hAnsi="仿宋_GB2312" w:eastAsia="仿宋_GB2312" w:cs="仿宋_GB2312"/>
                <w:color w:val="auto"/>
                <w:kern w:val="0"/>
                <w:sz w:val="32"/>
                <w:szCs w:val="32"/>
              </w:rPr>
              <w:t>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14:paraId="70E8F619">
            <w:pPr>
              <w:widowControl/>
              <w:adjustRightInd w:val="0"/>
              <w:snapToGrid w:val="0"/>
              <w:ind w:firstLine="4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（三）用于安全生产教育和培训的经费。</w:t>
            </w:r>
          </w:p>
          <w:p w14:paraId="218E05F5">
            <w:pPr>
              <w:widowControl/>
              <w:adjustRightInd w:val="0"/>
              <w:snapToGrid w:val="0"/>
              <w:ind w:firstLine="4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7F44F05C">
            <w:pPr>
              <w:widowControl/>
              <w:adjustRightInd w:val="0"/>
              <w:snapToGrid w:val="0"/>
              <w:ind w:firstLine="4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生产经营单位主要负责人、个人经营的投资人有前款违法行为，导致发生生产安全事故的，依照《生产安全事故罚款处罚规定（试行）》的规定给予处罚。</w:t>
            </w:r>
          </w:p>
        </w:tc>
        <w:tc>
          <w:tcPr>
            <w:tcW w:w="951" w:type="dxa"/>
          </w:tcPr>
          <w:p w14:paraId="72CF85DB">
            <w:pPr>
              <w:widowControl/>
              <w:adjustRightInd w:val="0"/>
              <w:snapToGrid w:val="0"/>
              <w:ind w:firstLine="420"/>
              <w:rPr>
                <w:rFonts w:hint="eastAsia" w:ascii="仿宋_GB2312" w:hAnsi="仿宋_GB2312" w:eastAsia="仿宋_GB2312" w:cs="仿宋_GB2312"/>
                <w:color w:val="auto"/>
                <w:kern w:val="0"/>
                <w:sz w:val="32"/>
                <w:szCs w:val="32"/>
              </w:rPr>
            </w:pPr>
          </w:p>
        </w:tc>
      </w:tr>
      <w:tr w14:paraId="7DB7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10" w:hRule="atLeast"/>
          <w:jc w:val="center"/>
        </w:trPr>
        <w:tc>
          <w:tcPr>
            <w:tcW w:w="616" w:type="dxa"/>
            <w:vAlign w:val="center"/>
          </w:tcPr>
          <w:p w14:paraId="163832CE">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p>
        </w:tc>
        <w:tc>
          <w:tcPr>
            <w:tcW w:w="950" w:type="dxa"/>
            <w:vAlign w:val="center"/>
          </w:tcPr>
          <w:p w14:paraId="7B0D7D4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安全生产管理机构设置和人员配备</w:t>
            </w:r>
          </w:p>
        </w:tc>
        <w:tc>
          <w:tcPr>
            <w:tcW w:w="951" w:type="dxa"/>
            <w:vAlign w:val="center"/>
          </w:tcPr>
          <w:p w14:paraId="6DDD6E7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高危行业生产经营单位设置机构、配备专职人员和</w:t>
            </w:r>
            <w:r>
              <w:rPr>
                <w:rFonts w:hint="eastAsia" w:ascii="仿宋_GB2312" w:hAnsi="仿宋_GB2312" w:eastAsia="仿宋_GB2312" w:cs="仿宋_GB2312"/>
                <w:color w:val="auto"/>
                <w:sz w:val="32"/>
                <w:szCs w:val="32"/>
              </w:rPr>
              <w:t>注册安全工程师</w:t>
            </w:r>
            <w:r>
              <w:rPr>
                <w:rFonts w:hint="eastAsia" w:ascii="仿宋_GB2312" w:hAnsi="仿宋_GB2312" w:eastAsia="仿宋_GB2312" w:cs="仿宋_GB2312"/>
                <w:color w:val="auto"/>
                <w:kern w:val="0"/>
                <w:sz w:val="32"/>
                <w:szCs w:val="32"/>
              </w:rPr>
              <w:t>；其他生产经营单位设置机构、配备专兼职人员</w:t>
            </w:r>
          </w:p>
        </w:tc>
        <w:tc>
          <w:tcPr>
            <w:tcW w:w="3899" w:type="dxa"/>
            <w:vAlign w:val="center"/>
          </w:tcPr>
          <w:p w14:paraId="68E182AE">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第二十四条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矿山、金属冶炼、建筑施工、运输单位和危险物品的生产、经营、储存、装卸单位，应当设置安全生产管理机构或者配备专职安全生产管理人员。</w:t>
            </w:r>
          </w:p>
          <w:p w14:paraId="3C7B86D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前款规定以外的其他生产经营单位，从业人员超过一百人的，应当设置安全生产管理机构或者配备专职安全生产管理人员；从业人员在一百人以下的，应当配备专职或者兼职的安全生产管理人员。</w:t>
            </w:r>
          </w:p>
          <w:p w14:paraId="282C6C46">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第二十七条第三款</w:t>
            </w:r>
            <w:r>
              <w:rPr>
                <w:rFonts w:hint="eastAsia" w:ascii="仿宋_GB2312" w:hAnsi="仿宋_GB2312" w:eastAsia="仿宋_GB2312" w:cs="仿宋_GB2312"/>
                <w:color w:val="auto"/>
                <w:sz w:val="32"/>
                <w:szCs w:val="32"/>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1ABC6D2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《注册安全工程师管理规定》第六条  </w:t>
            </w:r>
            <w:r>
              <w:rPr>
                <w:rFonts w:hint="eastAsia" w:ascii="仿宋_GB2312" w:hAnsi="仿宋_GB2312" w:eastAsia="仿宋_GB2312" w:cs="仿宋_GB2312"/>
                <w:color w:val="auto"/>
                <w:kern w:val="0"/>
                <w:sz w:val="32"/>
                <w:szCs w:val="32"/>
              </w:rPr>
              <w:t>从业人员300人以上的煤矿、非煤矿矿山、建筑施工单位和危险物品生产、经营单位，应当按照不少于安全生产管理人员15%的比例配备注册安全工程师；安全生产管理人员在7人以下的，至少配备1名。</w:t>
            </w:r>
          </w:p>
          <w:p w14:paraId="0BD7383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前款规定以外的其他生产经营单位，应当配备注册安全工程师或者委托安全生产中介机构选派注册安全工程师提供安全生产服务。</w:t>
            </w:r>
          </w:p>
          <w:p w14:paraId="0938F45F">
            <w:pPr>
              <w:widowControl/>
              <w:shd w:val="clear" w:color="auto" w:fill="FFFFFF"/>
              <w:spacing w:after="155" w:line="249" w:lineRule="atLeast"/>
              <w:ind w:firstLine="48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《注册安全工程师分类管理办法》</w:t>
            </w:r>
            <w:r>
              <w:rPr>
                <w:rFonts w:hint="eastAsia" w:ascii="仿宋_GB2312" w:hAnsi="仿宋_GB2312" w:eastAsia="仿宋_GB2312" w:cs="仿宋_GB2312"/>
                <w:color w:val="auto"/>
                <w:kern w:val="0"/>
                <w:sz w:val="32"/>
                <w:szCs w:val="32"/>
              </w:rPr>
              <w:t>（国家安全监管总局、人力资源社会保障部于2017年11月2日印发，2018年1月1日起施行）</w:t>
            </w:r>
            <w:r>
              <w:rPr>
                <w:rFonts w:hint="eastAsia" w:ascii="仿宋_GB2312" w:hAnsi="仿宋_GB2312" w:eastAsia="仿宋_GB2312" w:cs="仿宋_GB2312"/>
                <w:b/>
                <w:bCs/>
                <w:color w:val="auto"/>
                <w:kern w:val="0"/>
                <w:sz w:val="32"/>
                <w:szCs w:val="32"/>
              </w:rPr>
              <w:t>第十二条</w:t>
            </w:r>
            <w:r>
              <w:rPr>
                <w:rFonts w:hint="eastAsia" w:ascii="仿宋_GB2312" w:hAnsi="仿宋_GB2312" w:eastAsia="仿宋_GB2312" w:cs="仿宋_GB2312"/>
                <w:color w:val="auto"/>
                <w:kern w:val="0"/>
                <w:sz w:val="32"/>
                <w:szCs w:val="32"/>
              </w:rPr>
              <w:t>危险物品的生产、储存单位以及矿山、金属冶炼单位应当有相应专业类别的中级及以上注册安全工程师从事安全生产管理工作。</w:t>
            </w:r>
          </w:p>
          <w:p w14:paraId="23F04850">
            <w:pPr>
              <w:widowControl/>
              <w:shd w:val="clear" w:color="auto" w:fill="FFFFFF"/>
              <w:spacing w:after="155" w:line="249" w:lineRule="atLeast"/>
              <w:ind w:firstLine="48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危险物品的生产、储存单位以及矿山单位安全生产管理人员中的中级及以上注册安全工程师比例应自本办法施行之日起2年内，金属冶炼单位安全生产管理人员中的中级及以上注册安全工程师比例应自本办法施行之日起5年内达到15%左右并逐步提高。</w:t>
            </w:r>
          </w:p>
        </w:tc>
        <w:tc>
          <w:tcPr>
            <w:tcW w:w="3899" w:type="dxa"/>
          </w:tcPr>
          <w:p w14:paraId="03F1EDF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27847F5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609F5A8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（3）设置安全生产管理机构的文件或资料；</w:t>
            </w:r>
          </w:p>
          <w:p w14:paraId="5848FD2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（4）安全管理人员任职文件或资料、安全生产知识和管理能力合格证明；</w:t>
            </w:r>
          </w:p>
          <w:p w14:paraId="5941CCE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（5）《现场检查记录》《责令限期整改指令书》等相关执法文书；</w:t>
            </w:r>
          </w:p>
          <w:p w14:paraId="20DFAB3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bCs/>
                <w:color w:val="auto"/>
                <w:sz w:val="32"/>
                <w:szCs w:val="32"/>
              </w:rPr>
              <w:t>相关人员任职文件、身份证明及其询问笔录；</w:t>
            </w:r>
          </w:p>
          <w:p w14:paraId="4EB4485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（7）注册安全工程师职业资格证书、执业证、和继续教育证书及从事安全生产管理工作情况记录或资料；</w:t>
            </w:r>
          </w:p>
          <w:p w14:paraId="06A6FC72">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（8）其他相关证据。</w:t>
            </w:r>
          </w:p>
        </w:tc>
        <w:tc>
          <w:tcPr>
            <w:tcW w:w="3899" w:type="dxa"/>
            <w:vAlign w:val="center"/>
          </w:tcPr>
          <w:p w14:paraId="69FE6BD0">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w:t>
            </w:r>
            <w:r>
              <w:rPr>
                <w:rFonts w:hint="eastAsia" w:ascii="仿宋_GB2312" w:hAnsi="仿宋_GB2312" w:eastAsia="仿宋_GB2312" w:cs="仿宋_GB2312"/>
                <w:b/>
                <w:color w:val="auto"/>
                <w:sz w:val="32"/>
                <w:szCs w:val="32"/>
              </w:rPr>
              <w:t>第九十七条第一项</w:t>
            </w:r>
            <w:r>
              <w:rPr>
                <w:rFonts w:hint="eastAsia" w:ascii="仿宋_GB2312" w:hAnsi="仿宋_GB2312" w:eastAsia="仿宋_GB2312" w:cs="仿宋_GB2312"/>
                <w:color w:val="auto"/>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1904AE9D">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（一）未按照规定设置安全生产管理机构或者配备安全生产管理人员、注册安全工程师的；</w:t>
            </w:r>
          </w:p>
        </w:tc>
        <w:tc>
          <w:tcPr>
            <w:tcW w:w="951" w:type="dxa"/>
          </w:tcPr>
          <w:p w14:paraId="039897DF">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5FAA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660" w:hRule="atLeast"/>
          <w:jc w:val="center"/>
        </w:trPr>
        <w:tc>
          <w:tcPr>
            <w:tcW w:w="616" w:type="dxa"/>
            <w:vMerge w:val="restart"/>
            <w:vAlign w:val="center"/>
          </w:tcPr>
          <w:p w14:paraId="243F4587">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p>
        </w:tc>
        <w:tc>
          <w:tcPr>
            <w:tcW w:w="950" w:type="dxa"/>
            <w:vMerge w:val="restart"/>
            <w:vAlign w:val="center"/>
          </w:tcPr>
          <w:p w14:paraId="5CC4289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从业人员安全生产教育和培训情况</w:t>
            </w:r>
          </w:p>
        </w:tc>
        <w:tc>
          <w:tcPr>
            <w:tcW w:w="951" w:type="dxa"/>
            <w:vAlign w:val="center"/>
          </w:tcPr>
          <w:p w14:paraId="2FAAB67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4.1 主要负责人和安全管理人员安全生产知识和管理能力及考核</w:t>
            </w:r>
          </w:p>
        </w:tc>
        <w:tc>
          <w:tcPr>
            <w:tcW w:w="3899" w:type="dxa"/>
            <w:vAlign w:val="center"/>
          </w:tcPr>
          <w:p w14:paraId="6D7BBFF9">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《中华人民共和国安全生产法》第二十七条第一款、第二款</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生产经营单位的主要负责人和安全生产管理人员必须具备与本单位所从事的生产经营活动相应的安全生产知识和管理能力。</w:t>
            </w:r>
          </w:p>
          <w:p w14:paraId="17A8E7B6">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016BFB28">
            <w:pPr>
              <w:widowControl/>
              <w:shd w:val="clear" w:color="auto" w:fill="FFFFFF"/>
              <w:rPr>
                <w:rFonts w:hint="eastAsia" w:ascii="仿宋_GB2312" w:hAnsi="仿宋_GB2312" w:eastAsia="仿宋_GB2312" w:cs="仿宋_GB2312"/>
                <w:color w:val="auto"/>
                <w:kern w:val="0"/>
                <w:sz w:val="32"/>
                <w:szCs w:val="32"/>
              </w:rPr>
            </w:pPr>
          </w:p>
        </w:tc>
        <w:tc>
          <w:tcPr>
            <w:tcW w:w="3899" w:type="dxa"/>
          </w:tcPr>
          <w:p w14:paraId="542B5E3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107A466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436BB59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（3）安全管理人员任职文件或资料、安全生产知识和管理能力合格证明；</w:t>
            </w:r>
          </w:p>
          <w:p w14:paraId="2D69126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（4）《现场检查记录》《责令限期整改指令书》等相关执法文书；</w:t>
            </w:r>
          </w:p>
          <w:p w14:paraId="3D57CC3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bCs/>
                <w:color w:val="auto"/>
                <w:sz w:val="32"/>
                <w:szCs w:val="32"/>
              </w:rPr>
              <w:t>相关人员任职文件、身份证明及其询问笔录；</w:t>
            </w:r>
          </w:p>
          <w:p w14:paraId="35EF613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（6）其他相关证据。</w:t>
            </w:r>
          </w:p>
          <w:p w14:paraId="6E56EA37">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32E4745D">
            <w:pPr>
              <w:widowControl/>
              <w:shd w:val="clear" w:color="auto" w:fill="FFFFFF"/>
              <w:ind w:firstLine="964"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《中华人民共和国安全生产法》第九十七条第二项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B0BBA3E">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（二）危险物品的生产、经营、储存、装卸单位以及矿山、金属冶炼、建筑施工、运输单位的主要负责人和安全生产管理人员未按照规定经考核合格的；</w:t>
            </w:r>
          </w:p>
        </w:tc>
        <w:tc>
          <w:tcPr>
            <w:tcW w:w="951" w:type="dxa"/>
          </w:tcPr>
          <w:p w14:paraId="16954BF8">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648F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jc w:val="center"/>
        </w:trPr>
        <w:tc>
          <w:tcPr>
            <w:tcW w:w="616" w:type="dxa"/>
            <w:vMerge w:val="continue"/>
            <w:vAlign w:val="center"/>
          </w:tcPr>
          <w:p w14:paraId="6E601499">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02AC757D">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180C61A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4.2 从业人员安全生产教育培训</w:t>
            </w:r>
          </w:p>
        </w:tc>
        <w:tc>
          <w:tcPr>
            <w:tcW w:w="3899" w:type="dxa"/>
            <w:vAlign w:val="center"/>
          </w:tcPr>
          <w:p w14:paraId="7373BBC0">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《中华人民共和国安全生产法》  </w:t>
            </w:r>
            <w:r>
              <w:rPr>
                <w:rFonts w:hint="eastAsia" w:ascii="仿宋_GB2312" w:hAnsi="仿宋_GB2312" w:eastAsia="仿宋_GB2312" w:cs="仿宋_GB2312"/>
                <w:b/>
                <w:color w:val="auto"/>
                <w:sz w:val="32"/>
                <w:szCs w:val="32"/>
              </w:rPr>
              <w:t>第二十八</w:t>
            </w:r>
            <w:r>
              <w:rPr>
                <w:rFonts w:hint="eastAsia" w:ascii="仿宋_GB2312" w:hAnsi="仿宋_GB2312" w:eastAsia="仿宋_GB2312" w:cs="仿宋_GB2312"/>
                <w:color w:val="auto"/>
                <w:sz w:val="32"/>
                <w:szCs w:val="32"/>
              </w:rPr>
              <w:t>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4488CB4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7C63D15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14:paraId="7ECF0A7D">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生产经营单位应当建立安全生产教育和培训档案，如实记录安全生产教育和培训的时间、内容、参加人员以及考核结果等情况。</w:t>
            </w:r>
          </w:p>
        </w:tc>
        <w:tc>
          <w:tcPr>
            <w:tcW w:w="3899" w:type="dxa"/>
          </w:tcPr>
          <w:p w14:paraId="486FC84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3E61500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01922BA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（3）安全生产教育培训计划和档案等资料；</w:t>
            </w:r>
          </w:p>
          <w:p w14:paraId="6D82287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（4）特种作业人员登记台帐、操作证复印件及复审记录；</w:t>
            </w:r>
          </w:p>
          <w:p w14:paraId="0F2662A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（5）《现场检查记录》《责令限期整改指令书》等相关执法文书；</w:t>
            </w:r>
          </w:p>
          <w:p w14:paraId="3D77572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bCs/>
                <w:color w:val="auto"/>
                <w:sz w:val="32"/>
                <w:szCs w:val="32"/>
              </w:rPr>
              <w:t>相关人员任职文件、身份证明及其询问笔录；</w:t>
            </w:r>
          </w:p>
          <w:p w14:paraId="0CBA02A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（7）其他相关证据。</w:t>
            </w:r>
          </w:p>
          <w:p w14:paraId="3D36F49C">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24A67633">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《中华人民共和国安全生产法》  </w:t>
            </w:r>
            <w:r>
              <w:rPr>
                <w:rFonts w:hint="eastAsia" w:ascii="仿宋_GB2312" w:hAnsi="仿宋_GB2312" w:eastAsia="仿宋_GB2312" w:cs="仿宋_GB2312"/>
                <w:b/>
                <w:color w:val="auto"/>
                <w:sz w:val="32"/>
                <w:szCs w:val="32"/>
              </w:rPr>
              <w:t>第九十七条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kern w:val="0"/>
                <w:sz w:val="32"/>
                <w:szCs w:val="32"/>
              </w:rPr>
              <w:t>第三项、第四项</w:t>
            </w:r>
            <w:r>
              <w:rPr>
                <w:rFonts w:hint="eastAsia" w:ascii="仿宋_GB2312" w:hAnsi="仿宋_GB2312" w:eastAsia="仿宋_GB2312" w:cs="仿宋_GB2312"/>
                <w:color w:val="auto"/>
                <w:sz w:val="32"/>
                <w:szCs w:val="32"/>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w:t>
            </w:r>
          </w:p>
          <w:p w14:paraId="18F75DC6">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（三）未按照规定对从业人员、被派遣劳动者、实习学生进行安全生产教育和培训，或者未按照规定如实告知有关的安全生产事项的；</w:t>
            </w:r>
          </w:p>
          <w:p w14:paraId="3D322632">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（四）未如实记录安全生产教育和培训情况的；</w:t>
            </w:r>
          </w:p>
          <w:p w14:paraId="0020A028">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tcPr>
          <w:p w14:paraId="700A7CA6">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4B4C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206" w:hRule="atLeast"/>
          <w:jc w:val="center"/>
        </w:trPr>
        <w:tc>
          <w:tcPr>
            <w:tcW w:w="616" w:type="dxa"/>
            <w:vMerge w:val="continue"/>
            <w:vAlign w:val="center"/>
          </w:tcPr>
          <w:p w14:paraId="06B3D5D3">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3E5720B7">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6E6A9B6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4.3 从业人员“四新”培训</w:t>
            </w:r>
          </w:p>
        </w:tc>
        <w:tc>
          <w:tcPr>
            <w:tcW w:w="3899" w:type="dxa"/>
            <w:vAlign w:val="center"/>
          </w:tcPr>
          <w:p w14:paraId="5176C707">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  第二十九条 </w:t>
            </w:r>
            <w:r>
              <w:rPr>
                <w:rFonts w:hint="eastAsia" w:ascii="仿宋_GB2312" w:hAnsi="仿宋_GB2312" w:eastAsia="仿宋_GB2312" w:cs="仿宋_GB2312"/>
                <w:color w:val="auto"/>
                <w:sz w:val="32"/>
                <w:szCs w:val="32"/>
              </w:rPr>
              <w:t>生产经营单位采用新工艺、新技术、新材料或者使用新设备，必须了解、掌握其安全技术特性，采取有效的安全防护措施，并对从业人员进行专门的安全生产教育和培训。</w:t>
            </w:r>
          </w:p>
        </w:tc>
        <w:tc>
          <w:tcPr>
            <w:tcW w:w="3899" w:type="dxa"/>
          </w:tcPr>
          <w:p w14:paraId="3542CB6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7A83873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02FFD08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（3）安全生产教育培训计划和档案等资料；</w:t>
            </w:r>
          </w:p>
          <w:p w14:paraId="3183682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（4）《现场检查记录》《责令限期整改指令书》等相关执法文书；</w:t>
            </w:r>
          </w:p>
          <w:p w14:paraId="15AE23F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bCs/>
                <w:color w:val="auto"/>
                <w:sz w:val="32"/>
                <w:szCs w:val="32"/>
              </w:rPr>
              <w:t>相关人员任职文件、身份证明及其询问笔录；</w:t>
            </w:r>
          </w:p>
          <w:p w14:paraId="3C4347E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（6）其他相关证据。</w:t>
            </w:r>
          </w:p>
        </w:tc>
        <w:tc>
          <w:tcPr>
            <w:tcW w:w="3899" w:type="dxa"/>
            <w:vAlign w:val="center"/>
          </w:tcPr>
          <w:p w14:paraId="0EAC9685">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《中华人民共和国安全生产法》  第九十七条第三项 </w:t>
            </w:r>
            <w:r>
              <w:rPr>
                <w:rFonts w:hint="eastAsia" w:ascii="仿宋_GB2312" w:hAnsi="仿宋_GB2312" w:eastAsia="仿宋_GB2312" w:cs="仿宋_GB2312"/>
                <w:color w:val="auto"/>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6A2E1512">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（三）未按照规定对从业人员、被派遣劳动者、实习学生进行安全生产教育和培训，或者未按照规定如实告知有关的安全生产事项的；</w:t>
            </w:r>
          </w:p>
        </w:tc>
        <w:tc>
          <w:tcPr>
            <w:tcW w:w="951" w:type="dxa"/>
          </w:tcPr>
          <w:p w14:paraId="522DBC9F">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76D5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6" w:type="dxa"/>
            <w:vMerge w:val="continue"/>
            <w:vAlign w:val="center"/>
          </w:tcPr>
          <w:p w14:paraId="3B2BEDFF">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410EDE18">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1B0C15A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4.4 培训时间</w:t>
            </w:r>
          </w:p>
        </w:tc>
        <w:tc>
          <w:tcPr>
            <w:tcW w:w="3899" w:type="dxa"/>
            <w:vAlign w:val="center"/>
          </w:tcPr>
          <w:p w14:paraId="7ACA6B4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《安全生产培训管理办法》</w:t>
            </w:r>
            <w:r>
              <w:rPr>
                <w:rFonts w:hint="eastAsia" w:ascii="仿宋_GB2312" w:hAnsi="仿宋_GB2312" w:eastAsia="仿宋_GB2312" w:cs="仿宋_GB2312"/>
                <w:b/>
                <w:bCs/>
                <w:color w:val="auto"/>
                <w:kern w:val="0"/>
                <w:sz w:val="32"/>
                <w:szCs w:val="32"/>
              </w:rPr>
              <w:t>第十一条</w:t>
            </w:r>
            <w:r>
              <w:rPr>
                <w:rFonts w:hint="eastAsia" w:ascii="仿宋_GB2312" w:hAnsi="仿宋_GB2312" w:eastAsia="仿宋_GB2312" w:cs="仿宋_GB2312"/>
                <w:color w:val="auto"/>
                <w:kern w:val="0"/>
                <w:sz w:val="32"/>
                <w:szCs w:val="32"/>
              </w:rPr>
              <w:t>生产经营单位从业人员的培训内容和培训时间，应当符合《生产经营单位安全培训规定》和有关标准的规定。</w:t>
            </w:r>
          </w:p>
        </w:tc>
        <w:tc>
          <w:tcPr>
            <w:tcW w:w="3899" w:type="dxa"/>
          </w:tcPr>
          <w:p w14:paraId="5C16B0F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5E71FAD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6D228AA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（3）安全生产教育培训计划和档案等资料；</w:t>
            </w:r>
          </w:p>
          <w:p w14:paraId="009FC96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（4）《现场检查记录》《责令限期整改指令书》等相关执法文书；</w:t>
            </w:r>
          </w:p>
          <w:p w14:paraId="23EF9D4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bCs/>
                <w:color w:val="auto"/>
                <w:sz w:val="32"/>
                <w:szCs w:val="32"/>
              </w:rPr>
              <w:t>相关人员任职文件、身份证明及其询问笔录；</w:t>
            </w:r>
          </w:p>
          <w:p w14:paraId="7800E30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（6）其他相关证据。</w:t>
            </w:r>
          </w:p>
          <w:p w14:paraId="0F0DB53D">
            <w:pPr>
              <w:widowControl/>
              <w:adjustRightInd w:val="0"/>
              <w:snapToGrid w:val="0"/>
              <w:ind w:firstLine="640" w:firstLineChars="200"/>
              <w:rPr>
                <w:rFonts w:hint="eastAsia" w:ascii="仿宋_GB2312" w:hAnsi="仿宋_GB2312" w:eastAsia="仿宋_GB2312" w:cs="仿宋_GB2312"/>
                <w:color w:val="auto"/>
                <w:sz w:val="32"/>
                <w:szCs w:val="32"/>
              </w:rPr>
            </w:pPr>
          </w:p>
        </w:tc>
        <w:tc>
          <w:tcPr>
            <w:tcW w:w="3899" w:type="dxa"/>
            <w:vAlign w:val="center"/>
          </w:tcPr>
          <w:p w14:paraId="5B037D46">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《安全生产培训管理办法》第三十六条</w:t>
            </w:r>
            <w:r>
              <w:rPr>
                <w:rFonts w:hint="eastAsia" w:ascii="仿宋_GB2312" w:hAnsi="仿宋_GB2312" w:eastAsia="仿宋_GB2312" w:cs="仿宋_GB2312"/>
                <w:color w:val="auto"/>
                <w:sz w:val="32"/>
                <w:szCs w:val="32"/>
              </w:rPr>
              <w:t>生产经营单位有下列情形之一的，责令改正，处3万元以下的罚款：</w:t>
            </w:r>
          </w:p>
          <w:p w14:paraId="0E2DF19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（一）从业人员安全培训的时间少于《生产经营单位安全培训规定》或者有关标准规定的；……</w:t>
            </w:r>
          </w:p>
        </w:tc>
        <w:tc>
          <w:tcPr>
            <w:tcW w:w="951" w:type="dxa"/>
          </w:tcPr>
          <w:p w14:paraId="5E74DA93">
            <w:pPr>
              <w:widowControl/>
              <w:adjustRightInd w:val="0"/>
              <w:snapToGrid w:val="0"/>
              <w:ind w:firstLine="640" w:firstLineChars="200"/>
              <w:rPr>
                <w:rFonts w:hint="eastAsia" w:ascii="仿宋_GB2312" w:hAnsi="仿宋_GB2312" w:eastAsia="仿宋_GB2312" w:cs="仿宋_GB2312"/>
                <w:color w:val="auto"/>
                <w:sz w:val="32"/>
                <w:szCs w:val="32"/>
              </w:rPr>
            </w:pPr>
          </w:p>
        </w:tc>
      </w:tr>
      <w:tr w14:paraId="788F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6" w:type="dxa"/>
            <w:vMerge w:val="continue"/>
            <w:vAlign w:val="center"/>
          </w:tcPr>
          <w:p w14:paraId="49AC3C0E">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6AE85FDF">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5508DA1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4.5 告知从业人员安全生产事项</w:t>
            </w:r>
          </w:p>
        </w:tc>
        <w:tc>
          <w:tcPr>
            <w:tcW w:w="3899" w:type="dxa"/>
            <w:vAlign w:val="center"/>
          </w:tcPr>
          <w:p w14:paraId="56DCF7C8">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  第四十四条第一款 </w:t>
            </w:r>
            <w:r>
              <w:rPr>
                <w:rFonts w:hint="eastAsia" w:ascii="仿宋_GB2312" w:hAnsi="仿宋_GB2312" w:eastAsia="仿宋_GB2312" w:cs="仿宋_GB2312"/>
                <w:color w:val="auto"/>
                <w:sz w:val="32"/>
                <w:szCs w:val="32"/>
              </w:rPr>
              <w:t>生产经营单位应当教育和督促从业人员严格执行本单位的安全生产规章制度和安全操作规程；并向从业人员如实告知作业场所和工作岗位存在的危险因素、防范措施以及事故应急措施。</w:t>
            </w:r>
          </w:p>
        </w:tc>
        <w:tc>
          <w:tcPr>
            <w:tcW w:w="3899" w:type="dxa"/>
          </w:tcPr>
          <w:p w14:paraId="5887D95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38987E5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7984AF2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（3）安全生产教育培训计划和档案等资料；</w:t>
            </w:r>
          </w:p>
          <w:p w14:paraId="0218402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（4）已如实告知的相关证明文件或材料，例如告知函、风险提示书；</w:t>
            </w:r>
          </w:p>
          <w:p w14:paraId="5867EBC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（5）《现场检查记录》《责令限期整改指令书》等相关执法文书；</w:t>
            </w:r>
          </w:p>
          <w:p w14:paraId="656E6FE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bCs/>
                <w:color w:val="auto"/>
                <w:sz w:val="32"/>
                <w:szCs w:val="32"/>
              </w:rPr>
              <w:t>相关人员任职文件、身份证明及其询问笔录；</w:t>
            </w:r>
          </w:p>
          <w:p w14:paraId="642C553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（7）其他相关证据。</w:t>
            </w:r>
          </w:p>
          <w:p w14:paraId="38369FD9">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55D334C3">
            <w:pPr>
              <w:widowControl/>
              <w:shd w:val="clear" w:color="auto" w:fill="FFFFFF"/>
              <w:ind w:firstLine="964"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《中华人民共和国安全生产法》  第九十七条第三项 </w:t>
            </w:r>
            <w:r>
              <w:rPr>
                <w:rFonts w:hint="eastAsia" w:ascii="仿宋_GB2312" w:hAnsi="仿宋_GB2312" w:eastAsia="仿宋_GB2312" w:cs="仿宋_GB2312"/>
                <w:color w:val="auto"/>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39AC5A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（三）未按照规定对从业人员、被派遣劳动者、实习学生进行安全生产教育和培训，或者未按照规定如实告知有关的安全生产事项的；</w:t>
            </w:r>
          </w:p>
        </w:tc>
        <w:tc>
          <w:tcPr>
            <w:tcW w:w="951" w:type="dxa"/>
          </w:tcPr>
          <w:p w14:paraId="6C1EE2EA">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7262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285" w:hRule="atLeast"/>
          <w:jc w:val="center"/>
        </w:trPr>
        <w:tc>
          <w:tcPr>
            <w:tcW w:w="616" w:type="dxa"/>
            <w:vMerge w:val="continue"/>
            <w:vAlign w:val="center"/>
          </w:tcPr>
          <w:p w14:paraId="7863F671">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737716A1">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5131BAD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4.6 新招矿山井下、危险物品作业人员实习上岗</w:t>
            </w:r>
          </w:p>
        </w:tc>
        <w:tc>
          <w:tcPr>
            <w:tcW w:w="3899" w:type="dxa"/>
            <w:vAlign w:val="center"/>
          </w:tcPr>
          <w:p w14:paraId="6AB8A95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《安全生产培训管理办法》第十三条</w:t>
            </w:r>
            <w:r>
              <w:rPr>
                <w:rFonts w:hint="eastAsia" w:ascii="仿宋_GB2312" w:hAnsi="仿宋_GB2312" w:eastAsia="仿宋_GB2312" w:cs="仿宋_GB2312"/>
                <w:b/>
                <w:bCs/>
                <w:color w:val="auto"/>
                <w:kern w:val="0"/>
                <w:sz w:val="32"/>
                <w:szCs w:val="32"/>
              </w:rPr>
              <w:t>第二款</w:t>
            </w:r>
            <w:r>
              <w:rPr>
                <w:rFonts w:hint="eastAsia" w:ascii="仿宋_GB2312" w:hAnsi="仿宋_GB2312" w:eastAsia="仿宋_GB2312" w:cs="仿宋_GB2312"/>
                <w:color w:val="auto"/>
                <w:kern w:val="0"/>
                <w:sz w:val="32"/>
                <w:szCs w:val="32"/>
              </w:rPr>
              <w:t>矿山新招的井下作业人员和危险物品生产经营单位新招的危险工艺操作岗位人员，除按照规定进行安全培训外，还应当在有经验的职工带领下实习满2个月后，方可独立上岗作业。</w:t>
            </w:r>
          </w:p>
        </w:tc>
        <w:tc>
          <w:tcPr>
            <w:tcW w:w="3899" w:type="dxa"/>
          </w:tcPr>
          <w:p w14:paraId="61930A5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0EA1C14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4783656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（3）安全生产教育培训计划和档案等资料；</w:t>
            </w:r>
          </w:p>
          <w:p w14:paraId="00AF847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（4）实习带领的相关规章制度，以及实习期满的相关证明文件或材料。</w:t>
            </w:r>
          </w:p>
          <w:p w14:paraId="06124E2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（5）《现场检查记录》《责令限期整改指令书》等相关执法文书；</w:t>
            </w:r>
          </w:p>
          <w:p w14:paraId="1FCD68D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bCs/>
                <w:color w:val="auto"/>
                <w:sz w:val="32"/>
                <w:szCs w:val="32"/>
              </w:rPr>
              <w:t>相关人员任职文件、身份证明及其询问笔录；</w:t>
            </w:r>
          </w:p>
          <w:p w14:paraId="12BB70F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（7）其他相关证据。</w:t>
            </w:r>
          </w:p>
        </w:tc>
        <w:tc>
          <w:tcPr>
            <w:tcW w:w="3899" w:type="dxa"/>
            <w:vAlign w:val="center"/>
          </w:tcPr>
          <w:p w14:paraId="35E30639">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《安全生产培训管理办法》第三十六条</w:t>
            </w:r>
            <w:r>
              <w:rPr>
                <w:rFonts w:hint="eastAsia" w:ascii="仿宋_GB2312" w:hAnsi="仿宋_GB2312" w:eastAsia="仿宋_GB2312" w:cs="仿宋_GB2312"/>
                <w:color w:val="auto"/>
                <w:sz w:val="32"/>
                <w:szCs w:val="32"/>
              </w:rPr>
              <w:t>生产经营单位有下列情形之一的，责令改正，处3万元以下的罚款：……</w:t>
            </w:r>
          </w:p>
          <w:p w14:paraId="16D7760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（二）矿山新招的井下作业人员和危险物品生产经营单位新招的危险工艺操作岗位人员，未经实习期满独立上岗作业的。</w:t>
            </w:r>
          </w:p>
        </w:tc>
        <w:tc>
          <w:tcPr>
            <w:tcW w:w="951" w:type="dxa"/>
          </w:tcPr>
          <w:p w14:paraId="11694EA0">
            <w:pPr>
              <w:ind w:firstLine="640" w:firstLineChars="200"/>
              <w:rPr>
                <w:rFonts w:hint="eastAsia" w:ascii="仿宋_GB2312" w:hAnsi="仿宋_GB2312" w:eastAsia="仿宋_GB2312" w:cs="仿宋_GB2312"/>
                <w:color w:val="auto"/>
                <w:sz w:val="32"/>
                <w:szCs w:val="32"/>
              </w:rPr>
            </w:pPr>
          </w:p>
        </w:tc>
      </w:tr>
      <w:tr w14:paraId="2799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56" w:hRule="atLeast"/>
          <w:jc w:val="center"/>
        </w:trPr>
        <w:tc>
          <w:tcPr>
            <w:tcW w:w="616" w:type="dxa"/>
            <w:vMerge w:val="restart"/>
            <w:vAlign w:val="center"/>
          </w:tcPr>
          <w:p w14:paraId="269FE18C">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w:t>
            </w:r>
          </w:p>
        </w:tc>
        <w:tc>
          <w:tcPr>
            <w:tcW w:w="950" w:type="dxa"/>
            <w:vMerge w:val="restart"/>
            <w:vAlign w:val="center"/>
          </w:tcPr>
          <w:p w14:paraId="2C521A5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特种作业人员持证上岗情况</w:t>
            </w:r>
          </w:p>
        </w:tc>
        <w:tc>
          <w:tcPr>
            <w:tcW w:w="951" w:type="dxa"/>
            <w:vAlign w:val="center"/>
          </w:tcPr>
          <w:p w14:paraId="09D59FF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5.1 特种作业人员培训取证</w:t>
            </w:r>
          </w:p>
        </w:tc>
        <w:tc>
          <w:tcPr>
            <w:tcW w:w="3899" w:type="dxa"/>
            <w:vAlign w:val="center"/>
          </w:tcPr>
          <w:p w14:paraId="1412AF77">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《中华人民共和国安全生产法》第三十条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生产经营单位的特种作业人员必须按照国家有关规定经专门的安全作业培训，取得相应资格，方可上岗作业。</w:t>
            </w:r>
          </w:p>
          <w:p w14:paraId="3B0994D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特种作业人员的范围由国务院应急管理部门会同国务院有关部门确定。</w:t>
            </w:r>
          </w:p>
          <w:p w14:paraId="6BD99E05">
            <w:pPr>
              <w:widowControl/>
              <w:shd w:val="clear" w:color="auto" w:fill="FFFFFF"/>
              <w:rPr>
                <w:rFonts w:hint="eastAsia" w:ascii="仿宋_GB2312" w:hAnsi="仿宋_GB2312" w:eastAsia="仿宋_GB2312" w:cs="仿宋_GB2312"/>
                <w:color w:val="auto"/>
                <w:kern w:val="0"/>
                <w:sz w:val="32"/>
                <w:szCs w:val="32"/>
              </w:rPr>
            </w:pPr>
          </w:p>
        </w:tc>
        <w:tc>
          <w:tcPr>
            <w:tcW w:w="3899" w:type="dxa"/>
          </w:tcPr>
          <w:p w14:paraId="03A96ED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0E8304F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56C0DBA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（3）特种作业人员登记台账、操作证复印件等资料；</w:t>
            </w:r>
          </w:p>
          <w:p w14:paraId="6473526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（4）现场核实特种作业人员持证情况有关照片及影像资料；</w:t>
            </w:r>
          </w:p>
          <w:p w14:paraId="3A7CC9A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（5）专门的安全作业培训计划和档案等资料；</w:t>
            </w:r>
          </w:p>
          <w:p w14:paraId="5AB68A5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（6）《现场检查记录》《责令限期整改指令书》等相关执法文书；</w:t>
            </w:r>
          </w:p>
          <w:p w14:paraId="646A7A9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bCs/>
                <w:color w:val="auto"/>
                <w:sz w:val="32"/>
                <w:szCs w:val="32"/>
              </w:rPr>
              <w:t>相关人员任职文件、身份证明及其询问笔录；</w:t>
            </w:r>
          </w:p>
          <w:p w14:paraId="24AEE2F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（8）其他相关证据。</w:t>
            </w:r>
          </w:p>
        </w:tc>
        <w:tc>
          <w:tcPr>
            <w:tcW w:w="3899" w:type="dxa"/>
            <w:vAlign w:val="center"/>
          </w:tcPr>
          <w:p w14:paraId="41024503">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《中华人民共和国安全生产法》第九十七条第七项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D37EC23">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（七）特种作业人员未按照规定经专门的安全作业培训并取得相应资格，上岗作业的。</w:t>
            </w:r>
          </w:p>
          <w:p w14:paraId="50A29EA0">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tcPr>
          <w:p w14:paraId="766D1CA6">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594E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44" w:hRule="atLeast"/>
          <w:jc w:val="center"/>
        </w:trPr>
        <w:tc>
          <w:tcPr>
            <w:tcW w:w="616" w:type="dxa"/>
            <w:vMerge w:val="continue"/>
            <w:vAlign w:val="center"/>
          </w:tcPr>
          <w:p w14:paraId="62328C4B">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232C88D8">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048DDDD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5.2 特种作业人员证书真实性</w:t>
            </w:r>
          </w:p>
        </w:tc>
        <w:tc>
          <w:tcPr>
            <w:tcW w:w="3899" w:type="dxa"/>
            <w:vAlign w:val="center"/>
          </w:tcPr>
          <w:p w14:paraId="5E2F9CB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《特种作业人员安全技术培训考核管理规定》第三十六条第二款</w:t>
            </w:r>
            <w:r>
              <w:rPr>
                <w:rFonts w:hint="eastAsia" w:ascii="仿宋_GB2312" w:hAnsi="仿宋_GB2312" w:eastAsia="仿宋_GB2312" w:cs="仿宋_GB2312"/>
                <w:color w:val="auto"/>
                <w:kern w:val="0"/>
                <w:sz w:val="32"/>
                <w:szCs w:val="32"/>
              </w:rPr>
              <w:t>特种作业人员不得伪造、涂改、转借、转让、冒用特种作业操作证或者使用伪造的特种作业操作证。</w:t>
            </w:r>
          </w:p>
        </w:tc>
        <w:tc>
          <w:tcPr>
            <w:tcW w:w="3899" w:type="dxa"/>
          </w:tcPr>
          <w:p w14:paraId="696567E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5BB4072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3432EB4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（3）特种作业人员登记台账、操作证复印件等资料；</w:t>
            </w:r>
          </w:p>
          <w:p w14:paraId="05D5D9D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（4）现场核实特种作业人员持证情况有关照片及影像资料；</w:t>
            </w:r>
          </w:p>
          <w:p w14:paraId="32A6E1D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（5）特种作业操作证网上查询记录；</w:t>
            </w:r>
          </w:p>
          <w:p w14:paraId="628F373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（6）《现场检查记录》等</w:t>
            </w:r>
            <w:r>
              <w:rPr>
                <w:rFonts w:hint="eastAsia" w:ascii="仿宋_GB2312" w:hAnsi="仿宋_GB2312" w:eastAsia="仿宋_GB2312" w:cs="仿宋_GB2312"/>
                <w:color w:val="auto"/>
                <w:kern w:val="0"/>
                <w:sz w:val="32"/>
                <w:szCs w:val="32"/>
              </w:rPr>
              <w:t>相关</w:t>
            </w:r>
            <w:r>
              <w:rPr>
                <w:rFonts w:hint="eastAsia" w:ascii="仿宋_GB2312" w:hAnsi="仿宋_GB2312" w:eastAsia="仿宋_GB2312" w:cs="仿宋_GB2312"/>
                <w:color w:val="auto"/>
                <w:sz w:val="32"/>
                <w:szCs w:val="32"/>
              </w:rPr>
              <w:t>执法文书；</w:t>
            </w:r>
          </w:p>
          <w:p w14:paraId="3FC1A85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bCs/>
                <w:color w:val="auto"/>
                <w:sz w:val="32"/>
                <w:szCs w:val="32"/>
              </w:rPr>
              <w:t>相关人员任职文件、身份证明及其询问笔录；</w:t>
            </w:r>
          </w:p>
          <w:p w14:paraId="24128BC3">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（8）其他相关证据。</w:t>
            </w:r>
          </w:p>
        </w:tc>
        <w:tc>
          <w:tcPr>
            <w:tcW w:w="3899" w:type="dxa"/>
            <w:vAlign w:val="center"/>
          </w:tcPr>
          <w:p w14:paraId="2467D40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《特种作业人员安全技术培训考核管理规定》第四十一条</w:t>
            </w:r>
            <w:r>
              <w:rPr>
                <w:rFonts w:hint="eastAsia" w:ascii="仿宋_GB2312" w:hAnsi="仿宋_GB2312" w:eastAsia="仿宋_GB2312" w:cs="仿宋_GB2312"/>
                <w:color w:val="auto"/>
                <w:kern w:val="0"/>
                <w:sz w:val="32"/>
                <w:szCs w:val="32"/>
              </w:rPr>
              <w:t>特种作业人员伪造、涂改特种作业操作证或者使用伪造的特种作业操作证的，给予警告，并处1000元以上5000元以下的罚款。</w:t>
            </w:r>
          </w:p>
          <w:p w14:paraId="06BB67A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特种作业人员转借、转让、冒用特种作业操作证的，给予警告，并处2000元以上10000元以下的罚款。</w:t>
            </w:r>
          </w:p>
        </w:tc>
        <w:tc>
          <w:tcPr>
            <w:tcW w:w="951" w:type="dxa"/>
          </w:tcPr>
          <w:p w14:paraId="31CDEA8E">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0B2B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65" w:hRule="atLeast"/>
          <w:jc w:val="center"/>
        </w:trPr>
        <w:tc>
          <w:tcPr>
            <w:tcW w:w="616" w:type="dxa"/>
            <w:vMerge w:val="restart"/>
            <w:vAlign w:val="center"/>
          </w:tcPr>
          <w:p w14:paraId="514DA5F7">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w:t>
            </w:r>
          </w:p>
        </w:tc>
        <w:tc>
          <w:tcPr>
            <w:tcW w:w="950" w:type="dxa"/>
            <w:vMerge w:val="restart"/>
            <w:vAlign w:val="center"/>
          </w:tcPr>
          <w:p w14:paraId="0643D81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建设项目安全评价及建设项目安全设施“三同时”情况</w:t>
            </w:r>
          </w:p>
        </w:tc>
        <w:tc>
          <w:tcPr>
            <w:tcW w:w="951" w:type="dxa"/>
            <w:vAlign w:val="center"/>
          </w:tcPr>
          <w:p w14:paraId="1C34E89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6.1 高危建设项目安全评价</w:t>
            </w:r>
          </w:p>
        </w:tc>
        <w:tc>
          <w:tcPr>
            <w:tcW w:w="3899" w:type="dxa"/>
            <w:vAlign w:val="center"/>
          </w:tcPr>
          <w:p w14:paraId="529168C7">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  第三十二条 </w:t>
            </w:r>
            <w:r>
              <w:rPr>
                <w:rFonts w:hint="eastAsia" w:ascii="仿宋_GB2312" w:hAnsi="仿宋_GB2312" w:eastAsia="仿宋_GB2312" w:cs="仿宋_GB2312"/>
                <w:color w:val="auto"/>
                <w:sz w:val="32"/>
                <w:szCs w:val="32"/>
              </w:rPr>
              <w:t>矿山、金属冶炼建设项目和用于生产、储存、装卸危险物品的建设项目，应当按照国家有关规定进行安全评价。</w:t>
            </w:r>
          </w:p>
          <w:p w14:paraId="1C90F268">
            <w:pPr>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《建设项目安全设施“三同时”监督管理办法》第七条</w:t>
            </w:r>
            <w:r>
              <w:rPr>
                <w:rFonts w:hint="eastAsia" w:ascii="仿宋_GB2312" w:hAnsi="仿宋_GB2312" w:eastAsia="仿宋_GB2312" w:cs="仿宋_GB2312"/>
                <w:color w:val="auto"/>
                <w:kern w:val="0"/>
                <w:sz w:val="32"/>
                <w:szCs w:val="32"/>
              </w:rPr>
              <w:t>下列建设项目在进行可行性研究时，生产经营单位应当按照国家规定，进行安全预评价：</w:t>
            </w:r>
          </w:p>
          <w:p w14:paraId="39F78FB8">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（一）非煤矿矿山建设项目；</w:t>
            </w:r>
          </w:p>
          <w:p w14:paraId="373947E4">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（二）生产、储存危险化学品（包括使用长输管道输送危险化学品，下同）的建设项目；</w:t>
            </w:r>
          </w:p>
          <w:p w14:paraId="565EE628">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（三）生产、储存烟花爆竹的建设项目；</w:t>
            </w:r>
          </w:p>
          <w:p w14:paraId="73D3F505">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（四）金属冶炼建设项目；</w:t>
            </w:r>
          </w:p>
          <w:p w14:paraId="42B77C58">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（五）使用危险化学品从事生产并且使用量达到规定数量的化工建设项目（属于危险化学品生产的除外，下同）；</w:t>
            </w:r>
          </w:p>
          <w:p w14:paraId="764989BD">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（六）法律、行政法规和国务院规定的其他建设项目。</w:t>
            </w:r>
          </w:p>
          <w:p w14:paraId="190409CE">
            <w:pPr>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《建设项目安全设施“三同时”监督管理办法》第二十二条第一款</w:t>
            </w:r>
            <w:r>
              <w:rPr>
                <w:rFonts w:hint="eastAsia" w:ascii="仿宋_GB2312" w:hAnsi="仿宋_GB2312" w:eastAsia="仿宋_GB2312" w:cs="仿宋_GB2312"/>
                <w:color w:val="auto"/>
                <w:kern w:val="0"/>
                <w:sz w:val="32"/>
                <w:szCs w:val="32"/>
              </w:rPr>
              <w:t>本办法第七条规定的建设项目安全设施竣工或者试运行完成后，生产经营单位应当委托具有相应资质的安全评价机构对安全设施进行验收评价，并编制建设项目安全验收评价报告。</w:t>
            </w:r>
          </w:p>
        </w:tc>
        <w:tc>
          <w:tcPr>
            <w:tcW w:w="3899" w:type="dxa"/>
          </w:tcPr>
          <w:p w14:paraId="6C77AAF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57C0769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1BA59D2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（3）建设项目审批、核准或备案的文件；</w:t>
            </w:r>
          </w:p>
          <w:p w14:paraId="359EEE1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（4）建设项目安全预评价报告及相关文件资料；</w:t>
            </w:r>
          </w:p>
          <w:p w14:paraId="699E034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（5）设计单位的设计资质证明文件；</w:t>
            </w:r>
          </w:p>
          <w:p w14:paraId="4889EA3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（6）建设项目安全设施设计；</w:t>
            </w:r>
          </w:p>
          <w:p w14:paraId="5D31A43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（7）建设项目安全设施设计审查批准文件或报告；</w:t>
            </w:r>
          </w:p>
          <w:p w14:paraId="2CFDA71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（8）建设项目安全验收评价报告；</w:t>
            </w:r>
          </w:p>
          <w:p w14:paraId="7884CD9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（9）现场核实图片或影像资料；</w:t>
            </w:r>
          </w:p>
          <w:p w14:paraId="656A590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（10）《现场检查记录》《责令限期整改指令书》等相关执法文书；</w:t>
            </w:r>
          </w:p>
          <w:p w14:paraId="4894C71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bCs/>
                <w:color w:val="auto"/>
                <w:sz w:val="32"/>
                <w:szCs w:val="32"/>
              </w:rPr>
              <w:t>相关人员任职文件、身份证明及其询问笔录；</w:t>
            </w:r>
          </w:p>
          <w:p w14:paraId="23A8E33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（12）其他相关证据。</w:t>
            </w:r>
          </w:p>
          <w:p w14:paraId="687703D3">
            <w:pPr>
              <w:rPr>
                <w:rFonts w:hint="eastAsia" w:ascii="仿宋_GB2312" w:hAnsi="仿宋_GB2312" w:eastAsia="仿宋_GB2312" w:cs="仿宋_GB2312"/>
                <w:color w:val="auto"/>
                <w:sz w:val="32"/>
                <w:szCs w:val="32"/>
              </w:rPr>
            </w:pPr>
          </w:p>
          <w:p w14:paraId="0911D780">
            <w:pPr>
              <w:rPr>
                <w:rFonts w:hint="eastAsia" w:ascii="仿宋_GB2312" w:hAnsi="仿宋_GB2312" w:eastAsia="仿宋_GB2312" w:cs="仿宋_GB2312"/>
                <w:color w:val="auto"/>
                <w:sz w:val="32"/>
                <w:szCs w:val="32"/>
              </w:rPr>
            </w:pPr>
          </w:p>
        </w:tc>
        <w:tc>
          <w:tcPr>
            <w:tcW w:w="3899" w:type="dxa"/>
            <w:vAlign w:val="center"/>
          </w:tcPr>
          <w:p w14:paraId="5C5339FC">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第九十八条第一项</w:t>
            </w:r>
            <w:r>
              <w:rPr>
                <w:rFonts w:hint="eastAsia" w:ascii="仿宋_GB2312" w:hAnsi="仿宋_GB2312" w:eastAsia="仿宋_GB2312" w:cs="仿宋_GB2312"/>
                <w:color w:val="auto"/>
                <w:kern w:val="0"/>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4A6D73D2">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（一）未按照规定对矿山、金属冶炼建设项目或者用于生产、储存、装卸危险物品的建设项目进行安全评价的；</w:t>
            </w:r>
          </w:p>
        </w:tc>
        <w:tc>
          <w:tcPr>
            <w:tcW w:w="951" w:type="dxa"/>
          </w:tcPr>
          <w:p w14:paraId="2F9870F8">
            <w:pPr>
              <w:ind w:firstLine="640" w:firstLineChars="200"/>
              <w:rPr>
                <w:rFonts w:hint="eastAsia" w:ascii="仿宋_GB2312" w:hAnsi="仿宋_GB2312" w:eastAsia="仿宋_GB2312" w:cs="仿宋_GB2312"/>
                <w:color w:val="auto"/>
                <w:sz w:val="32"/>
                <w:szCs w:val="32"/>
              </w:rPr>
            </w:pPr>
          </w:p>
        </w:tc>
      </w:tr>
      <w:tr w14:paraId="407B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83" w:hRule="atLeast"/>
          <w:jc w:val="center"/>
        </w:trPr>
        <w:tc>
          <w:tcPr>
            <w:tcW w:w="616" w:type="dxa"/>
            <w:vMerge w:val="continue"/>
            <w:vAlign w:val="center"/>
          </w:tcPr>
          <w:p w14:paraId="664F19BA">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503F8190">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1BA09F6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6.2 高危建设项目安全设施设计审查</w:t>
            </w:r>
          </w:p>
        </w:tc>
        <w:tc>
          <w:tcPr>
            <w:tcW w:w="3899" w:type="dxa"/>
            <w:vAlign w:val="center"/>
          </w:tcPr>
          <w:p w14:paraId="09FDDDE1">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第三十三条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
                <w:bCs/>
                <w:color w:val="auto"/>
                <w:kern w:val="0"/>
                <w:sz w:val="32"/>
                <w:szCs w:val="32"/>
              </w:rPr>
              <w:t>第二款</w:t>
            </w:r>
            <w:r>
              <w:rPr>
                <w:rFonts w:hint="eastAsia" w:ascii="仿宋_GB2312" w:hAnsi="仿宋_GB2312" w:eastAsia="仿宋_GB2312" w:cs="仿宋_GB2312"/>
                <w:color w:val="auto"/>
                <w:sz w:val="32"/>
                <w:szCs w:val="32"/>
              </w:rPr>
              <w:t>矿山、金属冶炼建设项目和用于生产、储存、装卸危险物品的建设项目的安全设施设计应当按照国家有关规定报经有关部门审查，审查部门及其负责审查的人员对审查结果负责。</w:t>
            </w:r>
          </w:p>
          <w:p w14:paraId="1257EB82">
            <w:pPr>
              <w:widowControl/>
              <w:adjustRightInd w:val="0"/>
              <w:snapToGrid w:val="0"/>
              <w:rPr>
                <w:rFonts w:hint="eastAsia" w:ascii="仿宋_GB2312" w:hAnsi="仿宋_GB2312" w:eastAsia="仿宋_GB2312" w:cs="仿宋_GB2312"/>
                <w:color w:val="auto"/>
                <w:kern w:val="0"/>
                <w:sz w:val="32"/>
                <w:szCs w:val="32"/>
              </w:rPr>
            </w:pPr>
          </w:p>
        </w:tc>
        <w:tc>
          <w:tcPr>
            <w:tcW w:w="3899" w:type="dxa"/>
          </w:tcPr>
          <w:p w14:paraId="2384CA1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4707661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4713633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（3）建设项目审批、核准或备案的文件；</w:t>
            </w:r>
          </w:p>
          <w:p w14:paraId="748D88E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（4）建设项目安全预评价报告及相关文件资料；</w:t>
            </w:r>
          </w:p>
          <w:p w14:paraId="217E49B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（5）设计单位的设计资质证明文件；</w:t>
            </w:r>
          </w:p>
          <w:p w14:paraId="5174EE3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（6）建设项目安全设施设计；</w:t>
            </w:r>
          </w:p>
          <w:p w14:paraId="421EAEC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（7）建设项目安全设施设计审查批准文件或报告；</w:t>
            </w:r>
          </w:p>
          <w:p w14:paraId="75C260D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（8）建设项目安全验收评价报告；</w:t>
            </w:r>
          </w:p>
          <w:p w14:paraId="71FA75A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（9）现场核实图片或影像资料；</w:t>
            </w:r>
          </w:p>
          <w:p w14:paraId="28359EA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（10）《现场检查记录》《责令限期整改指令书》等相关执法文书；</w:t>
            </w:r>
          </w:p>
          <w:p w14:paraId="37B2B8D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bCs/>
                <w:color w:val="auto"/>
                <w:sz w:val="32"/>
                <w:szCs w:val="32"/>
              </w:rPr>
              <w:t>相关人员任职文件、身份证明及其询问笔录；</w:t>
            </w:r>
          </w:p>
          <w:p w14:paraId="4D2683F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（12）其他相关证据。</w:t>
            </w:r>
          </w:p>
        </w:tc>
        <w:tc>
          <w:tcPr>
            <w:tcW w:w="3899" w:type="dxa"/>
            <w:vAlign w:val="center"/>
          </w:tcPr>
          <w:p w14:paraId="517BEA13">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第九十八条第二项</w:t>
            </w:r>
            <w:r>
              <w:rPr>
                <w:rFonts w:hint="eastAsia" w:ascii="仿宋_GB2312" w:hAnsi="仿宋_GB2312" w:eastAsia="仿宋_GB2312" w:cs="仿宋_GB2312"/>
                <w:color w:val="auto"/>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05FF5C9B">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（二）矿山、金属冶炼建设项目或者用于生产、储存、装卸危险物品的建设项目没有安全设施设计或者安全设施设计未按照规定报经有关部门审查同意的；</w:t>
            </w:r>
          </w:p>
        </w:tc>
        <w:tc>
          <w:tcPr>
            <w:tcW w:w="951" w:type="dxa"/>
          </w:tcPr>
          <w:p w14:paraId="6FF9C9C3">
            <w:pPr>
              <w:ind w:firstLine="640" w:firstLineChars="200"/>
              <w:rPr>
                <w:rFonts w:hint="eastAsia" w:ascii="仿宋_GB2312" w:hAnsi="仿宋_GB2312" w:eastAsia="仿宋_GB2312" w:cs="仿宋_GB2312"/>
                <w:color w:val="auto"/>
                <w:sz w:val="32"/>
                <w:szCs w:val="32"/>
              </w:rPr>
            </w:pPr>
          </w:p>
        </w:tc>
      </w:tr>
      <w:tr w14:paraId="2172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56" w:hRule="atLeast"/>
          <w:jc w:val="center"/>
        </w:trPr>
        <w:tc>
          <w:tcPr>
            <w:tcW w:w="616" w:type="dxa"/>
            <w:vMerge w:val="continue"/>
            <w:vAlign w:val="center"/>
          </w:tcPr>
          <w:p w14:paraId="56040B30">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2FE624A9">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018A9E5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6.3 高危建设项目安全设施设计重新审查</w:t>
            </w:r>
          </w:p>
        </w:tc>
        <w:tc>
          <w:tcPr>
            <w:tcW w:w="3899" w:type="dxa"/>
            <w:vAlign w:val="center"/>
          </w:tcPr>
          <w:p w14:paraId="192F958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《建设项目安全设施“三同时”监督管理办法》第十五条</w:t>
            </w:r>
            <w:r>
              <w:rPr>
                <w:rFonts w:hint="eastAsia" w:ascii="仿宋_GB2312" w:hAnsi="仿宋_GB2312" w:eastAsia="仿宋_GB2312" w:cs="仿宋_GB2312"/>
                <w:color w:val="auto"/>
                <w:kern w:val="0"/>
                <w:sz w:val="32"/>
                <w:szCs w:val="32"/>
              </w:rPr>
              <w:t>已经批准的建设项目及其安全设施设计有下列情形之一的，生产经营单位应当报原批准部门审查同意；未经审查同意的，不得开工建设：</w:t>
            </w:r>
          </w:p>
          <w:p w14:paraId="5043712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（一）建设项目的规模、生产工艺、原料、设备发生重大变更的；</w:t>
            </w:r>
          </w:p>
          <w:p w14:paraId="6291AC5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（二）改变安全设施设计且可能降低安全性能的；</w:t>
            </w:r>
          </w:p>
          <w:p w14:paraId="7AF332D5">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（三）在施工期间重新设计的。</w:t>
            </w:r>
          </w:p>
        </w:tc>
        <w:tc>
          <w:tcPr>
            <w:tcW w:w="3899" w:type="dxa"/>
          </w:tcPr>
          <w:p w14:paraId="24E3D62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66B0E38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3A8B4E1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（3）建设项目审批、核准或备案的文件；</w:t>
            </w:r>
          </w:p>
          <w:p w14:paraId="0B8F2AD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（4）建设项目安全预评价报告及相关文件资料；</w:t>
            </w:r>
          </w:p>
          <w:p w14:paraId="2D267B6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（5）设计单位的设计资质证明文件；</w:t>
            </w:r>
          </w:p>
          <w:p w14:paraId="6F0A3F2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（6）建设项目安全设施设计；</w:t>
            </w:r>
          </w:p>
          <w:p w14:paraId="1EFE5CF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（7）建设项目安全设施设计审查批准文件或报告；</w:t>
            </w:r>
          </w:p>
          <w:p w14:paraId="2C4821A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（8）建设项目安全验收评价报告；</w:t>
            </w:r>
          </w:p>
          <w:p w14:paraId="2F8532D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（9）现场核实图片或影像资料；</w:t>
            </w:r>
          </w:p>
          <w:p w14:paraId="77E082B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（10）《现场检查记录》《责令限期整改指令书》等相关执法文书；</w:t>
            </w:r>
          </w:p>
          <w:p w14:paraId="64EAB34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bCs/>
                <w:color w:val="auto"/>
                <w:sz w:val="32"/>
                <w:szCs w:val="32"/>
              </w:rPr>
              <w:t>相关人员任职文件、身份证明及其询问笔录；</w:t>
            </w:r>
          </w:p>
          <w:p w14:paraId="290929F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（12）其他相关证据。</w:t>
            </w:r>
          </w:p>
        </w:tc>
        <w:tc>
          <w:tcPr>
            <w:tcW w:w="3899" w:type="dxa"/>
            <w:vAlign w:val="center"/>
          </w:tcPr>
          <w:p w14:paraId="2104F00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建设项目安全设施“三同时”监督管理办法》第二十九条</w:t>
            </w:r>
            <w:r>
              <w:rPr>
                <w:rFonts w:hint="eastAsia" w:ascii="仿宋_GB2312" w:hAnsi="仿宋_GB2312" w:eastAsia="仿宋_GB2312" w:cs="仿宋_GB2312"/>
                <w:color w:val="auto"/>
                <w:sz w:val="32"/>
                <w:szCs w:val="32"/>
              </w:rPr>
              <w:t>已经批准的建设项目安全设施设计发生重大变更，生产经营单位未报原批准部门审查同意擅自开工建设的，责令限期改正，可以并处1万元以上3万元以下的罚款。</w:t>
            </w:r>
          </w:p>
        </w:tc>
        <w:tc>
          <w:tcPr>
            <w:tcW w:w="951" w:type="dxa"/>
          </w:tcPr>
          <w:p w14:paraId="4E850E59">
            <w:pPr>
              <w:ind w:firstLine="640" w:firstLineChars="200"/>
              <w:rPr>
                <w:rFonts w:hint="eastAsia" w:ascii="仿宋_GB2312" w:hAnsi="仿宋_GB2312" w:eastAsia="仿宋_GB2312" w:cs="仿宋_GB2312"/>
                <w:color w:val="auto"/>
                <w:sz w:val="32"/>
                <w:szCs w:val="32"/>
              </w:rPr>
            </w:pPr>
          </w:p>
        </w:tc>
      </w:tr>
      <w:tr w14:paraId="5F42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206" w:hRule="atLeast"/>
          <w:jc w:val="center"/>
        </w:trPr>
        <w:tc>
          <w:tcPr>
            <w:tcW w:w="616" w:type="dxa"/>
            <w:vMerge w:val="continue"/>
            <w:vAlign w:val="center"/>
          </w:tcPr>
          <w:p w14:paraId="2375F8C1">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20D2245B">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3611CAE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6.4 高危建设项目安全设施按照批准的设计施工</w:t>
            </w:r>
          </w:p>
        </w:tc>
        <w:tc>
          <w:tcPr>
            <w:tcW w:w="3899" w:type="dxa"/>
            <w:vAlign w:val="center"/>
          </w:tcPr>
          <w:p w14:paraId="140D9DE4">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第三十四条第一款</w:t>
            </w:r>
            <w:r>
              <w:rPr>
                <w:rFonts w:hint="eastAsia" w:ascii="仿宋_GB2312" w:hAnsi="仿宋_GB2312" w:eastAsia="仿宋_GB2312" w:cs="仿宋_GB2312"/>
                <w:color w:val="auto"/>
                <w:sz w:val="32"/>
                <w:szCs w:val="32"/>
              </w:rPr>
              <w:t>矿山、金属冶炼建设项目和用于生产、储存、装卸危险物品的建设项目的施工单位必须按照批准的安全设施设计施工，并对安全设施的工程质量负责。</w:t>
            </w:r>
          </w:p>
          <w:p w14:paraId="4F137EF4">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tcPr>
          <w:p w14:paraId="767FFF6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2D27E0B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2600DBE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（3）建设项目审批、核准或备案的文件；</w:t>
            </w:r>
          </w:p>
          <w:p w14:paraId="5458726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（4）建设项目安全预评价报告及相关文件资料；</w:t>
            </w:r>
          </w:p>
          <w:p w14:paraId="22D818A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（5）设计单位的设计资质证明文件；</w:t>
            </w:r>
          </w:p>
          <w:p w14:paraId="6E2470A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（6）建设项目安全设施设计；</w:t>
            </w:r>
          </w:p>
          <w:p w14:paraId="41D4E7D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（7）建设项目安全设施设计审查批准文件或报告；</w:t>
            </w:r>
          </w:p>
          <w:p w14:paraId="455C505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（8）建设项目安全验收评价报告；</w:t>
            </w:r>
          </w:p>
          <w:p w14:paraId="70FB8C4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（9）现场核实图片或影像资料；</w:t>
            </w:r>
          </w:p>
          <w:p w14:paraId="2508AD2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（10）《现场检查记录》《责令限期整改指令书》等相关执法文书；</w:t>
            </w:r>
          </w:p>
          <w:p w14:paraId="058AA29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bCs/>
                <w:color w:val="auto"/>
                <w:sz w:val="32"/>
                <w:szCs w:val="32"/>
              </w:rPr>
              <w:t>相关人员任职文件、身份证明及其询问笔录；</w:t>
            </w:r>
          </w:p>
          <w:p w14:paraId="7805ADA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（12）其他相关证据。</w:t>
            </w:r>
          </w:p>
        </w:tc>
        <w:tc>
          <w:tcPr>
            <w:tcW w:w="3899" w:type="dxa"/>
            <w:vAlign w:val="center"/>
          </w:tcPr>
          <w:p w14:paraId="0FEEC2C0">
            <w:pPr>
              <w:widowControl/>
              <w:shd w:val="clear" w:color="auto" w:fill="FFFFFF"/>
              <w:ind w:firstLine="1285" w:firstLineChars="4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第九十八条第三项</w:t>
            </w:r>
            <w:r>
              <w:rPr>
                <w:rFonts w:hint="eastAsia" w:ascii="仿宋_GB2312" w:hAnsi="仿宋_GB2312" w:eastAsia="仿宋_GB2312" w:cs="仿宋_GB2312"/>
                <w:color w:val="auto"/>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0DD4DB02">
            <w:pPr>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（三）矿山、金属冶炼建设项目或者用于生产、储存、装卸危险物品的建设项目的施工单位未按照批准的安全设施设计施工的；</w:t>
            </w:r>
          </w:p>
        </w:tc>
        <w:tc>
          <w:tcPr>
            <w:tcW w:w="951" w:type="dxa"/>
          </w:tcPr>
          <w:p w14:paraId="3FC35DA3">
            <w:pPr>
              <w:ind w:firstLine="640" w:firstLineChars="200"/>
              <w:rPr>
                <w:rFonts w:hint="eastAsia" w:ascii="仿宋_GB2312" w:hAnsi="仿宋_GB2312" w:eastAsia="仿宋_GB2312" w:cs="仿宋_GB2312"/>
                <w:color w:val="auto"/>
                <w:sz w:val="32"/>
                <w:szCs w:val="32"/>
              </w:rPr>
            </w:pPr>
          </w:p>
        </w:tc>
      </w:tr>
      <w:tr w14:paraId="533A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70" w:hRule="atLeast"/>
          <w:jc w:val="center"/>
        </w:trPr>
        <w:tc>
          <w:tcPr>
            <w:tcW w:w="616" w:type="dxa"/>
            <w:vMerge w:val="restart"/>
            <w:vAlign w:val="center"/>
          </w:tcPr>
          <w:p w14:paraId="1F413FBA">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750627C0">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2EB7B60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6.5 高危建设项目安全设施竣工验收</w:t>
            </w:r>
          </w:p>
        </w:tc>
        <w:tc>
          <w:tcPr>
            <w:tcW w:w="3899" w:type="dxa"/>
            <w:vAlign w:val="center"/>
          </w:tcPr>
          <w:p w14:paraId="792872B6">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第三十四条第二款</w:t>
            </w:r>
            <w:r>
              <w:rPr>
                <w:rFonts w:hint="eastAsia" w:ascii="仿宋_GB2312" w:hAnsi="仿宋_GB2312" w:eastAsia="仿宋_GB2312" w:cs="仿宋_GB2312"/>
                <w:color w:val="auto"/>
                <w:sz w:val="32"/>
                <w:szCs w:val="3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37BE6738">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tcPr>
          <w:p w14:paraId="16E43DC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7063192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6C346BF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（3）建设项目审批、核准或备案的文件；</w:t>
            </w:r>
          </w:p>
          <w:p w14:paraId="1210829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（4）建设项目安全预评价报告及相关文件资料；</w:t>
            </w:r>
          </w:p>
          <w:p w14:paraId="56DB2DF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（5）设计单位的设计资质证明文件；</w:t>
            </w:r>
          </w:p>
          <w:p w14:paraId="54067BB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（6）建设项目安全设施设计；</w:t>
            </w:r>
          </w:p>
          <w:p w14:paraId="20B452D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（7）建设项目安全设施设计审查批准文件或报告；</w:t>
            </w:r>
          </w:p>
          <w:p w14:paraId="09315C5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（8）建设项目安全验收评价报告；</w:t>
            </w:r>
          </w:p>
          <w:p w14:paraId="4DAD1D2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（9）现场核实图片或影像资料；</w:t>
            </w:r>
          </w:p>
          <w:p w14:paraId="3DFB5F1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（10）《现场检查记录》《责令限期整改指令书》等相关执法文书；</w:t>
            </w:r>
          </w:p>
          <w:p w14:paraId="692D348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bCs/>
                <w:color w:val="auto"/>
                <w:sz w:val="32"/>
                <w:szCs w:val="32"/>
              </w:rPr>
              <w:t>相关人员任职文件、身份证明及其询问笔录；</w:t>
            </w:r>
          </w:p>
          <w:p w14:paraId="4F861C4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（12）其他相关证据。</w:t>
            </w:r>
          </w:p>
        </w:tc>
        <w:tc>
          <w:tcPr>
            <w:tcW w:w="3899" w:type="dxa"/>
            <w:vAlign w:val="center"/>
          </w:tcPr>
          <w:p w14:paraId="0A514E56">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第九十八条第四项</w:t>
            </w:r>
            <w:r>
              <w:rPr>
                <w:rFonts w:hint="eastAsia" w:ascii="仿宋_GB2312" w:hAnsi="仿宋_GB2312" w:eastAsia="仿宋_GB2312" w:cs="仿宋_GB2312"/>
                <w:color w:val="auto"/>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128D936F">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（四）矿山、金属冶炼建设项目或者用于生产、储存、装卸危险物品的建设项目竣工投入生产或者使用前，安全设施未经验收合格的。</w:t>
            </w:r>
          </w:p>
        </w:tc>
        <w:tc>
          <w:tcPr>
            <w:tcW w:w="951" w:type="dxa"/>
          </w:tcPr>
          <w:p w14:paraId="402F8C44">
            <w:pPr>
              <w:ind w:firstLine="640" w:firstLineChars="200"/>
              <w:rPr>
                <w:rFonts w:hint="eastAsia" w:ascii="仿宋_GB2312" w:hAnsi="仿宋_GB2312" w:eastAsia="仿宋_GB2312" w:cs="仿宋_GB2312"/>
                <w:color w:val="auto"/>
                <w:sz w:val="32"/>
                <w:szCs w:val="32"/>
              </w:rPr>
            </w:pPr>
          </w:p>
        </w:tc>
      </w:tr>
      <w:tr w14:paraId="3BEE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660" w:hRule="atLeast"/>
          <w:jc w:val="center"/>
        </w:trPr>
        <w:tc>
          <w:tcPr>
            <w:tcW w:w="616" w:type="dxa"/>
            <w:vMerge w:val="continue"/>
            <w:vAlign w:val="center"/>
          </w:tcPr>
          <w:p w14:paraId="313025A1">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6CE95566">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559FEA7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6.6 其他建设项目安全设施“三同时”</w:t>
            </w:r>
          </w:p>
        </w:tc>
        <w:tc>
          <w:tcPr>
            <w:tcW w:w="3899" w:type="dxa"/>
            <w:vAlign w:val="center"/>
          </w:tcPr>
          <w:p w14:paraId="7E4E29C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《建设项目安全设施“三同时”监督管理办法》第七条</w:t>
            </w:r>
            <w:r>
              <w:rPr>
                <w:rFonts w:hint="eastAsia" w:ascii="仿宋_GB2312" w:hAnsi="仿宋_GB2312" w:eastAsia="仿宋_GB2312" w:cs="仿宋_GB2312"/>
                <w:color w:val="auto"/>
                <w:kern w:val="0"/>
                <w:sz w:val="32"/>
                <w:szCs w:val="32"/>
              </w:rPr>
              <w:t>下列建设项目在进行可行性研究时，生产经营单位应当按照国家规定，进行安全预评价：</w:t>
            </w:r>
          </w:p>
          <w:p w14:paraId="5D5056F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（一）非煤矿矿山建设项目；</w:t>
            </w:r>
          </w:p>
          <w:p w14:paraId="2F0D179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（二）生产、储存危险化学品（包括使用长输管道输送危险化学品，下同）的建设项目；</w:t>
            </w:r>
          </w:p>
          <w:p w14:paraId="1A7DC01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（三）生产、储存烟花爆竹的建设项目；</w:t>
            </w:r>
          </w:p>
          <w:p w14:paraId="29AF1AB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（四）金属冶炼建设项目；</w:t>
            </w:r>
          </w:p>
          <w:p w14:paraId="41ADEAB7">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（五）使用危险化学品从事生产并且使用量达到规定数量的化工建设项目（属于危险化学品生产的除外，下同）；</w:t>
            </w:r>
          </w:p>
          <w:p w14:paraId="59CD9B0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（六）法律、行政法规和国务院规定的其他建设项目。</w:t>
            </w:r>
          </w:p>
        </w:tc>
        <w:tc>
          <w:tcPr>
            <w:tcW w:w="3899" w:type="dxa"/>
          </w:tcPr>
          <w:p w14:paraId="5214FEA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0EF556F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2EE6DA6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（3）建设项目审批、核准或备案的文件；</w:t>
            </w:r>
          </w:p>
          <w:p w14:paraId="150C9FE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（4）建设项目安全预评价报告及相关文件资料；</w:t>
            </w:r>
          </w:p>
          <w:p w14:paraId="75BC928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（5）设计单位的设计资质证明文件；</w:t>
            </w:r>
          </w:p>
          <w:p w14:paraId="72C5C7D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（6）建设项目安全设施设计；</w:t>
            </w:r>
          </w:p>
          <w:p w14:paraId="57C712B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（7）建设项目安全设施设计审查批准文件或报告；</w:t>
            </w:r>
          </w:p>
          <w:p w14:paraId="4674F8C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（8）建设项目安全验收评价报告；</w:t>
            </w:r>
          </w:p>
          <w:p w14:paraId="4967153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（9）现场核实图片或影像资料；</w:t>
            </w:r>
          </w:p>
          <w:p w14:paraId="7333490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（10）《现场检查记录》《责令限期整改指令书》等相关执法文书；</w:t>
            </w:r>
          </w:p>
          <w:p w14:paraId="5BE2953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（11）相关人员任职文件、身份证明及其询问笔录；</w:t>
            </w:r>
          </w:p>
          <w:p w14:paraId="527B97B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（12）其他相关证据。</w:t>
            </w:r>
          </w:p>
        </w:tc>
        <w:tc>
          <w:tcPr>
            <w:tcW w:w="3899" w:type="dxa"/>
            <w:vAlign w:val="center"/>
          </w:tcPr>
          <w:p w14:paraId="6F9D46B0">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《建设项目安全设施“三同时”监督管理办法》</w:t>
            </w:r>
            <w:r>
              <w:rPr>
                <w:rFonts w:hint="eastAsia" w:ascii="仿宋_GB2312" w:hAnsi="仿宋_GB2312" w:eastAsia="仿宋_GB2312" w:cs="仿宋_GB2312"/>
                <w:color w:val="auto"/>
                <w:sz w:val="32"/>
                <w:szCs w:val="32"/>
              </w:rPr>
              <w:t>第三十条本办法第七条第（一）项、第（二）项、第（三）项和第（四）项规定以外的建设项目有下列情形之一的，对有关生产经营单位责令限期改正，可以并处5000元以上3万元以下的罚款：</w:t>
            </w:r>
          </w:p>
          <w:p w14:paraId="78A3886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（一）没有安全设施设计的；</w:t>
            </w:r>
          </w:p>
          <w:p w14:paraId="3478BA8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（二）安全设施设计未组织审查，并形成书面审查报告的；</w:t>
            </w:r>
          </w:p>
          <w:p w14:paraId="283178F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（三）施工单位未按照安全设施设计施工的；</w:t>
            </w:r>
          </w:p>
          <w:p w14:paraId="58C5165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（四）投入生产或者使用前，安全设施未经竣工验收合格，并形成书面报告的。</w:t>
            </w:r>
          </w:p>
        </w:tc>
        <w:tc>
          <w:tcPr>
            <w:tcW w:w="951" w:type="dxa"/>
          </w:tcPr>
          <w:p w14:paraId="475F09D2">
            <w:pPr>
              <w:ind w:firstLine="640" w:firstLineChars="200"/>
              <w:rPr>
                <w:rFonts w:hint="eastAsia" w:ascii="仿宋_GB2312" w:hAnsi="仿宋_GB2312" w:eastAsia="仿宋_GB2312" w:cs="仿宋_GB2312"/>
                <w:color w:val="auto"/>
                <w:sz w:val="32"/>
                <w:szCs w:val="32"/>
              </w:rPr>
            </w:pPr>
          </w:p>
        </w:tc>
      </w:tr>
      <w:tr w14:paraId="7D88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97" w:hRule="atLeast"/>
          <w:jc w:val="center"/>
        </w:trPr>
        <w:tc>
          <w:tcPr>
            <w:tcW w:w="616" w:type="dxa"/>
            <w:vAlign w:val="center"/>
          </w:tcPr>
          <w:p w14:paraId="1C9686CE">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p>
        </w:tc>
        <w:tc>
          <w:tcPr>
            <w:tcW w:w="950" w:type="dxa"/>
            <w:vAlign w:val="center"/>
          </w:tcPr>
          <w:p w14:paraId="6FEB74D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安全警示标志情况</w:t>
            </w:r>
          </w:p>
        </w:tc>
        <w:tc>
          <w:tcPr>
            <w:tcW w:w="951" w:type="dxa"/>
            <w:vAlign w:val="center"/>
          </w:tcPr>
          <w:p w14:paraId="18D86FB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在有较大危险因素的场所和有关设施、设备上设置安全警示标志</w:t>
            </w:r>
          </w:p>
        </w:tc>
        <w:tc>
          <w:tcPr>
            <w:tcW w:w="3899" w:type="dxa"/>
            <w:vAlign w:val="center"/>
          </w:tcPr>
          <w:p w14:paraId="15AD7508">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第三十五条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生产经营单位应当在有较大危险因素的生产经营场所和有关设施、设备上，设置明显的安全警示标志。</w:t>
            </w:r>
          </w:p>
          <w:p w14:paraId="0ECE8D7A">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tcPr>
          <w:p w14:paraId="0530796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409E375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14104C3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（3）企业较大危险因素辨识的相关资料；</w:t>
            </w:r>
          </w:p>
          <w:p w14:paraId="6CC539F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（4）现场核实图片或影像资料；</w:t>
            </w:r>
          </w:p>
          <w:p w14:paraId="78AE250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（5）《现场检查记录》《责令限期整改指令书》等相关执法文书；</w:t>
            </w:r>
          </w:p>
          <w:p w14:paraId="71FA464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bCs/>
                <w:color w:val="auto"/>
                <w:sz w:val="32"/>
                <w:szCs w:val="32"/>
              </w:rPr>
              <w:t>相关人员任职文件、身份证明及其询问笔录；</w:t>
            </w:r>
          </w:p>
          <w:p w14:paraId="1B2C1F1C">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（7）其他相关证据。</w:t>
            </w:r>
          </w:p>
        </w:tc>
        <w:tc>
          <w:tcPr>
            <w:tcW w:w="3899" w:type="dxa"/>
            <w:vAlign w:val="center"/>
          </w:tcPr>
          <w:p w14:paraId="3505A109">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第九十九条第一项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0006917">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（一）未在有较大危险因素的生产经营场所和有关设施、设备上设置明显的安全警示标志的；</w:t>
            </w:r>
          </w:p>
        </w:tc>
        <w:tc>
          <w:tcPr>
            <w:tcW w:w="951" w:type="dxa"/>
          </w:tcPr>
          <w:p w14:paraId="33BE1A9C">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26E7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28" w:hRule="atLeast"/>
          <w:jc w:val="center"/>
        </w:trPr>
        <w:tc>
          <w:tcPr>
            <w:tcW w:w="616" w:type="dxa"/>
            <w:vMerge w:val="restart"/>
            <w:vAlign w:val="center"/>
          </w:tcPr>
          <w:p w14:paraId="34A338C4">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w:t>
            </w:r>
          </w:p>
        </w:tc>
        <w:tc>
          <w:tcPr>
            <w:tcW w:w="950" w:type="dxa"/>
            <w:vMerge w:val="restart"/>
            <w:vAlign w:val="center"/>
          </w:tcPr>
          <w:p w14:paraId="5F6DBC7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安全设备情况</w:t>
            </w:r>
          </w:p>
        </w:tc>
        <w:tc>
          <w:tcPr>
            <w:tcW w:w="951" w:type="dxa"/>
            <w:vAlign w:val="center"/>
          </w:tcPr>
          <w:p w14:paraId="52556E0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8.1 安全设备安装、使用、报废</w:t>
            </w:r>
          </w:p>
        </w:tc>
        <w:tc>
          <w:tcPr>
            <w:tcW w:w="3899" w:type="dxa"/>
            <w:vAlign w:val="center"/>
          </w:tcPr>
          <w:p w14:paraId="7377A77D">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《中华人民共和国安全生产法》  第三十六条第一款 </w:t>
            </w:r>
            <w:r>
              <w:rPr>
                <w:rFonts w:hint="eastAsia" w:ascii="仿宋_GB2312" w:hAnsi="仿宋_GB2312" w:eastAsia="仿宋_GB2312" w:cs="仿宋_GB2312"/>
                <w:color w:val="auto"/>
                <w:sz w:val="32"/>
                <w:szCs w:val="32"/>
              </w:rPr>
              <w:t>安全设备的设计、制造、安装、使用、检测、维修、改造和报废，应当符合国家标准或者行业标准。</w:t>
            </w:r>
          </w:p>
          <w:p w14:paraId="3CC76FD0">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tcPr>
          <w:p w14:paraId="2010A25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7FC0DC6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753D5B0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（3）安全设备档案资料；</w:t>
            </w:r>
          </w:p>
          <w:p w14:paraId="48B8A67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（4）安全设备的维护、保养、检测记录；</w:t>
            </w:r>
          </w:p>
          <w:p w14:paraId="01A4ED2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（5）安全使用证或安全标志；</w:t>
            </w:r>
          </w:p>
          <w:p w14:paraId="4510E61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（6）现场核实图片或影像资料；</w:t>
            </w:r>
          </w:p>
          <w:p w14:paraId="18B1571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（7）《现场检查记录》《责令限期整改指令书》等相关执法文书；</w:t>
            </w:r>
          </w:p>
          <w:p w14:paraId="24B94E0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bCs/>
                <w:color w:val="auto"/>
                <w:sz w:val="32"/>
                <w:szCs w:val="32"/>
              </w:rPr>
              <w:t>相关人员任职文件、身份证明及其询问笔录；</w:t>
            </w:r>
          </w:p>
          <w:p w14:paraId="2787AEB2">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（9）其他相关证据。</w:t>
            </w:r>
          </w:p>
        </w:tc>
        <w:tc>
          <w:tcPr>
            <w:tcW w:w="3899" w:type="dxa"/>
            <w:vAlign w:val="center"/>
          </w:tcPr>
          <w:p w14:paraId="59754D12">
            <w:pPr>
              <w:ind w:firstLine="321"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《中华人民共和国安全生产法》  第九十九条第二项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B2AABAD">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（二）安全设备的安装、使用、检测、改造和报废不符合国家标准或者行业标准的；</w:t>
            </w:r>
          </w:p>
        </w:tc>
        <w:tc>
          <w:tcPr>
            <w:tcW w:w="951" w:type="dxa"/>
          </w:tcPr>
          <w:p w14:paraId="0A2F4FA7">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5441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23" w:hRule="atLeast"/>
          <w:jc w:val="center"/>
        </w:trPr>
        <w:tc>
          <w:tcPr>
            <w:tcW w:w="616" w:type="dxa"/>
            <w:vMerge w:val="continue"/>
            <w:vAlign w:val="center"/>
          </w:tcPr>
          <w:p w14:paraId="212D9978">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5D59AB71">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414658D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8.2 安全设备维护、保养、检测</w:t>
            </w:r>
          </w:p>
        </w:tc>
        <w:tc>
          <w:tcPr>
            <w:tcW w:w="3899" w:type="dxa"/>
            <w:vAlign w:val="center"/>
          </w:tcPr>
          <w:p w14:paraId="51E71BEB">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第三十六条第二款</w:t>
            </w:r>
            <w:r>
              <w:rPr>
                <w:rFonts w:hint="eastAsia" w:ascii="仿宋_GB2312" w:hAnsi="仿宋_GB2312" w:eastAsia="仿宋_GB2312" w:cs="仿宋_GB2312"/>
                <w:color w:val="auto"/>
                <w:sz w:val="32"/>
                <w:szCs w:val="32"/>
              </w:rPr>
              <w:t>生产经营单位必须对安全设备进行经常性维护、保养，并定期检测，保证正常运转。维护、保养、检测应当作好记录，并由有关人员签字。</w:t>
            </w:r>
          </w:p>
          <w:p w14:paraId="31282F58">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tcPr>
          <w:p w14:paraId="1A68DC1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7117632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58EE5DD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（3）安全设备档案资料；</w:t>
            </w:r>
          </w:p>
          <w:p w14:paraId="1DD2B2D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（4）安全设备的维护、保养、检测记录；</w:t>
            </w:r>
          </w:p>
          <w:p w14:paraId="18FC1D8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（5）现场核实图片或影像资料；</w:t>
            </w:r>
          </w:p>
          <w:p w14:paraId="60E4BC1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（6）《现场检查记录》《责令限期整改指令书》等相关执法文书；</w:t>
            </w:r>
          </w:p>
          <w:p w14:paraId="7D5A6B3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bCs/>
                <w:color w:val="auto"/>
                <w:sz w:val="32"/>
                <w:szCs w:val="32"/>
              </w:rPr>
              <w:t>相关人员任职文件、身份证明及其询问笔录；</w:t>
            </w:r>
          </w:p>
          <w:p w14:paraId="7A867484">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（8）其他相关证据。</w:t>
            </w:r>
          </w:p>
        </w:tc>
        <w:tc>
          <w:tcPr>
            <w:tcW w:w="3899" w:type="dxa"/>
            <w:vAlign w:val="center"/>
          </w:tcPr>
          <w:p w14:paraId="4EFD5B63">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《中华人民共和国安全生产法》  第九十九条第三项 </w:t>
            </w:r>
            <w:r>
              <w:rPr>
                <w:rFonts w:hint="eastAsia" w:ascii="仿宋_GB2312" w:hAnsi="仿宋_GB2312" w:eastAsia="仿宋_GB2312" w:cs="仿宋_GB2312"/>
                <w:color w:val="auto"/>
                <w:sz w:val="32"/>
                <w:szCs w:val="32"/>
              </w:rPr>
              <w:t xml:space="preserve">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 </w:t>
            </w:r>
          </w:p>
          <w:p w14:paraId="57A398D9">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（三）未对安全设备进行经常性维护、保养和定期检测的；</w:t>
            </w:r>
          </w:p>
        </w:tc>
        <w:tc>
          <w:tcPr>
            <w:tcW w:w="951" w:type="dxa"/>
          </w:tcPr>
          <w:p w14:paraId="797B12DE">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66945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23" w:hRule="atLeast"/>
          <w:jc w:val="center"/>
        </w:trPr>
        <w:tc>
          <w:tcPr>
            <w:tcW w:w="616" w:type="dxa"/>
            <w:vMerge w:val="continue"/>
            <w:vAlign w:val="center"/>
          </w:tcPr>
          <w:p w14:paraId="4AAF33C0">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76526FF3">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1AFE9C6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8.3关闭、破坏直接关系生产安全的监控、报警、防护、救生设备、设施，或者篡改、隐瞒、销毁其相关数据、信息</w:t>
            </w:r>
          </w:p>
        </w:tc>
        <w:tc>
          <w:tcPr>
            <w:tcW w:w="3899" w:type="dxa"/>
            <w:vAlign w:val="center"/>
          </w:tcPr>
          <w:p w14:paraId="2C860D12">
            <w:pPr>
              <w:widowControl/>
              <w:shd w:val="clear" w:color="auto" w:fill="FFFFFF"/>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《中华人民共和国安全生产法》第三十六条第三款</w:t>
            </w:r>
            <w:r>
              <w:rPr>
                <w:rFonts w:hint="eastAsia" w:ascii="仿宋_GB2312" w:hAnsi="仿宋_GB2312" w:eastAsia="仿宋_GB2312" w:cs="仿宋_GB2312"/>
                <w:color w:val="auto"/>
                <w:kern w:val="0"/>
                <w:sz w:val="32"/>
                <w:szCs w:val="32"/>
              </w:rPr>
              <w:t>生产经营单位不得关闭、破坏直接关系生产安全的监控、报警、防护、救生设备、设施，或者篡改、隐瞒、销毁其相关数据、信息。</w:t>
            </w:r>
          </w:p>
        </w:tc>
        <w:tc>
          <w:tcPr>
            <w:tcW w:w="3899" w:type="dxa"/>
          </w:tcPr>
          <w:p w14:paraId="4A85F05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51556B2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793F4FC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（3）安全设备设施档案资料；</w:t>
            </w:r>
          </w:p>
          <w:p w14:paraId="0B18601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（4）安全设备设施的运行、维护、保养、检测记录；</w:t>
            </w:r>
          </w:p>
          <w:p w14:paraId="58D49DE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（5）现场核实图片或影像资料；</w:t>
            </w:r>
          </w:p>
          <w:p w14:paraId="5014335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（6）《现场检查记录》《责令限期整改指令书》等相关执法文书；</w:t>
            </w:r>
          </w:p>
          <w:p w14:paraId="4A71FED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bCs/>
                <w:color w:val="auto"/>
                <w:sz w:val="32"/>
                <w:szCs w:val="32"/>
              </w:rPr>
              <w:t>相关人员任职文件、身份证明及其询问笔录；</w:t>
            </w:r>
          </w:p>
          <w:p w14:paraId="2E56B0E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（8）其他相关证据。</w:t>
            </w:r>
          </w:p>
        </w:tc>
        <w:tc>
          <w:tcPr>
            <w:tcW w:w="3899" w:type="dxa"/>
            <w:vAlign w:val="center"/>
          </w:tcPr>
          <w:p w14:paraId="40821618">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《中华人民共和国安全生产法》第九十九条第四项 </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127DED9">
            <w:pPr>
              <w:widowControl/>
              <w:shd w:val="clear" w:color="auto" w:fill="FFFFFF"/>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（四）关闭、破坏直接关系生产安全的监控、报警、防护、救生设备、设施，或者篡改、隐瞒、销毁其相关数据、信息的；</w:t>
            </w:r>
          </w:p>
        </w:tc>
        <w:tc>
          <w:tcPr>
            <w:tcW w:w="951" w:type="dxa"/>
          </w:tcPr>
          <w:p w14:paraId="041AEE1A">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AD9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23" w:hRule="atLeast"/>
          <w:jc w:val="center"/>
        </w:trPr>
        <w:tc>
          <w:tcPr>
            <w:tcW w:w="616" w:type="dxa"/>
            <w:vMerge w:val="continue"/>
            <w:vAlign w:val="center"/>
          </w:tcPr>
          <w:p w14:paraId="2160507F">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6F4252E0">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1B5E96A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8.4餐饮等行业的生产经营单位安装使用可燃气体报警装置</w:t>
            </w:r>
          </w:p>
        </w:tc>
        <w:tc>
          <w:tcPr>
            <w:tcW w:w="3899" w:type="dxa"/>
            <w:vAlign w:val="center"/>
          </w:tcPr>
          <w:p w14:paraId="2CFADBCF">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《中华人民共和国安全生产法》第三十六条第四款</w:t>
            </w:r>
            <w:r>
              <w:rPr>
                <w:rFonts w:hint="eastAsia" w:ascii="仿宋_GB2312" w:hAnsi="仿宋_GB2312" w:eastAsia="仿宋_GB2312" w:cs="仿宋_GB2312"/>
                <w:color w:val="auto"/>
                <w:kern w:val="0"/>
                <w:sz w:val="32"/>
                <w:szCs w:val="32"/>
              </w:rPr>
              <w:t>餐饮等行业的生产经营单位使用燃气的，应当安装可燃气体报警装置，并保障其正常使用。</w:t>
            </w:r>
          </w:p>
          <w:p w14:paraId="21E85C6F">
            <w:pPr>
              <w:widowControl/>
              <w:shd w:val="clear" w:color="auto" w:fill="FFFFFF"/>
              <w:rPr>
                <w:rFonts w:hint="eastAsia" w:ascii="仿宋_GB2312" w:hAnsi="仿宋_GB2312" w:eastAsia="仿宋_GB2312" w:cs="仿宋_GB2312"/>
                <w:color w:val="auto"/>
                <w:kern w:val="0"/>
                <w:sz w:val="32"/>
                <w:szCs w:val="32"/>
              </w:rPr>
            </w:pPr>
          </w:p>
          <w:p w14:paraId="2E81C807">
            <w:pPr>
              <w:widowControl/>
              <w:shd w:val="clear" w:color="auto" w:fill="FFFFFF"/>
              <w:rPr>
                <w:rFonts w:hint="eastAsia" w:ascii="仿宋_GB2312" w:hAnsi="仿宋_GB2312" w:eastAsia="仿宋_GB2312" w:cs="仿宋_GB2312"/>
                <w:b/>
                <w:bCs/>
                <w:color w:val="auto"/>
                <w:kern w:val="0"/>
                <w:sz w:val="32"/>
                <w:szCs w:val="32"/>
              </w:rPr>
            </w:pPr>
          </w:p>
        </w:tc>
        <w:tc>
          <w:tcPr>
            <w:tcW w:w="3899" w:type="dxa"/>
          </w:tcPr>
          <w:p w14:paraId="37BE90B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1089994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6B5B87A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kern w:val="0"/>
                <w:sz w:val="32"/>
                <w:szCs w:val="32"/>
              </w:rPr>
              <w:t>可燃气体报警装置</w:t>
            </w:r>
            <w:r>
              <w:rPr>
                <w:rFonts w:hint="eastAsia" w:ascii="仿宋_GB2312" w:hAnsi="仿宋_GB2312" w:eastAsia="仿宋_GB2312" w:cs="仿宋_GB2312"/>
                <w:color w:val="auto"/>
                <w:sz w:val="32"/>
                <w:szCs w:val="32"/>
              </w:rPr>
              <w:t>档案资料；</w:t>
            </w:r>
          </w:p>
          <w:p w14:paraId="7BEF56A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kern w:val="0"/>
                <w:sz w:val="32"/>
                <w:szCs w:val="32"/>
              </w:rPr>
              <w:t>可燃气体报警装置</w:t>
            </w:r>
            <w:r>
              <w:rPr>
                <w:rFonts w:hint="eastAsia" w:ascii="仿宋_GB2312" w:hAnsi="仿宋_GB2312" w:eastAsia="仿宋_GB2312" w:cs="仿宋_GB2312"/>
                <w:color w:val="auto"/>
                <w:sz w:val="32"/>
                <w:szCs w:val="32"/>
              </w:rPr>
              <w:t>的运行、维护、保养、检测记录；</w:t>
            </w:r>
          </w:p>
          <w:p w14:paraId="6D2CB6F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（5）现场核实图片或影像资料；</w:t>
            </w:r>
          </w:p>
          <w:p w14:paraId="3B346FC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（6）《现场检查记录》《责令限期整改指令书》等相关执法文书；</w:t>
            </w:r>
          </w:p>
          <w:p w14:paraId="62250E5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bCs/>
                <w:color w:val="auto"/>
                <w:sz w:val="32"/>
                <w:szCs w:val="32"/>
              </w:rPr>
              <w:t>相关人员任职文件、身份证明及其询问笔录；</w:t>
            </w:r>
          </w:p>
          <w:p w14:paraId="666462D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（8）其他相关证据。</w:t>
            </w:r>
          </w:p>
        </w:tc>
        <w:tc>
          <w:tcPr>
            <w:tcW w:w="3899" w:type="dxa"/>
            <w:vAlign w:val="center"/>
          </w:tcPr>
          <w:p w14:paraId="008DB83B">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《中华人民共和国安全生产法》第九十九条第八项</w:t>
            </w:r>
            <w:r>
              <w:rPr>
                <w:rFonts w:hint="eastAsia" w:ascii="仿宋_GB2312" w:hAnsi="仿宋_GB2312" w:eastAsia="仿宋_GB2312" w:cs="仿宋_GB2312"/>
                <w:color w:val="auto"/>
                <w:kern w:val="0"/>
                <w:sz w:val="32"/>
                <w:szCs w:val="32"/>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F85E5BA">
            <w:pPr>
              <w:widowControl/>
              <w:shd w:val="clear" w:color="auto" w:fill="FFFFFF"/>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（八）餐饮等行业的生产经营单位使用燃气未安装可燃气体报警装置的。</w:t>
            </w:r>
          </w:p>
        </w:tc>
        <w:tc>
          <w:tcPr>
            <w:tcW w:w="951" w:type="dxa"/>
          </w:tcPr>
          <w:p w14:paraId="3B077133">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1D1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70" w:hRule="atLeast"/>
          <w:jc w:val="center"/>
        </w:trPr>
        <w:tc>
          <w:tcPr>
            <w:tcW w:w="616" w:type="dxa"/>
            <w:vAlign w:val="center"/>
          </w:tcPr>
          <w:p w14:paraId="0BC9C164">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w:t>
            </w:r>
          </w:p>
        </w:tc>
        <w:tc>
          <w:tcPr>
            <w:tcW w:w="950" w:type="dxa"/>
            <w:vAlign w:val="center"/>
          </w:tcPr>
          <w:p w14:paraId="3C5A44A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重大危险源安全管理情况</w:t>
            </w:r>
          </w:p>
        </w:tc>
        <w:tc>
          <w:tcPr>
            <w:tcW w:w="951" w:type="dxa"/>
            <w:vAlign w:val="center"/>
          </w:tcPr>
          <w:p w14:paraId="7CE6C06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重大危险源登记建档，定期检测、评估、监控，制定应急预案</w:t>
            </w:r>
          </w:p>
        </w:tc>
        <w:tc>
          <w:tcPr>
            <w:tcW w:w="3899" w:type="dxa"/>
            <w:vAlign w:val="center"/>
          </w:tcPr>
          <w:p w14:paraId="15532B04">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第四十条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生产经营单位对重大危险源应当登记建档，进行定期检测、评估、监控，并制定应急预案，告知从业人员和相关人员在紧急情况下应当采取的应急措施。</w:t>
            </w:r>
          </w:p>
          <w:p w14:paraId="6449A16D">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14:paraId="71836D3F">
            <w:pPr>
              <w:widowControl/>
              <w:adjustRightInd w:val="0"/>
              <w:snapToGrid w:val="0"/>
              <w:rPr>
                <w:rFonts w:hint="eastAsia" w:ascii="仿宋_GB2312" w:hAnsi="仿宋_GB2312" w:eastAsia="仿宋_GB2312" w:cs="仿宋_GB2312"/>
                <w:color w:val="auto"/>
                <w:kern w:val="0"/>
                <w:sz w:val="32"/>
                <w:szCs w:val="32"/>
              </w:rPr>
            </w:pPr>
          </w:p>
        </w:tc>
        <w:tc>
          <w:tcPr>
            <w:tcW w:w="3899" w:type="dxa"/>
          </w:tcPr>
          <w:p w14:paraId="5CD720B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5A2FA88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4542302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（3）重大危险源辨识记录；</w:t>
            </w:r>
          </w:p>
          <w:p w14:paraId="3D2047D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（4）重大危险源安全评估报告；</w:t>
            </w:r>
          </w:p>
          <w:p w14:paraId="605CA63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（5）重大危险源安全管理规章制度和安全操作规程；</w:t>
            </w:r>
          </w:p>
          <w:p w14:paraId="4012035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（6）安全监测监控数据；</w:t>
            </w:r>
          </w:p>
          <w:p w14:paraId="25863C4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（7）重大危险源档案；</w:t>
            </w:r>
          </w:p>
          <w:p w14:paraId="6ACDEC3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（8）重大危险源事故应急预案及演练记录；</w:t>
            </w:r>
          </w:p>
          <w:p w14:paraId="5C0CDB5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（9）设置明显安全警示标志的图片；</w:t>
            </w:r>
          </w:p>
          <w:p w14:paraId="1C514E9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（10）维护、保养、检测记录；</w:t>
            </w:r>
          </w:p>
          <w:p w14:paraId="32C0990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（11）责任制资料；</w:t>
            </w:r>
          </w:p>
          <w:p w14:paraId="03F8E47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（12）重大危险源备案材料；</w:t>
            </w:r>
          </w:p>
          <w:p w14:paraId="2D3B55B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（13）定期安全检查记录；</w:t>
            </w:r>
          </w:p>
          <w:p w14:paraId="270BCA2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（14）《现场检查记录》《责令限期整改指令书》等相关执法文书；</w:t>
            </w:r>
          </w:p>
          <w:p w14:paraId="0388B2A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w:t>
            </w:r>
            <w:r>
              <w:rPr>
                <w:rFonts w:hint="eastAsia" w:ascii="仿宋_GB2312" w:hAnsi="仿宋_GB2312" w:eastAsia="仿宋_GB2312" w:cs="仿宋_GB2312"/>
                <w:bCs/>
                <w:color w:val="auto"/>
                <w:sz w:val="32"/>
                <w:szCs w:val="32"/>
              </w:rPr>
              <w:t>相关人员任职文件、身份证明及其询问笔录；</w:t>
            </w:r>
          </w:p>
          <w:p w14:paraId="71062084">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（16）其他相关证据。</w:t>
            </w:r>
          </w:p>
        </w:tc>
        <w:tc>
          <w:tcPr>
            <w:tcW w:w="3899" w:type="dxa"/>
            <w:vAlign w:val="center"/>
          </w:tcPr>
          <w:p w14:paraId="78D9FC08">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第一百零一条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4A38BA68">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（二）对重大危险源未登记建档，未进行定期检测、评估、监控，未制定应急预案，或者未告知应急措施的；</w:t>
            </w:r>
          </w:p>
          <w:p w14:paraId="15C3E3BD">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tcPr>
          <w:p w14:paraId="4E32055C">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26D2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70" w:hRule="atLeast"/>
          <w:jc w:val="center"/>
        </w:trPr>
        <w:tc>
          <w:tcPr>
            <w:tcW w:w="616" w:type="dxa"/>
            <w:vMerge w:val="restart"/>
            <w:vAlign w:val="center"/>
          </w:tcPr>
          <w:p w14:paraId="3CAB6B01">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w:t>
            </w:r>
          </w:p>
        </w:tc>
        <w:tc>
          <w:tcPr>
            <w:tcW w:w="950" w:type="dxa"/>
            <w:vMerge w:val="restart"/>
            <w:vAlign w:val="center"/>
          </w:tcPr>
          <w:p w14:paraId="7D83BBEB">
            <w:p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风险分级管控和隐患排查治理情况</w:t>
            </w:r>
          </w:p>
        </w:tc>
        <w:tc>
          <w:tcPr>
            <w:tcW w:w="951" w:type="dxa"/>
            <w:vAlign w:val="center"/>
          </w:tcPr>
          <w:p w14:paraId="3CB2E72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10.1风险分级管控制度</w:t>
            </w:r>
          </w:p>
        </w:tc>
        <w:tc>
          <w:tcPr>
            <w:tcW w:w="3899" w:type="dxa"/>
            <w:vAlign w:val="center"/>
          </w:tcPr>
          <w:p w14:paraId="7659C7EF">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《中华人民共和国安全生产法》第四十一条第一款 </w:t>
            </w:r>
            <w:r>
              <w:rPr>
                <w:rFonts w:hint="eastAsia" w:ascii="仿宋_GB2312" w:hAnsi="仿宋_GB2312" w:eastAsia="仿宋_GB2312" w:cs="仿宋_GB2312"/>
                <w:bCs/>
                <w:color w:val="auto"/>
                <w:sz w:val="32"/>
                <w:szCs w:val="32"/>
              </w:rPr>
              <w:t>生产经营单位应当建立安全风险分级管控制度，按照安全风险分级采取相应的管控措施。</w:t>
            </w:r>
          </w:p>
          <w:p w14:paraId="2430FF1B">
            <w:pPr>
              <w:widowControl/>
              <w:shd w:val="clear" w:color="auto" w:fill="FFFFFF"/>
              <w:rPr>
                <w:rFonts w:hint="eastAsia" w:ascii="仿宋_GB2312" w:hAnsi="仿宋_GB2312" w:eastAsia="仿宋_GB2312" w:cs="仿宋_GB2312"/>
                <w:b/>
                <w:bCs/>
                <w:color w:val="auto"/>
                <w:kern w:val="0"/>
                <w:sz w:val="32"/>
                <w:szCs w:val="32"/>
              </w:rPr>
            </w:pPr>
          </w:p>
        </w:tc>
        <w:tc>
          <w:tcPr>
            <w:tcW w:w="3899" w:type="dxa"/>
          </w:tcPr>
          <w:p w14:paraId="45AE544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4C0CA6D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311B8DB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bCs/>
                <w:color w:val="auto"/>
                <w:sz w:val="32"/>
                <w:szCs w:val="32"/>
              </w:rPr>
              <w:t>安全风险分级管控制度</w:t>
            </w:r>
            <w:r>
              <w:rPr>
                <w:rFonts w:hint="eastAsia" w:ascii="仿宋_GB2312" w:hAnsi="仿宋_GB2312" w:eastAsia="仿宋_GB2312" w:cs="仿宋_GB2312"/>
                <w:color w:val="auto"/>
                <w:sz w:val="32"/>
                <w:szCs w:val="32"/>
              </w:rPr>
              <w:t>；</w:t>
            </w:r>
          </w:p>
          <w:p w14:paraId="63EB8515">
            <w:pPr>
              <w:pStyle w:val="2"/>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（4）安全风险辨识相关资料；</w:t>
            </w:r>
          </w:p>
          <w:p w14:paraId="6BC2748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bCs/>
                <w:color w:val="auto"/>
                <w:sz w:val="32"/>
                <w:szCs w:val="32"/>
              </w:rPr>
              <w:t>安全风险分级管控</w:t>
            </w:r>
            <w:r>
              <w:rPr>
                <w:rFonts w:hint="eastAsia" w:ascii="仿宋_GB2312" w:hAnsi="仿宋_GB2312" w:eastAsia="仿宋_GB2312" w:cs="仿宋_GB2312"/>
                <w:color w:val="auto"/>
                <w:sz w:val="32"/>
                <w:szCs w:val="32"/>
              </w:rPr>
              <w:t>情况记录资料；</w:t>
            </w:r>
          </w:p>
          <w:p w14:paraId="572DB333">
            <w:pPr>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（6）安全风险</w:t>
            </w:r>
            <w:r>
              <w:rPr>
                <w:rFonts w:hint="eastAsia" w:ascii="仿宋_GB2312" w:hAnsi="仿宋_GB2312" w:eastAsia="仿宋_GB2312" w:cs="仿宋_GB2312"/>
                <w:bCs/>
                <w:color w:val="auto"/>
                <w:sz w:val="32"/>
                <w:szCs w:val="32"/>
              </w:rPr>
              <w:t>管控措施；</w:t>
            </w:r>
          </w:p>
          <w:p w14:paraId="45EDDF3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（7）《现场检查记录》《责令限期整改指令书》等相关执法文书；</w:t>
            </w:r>
          </w:p>
          <w:p w14:paraId="2480617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bCs/>
                <w:color w:val="auto"/>
                <w:sz w:val="32"/>
                <w:szCs w:val="32"/>
              </w:rPr>
              <w:t>相关人员任职文件、身份证明及其询问笔录；</w:t>
            </w:r>
          </w:p>
          <w:p w14:paraId="34F2044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（9）其他相关证据。</w:t>
            </w:r>
          </w:p>
        </w:tc>
        <w:tc>
          <w:tcPr>
            <w:tcW w:w="3899" w:type="dxa"/>
            <w:vAlign w:val="center"/>
          </w:tcPr>
          <w:p w14:paraId="1758903B">
            <w:pPr>
              <w:widowControl/>
              <w:shd w:val="clear" w:color="auto" w:fill="FFFFFF"/>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kern w:val="0"/>
                <w:sz w:val="32"/>
                <w:szCs w:val="32"/>
              </w:rPr>
              <w:t>《中华人民共和国安全生产法》第一百零一条第四项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color w:val="auto"/>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58C449CC">
            <w:pPr>
              <w:widowControl/>
              <w:shd w:val="clear" w:color="auto" w:fill="FFFFFF"/>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Cs/>
                <w:color w:val="auto"/>
                <w:sz w:val="32"/>
                <w:szCs w:val="32"/>
              </w:rPr>
              <w:t>（四）未建立安全风险分级管控制度或者未按照安全风险分级采取相应管控措施的；</w:t>
            </w:r>
          </w:p>
        </w:tc>
        <w:tc>
          <w:tcPr>
            <w:tcW w:w="951" w:type="dxa"/>
          </w:tcPr>
          <w:p w14:paraId="3748351C">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5D34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99" w:hRule="atLeast"/>
          <w:jc w:val="center"/>
        </w:trPr>
        <w:tc>
          <w:tcPr>
            <w:tcW w:w="616" w:type="dxa"/>
            <w:vMerge w:val="continue"/>
            <w:vAlign w:val="center"/>
          </w:tcPr>
          <w:p w14:paraId="3673E786">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50266C46">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61A8B16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10.2建立健全生产安全事故隐患排查治理制度</w:t>
            </w:r>
          </w:p>
        </w:tc>
        <w:tc>
          <w:tcPr>
            <w:tcW w:w="3899" w:type="dxa"/>
            <w:vAlign w:val="center"/>
          </w:tcPr>
          <w:p w14:paraId="0D1EA78A">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color w:val="auto"/>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7837506">
            <w:pPr>
              <w:widowControl/>
              <w:adjustRightInd w:val="0"/>
              <w:snapToGrid w:val="0"/>
              <w:rPr>
                <w:rFonts w:hint="eastAsia" w:ascii="仿宋_GB2312" w:hAnsi="仿宋_GB2312" w:eastAsia="仿宋_GB2312" w:cs="仿宋_GB2312"/>
                <w:color w:val="auto"/>
                <w:kern w:val="0"/>
                <w:sz w:val="32"/>
                <w:szCs w:val="32"/>
              </w:rPr>
            </w:pPr>
          </w:p>
        </w:tc>
        <w:tc>
          <w:tcPr>
            <w:tcW w:w="3899" w:type="dxa"/>
          </w:tcPr>
          <w:p w14:paraId="2759931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6CFDAA0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5FC84C0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事故隐患排查治理制度；</w:t>
            </w:r>
          </w:p>
          <w:p w14:paraId="5F7AACD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（4）事故隐患排查治理情况记录资料、通报情况说明及相关资料；</w:t>
            </w:r>
          </w:p>
          <w:p w14:paraId="45D2763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（5）《现场检查记录》《责令限期整改指令书》等相关执法文书；</w:t>
            </w:r>
          </w:p>
          <w:p w14:paraId="2FB78C4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bCs/>
                <w:color w:val="auto"/>
                <w:sz w:val="32"/>
                <w:szCs w:val="32"/>
              </w:rPr>
              <w:t>相关人员任职文件、身份证明及其询问笔录；</w:t>
            </w:r>
          </w:p>
          <w:p w14:paraId="6A2738A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（7）其他相关证据。</w:t>
            </w:r>
          </w:p>
        </w:tc>
        <w:tc>
          <w:tcPr>
            <w:tcW w:w="3899" w:type="dxa"/>
            <w:vAlign w:val="center"/>
          </w:tcPr>
          <w:p w14:paraId="4993123C">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第一百零一条第五项</w:t>
            </w:r>
            <w:r>
              <w:rPr>
                <w:rFonts w:hint="eastAsia" w:ascii="仿宋_GB2312" w:hAnsi="仿宋_GB2312" w:eastAsia="仿宋_GB2312" w:cs="仿宋_GB2312"/>
                <w:color w:val="auto"/>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64F9AA8C">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（五）未建立事故隐患排查治理制度，或者重大事故隐患排查治理情况未按照规定报告的。</w:t>
            </w:r>
          </w:p>
        </w:tc>
        <w:tc>
          <w:tcPr>
            <w:tcW w:w="951" w:type="dxa"/>
          </w:tcPr>
          <w:p w14:paraId="3B8D6766">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2A53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198" w:hRule="atLeast"/>
          <w:jc w:val="center"/>
        </w:trPr>
        <w:tc>
          <w:tcPr>
            <w:tcW w:w="616" w:type="dxa"/>
            <w:vMerge w:val="continue"/>
            <w:vAlign w:val="center"/>
          </w:tcPr>
          <w:p w14:paraId="191E8229">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7E97B618">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4004704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10.3采取措施消除事故隐患</w:t>
            </w:r>
          </w:p>
        </w:tc>
        <w:tc>
          <w:tcPr>
            <w:tcW w:w="3899" w:type="dxa"/>
            <w:vAlign w:val="center"/>
          </w:tcPr>
          <w:p w14:paraId="76A13F13">
            <w:pPr>
              <w:widowControl/>
              <w:shd w:val="clear" w:color="auto" w:fill="FFFFFF"/>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color w:val="auto"/>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3D56C79F">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tcPr>
          <w:p w14:paraId="1305143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52282BC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7E18010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事故隐患排查治理制度；</w:t>
            </w:r>
          </w:p>
          <w:p w14:paraId="7B22903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（4）事故隐患排查治理统计分析表；</w:t>
            </w:r>
          </w:p>
          <w:p w14:paraId="4ED75A7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（5）事故隐患治理方案；</w:t>
            </w:r>
          </w:p>
          <w:p w14:paraId="64592C0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（6）重大事故隐患报告的资料；</w:t>
            </w:r>
          </w:p>
          <w:p w14:paraId="03E49A6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（7）事故隐患排查治理记录；</w:t>
            </w:r>
          </w:p>
          <w:p w14:paraId="368E62A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（8）向从业人员通报的资料；</w:t>
            </w:r>
          </w:p>
          <w:p w14:paraId="328B63A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（9）现场核实事故隐患整治的图片或影像资料；</w:t>
            </w:r>
          </w:p>
          <w:p w14:paraId="5EE95BC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（10）《现场检查记录》《责令限期整改指令书》等相关执法文书；</w:t>
            </w:r>
          </w:p>
          <w:p w14:paraId="18EB73C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bCs/>
                <w:color w:val="auto"/>
                <w:sz w:val="32"/>
                <w:szCs w:val="32"/>
              </w:rPr>
              <w:t>相关人员任职文件、身份证明及其询问笔录；</w:t>
            </w:r>
          </w:p>
          <w:p w14:paraId="33D21278">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（12）其他相关证据。</w:t>
            </w:r>
          </w:p>
        </w:tc>
        <w:tc>
          <w:tcPr>
            <w:tcW w:w="3899" w:type="dxa"/>
            <w:vAlign w:val="center"/>
          </w:tcPr>
          <w:p w14:paraId="6E42A263">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1A60EC6E">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tcPr>
          <w:p w14:paraId="5AA99822">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0F98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65" w:hRule="atLeast"/>
          <w:jc w:val="center"/>
        </w:trPr>
        <w:tc>
          <w:tcPr>
            <w:tcW w:w="616" w:type="dxa"/>
            <w:vMerge w:val="continue"/>
            <w:vAlign w:val="center"/>
          </w:tcPr>
          <w:p w14:paraId="75935DC0">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3F42FBB5">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2B99A07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10.4如实记录事故隐患排查治理情况并向从业人员通报</w:t>
            </w:r>
          </w:p>
        </w:tc>
        <w:tc>
          <w:tcPr>
            <w:tcW w:w="3899" w:type="dxa"/>
            <w:vAlign w:val="center"/>
          </w:tcPr>
          <w:p w14:paraId="32F36A47">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color w:val="auto"/>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46297DD1">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tcPr>
          <w:p w14:paraId="1DA3982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454E2D8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291164F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事故隐患排查治理制度；</w:t>
            </w:r>
          </w:p>
          <w:p w14:paraId="7D64F7D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（4）事故隐患排查治理统计分析表；</w:t>
            </w:r>
          </w:p>
          <w:p w14:paraId="4110487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（5）事故隐患治理方案；</w:t>
            </w:r>
          </w:p>
          <w:p w14:paraId="3BB140A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（6）重大事故隐患报告的资料；</w:t>
            </w:r>
          </w:p>
          <w:p w14:paraId="1407E83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（7）事故隐患排查治理记录；</w:t>
            </w:r>
          </w:p>
          <w:p w14:paraId="54B0376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（8）向从业人员通报的资料；</w:t>
            </w:r>
          </w:p>
          <w:p w14:paraId="01BB20F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（9）现场核实事故隐患整治的图片或影像资料；</w:t>
            </w:r>
          </w:p>
          <w:p w14:paraId="16AB8D0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（10）《现场检查记录》《责令限期整改指令书》等相关执法文书；</w:t>
            </w:r>
          </w:p>
          <w:p w14:paraId="3C70969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bCs/>
                <w:color w:val="auto"/>
                <w:sz w:val="32"/>
                <w:szCs w:val="32"/>
              </w:rPr>
              <w:t>相关人员任职文件、身份证明及其询问笔录；</w:t>
            </w:r>
          </w:p>
          <w:p w14:paraId="62DDA5D8">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（12）其他相关证据。</w:t>
            </w:r>
          </w:p>
        </w:tc>
        <w:tc>
          <w:tcPr>
            <w:tcW w:w="3899" w:type="dxa"/>
            <w:vAlign w:val="center"/>
          </w:tcPr>
          <w:p w14:paraId="4B92DE0B">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《中华人民共和国安全生产法》  第九十七条第五项 </w:t>
            </w:r>
            <w:r>
              <w:rPr>
                <w:rFonts w:hint="eastAsia" w:ascii="仿宋_GB2312" w:hAnsi="仿宋_GB2312" w:eastAsia="仿宋_GB2312" w:cs="仿宋_GB2312"/>
                <w:color w:val="auto"/>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5D00D93">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（五）未将事故隐患排查治理情况如实记录或者未向从业人员通报的；</w:t>
            </w:r>
          </w:p>
        </w:tc>
        <w:tc>
          <w:tcPr>
            <w:tcW w:w="951" w:type="dxa"/>
          </w:tcPr>
          <w:p w14:paraId="7E7E4622">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9BA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4" w:hRule="atLeast"/>
          <w:jc w:val="center"/>
        </w:trPr>
        <w:tc>
          <w:tcPr>
            <w:tcW w:w="616" w:type="dxa"/>
            <w:vMerge w:val="continue"/>
            <w:vAlign w:val="center"/>
          </w:tcPr>
          <w:p w14:paraId="33760885">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729CDFBD">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771E262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10.5  重大事故隐患报告</w:t>
            </w:r>
          </w:p>
        </w:tc>
        <w:tc>
          <w:tcPr>
            <w:tcW w:w="3899" w:type="dxa"/>
            <w:vAlign w:val="center"/>
          </w:tcPr>
          <w:p w14:paraId="6344A6A8">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color w:val="auto"/>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75B29413">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tcPr>
          <w:p w14:paraId="451BCFD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1D10763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2FF5C5A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事故隐患排查治理制度；</w:t>
            </w:r>
          </w:p>
          <w:p w14:paraId="7622B98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（4）事故隐患排查治理统计分析表；</w:t>
            </w:r>
          </w:p>
          <w:p w14:paraId="6D4F958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（5）事故隐患治理方案；</w:t>
            </w:r>
          </w:p>
          <w:p w14:paraId="65EDEDE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（6）重大事故隐患报告的资料；</w:t>
            </w:r>
          </w:p>
          <w:p w14:paraId="1FA6008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（7）事故隐患排查治理记录；</w:t>
            </w:r>
          </w:p>
          <w:p w14:paraId="03E092F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（8）向从业人员通报的资料；</w:t>
            </w:r>
          </w:p>
          <w:p w14:paraId="77BD8A1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（9）现场核实事故隐患整治的图片或影像资料；</w:t>
            </w:r>
          </w:p>
          <w:p w14:paraId="46839BF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（10）《现场检查记录》等</w:t>
            </w:r>
            <w:r>
              <w:rPr>
                <w:rFonts w:hint="eastAsia" w:ascii="仿宋_GB2312" w:hAnsi="仿宋_GB2312" w:eastAsia="仿宋_GB2312" w:cs="仿宋_GB2312"/>
                <w:color w:val="auto"/>
                <w:kern w:val="0"/>
                <w:sz w:val="32"/>
                <w:szCs w:val="32"/>
              </w:rPr>
              <w:t>相关</w:t>
            </w:r>
            <w:r>
              <w:rPr>
                <w:rFonts w:hint="eastAsia" w:ascii="仿宋_GB2312" w:hAnsi="仿宋_GB2312" w:eastAsia="仿宋_GB2312" w:cs="仿宋_GB2312"/>
                <w:color w:val="auto"/>
                <w:sz w:val="32"/>
                <w:szCs w:val="32"/>
              </w:rPr>
              <w:t>执法文书；</w:t>
            </w:r>
          </w:p>
          <w:p w14:paraId="6631D94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bCs/>
                <w:color w:val="auto"/>
                <w:sz w:val="32"/>
                <w:szCs w:val="32"/>
              </w:rPr>
              <w:t>相关人员任职文件、身份证明及其询问笔录；</w:t>
            </w:r>
          </w:p>
          <w:p w14:paraId="0ADF99CE">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（12）其他相关证据。</w:t>
            </w:r>
          </w:p>
        </w:tc>
        <w:tc>
          <w:tcPr>
            <w:tcW w:w="3899" w:type="dxa"/>
            <w:vAlign w:val="center"/>
          </w:tcPr>
          <w:p w14:paraId="567DC290">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第一百零一条第五项</w:t>
            </w:r>
            <w:r>
              <w:rPr>
                <w:rFonts w:hint="eastAsia" w:ascii="仿宋_GB2312" w:hAnsi="仿宋_GB2312" w:eastAsia="仿宋_GB2312" w:cs="仿宋_GB2312"/>
                <w:color w:val="auto"/>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4AB0B24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（五）未建立事故隐患排查治理制度，或者重大事故隐患排查治理情况未按照规定报告的。</w:t>
            </w:r>
          </w:p>
        </w:tc>
        <w:tc>
          <w:tcPr>
            <w:tcW w:w="951" w:type="dxa"/>
          </w:tcPr>
          <w:p w14:paraId="455E1ACA">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64FD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23" w:hRule="atLeast"/>
          <w:jc w:val="center"/>
        </w:trPr>
        <w:tc>
          <w:tcPr>
            <w:tcW w:w="616" w:type="dxa"/>
            <w:vAlign w:val="center"/>
          </w:tcPr>
          <w:p w14:paraId="460D2AC6">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1B6D72EF">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7CCE29A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10.6  重大事故隐患整改</w:t>
            </w:r>
          </w:p>
        </w:tc>
        <w:tc>
          <w:tcPr>
            <w:tcW w:w="3899" w:type="dxa"/>
            <w:vAlign w:val="center"/>
          </w:tcPr>
          <w:p w14:paraId="6BF5144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《安全生产事故隐患排查治理暂行规定》第十八条</w:t>
            </w:r>
            <w:r>
              <w:rPr>
                <w:rFonts w:hint="eastAsia" w:ascii="仿宋_GB2312" w:hAnsi="仿宋_GB2312" w:eastAsia="仿宋_GB2312" w:cs="仿宋_GB2312"/>
                <w:color w:val="auto"/>
                <w:kern w:val="0"/>
                <w:sz w:val="32"/>
                <w:szCs w:val="32"/>
              </w:rPr>
              <w:t>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14:paraId="28816B9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c>
          <w:tcPr>
            <w:tcW w:w="3899" w:type="dxa"/>
          </w:tcPr>
          <w:p w14:paraId="71AB970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4E6D308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77A8EF9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事故隐患排查治理制度；</w:t>
            </w:r>
          </w:p>
          <w:p w14:paraId="16C916B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（4）事故隐患排查治理统计分析表；</w:t>
            </w:r>
          </w:p>
          <w:p w14:paraId="124D979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（5）事故隐患治理方案；</w:t>
            </w:r>
          </w:p>
          <w:p w14:paraId="66E47D5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（6）重大事故隐患报告的资料；</w:t>
            </w:r>
          </w:p>
          <w:p w14:paraId="1E851FF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（7）事故隐患排查治理记录；</w:t>
            </w:r>
          </w:p>
          <w:p w14:paraId="231E746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（8）向从业人员通报的资料；</w:t>
            </w:r>
          </w:p>
          <w:p w14:paraId="4F06704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（9）现场核实事故隐患整治的图片或影像资料；</w:t>
            </w:r>
          </w:p>
          <w:p w14:paraId="0930BEA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（10）《现场检查记录》等</w:t>
            </w:r>
            <w:r>
              <w:rPr>
                <w:rFonts w:hint="eastAsia" w:ascii="仿宋_GB2312" w:hAnsi="仿宋_GB2312" w:eastAsia="仿宋_GB2312" w:cs="仿宋_GB2312"/>
                <w:color w:val="auto"/>
                <w:kern w:val="0"/>
                <w:sz w:val="32"/>
                <w:szCs w:val="32"/>
              </w:rPr>
              <w:t>相关</w:t>
            </w:r>
            <w:r>
              <w:rPr>
                <w:rFonts w:hint="eastAsia" w:ascii="仿宋_GB2312" w:hAnsi="仿宋_GB2312" w:eastAsia="仿宋_GB2312" w:cs="仿宋_GB2312"/>
                <w:color w:val="auto"/>
                <w:sz w:val="32"/>
                <w:szCs w:val="32"/>
              </w:rPr>
              <w:t>执法文书；</w:t>
            </w:r>
          </w:p>
          <w:p w14:paraId="4F5FE50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bCs/>
                <w:color w:val="auto"/>
                <w:sz w:val="32"/>
                <w:szCs w:val="32"/>
              </w:rPr>
              <w:t>相关人员任职文件、身份证明及其询问笔录；</w:t>
            </w:r>
          </w:p>
          <w:p w14:paraId="65ECE34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（12）其他相关证据。</w:t>
            </w:r>
          </w:p>
          <w:p w14:paraId="6BF23C34">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13276DD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《安全生产事故隐患排查治理暂行规定》第二十六条</w:t>
            </w:r>
            <w:r>
              <w:rPr>
                <w:rFonts w:hint="eastAsia" w:ascii="仿宋_GB2312" w:hAnsi="仿宋_GB2312" w:eastAsia="仿宋_GB2312" w:cs="仿宋_GB2312"/>
                <w:color w:val="auto"/>
                <w:kern w:val="0"/>
                <w:sz w:val="32"/>
                <w:szCs w:val="32"/>
              </w:rPr>
              <w:t>生产经营单位违反本规定，有下列行为之一的，由安全监管监察部门给予警告，并处三万元以下的罚款：</w:t>
            </w:r>
          </w:p>
          <w:p w14:paraId="5277192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39C7486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（六）整改不合格或者未经安全监管监察部门审查同意擅自恢复生产经营的。</w:t>
            </w:r>
          </w:p>
        </w:tc>
        <w:tc>
          <w:tcPr>
            <w:tcW w:w="951" w:type="dxa"/>
          </w:tcPr>
          <w:p w14:paraId="4A3C49D4">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5035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28" w:hRule="atLeast"/>
          <w:jc w:val="center"/>
        </w:trPr>
        <w:tc>
          <w:tcPr>
            <w:tcW w:w="616" w:type="dxa"/>
            <w:vMerge w:val="restart"/>
            <w:vAlign w:val="center"/>
          </w:tcPr>
          <w:p w14:paraId="62F2A31C">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w:t>
            </w:r>
          </w:p>
        </w:tc>
        <w:tc>
          <w:tcPr>
            <w:tcW w:w="950" w:type="dxa"/>
            <w:vMerge w:val="restart"/>
            <w:vAlign w:val="center"/>
          </w:tcPr>
          <w:p w14:paraId="0B65B04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危险场所与员工宿舍安全距离及安全出口管理情况</w:t>
            </w:r>
          </w:p>
        </w:tc>
        <w:tc>
          <w:tcPr>
            <w:tcW w:w="951" w:type="dxa"/>
            <w:vAlign w:val="center"/>
          </w:tcPr>
          <w:p w14:paraId="0CD6DE3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11.1  危险物品场所与员工宿舍不在同一建筑物且保持安全距离</w:t>
            </w:r>
          </w:p>
        </w:tc>
        <w:tc>
          <w:tcPr>
            <w:tcW w:w="3899" w:type="dxa"/>
            <w:vAlign w:val="center"/>
          </w:tcPr>
          <w:p w14:paraId="4A9854BF">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《中华人民共和国安全生产法》第四十二条第一款</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生产、经营、储存、使用危险物品的车间、商店、仓库不得与员工宿舍在同一座建筑物内，并应当与员工宿舍保持安全距离。</w:t>
            </w:r>
          </w:p>
          <w:p w14:paraId="1D6B545A">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生产经营场所和员工宿舍应当设有符合紧急疏散要求、标志明显、保持畅通的出口、疏散通道。禁止占用、锁闭、封堵生产经营场所或者员工宿舍的出口、疏散通道。</w:t>
            </w:r>
          </w:p>
          <w:p w14:paraId="4BBECE08">
            <w:pPr>
              <w:widowControl/>
              <w:adjustRightInd w:val="0"/>
              <w:snapToGrid w:val="0"/>
              <w:rPr>
                <w:rFonts w:hint="eastAsia" w:ascii="仿宋_GB2312" w:hAnsi="仿宋_GB2312" w:eastAsia="仿宋_GB2312" w:cs="仿宋_GB2312"/>
                <w:color w:val="auto"/>
                <w:kern w:val="0"/>
                <w:sz w:val="32"/>
                <w:szCs w:val="32"/>
              </w:rPr>
            </w:pPr>
          </w:p>
        </w:tc>
        <w:tc>
          <w:tcPr>
            <w:tcW w:w="3899" w:type="dxa"/>
          </w:tcPr>
          <w:p w14:paraId="51DFB44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31E59CB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278DAEF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现场核实图片或影像资料；</w:t>
            </w:r>
          </w:p>
          <w:p w14:paraId="389D25E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（4）《现场检查记录》《责令限期整改指令书》等相关执法文书；</w:t>
            </w:r>
          </w:p>
          <w:p w14:paraId="2418302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bCs/>
                <w:color w:val="auto"/>
                <w:sz w:val="32"/>
                <w:szCs w:val="32"/>
              </w:rPr>
              <w:t>相关人员任职文件、身份证明及其询问笔录；</w:t>
            </w:r>
          </w:p>
          <w:p w14:paraId="1D2AAB2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（6）其他相关证据。</w:t>
            </w:r>
          </w:p>
        </w:tc>
        <w:tc>
          <w:tcPr>
            <w:tcW w:w="3899" w:type="dxa"/>
            <w:vAlign w:val="center"/>
          </w:tcPr>
          <w:p w14:paraId="5CA7A4D3">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第一百零五条第一项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72EEC8FA">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（一）生产、经营、储存、使用危险物品的车间、商店、仓库与员工宿舍在同一座建筑内，或者与员工宿舍的距离不符合安全要求的；</w:t>
            </w:r>
          </w:p>
        </w:tc>
        <w:tc>
          <w:tcPr>
            <w:tcW w:w="951" w:type="dxa"/>
          </w:tcPr>
          <w:p w14:paraId="6D0DCAA5">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003F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08" w:hRule="atLeast"/>
          <w:jc w:val="center"/>
        </w:trPr>
        <w:tc>
          <w:tcPr>
            <w:tcW w:w="616" w:type="dxa"/>
            <w:vMerge w:val="continue"/>
            <w:vAlign w:val="center"/>
          </w:tcPr>
          <w:p w14:paraId="6FCD50B6">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34683D22">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4478F70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11.2  生产经营场所和员工宿舍安全出口符合疏散要求，禁止锁闭、封堵</w:t>
            </w:r>
          </w:p>
        </w:tc>
        <w:tc>
          <w:tcPr>
            <w:tcW w:w="3899" w:type="dxa"/>
            <w:vAlign w:val="center"/>
          </w:tcPr>
          <w:p w14:paraId="528ACE20">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《中华人民共和国安全生产法》第四十二条第二款</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生产经营场所和员工宿舍应当设有符合紧急疏散要求、标志明显、保持畅通的出口、疏散通道。禁止占用、锁闭、封堵生产经营场所或者员工宿舍的出口、疏散通道。</w:t>
            </w:r>
          </w:p>
          <w:p w14:paraId="48903B3A">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tcPr>
          <w:p w14:paraId="6E6DF44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1803EED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7FDADE1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现场核实图片或影像资料；</w:t>
            </w:r>
          </w:p>
          <w:p w14:paraId="649329F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（4）《现场检查记录》《责令限期整改指令书》等相关执法文书；</w:t>
            </w:r>
          </w:p>
          <w:p w14:paraId="6652110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bCs/>
                <w:color w:val="auto"/>
                <w:sz w:val="32"/>
                <w:szCs w:val="32"/>
              </w:rPr>
              <w:t>相关人员任职文件、身份证明及其询问笔录；</w:t>
            </w:r>
          </w:p>
          <w:p w14:paraId="4954B0D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（6）其他相关证据。</w:t>
            </w:r>
          </w:p>
          <w:p w14:paraId="6B5618A5">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6B553354">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   《中华人民共和国安全生产法》  第一百零五条第二项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491ED7B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（二）生产经营场所和员工宿舍未设有符合紧急疏散需要、标志明显、保持畅通的出口、疏散通道，或者占用、锁闭、封堵生产经营场所或者员工宿舍出口、疏散通道的。</w:t>
            </w:r>
          </w:p>
        </w:tc>
        <w:tc>
          <w:tcPr>
            <w:tcW w:w="951" w:type="dxa"/>
          </w:tcPr>
          <w:p w14:paraId="670A81E0">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6EBC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64" w:hRule="atLeast"/>
          <w:jc w:val="center"/>
        </w:trPr>
        <w:tc>
          <w:tcPr>
            <w:tcW w:w="616" w:type="dxa"/>
            <w:vAlign w:val="center"/>
          </w:tcPr>
          <w:p w14:paraId="2E8D1EFA">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w:t>
            </w:r>
          </w:p>
        </w:tc>
        <w:tc>
          <w:tcPr>
            <w:tcW w:w="950" w:type="dxa"/>
            <w:vAlign w:val="center"/>
          </w:tcPr>
          <w:p w14:paraId="098D982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危险作业安全管理情况</w:t>
            </w:r>
          </w:p>
        </w:tc>
        <w:tc>
          <w:tcPr>
            <w:tcW w:w="951" w:type="dxa"/>
            <w:vAlign w:val="center"/>
          </w:tcPr>
          <w:p w14:paraId="2370692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爆破、吊装、动火、临时用电以及国务院有关部门规定的其他危险作业安全管理</w:t>
            </w:r>
          </w:p>
        </w:tc>
        <w:tc>
          <w:tcPr>
            <w:tcW w:w="3899" w:type="dxa"/>
            <w:vAlign w:val="center"/>
          </w:tcPr>
          <w:p w14:paraId="1D86A20C">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  第四十三条 </w:t>
            </w:r>
            <w:r>
              <w:rPr>
                <w:rFonts w:hint="eastAsia" w:ascii="仿宋_GB2312" w:hAnsi="仿宋_GB2312" w:eastAsia="仿宋_GB2312" w:cs="仿宋_GB2312"/>
                <w:color w:val="auto"/>
                <w:kern w:val="0"/>
                <w:sz w:val="32"/>
                <w:szCs w:val="32"/>
              </w:rPr>
              <w:t>生产经营单位进行爆破、吊装、动火、临时用电以及国务院应急管理部门会同国务院有关部门规定的其他危险作业，应当安排专门人员进行现场安全管理，确保操作规程的遵守和安全措施的落实。</w:t>
            </w:r>
          </w:p>
          <w:p w14:paraId="39D40C0E">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tcPr>
          <w:p w14:paraId="015D5AB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07EFB7D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6B5C3D1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（3）现场核实爆破、吊装、动火、临时用电以及其他危险作业现场安全管理情况的图片及影像资料</w:t>
            </w:r>
            <w:r>
              <w:rPr>
                <w:rFonts w:hint="eastAsia" w:ascii="仿宋_GB2312" w:hAnsi="仿宋_GB2312" w:eastAsia="仿宋_GB2312" w:cs="仿宋_GB2312"/>
                <w:color w:val="auto"/>
                <w:sz w:val="32"/>
                <w:szCs w:val="32"/>
              </w:rPr>
              <w:t>；</w:t>
            </w:r>
          </w:p>
          <w:p w14:paraId="08974E50">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kern w:val="0"/>
                <w:sz w:val="32"/>
                <w:szCs w:val="32"/>
              </w:rPr>
              <w:t>危险作业票证；</w:t>
            </w:r>
          </w:p>
          <w:p w14:paraId="50527E3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（5）《现场检查记录》《责令限期整改指令书》等相关执法文书；</w:t>
            </w:r>
          </w:p>
          <w:p w14:paraId="2E8AA74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bCs/>
                <w:color w:val="auto"/>
                <w:sz w:val="32"/>
                <w:szCs w:val="32"/>
              </w:rPr>
              <w:t>相关人员任职文件、身份证明及其询问笔录；</w:t>
            </w:r>
          </w:p>
          <w:p w14:paraId="33B0A20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（7）其他相关证据。</w:t>
            </w:r>
          </w:p>
          <w:p w14:paraId="43DAA644">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62703F80">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第一百零一条第三项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10633F14">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（三）进行爆破、吊装、动火、临时用电以及国务院应急管理部门会同国务院有关部门规定的其他危险作业，未安排专门人员进行现场安全管理的；</w:t>
            </w:r>
          </w:p>
        </w:tc>
        <w:tc>
          <w:tcPr>
            <w:tcW w:w="951" w:type="dxa"/>
          </w:tcPr>
          <w:p w14:paraId="0FF3F0A7">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5156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98" w:hRule="atLeast"/>
          <w:jc w:val="center"/>
        </w:trPr>
        <w:tc>
          <w:tcPr>
            <w:tcW w:w="616" w:type="dxa"/>
            <w:vAlign w:val="center"/>
          </w:tcPr>
          <w:p w14:paraId="00E580AE">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w:t>
            </w:r>
          </w:p>
        </w:tc>
        <w:tc>
          <w:tcPr>
            <w:tcW w:w="950" w:type="dxa"/>
            <w:vAlign w:val="center"/>
          </w:tcPr>
          <w:p w14:paraId="2E33320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劳动防护用品管理情况</w:t>
            </w:r>
          </w:p>
        </w:tc>
        <w:tc>
          <w:tcPr>
            <w:tcW w:w="951" w:type="dxa"/>
            <w:vAlign w:val="center"/>
          </w:tcPr>
          <w:p w14:paraId="36B7131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提供符合国家标准、行业标准的劳动防护用品</w:t>
            </w:r>
          </w:p>
        </w:tc>
        <w:tc>
          <w:tcPr>
            <w:tcW w:w="3899" w:type="dxa"/>
            <w:vAlign w:val="center"/>
          </w:tcPr>
          <w:p w14:paraId="70B90E4B">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第四十五条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生产经营单位必须为从业人员提供符合国家标准或者行业标准的劳动防护用品，并监督、教育从业人员按照使用规则佩戴、使用。</w:t>
            </w:r>
          </w:p>
          <w:p w14:paraId="654F7A2D">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tcPr>
          <w:p w14:paraId="6B8C048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7F50E2B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1DF2513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提供劳动防护用品的记录；</w:t>
            </w:r>
          </w:p>
          <w:p w14:paraId="5BE15D8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（4）劳动防护用品的合格证明资料；</w:t>
            </w:r>
          </w:p>
          <w:p w14:paraId="73837B6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（5）现场从业人员佩戴和使用的影像资料；</w:t>
            </w:r>
          </w:p>
          <w:p w14:paraId="6568F41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（6）《现场检查记录》《责令限期整改指令书》等相关执法文书；</w:t>
            </w:r>
          </w:p>
          <w:p w14:paraId="677DB32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bCs/>
                <w:color w:val="auto"/>
                <w:sz w:val="32"/>
                <w:szCs w:val="32"/>
              </w:rPr>
              <w:t>相关人员任职文件、身份证明及其询问笔录；</w:t>
            </w:r>
          </w:p>
          <w:p w14:paraId="53C1BA3B">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（8）其他相关证据。</w:t>
            </w:r>
          </w:p>
        </w:tc>
        <w:tc>
          <w:tcPr>
            <w:tcW w:w="3899" w:type="dxa"/>
            <w:vAlign w:val="center"/>
          </w:tcPr>
          <w:p w14:paraId="02408543">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第九十九条第五项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07F367F2">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（五）未为从业人员提供符合国家标准或者行业标准的劳动防护用品的</w:t>
            </w:r>
          </w:p>
        </w:tc>
        <w:tc>
          <w:tcPr>
            <w:tcW w:w="951" w:type="dxa"/>
          </w:tcPr>
          <w:p w14:paraId="04FCFF73">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474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29" w:hRule="atLeast"/>
          <w:jc w:val="center"/>
        </w:trPr>
        <w:tc>
          <w:tcPr>
            <w:tcW w:w="616" w:type="dxa"/>
            <w:vMerge w:val="restart"/>
            <w:vAlign w:val="center"/>
          </w:tcPr>
          <w:p w14:paraId="5993C1BF">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w:t>
            </w:r>
          </w:p>
        </w:tc>
        <w:tc>
          <w:tcPr>
            <w:tcW w:w="950" w:type="dxa"/>
            <w:vMerge w:val="restart"/>
            <w:vAlign w:val="center"/>
          </w:tcPr>
          <w:p w14:paraId="5747032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生产经营项目、场所、设备发包、出租管理情况</w:t>
            </w:r>
          </w:p>
        </w:tc>
        <w:tc>
          <w:tcPr>
            <w:tcW w:w="951" w:type="dxa"/>
            <w:vAlign w:val="center"/>
          </w:tcPr>
          <w:p w14:paraId="5567269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14.1  出租给具备条件或者资质的单位或者个人</w:t>
            </w:r>
          </w:p>
        </w:tc>
        <w:tc>
          <w:tcPr>
            <w:tcW w:w="3899" w:type="dxa"/>
            <w:vAlign w:val="center"/>
          </w:tcPr>
          <w:p w14:paraId="3214214C">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《中华人民共和国安全生产法》第四十九条第一款</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生产经营单位不得将生产经营项目、场所、设备发包或者出租给不具备安全生产条件或者相应资质的单位或者个人。</w:t>
            </w:r>
          </w:p>
          <w:p w14:paraId="324DD1E2">
            <w:pPr>
              <w:widowControl/>
              <w:shd w:val="clear" w:color="auto" w:fill="FFFFFF"/>
              <w:rPr>
                <w:rFonts w:hint="eastAsia" w:ascii="仿宋_GB2312" w:hAnsi="仿宋_GB2312" w:eastAsia="仿宋_GB2312" w:cs="仿宋_GB2312"/>
                <w:color w:val="auto"/>
                <w:kern w:val="0"/>
                <w:sz w:val="32"/>
                <w:szCs w:val="32"/>
              </w:rPr>
            </w:pPr>
          </w:p>
        </w:tc>
        <w:tc>
          <w:tcPr>
            <w:tcW w:w="3899" w:type="dxa"/>
          </w:tcPr>
          <w:p w14:paraId="7F99528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35054B9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0F89049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承租方的资质条件资料；</w:t>
            </w:r>
          </w:p>
          <w:p w14:paraId="010B51E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（4）承包协议/合同或租赁协议/合同等资料；</w:t>
            </w:r>
          </w:p>
          <w:p w14:paraId="557306C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（5）《现场检查记录》《责令限期整改指令书》等相关执法文书；</w:t>
            </w:r>
          </w:p>
          <w:p w14:paraId="59F2481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bCs/>
                <w:color w:val="auto"/>
                <w:sz w:val="32"/>
                <w:szCs w:val="32"/>
              </w:rPr>
              <w:t>相关人员任职文件、身份证明及其询问笔录；</w:t>
            </w:r>
          </w:p>
          <w:p w14:paraId="27A1201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（7）其他相关证据。</w:t>
            </w:r>
          </w:p>
          <w:p w14:paraId="5DA51623">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7FA8E6F3">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第一百零三条第一款</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129BC8AF">
            <w:pPr>
              <w:widowControl/>
              <w:shd w:val="clear" w:color="auto" w:fill="FFFFFF"/>
              <w:rPr>
                <w:rFonts w:hint="eastAsia" w:ascii="仿宋_GB2312" w:hAnsi="仿宋_GB2312" w:eastAsia="仿宋_GB2312" w:cs="仿宋_GB2312"/>
                <w:color w:val="auto"/>
                <w:kern w:val="0"/>
                <w:sz w:val="32"/>
                <w:szCs w:val="32"/>
              </w:rPr>
            </w:pPr>
          </w:p>
        </w:tc>
        <w:tc>
          <w:tcPr>
            <w:tcW w:w="951" w:type="dxa"/>
          </w:tcPr>
          <w:p w14:paraId="2673DB7D">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0EAD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915" w:hRule="atLeast"/>
          <w:jc w:val="center"/>
        </w:trPr>
        <w:tc>
          <w:tcPr>
            <w:tcW w:w="616" w:type="dxa"/>
            <w:vMerge w:val="continue"/>
            <w:vAlign w:val="center"/>
          </w:tcPr>
          <w:p w14:paraId="3AA3A4CA">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04D2C5E2">
            <w:pPr>
              <w:widowControl/>
              <w:adjustRightInd w:val="0"/>
              <w:snapToGrid w:val="0"/>
              <w:rPr>
                <w:rFonts w:hint="eastAsia" w:ascii="仿宋_GB2312" w:hAnsi="仿宋_GB2312" w:eastAsia="仿宋_GB2312" w:cs="仿宋_GB2312"/>
                <w:color w:val="auto"/>
                <w:kern w:val="0"/>
                <w:sz w:val="32"/>
                <w:szCs w:val="32"/>
              </w:rPr>
            </w:pPr>
          </w:p>
        </w:tc>
        <w:tc>
          <w:tcPr>
            <w:tcW w:w="951" w:type="dxa"/>
            <w:tcBorders>
              <w:bottom w:val="single" w:color="auto" w:sz="4" w:space="0"/>
            </w:tcBorders>
            <w:vAlign w:val="center"/>
          </w:tcPr>
          <w:p w14:paraId="43862E6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14.2安全管理协议和发包方统一协调管理</w:t>
            </w:r>
          </w:p>
        </w:tc>
        <w:tc>
          <w:tcPr>
            <w:tcW w:w="3899" w:type="dxa"/>
            <w:tcBorders>
              <w:bottom w:val="single" w:color="auto" w:sz="4" w:space="0"/>
            </w:tcBorders>
            <w:vAlign w:val="center"/>
          </w:tcPr>
          <w:p w14:paraId="24F6E737">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《中华人民共和国安全生产法》第四十九条第二款</w:t>
            </w:r>
            <w:r>
              <w:rPr>
                <w:rFonts w:hint="eastAsia" w:ascii="仿宋_GB2312" w:hAnsi="仿宋_GB2312" w:eastAsia="仿宋_GB2312" w:cs="仿宋_GB2312"/>
                <w:color w:val="auto"/>
                <w:sz w:val="32"/>
                <w:szCs w:val="3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66D7870C">
            <w:pPr>
              <w:widowControl/>
              <w:shd w:val="clear" w:color="auto" w:fill="FFFFFF"/>
              <w:rPr>
                <w:rFonts w:hint="eastAsia" w:ascii="仿宋_GB2312" w:hAnsi="仿宋_GB2312" w:eastAsia="仿宋_GB2312" w:cs="仿宋_GB2312"/>
                <w:color w:val="auto"/>
                <w:kern w:val="0"/>
                <w:sz w:val="32"/>
                <w:szCs w:val="32"/>
              </w:rPr>
            </w:pPr>
          </w:p>
        </w:tc>
        <w:tc>
          <w:tcPr>
            <w:tcW w:w="3899" w:type="dxa"/>
            <w:tcBorders>
              <w:bottom w:val="single" w:color="auto" w:sz="4" w:space="0"/>
            </w:tcBorders>
          </w:tcPr>
          <w:p w14:paraId="715E659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5178937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293AEEC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承租方的资质条件资料；</w:t>
            </w:r>
          </w:p>
          <w:p w14:paraId="12567F8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（4）承包协议/合同或租赁协议/合同等资料；</w:t>
            </w:r>
          </w:p>
          <w:p w14:paraId="3B4A7BB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（5）安全生产管理协议、明确安全管理职责的资料；</w:t>
            </w:r>
          </w:p>
          <w:p w14:paraId="407D4A7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（6）指定专职安全管理人员的任命文件或资料；</w:t>
            </w:r>
          </w:p>
          <w:p w14:paraId="75DAD0E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（7）安全检查记录；</w:t>
            </w:r>
          </w:p>
          <w:p w14:paraId="7F98044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（8）安全问题和隐患的整改记录；</w:t>
            </w:r>
          </w:p>
          <w:p w14:paraId="0D6A61D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（9）《现场检查记录》《责令限期整改指令书》等相关执法文书；</w:t>
            </w:r>
          </w:p>
          <w:p w14:paraId="6C84A70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w:t>
            </w:r>
            <w:r>
              <w:rPr>
                <w:rFonts w:hint="eastAsia" w:ascii="仿宋_GB2312" w:hAnsi="仿宋_GB2312" w:eastAsia="仿宋_GB2312" w:cs="仿宋_GB2312"/>
                <w:bCs/>
                <w:color w:val="auto"/>
                <w:sz w:val="32"/>
                <w:szCs w:val="32"/>
              </w:rPr>
              <w:t>相关人员任职文件、身份证明及其询问笔录；</w:t>
            </w:r>
          </w:p>
          <w:p w14:paraId="04039809">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（11）其他相关证据。</w:t>
            </w:r>
          </w:p>
        </w:tc>
        <w:tc>
          <w:tcPr>
            <w:tcW w:w="3899" w:type="dxa"/>
            <w:tcBorders>
              <w:bottom w:val="single" w:color="auto" w:sz="4" w:space="0"/>
            </w:tcBorders>
            <w:vAlign w:val="center"/>
          </w:tcPr>
          <w:p w14:paraId="4D4435E4">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第一百零三条第二款</w:t>
            </w:r>
            <w:r>
              <w:rPr>
                <w:rFonts w:hint="eastAsia" w:ascii="仿宋_GB2312" w:hAnsi="仿宋_GB2312" w:eastAsia="仿宋_GB2312" w:cs="仿宋_GB2312"/>
                <w:color w:val="auto"/>
                <w:sz w:val="32"/>
                <w:szCs w:val="3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0650440F">
            <w:pPr>
              <w:widowControl/>
              <w:ind w:firstLine="640" w:firstLineChars="200"/>
              <w:rPr>
                <w:rFonts w:hint="eastAsia" w:ascii="仿宋_GB2312" w:hAnsi="仿宋_GB2312" w:eastAsia="仿宋_GB2312" w:cs="仿宋_GB2312"/>
                <w:color w:val="auto"/>
                <w:kern w:val="0"/>
                <w:sz w:val="32"/>
                <w:szCs w:val="32"/>
              </w:rPr>
            </w:pPr>
          </w:p>
        </w:tc>
        <w:tc>
          <w:tcPr>
            <w:tcW w:w="951" w:type="dxa"/>
            <w:tcBorders>
              <w:bottom w:val="single" w:color="auto" w:sz="4" w:space="0"/>
            </w:tcBorders>
          </w:tcPr>
          <w:p w14:paraId="69A433DC">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68ED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915" w:hRule="atLeast"/>
          <w:jc w:val="center"/>
        </w:trPr>
        <w:tc>
          <w:tcPr>
            <w:tcW w:w="616" w:type="dxa"/>
            <w:vMerge w:val="continue"/>
            <w:tcBorders>
              <w:bottom w:val="single" w:color="auto" w:sz="4" w:space="0"/>
            </w:tcBorders>
            <w:vAlign w:val="center"/>
          </w:tcPr>
          <w:p w14:paraId="62807681">
            <w:pPr>
              <w:jc w:val="center"/>
              <w:rPr>
                <w:rFonts w:hint="eastAsia" w:ascii="仿宋_GB2312" w:hAnsi="仿宋_GB2312" w:eastAsia="仿宋_GB2312" w:cs="仿宋_GB2312"/>
                <w:color w:val="auto"/>
                <w:kern w:val="0"/>
                <w:sz w:val="32"/>
                <w:szCs w:val="32"/>
              </w:rPr>
            </w:pPr>
          </w:p>
        </w:tc>
        <w:tc>
          <w:tcPr>
            <w:tcW w:w="950" w:type="dxa"/>
            <w:vMerge w:val="continue"/>
            <w:tcBorders>
              <w:bottom w:val="single" w:color="auto" w:sz="4" w:space="0"/>
            </w:tcBorders>
            <w:vAlign w:val="center"/>
          </w:tcPr>
          <w:p w14:paraId="2382FFBE">
            <w:pPr>
              <w:widowControl/>
              <w:adjustRightInd w:val="0"/>
              <w:snapToGrid w:val="0"/>
              <w:rPr>
                <w:rFonts w:hint="eastAsia" w:ascii="仿宋_GB2312" w:hAnsi="仿宋_GB2312" w:eastAsia="仿宋_GB2312" w:cs="仿宋_GB2312"/>
                <w:color w:val="auto"/>
                <w:kern w:val="0"/>
                <w:sz w:val="32"/>
                <w:szCs w:val="32"/>
              </w:rPr>
            </w:pPr>
          </w:p>
        </w:tc>
        <w:tc>
          <w:tcPr>
            <w:tcW w:w="951" w:type="dxa"/>
            <w:tcBorders>
              <w:bottom w:val="single" w:color="auto" w:sz="4" w:space="0"/>
            </w:tcBorders>
            <w:vAlign w:val="center"/>
          </w:tcPr>
          <w:p w14:paraId="144D544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14.3</w:t>
            </w:r>
            <w:r>
              <w:rPr>
                <w:rFonts w:hint="eastAsia" w:ascii="仿宋_GB2312" w:hAnsi="仿宋_GB2312" w:eastAsia="仿宋_GB2312" w:cs="仿宋_GB2312"/>
                <w:color w:val="auto"/>
                <w:sz w:val="32"/>
                <w:szCs w:val="32"/>
              </w:rPr>
              <w:t>施工项目安全管理</w:t>
            </w:r>
          </w:p>
        </w:tc>
        <w:tc>
          <w:tcPr>
            <w:tcW w:w="3899" w:type="dxa"/>
            <w:tcBorders>
              <w:bottom w:val="single" w:color="auto" w:sz="4" w:space="0"/>
            </w:tcBorders>
            <w:vAlign w:val="center"/>
          </w:tcPr>
          <w:p w14:paraId="76EEAF2C">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《中华人民共和国安全生产法》第四十九条第三款</w:t>
            </w:r>
            <w:r>
              <w:rPr>
                <w:rFonts w:hint="eastAsia" w:ascii="仿宋_GB2312" w:hAnsi="仿宋_GB2312" w:eastAsia="仿宋_GB2312" w:cs="仿宋_GB2312"/>
                <w:color w:val="auto"/>
                <w:sz w:val="32"/>
                <w:szCs w:val="32"/>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5A192E41">
            <w:pPr>
              <w:widowControl/>
              <w:adjustRightInd w:val="0"/>
              <w:snapToGrid w:val="0"/>
              <w:ind w:firstLine="643" w:firstLineChars="200"/>
              <w:rPr>
                <w:rFonts w:hint="eastAsia" w:ascii="仿宋_GB2312" w:hAnsi="仿宋_GB2312" w:eastAsia="仿宋_GB2312" w:cs="仿宋_GB2312"/>
                <w:b/>
                <w:bCs/>
                <w:color w:val="auto"/>
                <w:kern w:val="0"/>
                <w:sz w:val="32"/>
                <w:szCs w:val="32"/>
              </w:rPr>
            </w:pPr>
          </w:p>
        </w:tc>
        <w:tc>
          <w:tcPr>
            <w:tcW w:w="3899" w:type="dxa"/>
            <w:tcBorders>
              <w:bottom w:val="single" w:color="auto" w:sz="4" w:space="0"/>
            </w:tcBorders>
          </w:tcPr>
          <w:p w14:paraId="6AEB997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0C79BE4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3F03DE4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施工单位的资质条件资料；</w:t>
            </w:r>
          </w:p>
          <w:p w14:paraId="3956EA3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（4）施工项目资料；</w:t>
            </w:r>
          </w:p>
          <w:p w14:paraId="4C70757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（5）转包、分包协议及相关资料；</w:t>
            </w:r>
          </w:p>
          <w:p w14:paraId="40755C7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（6）指定专职安全管理人员的任命文件或资料；</w:t>
            </w:r>
          </w:p>
          <w:p w14:paraId="27491C1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（7）安全检查记录；</w:t>
            </w:r>
          </w:p>
          <w:p w14:paraId="41D3576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（8）安全问题和隐患的整改记录；</w:t>
            </w:r>
          </w:p>
          <w:p w14:paraId="2B42C2B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（9）《现场检查记录》《责令限期整改指令书》等相关执法文书；</w:t>
            </w:r>
          </w:p>
          <w:p w14:paraId="1108507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w:t>
            </w:r>
            <w:r>
              <w:rPr>
                <w:rFonts w:hint="eastAsia" w:ascii="仿宋_GB2312" w:hAnsi="仿宋_GB2312" w:eastAsia="仿宋_GB2312" w:cs="仿宋_GB2312"/>
                <w:bCs/>
                <w:color w:val="auto"/>
                <w:sz w:val="32"/>
                <w:szCs w:val="32"/>
              </w:rPr>
              <w:t>相关人员任职文件、身份证明及其询问笔录；</w:t>
            </w:r>
          </w:p>
          <w:p w14:paraId="07E9BBD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（11）其他相关证据。</w:t>
            </w:r>
          </w:p>
        </w:tc>
        <w:tc>
          <w:tcPr>
            <w:tcW w:w="3899" w:type="dxa"/>
            <w:tcBorders>
              <w:bottom w:val="single" w:color="auto" w:sz="4" w:space="0"/>
            </w:tcBorders>
            <w:vAlign w:val="center"/>
          </w:tcPr>
          <w:p w14:paraId="1F5D9841">
            <w:pPr>
              <w:widowControl/>
              <w:shd w:val="clear" w:color="auto" w:fill="FFFFFF"/>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第一百零三条第三款</w:t>
            </w:r>
            <w:r>
              <w:rPr>
                <w:rFonts w:hint="eastAsia" w:ascii="仿宋_GB2312" w:hAnsi="仿宋_GB2312" w:eastAsia="仿宋_GB2312" w:cs="仿宋_GB2312"/>
                <w:color w:val="auto"/>
                <w:sz w:val="32"/>
                <w:szCs w:val="32"/>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951" w:type="dxa"/>
            <w:tcBorders>
              <w:bottom w:val="single" w:color="auto" w:sz="4" w:space="0"/>
            </w:tcBorders>
          </w:tcPr>
          <w:p w14:paraId="29CD72A4">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3636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915" w:hRule="atLeast"/>
          <w:jc w:val="center"/>
        </w:trPr>
        <w:tc>
          <w:tcPr>
            <w:tcW w:w="616" w:type="dxa"/>
            <w:tcBorders>
              <w:bottom w:val="single" w:color="auto" w:sz="4" w:space="0"/>
            </w:tcBorders>
            <w:vAlign w:val="center"/>
          </w:tcPr>
          <w:p w14:paraId="27BC46ED">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15</w:t>
            </w:r>
          </w:p>
        </w:tc>
        <w:tc>
          <w:tcPr>
            <w:tcW w:w="950" w:type="dxa"/>
            <w:tcBorders>
              <w:bottom w:val="single" w:color="auto" w:sz="4" w:space="0"/>
            </w:tcBorders>
            <w:vAlign w:val="center"/>
          </w:tcPr>
          <w:p w14:paraId="7EEE8ED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交叉作业</w:t>
            </w:r>
          </w:p>
        </w:tc>
        <w:tc>
          <w:tcPr>
            <w:tcW w:w="951" w:type="dxa"/>
            <w:tcBorders>
              <w:bottom w:val="single" w:color="auto" w:sz="4" w:space="0"/>
            </w:tcBorders>
            <w:vAlign w:val="center"/>
          </w:tcPr>
          <w:p w14:paraId="12E788A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两个以上生产经营单位在同一作业区域内进行生产经营活动</w:t>
            </w:r>
          </w:p>
        </w:tc>
        <w:tc>
          <w:tcPr>
            <w:tcW w:w="3899" w:type="dxa"/>
            <w:tcBorders>
              <w:bottom w:val="single" w:color="auto" w:sz="4" w:space="0"/>
            </w:tcBorders>
            <w:vAlign w:val="center"/>
          </w:tcPr>
          <w:p w14:paraId="5086BE41">
            <w:pPr>
              <w:widowControl/>
              <w:shd w:val="clear" w:color="auto" w:fill="FFFFFF"/>
              <w:ind w:firstLine="321" w:firstLineChars="1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《中华人民共和国安全生产法》第四十八条</w:t>
            </w:r>
            <w:r>
              <w:rPr>
                <w:rFonts w:hint="eastAsia" w:ascii="仿宋_GB2312" w:hAnsi="仿宋_GB2312" w:eastAsia="仿宋_GB2312" w:cs="仿宋_GB2312"/>
                <w:color w:val="auto"/>
                <w:kern w:val="0"/>
                <w:sz w:val="32"/>
                <w:szCs w:val="32"/>
              </w:rPr>
              <w:t xml:space="preserve">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3899" w:type="dxa"/>
            <w:tcBorders>
              <w:bottom w:val="single" w:color="auto" w:sz="4" w:space="0"/>
            </w:tcBorders>
          </w:tcPr>
          <w:p w14:paraId="5EBCCA1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4840586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4222F01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（3）图片及影像资料</w:t>
            </w:r>
            <w:r>
              <w:rPr>
                <w:rFonts w:hint="eastAsia" w:ascii="仿宋_GB2312" w:hAnsi="仿宋_GB2312" w:eastAsia="仿宋_GB2312" w:cs="仿宋_GB2312"/>
                <w:color w:val="auto"/>
                <w:sz w:val="32"/>
                <w:szCs w:val="32"/>
              </w:rPr>
              <w:t>；；</w:t>
            </w:r>
          </w:p>
          <w:p w14:paraId="0486D8D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kern w:val="0"/>
                <w:sz w:val="32"/>
                <w:szCs w:val="32"/>
              </w:rPr>
              <w:t>安全生产管理协议</w:t>
            </w:r>
            <w:r>
              <w:rPr>
                <w:rFonts w:hint="eastAsia" w:ascii="仿宋_GB2312" w:hAnsi="仿宋_GB2312" w:eastAsia="仿宋_GB2312" w:cs="仿宋_GB2312"/>
                <w:color w:val="auto"/>
                <w:sz w:val="32"/>
                <w:szCs w:val="32"/>
              </w:rPr>
              <w:t>；</w:t>
            </w:r>
          </w:p>
          <w:p w14:paraId="72D127E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kern w:val="0"/>
                <w:sz w:val="32"/>
                <w:szCs w:val="32"/>
              </w:rPr>
              <w:t>安全检查与协调</w:t>
            </w:r>
            <w:r>
              <w:rPr>
                <w:rFonts w:hint="eastAsia" w:ascii="仿宋_GB2312" w:hAnsi="仿宋_GB2312" w:eastAsia="仿宋_GB2312" w:cs="仿宋_GB2312"/>
                <w:color w:val="auto"/>
                <w:sz w:val="32"/>
                <w:szCs w:val="32"/>
              </w:rPr>
              <w:t>相关资料；</w:t>
            </w:r>
          </w:p>
          <w:p w14:paraId="0D02746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（6）安全问题和隐患的整改记录；</w:t>
            </w:r>
          </w:p>
          <w:p w14:paraId="2AE161A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（7）《现场检查记录》《责令限期整改指令书》等相关执法文书；</w:t>
            </w:r>
          </w:p>
          <w:p w14:paraId="7859C90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bCs/>
                <w:color w:val="auto"/>
                <w:sz w:val="32"/>
                <w:szCs w:val="32"/>
              </w:rPr>
              <w:t>相关人员任职文件、身份证明及其询问笔录；</w:t>
            </w:r>
          </w:p>
          <w:p w14:paraId="5E6F65D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（9）其他相关证据。</w:t>
            </w:r>
          </w:p>
        </w:tc>
        <w:tc>
          <w:tcPr>
            <w:tcW w:w="3899" w:type="dxa"/>
            <w:tcBorders>
              <w:bottom w:val="single" w:color="auto" w:sz="4" w:space="0"/>
            </w:tcBorders>
            <w:vAlign w:val="center"/>
          </w:tcPr>
          <w:p w14:paraId="3579476B">
            <w:pPr>
              <w:widowControl/>
              <w:shd w:val="clear" w:color="auto" w:fill="FFFFFF"/>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《中华人民共和国安全生产法》第一百零四条</w:t>
            </w:r>
            <w:r>
              <w:rPr>
                <w:rFonts w:hint="eastAsia" w:ascii="仿宋_GB2312" w:hAnsi="仿宋_GB2312" w:eastAsia="仿宋_GB2312" w:cs="仿宋_GB2312"/>
                <w:color w:val="auto"/>
                <w:kern w:val="0"/>
                <w:sz w:val="32"/>
                <w:szCs w:val="32"/>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951" w:type="dxa"/>
            <w:tcBorders>
              <w:bottom w:val="single" w:color="auto" w:sz="4" w:space="0"/>
            </w:tcBorders>
          </w:tcPr>
          <w:p w14:paraId="3B4C77D2">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40D7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14:paraId="1A4C1B25">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15</w:t>
            </w:r>
          </w:p>
        </w:tc>
        <w:tc>
          <w:tcPr>
            <w:tcW w:w="950" w:type="dxa"/>
            <w:vAlign w:val="center"/>
          </w:tcPr>
          <w:p w14:paraId="4CD706C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事故管理</w:t>
            </w:r>
          </w:p>
        </w:tc>
        <w:tc>
          <w:tcPr>
            <w:tcW w:w="951" w:type="dxa"/>
            <w:vAlign w:val="center"/>
          </w:tcPr>
          <w:p w14:paraId="1E9D3E7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根据本部门职责，对照事故调查报告的事故防范和整改措施，依法开展监督检查</w:t>
            </w:r>
          </w:p>
        </w:tc>
        <w:tc>
          <w:tcPr>
            <w:tcW w:w="3899" w:type="dxa"/>
            <w:vAlign w:val="center"/>
          </w:tcPr>
          <w:p w14:paraId="451793CE">
            <w:pPr>
              <w:widowControl/>
              <w:shd w:val="clear" w:color="auto" w:fill="FFFFFF"/>
              <w:ind w:firstLine="964"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第八十六条</w:t>
            </w:r>
            <w:r>
              <w:rPr>
                <w:rFonts w:hint="eastAsia" w:ascii="仿宋_GB2312" w:hAnsi="仿宋_GB2312" w:eastAsia="仿宋_GB2312" w:cs="仿宋_GB2312"/>
                <w:color w:val="auto"/>
                <w:sz w:val="32"/>
                <w:szCs w:val="32"/>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14:paraId="6C91A25C">
            <w:pPr>
              <w:widowControl/>
              <w:shd w:val="clear" w:color="auto" w:fill="FFFFFF"/>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事故发生单位应当及时全面落实整改措施，负有安全生产监督管理职责的部门应当加强监督检查。</w:t>
            </w:r>
          </w:p>
          <w:p w14:paraId="1D71B5DA">
            <w:pPr>
              <w:widowControl/>
              <w:shd w:val="clear" w:color="auto" w:fill="FFFFFF"/>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事故调查处理的国务院有关部门和地方人民政府应当在批复事故调查报告后一年内，组织有关部门对事故整改和防范措施落实情况进行评估，并及时向社会公开评估结果；对不履行职责导致事故整改和防范措施没有落实的有关单位和人员，应当按照有关规定追究责任。</w:t>
            </w:r>
          </w:p>
          <w:p w14:paraId="28F6AB3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《生产安全事故报告和调查处理条例》第三十三条</w:t>
            </w:r>
            <w:r>
              <w:rPr>
                <w:rFonts w:hint="eastAsia" w:ascii="仿宋_GB2312" w:hAnsi="仿宋_GB2312" w:eastAsia="仿宋_GB2312" w:cs="仿宋_GB2312"/>
                <w:color w:val="auto"/>
                <w:kern w:val="0"/>
                <w:sz w:val="32"/>
                <w:szCs w:val="32"/>
              </w:rPr>
              <w:t>事故发生单位应当认真吸取事故教训，落实防范和整改措施，防止事故再次发生。防范和整改措施的落实情况应当接受工会和职工的监督。</w:t>
            </w:r>
          </w:p>
          <w:p w14:paraId="0C4493F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安全生产监督管理部门和负有安全生产监督管理职责的有关部门应当对事故发生单位落实防范和整改措施的情况进行监督检查。</w:t>
            </w:r>
          </w:p>
        </w:tc>
        <w:tc>
          <w:tcPr>
            <w:tcW w:w="3899" w:type="dxa"/>
          </w:tcPr>
          <w:p w14:paraId="409ED94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6491D59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433ABF6C">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（3）事故防范和整改措施有关资料</w:t>
            </w:r>
            <w:r>
              <w:rPr>
                <w:rFonts w:hint="eastAsia" w:ascii="仿宋_GB2312" w:hAnsi="仿宋_GB2312" w:eastAsia="仿宋_GB2312" w:cs="仿宋_GB2312"/>
                <w:color w:val="auto"/>
                <w:kern w:val="0"/>
                <w:sz w:val="32"/>
                <w:szCs w:val="32"/>
              </w:rPr>
              <w:t>；</w:t>
            </w:r>
          </w:p>
          <w:p w14:paraId="5B0CCA7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（4）现场核实事故隐患整治的图片或影像资料；</w:t>
            </w:r>
          </w:p>
          <w:p w14:paraId="3E755CE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（5）《现场检查记录》等</w:t>
            </w:r>
            <w:r>
              <w:rPr>
                <w:rFonts w:hint="eastAsia" w:ascii="仿宋_GB2312" w:hAnsi="仿宋_GB2312" w:eastAsia="仿宋_GB2312" w:cs="仿宋_GB2312"/>
                <w:color w:val="auto"/>
                <w:kern w:val="0"/>
                <w:sz w:val="32"/>
                <w:szCs w:val="32"/>
              </w:rPr>
              <w:t>相关</w:t>
            </w:r>
            <w:r>
              <w:rPr>
                <w:rFonts w:hint="eastAsia" w:ascii="仿宋_GB2312" w:hAnsi="仿宋_GB2312" w:eastAsia="仿宋_GB2312" w:cs="仿宋_GB2312"/>
                <w:color w:val="auto"/>
                <w:sz w:val="32"/>
                <w:szCs w:val="32"/>
              </w:rPr>
              <w:t>执法文书；</w:t>
            </w:r>
          </w:p>
          <w:p w14:paraId="1547A07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bCs/>
                <w:color w:val="auto"/>
                <w:sz w:val="32"/>
                <w:szCs w:val="32"/>
              </w:rPr>
              <w:t>相关人员任职文件、身份证明及其询问笔录；</w:t>
            </w:r>
          </w:p>
          <w:p w14:paraId="3CA68A5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（7）其他相关证据。</w:t>
            </w:r>
          </w:p>
        </w:tc>
        <w:tc>
          <w:tcPr>
            <w:tcW w:w="3899" w:type="dxa"/>
            <w:vAlign w:val="center"/>
          </w:tcPr>
          <w:p w14:paraId="61DB775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对发现的违法行为和事故隐患，依照有关安全生产法律法规追究法律责任，并依法从重处理。</w:t>
            </w:r>
          </w:p>
        </w:tc>
        <w:tc>
          <w:tcPr>
            <w:tcW w:w="951" w:type="dxa"/>
          </w:tcPr>
          <w:p w14:paraId="3390C122">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BEF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Merge w:val="restart"/>
            <w:vAlign w:val="center"/>
          </w:tcPr>
          <w:p w14:paraId="6085FBE9">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16</w:t>
            </w:r>
          </w:p>
        </w:tc>
        <w:tc>
          <w:tcPr>
            <w:tcW w:w="950" w:type="dxa"/>
            <w:vMerge w:val="restart"/>
            <w:vAlign w:val="center"/>
          </w:tcPr>
          <w:p w14:paraId="7106747C">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第三方机构服务</w:t>
            </w:r>
          </w:p>
        </w:tc>
        <w:tc>
          <w:tcPr>
            <w:tcW w:w="951" w:type="dxa"/>
            <w:vAlign w:val="center"/>
          </w:tcPr>
          <w:p w14:paraId="4059673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失实报告</w:t>
            </w:r>
          </w:p>
        </w:tc>
        <w:tc>
          <w:tcPr>
            <w:tcW w:w="3899" w:type="dxa"/>
            <w:vAlign w:val="center"/>
          </w:tcPr>
          <w:p w14:paraId="5C7A8D8A">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《中华人民共和国安全生产法》第七十二条第一款</w:t>
            </w:r>
            <w:r>
              <w:rPr>
                <w:rFonts w:hint="eastAsia" w:ascii="仿宋_GB2312" w:hAnsi="仿宋_GB2312" w:eastAsia="仿宋_GB2312" w:cs="仿宋_GB2312"/>
                <w:color w:val="auto"/>
                <w:kern w:val="0"/>
                <w:sz w:val="32"/>
                <w:szCs w:val="32"/>
              </w:rPr>
              <w:t xml:space="preserve"> 承担安全评价、认证、检测、检验职责的机构应当具备国家规定的资质条件，并对其作出的安全评价、认证、检测、检验结果的合法性、真实性负责。资质条件由国务院应急管理部门会同国务院有关部门制定。</w:t>
            </w:r>
          </w:p>
        </w:tc>
        <w:tc>
          <w:tcPr>
            <w:tcW w:w="3899" w:type="dxa"/>
          </w:tcPr>
          <w:p w14:paraId="066B820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7DFE164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73020A7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（3）图片及影像资料</w:t>
            </w:r>
            <w:r>
              <w:rPr>
                <w:rFonts w:hint="eastAsia" w:ascii="仿宋_GB2312" w:hAnsi="仿宋_GB2312" w:eastAsia="仿宋_GB2312" w:cs="仿宋_GB2312"/>
                <w:color w:val="auto"/>
                <w:sz w:val="32"/>
                <w:szCs w:val="32"/>
              </w:rPr>
              <w:t>；；</w:t>
            </w:r>
          </w:p>
          <w:p w14:paraId="57B3662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kern w:val="0"/>
                <w:sz w:val="32"/>
                <w:szCs w:val="32"/>
              </w:rPr>
              <w:t>安全评价、认证、检测、检验报告</w:t>
            </w:r>
            <w:r>
              <w:rPr>
                <w:rFonts w:hint="eastAsia" w:ascii="仿宋_GB2312" w:hAnsi="仿宋_GB2312" w:eastAsia="仿宋_GB2312" w:cs="仿宋_GB2312"/>
                <w:color w:val="auto"/>
                <w:sz w:val="32"/>
                <w:szCs w:val="32"/>
              </w:rPr>
              <w:t>；</w:t>
            </w:r>
          </w:p>
          <w:p w14:paraId="3A25AD2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kern w:val="0"/>
                <w:sz w:val="32"/>
                <w:szCs w:val="32"/>
              </w:rPr>
              <w:t>委托合同（或协议）</w:t>
            </w:r>
            <w:r>
              <w:rPr>
                <w:rFonts w:hint="eastAsia" w:ascii="仿宋_GB2312" w:hAnsi="仿宋_GB2312" w:eastAsia="仿宋_GB2312" w:cs="仿宋_GB2312"/>
                <w:color w:val="auto"/>
                <w:sz w:val="32"/>
                <w:szCs w:val="32"/>
              </w:rPr>
              <w:t>；</w:t>
            </w:r>
          </w:p>
          <w:p w14:paraId="0C7C6E2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（6）《现场检查记录》《责令限期整改指令书》等相关执法文书；</w:t>
            </w:r>
          </w:p>
          <w:p w14:paraId="62F609B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bCs/>
                <w:color w:val="auto"/>
                <w:sz w:val="32"/>
                <w:szCs w:val="32"/>
              </w:rPr>
              <w:t>相关人员任职文件、身份证明及其询问笔录；</w:t>
            </w:r>
          </w:p>
          <w:p w14:paraId="0AC6B8E6">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（8）其他相关证据。</w:t>
            </w:r>
          </w:p>
        </w:tc>
        <w:tc>
          <w:tcPr>
            <w:tcW w:w="3899" w:type="dxa"/>
            <w:vAlign w:val="center"/>
          </w:tcPr>
          <w:p w14:paraId="3941A76B">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《中华人民共和国安全生产法》第九十二条第一款 </w:t>
            </w:r>
            <w:r>
              <w:rPr>
                <w:rFonts w:hint="eastAsia" w:ascii="仿宋_GB2312" w:hAnsi="仿宋_GB2312" w:eastAsia="仿宋_GB2312" w:cs="仿宋_GB2312"/>
                <w:color w:val="auto"/>
                <w:kern w:val="0"/>
                <w:sz w:val="32"/>
                <w:szCs w:val="32"/>
              </w:rPr>
              <w:t>承担安全评价、认证、检测、检验职责的机构出具失实报告的，责令停业整顿，并处三万元以上十万元以下的罚款；给他人造成损害的，依法承担赔偿责任。</w:t>
            </w:r>
          </w:p>
          <w:p w14:paraId="7C7335B1">
            <w:pPr>
              <w:widowControl/>
              <w:shd w:val="clear" w:color="auto" w:fill="FFFFFF"/>
              <w:rPr>
                <w:rFonts w:hint="eastAsia" w:ascii="仿宋_GB2312" w:hAnsi="仿宋_GB2312" w:eastAsia="仿宋_GB2312" w:cs="仿宋_GB2312"/>
                <w:color w:val="auto"/>
                <w:kern w:val="0"/>
                <w:sz w:val="32"/>
                <w:szCs w:val="32"/>
              </w:rPr>
            </w:pPr>
          </w:p>
        </w:tc>
        <w:tc>
          <w:tcPr>
            <w:tcW w:w="951" w:type="dxa"/>
          </w:tcPr>
          <w:p w14:paraId="2614D502">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CB0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Merge w:val="continue"/>
            <w:vAlign w:val="center"/>
          </w:tcPr>
          <w:p w14:paraId="35C96898">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295B71B4">
            <w:pPr>
              <w:widowControl/>
              <w:adjustRightInd w:val="0"/>
              <w:snapToGrid w:val="0"/>
              <w:rPr>
                <w:rFonts w:hint="eastAsia" w:ascii="仿宋_GB2312" w:hAnsi="仿宋_GB2312" w:eastAsia="仿宋_GB2312" w:cs="仿宋_GB2312"/>
                <w:color w:val="auto"/>
                <w:sz w:val="32"/>
                <w:szCs w:val="32"/>
              </w:rPr>
            </w:pPr>
          </w:p>
        </w:tc>
        <w:tc>
          <w:tcPr>
            <w:tcW w:w="951" w:type="dxa"/>
            <w:vAlign w:val="center"/>
          </w:tcPr>
          <w:p w14:paraId="37A3547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虚假报告</w:t>
            </w:r>
          </w:p>
        </w:tc>
        <w:tc>
          <w:tcPr>
            <w:tcW w:w="3899" w:type="dxa"/>
            <w:vAlign w:val="center"/>
          </w:tcPr>
          <w:p w14:paraId="5417C3B8">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《中华人民共和国安全生产法》第七十二条第二款</w:t>
            </w:r>
            <w:r>
              <w:rPr>
                <w:rFonts w:hint="eastAsia" w:ascii="仿宋_GB2312" w:hAnsi="仿宋_GB2312" w:eastAsia="仿宋_GB2312" w:cs="仿宋_GB2312"/>
                <w:color w:val="auto"/>
                <w:kern w:val="0"/>
                <w:sz w:val="32"/>
                <w:szCs w:val="32"/>
              </w:rPr>
              <w:t>承担安全评价、认证、检测、检验职责的机构应当建立并实施服务公开和报告公开制度，不得租借资质、挂靠、出具虚假报告。</w:t>
            </w:r>
          </w:p>
          <w:p w14:paraId="45BAB6FE">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tcPr>
          <w:p w14:paraId="7E27C4F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3263AFA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75CC96B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（3）图片及影像资料</w:t>
            </w:r>
            <w:r>
              <w:rPr>
                <w:rFonts w:hint="eastAsia" w:ascii="仿宋_GB2312" w:hAnsi="仿宋_GB2312" w:eastAsia="仿宋_GB2312" w:cs="仿宋_GB2312"/>
                <w:color w:val="auto"/>
                <w:sz w:val="32"/>
                <w:szCs w:val="32"/>
              </w:rPr>
              <w:t>；；</w:t>
            </w:r>
          </w:p>
          <w:p w14:paraId="0CB790A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kern w:val="0"/>
                <w:sz w:val="32"/>
                <w:szCs w:val="32"/>
              </w:rPr>
              <w:t>安全评价、认证、检测、检验报告</w:t>
            </w:r>
            <w:r>
              <w:rPr>
                <w:rFonts w:hint="eastAsia" w:ascii="仿宋_GB2312" w:hAnsi="仿宋_GB2312" w:eastAsia="仿宋_GB2312" w:cs="仿宋_GB2312"/>
                <w:color w:val="auto"/>
                <w:sz w:val="32"/>
                <w:szCs w:val="32"/>
              </w:rPr>
              <w:t>；</w:t>
            </w:r>
          </w:p>
          <w:p w14:paraId="49CEFB8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kern w:val="0"/>
                <w:sz w:val="32"/>
                <w:szCs w:val="32"/>
              </w:rPr>
              <w:t>委托合同（或协议）</w:t>
            </w:r>
            <w:r>
              <w:rPr>
                <w:rFonts w:hint="eastAsia" w:ascii="仿宋_GB2312" w:hAnsi="仿宋_GB2312" w:eastAsia="仿宋_GB2312" w:cs="仿宋_GB2312"/>
                <w:color w:val="auto"/>
                <w:sz w:val="32"/>
                <w:szCs w:val="32"/>
              </w:rPr>
              <w:t>；</w:t>
            </w:r>
          </w:p>
          <w:p w14:paraId="6429B99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（6）《现场检查记录》《责令限期整改指令书》等相关执法文书；</w:t>
            </w:r>
          </w:p>
          <w:p w14:paraId="1ABDF44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bCs/>
                <w:color w:val="auto"/>
                <w:sz w:val="32"/>
                <w:szCs w:val="32"/>
              </w:rPr>
              <w:t>相关人员任职文件、身份证明及其询问笔录；</w:t>
            </w:r>
          </w:p>
          <w:p w14:paraId="38370166">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（8）其他相关证据。</w:t>
            </w:r>
          </w:p>
        </w:tc>
        <w:tc>
          <w:tcPr>
            <w:tcW w:w="3899" w:type="dxa"/>
            <w:vAlign w:val="center"/>
          </w:tcPr>
          <w:p w14:paraId="2586EA8B">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《中华人民共和国安全生产法》第九十二条第二款、第三款</w:t>
            </w:r>
            <w:r>
              <w:rPr>
                <w:rFonts w:hint="eastAsia" w:ascii="仿宋_GB2312" w:hAnsi="仿宋_GB2312" w:eastAsia="仿宋_GB2312" w:cs="仿宋_GB2312"/>
                <w:color w:val="auto"/>
                <w:kern w:val="0"/>
                <w:sz w:val="32"/>
                <w:szCs w:val="32"/>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715534D4">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对有前款违法行为的机构及其直接责任人员，吊销其相应资质和资格，五年内不得从事安全评价、认证、检测、检验等工作，情节严重的，实行终身行业和职业禁入。</w:t>
            </w:r>
          </w:p>
          <w:p w14:paraId="4BA1AE97">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tcPr>
          <w:p w14:paraId="1A0562F1">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6DFC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14:paraId="565E0BFB">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17</w:t>
            </w:r>
          </w:p>
        </w:tc>
        <w:tc>
          <w:tcPr>
            <w:tcW w:w="950" w:type="dxa"/>
            <w:vAlign w:val="center"/>
          </w:tcPr>
          <w:p w14:paraId="146C059E">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特种设备</w:t>
            </w:r>
          </w:p>
        </w:tc>
        <w:tc>
          <w:tcPr>
            <w:tcW w:w="951" w:type="dxa"/>
            <w:vAlign w:val="center"/>
          </w:tcPr>
          <w:p w14:paraId="3D32E10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检测、检验</w:t>
            </w:r>
          </w:p>
        </w:tc>
        <w:tc>
          <w:tcPr>
            <w:tcW w:w="3899" w:type="dxa"/>
            <w:vAlign w:val="center"/>
          </w:tcPr>
          <w:p w14:paraId="7517FD2C">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w:t>
            </w:r>
            <w:r>
              <w:rPr>
                <w:rFonts w:hint="eastAsia" w:ascii="仿宋_GB2312" w:hAnsi="仿宋_GB2312" w:eastAsia="仿宋_GB2312" w:cs="仿宋_GB2312"/>
                <w:b/>
                <w:color w:val="auto"/>
                <w:kern w:val="0"/>
                <w:sz w:val="32"/>
                <w:szCs w:val="32"/>
              </w:rPr>
              <w:t>第三十七条</w:t>
            </w:r>
            <w:r>
              <w:rPr>
                <w:rFonts w:hint="eastAsia" w:ascii="仿宋_GB2312" w:hAnsi="仿宋_GB2312" w:eastAsia="仿宋_GB2312" w:cs="仿宋_GB2312"/>
                <w:color w:val="auto"/>
                <w:kern w:val="0"/>
                <w:sz w:val="32"/>
                <w:szCs w:val="32"/>
              </w:rPr>
              <w:t xml:space="preserve">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tc>
        <w:tc>
          <w:tcPr>
            <w:tcW w:w="3899" w:type="dxa"/>
          </w:tcPr>
          <w:p w14:paraId="5476FAE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2B0B883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0B3965A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（3）图片及影像资料</w:t>
            </w:r>
            <w:r>
              <w:rPr>
                <w:rFonts w:hint="eastAsia" w:ascii="仿宋_GB2312" w:hAnsi="仿宋_GB2312" w:eastAsia="仿宋_GB2312" w:cs="仿宋_GB2312"/>
                <w:color w:val="auto"/>
                <w:sz w:val="32"/>
                <w:szCs w:val="32"/>
              </w:rPr>
              <w:t>；</w:t>
            </w:r>
          </w:p>
          <w:p w14:paraId="24FA7AE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kern w:val="0"/>
                <w:sz w:val="32"/>
                <w:szCs w:val="32"/>
              </w:rPr>
              <w:t>检测、检验报告</w:t>
            </w:r>
            <w:r>
              <w:rPr>
                <w:rFonts w:hint="eastAsia" w:ascii="仿宋_GB2312" w:hAnsi="仿宋_GB2312" w:eastAsia="仿宋_GB2312" w:cs="仿宋_GB2312"/>
                <w:color w:val="auto"/>
                <w:sz w:val="32"/>
                <w:szCs w:val="32"/>
              </w:rPr>
              <w:t>；</w:t>
            </w:r>
          </w:p>
          <w:p w14:paraId="43A8758E">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kern w:val="0"/>
                <w:sz w:val="32"/>
                <w:szCs w:val="32"/>
              </w:rPr>
              <w:t>特种设备管理台账；</w:t>
            </w:r>
          </w:p>
          <w:p w14:paraId="5BE8B655">
            <w:pPr>
              <w:pStyle w:val="2"/>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（6）特</w:t>
            </w:r>
            <w:r>
              <w:rPr>
                <w:rFonts w:hint="eastAsia" w:ascii="仿宋_GB2312" w:hAnsi="仿宋_GB2312" w:eastAsia="仿宋_GB2312" w:cs="仿宋_GB2312"/>
                <w:color w:val="auto"/>
                <w:kern w:val="0"/>
                <w:sz w:val="32"/>
                <w:szCs w:val="32"/>
              </w:rPr>
              <w:t>种设备安全使用证或者安全标志（复印件）；</w:t>
            </w:r>
          </w:p>
          <w:p w14:paraId="045649A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kern w:val="0"/>
                <w:sz w:val="32"/>
                <w:szCs w:val="32"/>
              </w:rPr>
              <w:t>委托合同（或协议）</w:t>
            </w:r>
            <w:r>
              <w:rPr>
                <w:rFonts w:hint="eastAsia" w:ascii="仿宋_GB2312" w:hAnsi="仿宋_GB2312" w:eastAsia="仿宋_GB2312" w:cs="仿宋_GB2312"/>
                <w:color w:val="auto"/>
                <w:sz w:val="32"/>
                <w:szCs w:val="32"/>
              </w:rPr>
              <w:t>；</w:t>
            </w:r>
          </w:p>
          <w:p w14:paraId="5F11F39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（8）《现场检查记录》《责令限期整改指令书》等相关执法文书；</w:t>
            </w:r>
          </w:p>
          <w:p w14:paraId="6084888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bCs/>
                <w:color w:val="auto"/>
                <w:sz w:val="32"/>
                <w:szCs w:val="32"/>
              </w:rPr>
              <w:t>相关人员任职文件、身份证明及其询问笔录；</w:t>
            </w:r>
          </w:p>
          <w:p w14:paraId="266A7C8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（10）其他相关证据。</w:t>
            </w:r>
          </w:p>
        </w:tc>
        <w:tc>
          <w:tcPr>
            <w:tcW w:w="3899" w:type="dxa"/>
            <w:vAlign w:val="center"/>
          </w:tcPr>
          <w:p w14:paraId="782F772D">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《中华人民共和国安全生产法》第九十九条第六项 </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59AE3C0">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（六）危险物品的容器、运输工具，以及涉及人身安全、危险性较大的海洋石油开采特种设备和矿山井下特种设备未经具有专业资质的机构检测、检验合格，取得安全使用证或者安全标志，投入使用的；</w:t>
            </w:r>
          </w:p>
        </w:tc>
        <w:tc>
          <w:tcPr>
            <w:tcW w:w="951" w:type="dxa"/>
          </w:tcPr>
          <w:p w14:paraId="249974B1">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2952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Merge w:val="restart"/>
            <w:vAlign w:val="center"/>
          </w:tcPr>
          <w:p w14:paraId="59799036">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18</w:t>
            </w:r>
          </w:p>
        </w:tc>
        <w:tc>
          <w:tcPr>
            <w:tcW w:w="950" w:type="dxa"/>
            <w:vMerge w:val="restart"/>
            <w:vAlign w:val="center"/>
          </w:tcPr>
          <w:p w14:paraId="1E52E1EC">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危险物品</w:t>
            </w:r>
          </w:p>
        </w:tc>
        <w:tc>
          <w:tcPr>
            <w:tcW w:w="951" w:type="dxa"/>
            <w:vAlign w:val="center"/>
          </w:tcPr>
          <w:p w14:paraId="68E0DFA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审批情况</w:t>
            </w:r>
          </w:p>
        </w:tc>
        <w:tc>
          <w:tcPr>
            <w:tcW w:w="3899" w:type="dxa"/>
            <w:vAlign w:val="center"/>
          </w:tcPr>
          <w:p w14:paraId="29809B87">
            <w:pPr>
              <w:widowControl/>
              <w:shd w:val="clear" w:color="auto" w:fill="FFFFFF"/>
              <w:ind w:firstLine="321" w:firstLineChars="1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w:t>
            </w:r>
            <w:r>
              <w:rPr>
                <w:rFonts w:hint="eastAsia" w:ascii="仿宋_GB2312" w:hAnsi="仿宋_GB2312" w:eastAsia="仿宋_GB2312" w:cs="仿宋_GB2312"/>
                <w:b/>
                <w:color w:val="auto"/>
                <w:kern w:val="0"/>
                <w:sz w:val="32"/>
                <w:szCs w:val="32"/>
              </w:rPr>
              <w:t>第三十九条第一款</w:t>
            </w:r>
            <w:r>
              <w:rPr>
                <w:rFonts w:hint="eastAsia" w:ascii="仿宋_GB2312" w:hAnsi="仿宋_GB2312" w:eastAsia="仿宋_GB2312" w:cs="仿宋_GB2312"/>
                <w:color w:val="auto"/>
                <w:kern w:val="0"/>
                <w:sz w:val="32"/>
                <w:szCs w:val="32"/>
              </w:rPr>
              <w:t xml:space="preserve"> 生产、经营、运输、储存、使用危险物品或者处置废弃危险物品的，由有关主管部门依照有关法律、法规的规定和国家标准或者行业标准审批并实施监督管理。</w:t>
            </w:r>
          </w:p>
        </w:tc>
        <w:tc>
          <w:tcPr>
            <w:tcW w:w="3899" w:type="dxa"/>
          </w:tcPr>
          <w:p w14:paraId="2EBB952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5D9C85C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68FCE5B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（3）图片及影像资料</w:t>
            </w:r>
            <w:r>
              <w:rPr>
                <w:rFonts w:hint="eastAsia" w:ascii="仿宋_GB2312" w:hAnsi="仿宋_GB2312" w:eastAsia="仿宋_GB2312" w:cs="仿宋_GB2312"/>
                <w:color w:val="auto"/>
                <w:sz w:val="32"/>
                <w:szCs w:val="32"/>
              </w:rPr>
              <w:t>；</w:t>
            </w:r>
          </w:p>
          <w:p w14:paraId="3AF84B0B">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kern w:val="0"/>
                <w:sz w:val="32"/>
                <w:szCs w:val="32"/>
              </w:rPr>
              <w:t>危险物品管理台账；</w:t>
            </w:r>
          </w:p>
          <w:p w14:paraId="4CC5A62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（5）《现场检查记录》《责令限期整改指令书》等相关执法文书；</w:t>
            </w:r>
          </w:p>
          <w:p w14:paraId="00F38A9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bCs/>
                <w:color w:val="auto"/>
                <w:sz w:val="32"/>
                <w:szCs w:val="32"/>
              </w:rPr>
              <w:t>相关人员任职文件、身份证明及其询问笔录；</w:t>
            </w:r>
          </w:p>
          <w:p w14:paraId="471670E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（7）其他相关证据。</w:t>
            </w:r>
          </w:p>
        </w:tc>
        <w:tc>
          <w:tcPr>
            <w:tcW w:w="3899" w:type="dxa"/>
            <w:vAlign w:val="center"/>
          </w:tcPr>
          <w:p w14:paraId="52CDD33F">
            <w:pPr>
              <w:widowControl/>
              <w:shd w:val="clear" w:color="auto" w:fill="FFFFFF"/>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w:t>
            </w:r>
            <w:r>
              <w:rPr>
                <w:rFonts w:hint="eastAsia" w:ascii="仿宋_GB2312" w:hAnsi="仿宋_GB2312" w:eastAsia="仿宋_GB2312" w:cs="仿宋_GB2312"/>
                <w:color w:val="auto"/>
                <w:kern w:val="0"/>
                <w:sz w:val="32"/>
                <w:szCs w:val="32"/>
              </w:rPr>
              <w:t>第一百条 未经依法批准，擅自生产、经营、运输、储存、使用危险物品或者处置废弃危险物品的，依照有关危险物品安全管理的法律、行政法规的规定予以处罚；构成犯罪的，依照刑法有关规定追究刑事责任。</w:t>
            </w:r>
          </w:p>
        </w:tc>
        <w:tc>
          <w:tcPr>
            <w:tcW w:w="951" w:type="dxa"/>
          </w:tcPr>
          <w:p w14:paraId="18F89B54">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389E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Merge w:val="continue"/>
            <w:vAlign w:val="center"/>
          </w:tcPr>
          <w:p w14:paraId="41D42242">
            <w:pPr>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16B35222">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5EB5725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专门安全管理制度及采取可靠的安全措施</w:t>
            </w:r>
          </w:p>
        </w:tc>
        <w:tc>
          <w:tcPr>
            <w:tcW w:w="3899" w:type="dxa"/>
            <w:vAlign w:val="center"/>
          </w:tcPr>
          <w:p w14:paraId="63BD1E9A">
            <w:pPr>
              <w:widowControl/>
              <w:shd w:val="clear" w:color="auto" w:fill="FFFFFF"/>
              <w:ind w:firstLine="321" w:firstLineChars="1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w:t>
            </w:r>
            <w:r>
              <w:rPr>
                <w:rFonts w:hint="eastAsia" w:ascii="仿宋_GB2312" w:hAnsi="仿宋_GB2312" w:eastAsia="仿宋_GB2312" w:cs="仿宋_GB2312"/>
                <w:color w:val="auto"/>
                <w:kern w:val="0"/>
                <w:sz w:val="32"/>
                <w:szCs w:val="32"/>
              </w:rPr>
              <w:t>第三十九条第二款 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3899" w:type="dxa"/>
          </w:tcPr>
          <w:p w14:paraId="065E3A6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14205DA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288D1CA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（3）图片及影像资料</w:t>
            </w:r>
            <w:r>
              <w:rPr>
                <w:rFonts w:hint="eastAsia" w:ascii="仿宋_GB2312" w:hAnsi="仿宋_GB2312" w:eastAsia="仿宋_GB2312" w:cs="仿宋_GB2312"/>
                <w:color w:val="auto"/>
                <w:sz w:val="32"/>
                <w:szCs w:val="32"/>
              </w:rPr>
              <w:t>；</w:t>
            </w:r>
          </w:p>
          <w:p w14:paraId="66A8B8A4">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kern w:val="0"/>
                <w:sz w:val="32"/>
                <w:szCs w:val="32"/>
              </w:rPr>
              <w:t>危险物品管理台账；</w:t>
            </w:r>
          </w:p>
          <w:p w14:paraId="0D6F6C0E">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kern w:val="0"/>
                <w:sz w:val="32"/>
                <w:szCs w:val="32"/>
              </w:rPr>
              <w:t>危险物品安全管理制度及措施；</w:t>
            </w:r>
          </w:p>
          <w:p w14:paraId="0A33858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（6）《现场检查记录》《责令限期整改指令书》等相关执法文书；</w:t>
            </w:r>
          </w:p>
          <w:p w14:paraId="109E165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bCs/>
                <w:color w:val="auto"/>
                <w:sz w:val="32"/>
                <w:szCs w:val="32"/>
              </w:rPr>
              <w:t>相关人员任职文件、身份证明及其询问笔录；</w:t>
            </w:r>
          </w:p>
          <w:p w14:paraId="4FA8CBE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（8）其他相关证据。</w:t>
            </w:r>
          </w:p>
        </w:tc>
        <w:tc>
          <w:tcPr>
            <w:tcW w:w="3899" w:type="dxa"/>
            <w:vAlign w:val="center"/>
          </w:tcPr>
          <w:p w14:paraId="20B8EF92">
            <w:pPr>
              <w:widowControl/>
              <w:shd w:val="clear" w:color="auto" w:fill="FFFFFF"/>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w:t>
            </w:r>
            <w:r>
              <w:rPr>
                <w:rFonts w:hint="eastAsia" w:ascii="仿宋_GB2312" w:hAnsi="仿宋_GB2312" w:eastAsia="仿宋_GB2312" w:cs="仿宋_GB2312"/>
                <w:color w:val="auto"/>
                <w:kern w:val="0"/>
                <w:sz w:val="32"/>
                <w:szCs w:val="32"/>
              </w:rPr>
              <w:t>第一百零一条第一项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0D98D7D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（一）生产、经营、运输、储存、使用危险物品或者处置废弃危险物品，未建立专门安全管理制度、未采取可靠的安全措施的；</w:t>
            </w:r>
          </w:p>
        </w:tc>
        <w:tc>
          <w:tcPr>
            <w:tcW w:w="951" w:type="dxa"/>
          </w:tcPr>
          <w:p w14:paraId="465B1104">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278C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14:paraId="1CDCFA2C">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19</w:t>
            </w:r>
          </w:p>
        </w:tc>
        <w:tc>
          <w:tcPr>
            <w:tcW w:w="950" w:type="dxa"/>
            <w:vAlign w:val="center"/>
          </w:tcPr>
          <w:p w14:paraId="56C444F4">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淘汰危及生产安全的工艺、设备</w:t>
            </w:r>
          </w:p>
        </w:tc>
        <w:tc>
          <w:tcPr>
            <w:tcW w:w="951" w:type="dxa"/>
            <w:vAlign w:val="center"/>
          </w:tcPr>
          <w:p w14:paraId="0087306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使用情况</w:t>
            </w:r>
          </w:p>
        </w:tc>
        <w:tc>
          <w:tcPr>
            <w:tcW w:w="3899" w:type="dxa"/>
            <w:vAlign w:val="center"/>
          </w:tcPr>
          <w:p w14:paraId="078D7B1F">
            <w:pPr>
              <w:widowControl/>
              <w:shd w:val="clear" w:color="auto" w:fill="FFFFFF"/>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《中华人民共和国安全生产法》第三十八条</w:t>
            </w:r>
            <w:r>
              <w:rPr>
                <w:rFonts w:hint="eastAsia" w:ascii="仿宋_GB2312" w:hAnsi="仿宋_GB2312" w:eastAsia="仿宋_GB2312" w:cs="仿宋_GB2312"/>
                <w:color w:val="auto"/>
                <w:kern w:val="0"/>
                <w:sz w:val="32"/>
                <w:szCs w:val="32"/>
              </w:rPr>
              <w:t xml:space="preserve"> 国家对严重危及生产安全的工艺、设备实行淘汰制度，具体目录由国务院应急管理部门会同国务院有关部门制定并公布。法律、行政法规对目录的制定另有规定的，适用其规定。</w:t>
            </w:r>
          </w:p>
          <w:p w14:paraId="7E9B7D5B">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省、自治区、直辖市人民政府可以根据本地区实际情况制定并公布具体目录，对前款规定以外的危及生产安全的工艺、设备予以淘汰。</w:t>
            </w:r>
          </w:p>
          <w:p w14:paraId="29D21113">
            <w:pPr>
              <w:widowControl/>
              <w:shd w:val="clear" w:color="auto" w:fill="FFFFFF"/>
              <w:ind w:firstLine="64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生产经营单位不得使用应当淘汰的危及生产安全的工艺、设备。</w:t>
            </w:r>
          </w:p>
        </w:tc>
        <w:tc>
          <w:tcPr>
            <w:tcW w:w="3899" w:type="dxa"/>
          </w:tcPr>
          <w:p w14:paraId="4A83BC4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0EE573C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52787A1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（3）图片及影像资料</w:t>
            </w:r>
            <w:r>
              <w:rPr>
                <w:rFonts w:hint="eastAsia" w:ascii="仿宋_GB2312" w:hAnsi="仿宋_GB2312" w:eastAsia="仿宋_GB2312" w:cs="仿宋_GB2312"/>
                <w:color w:val="auto"/>
                <w:sz w:val="32"/>
                <w:szCs w:val="32"/>
              </w:rPr>
              <w:t>；</w:t>
            </w:r>
          </w:p>
          <w:p w14:paraId="464AEB8E">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kern w:val="0"/>
                <w:sz w:val="32"/>
                <w:szCs w:val="32"/>
              </w:rPr>
              <w:t>工艺、设备管理台账及运行记录；</w:t>
            </w:r>
          </w:p>
          <w:p w14:paraId="7E45A28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（5）《现场检查记录》《责令限期整改指令书》等相关执法文书；</w:t>
            </w:r>
          </w:p>
          <w:p w14:paraId="480FED6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bCs/>
                <w:color w:val="auto"/>
                <w:sz w:val="32"/>
                <w:szCs w:val="32"/>
              </w:rPr>
              <w:t>相关人员任职文件、身份证明及其询问笔录；</w:t>
            </w:r>
          </w:p>
          <w:p w14:paraId="120CC48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（7）其他相关证据。</w:t>
            </w:r>
          </w:p>
        </w:tc>
        <w:tc>
          <w:tcPr>
            <w:tcW w:w="3899" w:type="dxa"/>
            <w:vAlign w:val="center"/>
          </w:tcPr>
          <w:p w14:paraId="04DA5312">
            <w:pPr>
              <w:widowControl/>
              <w:shd w:val="clear" w:color="auto" w:fill="FFFFFF"/>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w:t>
            </w:r>
            <w:r>
              <w:rPr>
                <w:rFonts w:hint="eastAsia" w:ascii="仿宋_GB2312" w:hAnsi="仿宋_GB2312" w:eastAsia="仿宋_GB2312" w:cs="仿宋_GB2312"/>
                <w:color w:val="auto"/>
                <w:kern w:val="0"/>
                <w:sz w:val="32"/>
                <w:szCs w:val="32"/>
              </w:rPr>
              <w:t>第九十九条第七项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CE14B55">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（七）使用应当淘汰的危及生产安全的工艺、设备的；</w:t>
            </w:r>
          </w:p>
        </w:tc>
        <w:tc>
          <w:tcPr>
            <w:tcW w:w="951" w:type="dxa"/>
          </w:tcPr>
          <w:p w14:paraId="5E84880C">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6856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14:paraId="39D780C4">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w:t>
            </w:r>
          </w:p>
        </w:tc>
        <w:tc>
          <w:tcPr>
            <w:tcW w:w="950" w:type="dxa"/>
            <w:vAlign w:val="center"/>
          </w:tcPr>
          <w:p w14:paraId="4FEA1B99">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劳动协议</w:t>
            </w:r>
          </w:p>
        </w:tc>
        <w:tc>
          <w:tcPr>
            <w:tcW w:w="951" w:type="dxa"/>
            <w:vAlign w:val="center"/>
          </w:tcPr>
          <w:p w14:paraId="15FC2ED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协议内容</w:t>
            </w:r>
          </w:p>
        </w:tc>
        <w:tc>
          <w:tcPr>
            <w:tcW w:w="3899" w:type="dxa"/>
            <w:vAlign w:val="center"/>
          </w:tcPr>
          <w:p w14:paraId="43C9DB9B">
            <w:pPr>
              <w:widowControl/>
              <w:shd w:val="clear" w:color="auto" w:fill="FFFFFF"/>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color w:val="auto"/>
                <w:kern w:val="0"/>
                <w:sz w:val="32"/>
                <w:szCs w:val="32"/>
              </w:rPr>
              <w:t>第五十二条第二款生产经营单位不得以任何形式与从业人员订立协议，免除或者减轻其对从业人员因生产安全事故伤亡依法应承担的责任。</w:t>
            </w:r>
          </w:p>
          <w:p w14:paraId="12A0D199">
            <w:pPr>
              <w:widowControl/>
              <w:adjustRightInd w:val="0"/>
              <w:snapToGrid w:val="0"/>
              <w:ind w:firstLine="643" w:firstLineChars="200"/>
              <w:rPr>
                <w:rFonts w:hint="eastAsia" w:ascii="仿宋_GB2312" w:hAnsi="仿宋_GB2312" w:eastAsia="仿宋_GB2312" w:cs="仿宋_GB2312"/>
                <w:b/>
                <w:bCs/>
                <w:color w:val="auto"/>
                <w:kern w:val="0"/>
                <w:sz w:val="32"/>
                <w:szCs w:val="32"/>
              </w:rPr>
            </w:pPr>
          </w:p>
        </w:tc>
        <w:tc>
          <w:tcPr>
            <w:tcW w:w="3899" w:type="dxa"/>
          </w:tcPr>
          <w:p w14:paraId="2EB0D86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（1）企业营业执照和有关证照（相关许可证等）；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（2）主要负责人等相关人员的身份证明、任职文件及其询问笔录；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（3）劳动协议（或合同）；</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（4）证人证言；</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（5）企业有关部门和相关责任人责任落实资料；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（7）主要负责人签审记录；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（8）《现场检查记录》等相关执法文书；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（9）其他相关证据。</w:t>
            </w:r>
          </w:p>
        </w:tc>
        <w:tc>
          <w:tcPr>
            <w:tcW w:w="3899" w:type="dxa"/>
            <w:vAlign w:val="center"/>
          </w:tcPr>
          <w:p w14:paraId="15EDEE36">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《中华人民共和国安全生产法》第一百零六条</w:t>
            </w:r>
            <w:r>
              <w:rPr>
                <w:rFonts w:hint="eastAsia" w:ascii="仿宋_GB2312" w:hAnsi="仿宋_GB2312" w:eastAsia="仿宋_GB2312" w:cs="仿宋_GB2312"/>
                <w:color w:val="auto"/>
                <w:kern w:val="0"/>
                <w:sz w:val="32"/>
                <w:szCs w:val="32"/>
              </w:rPr>
              <w:t>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951" w:type="dxa"/>
          </w:tcPr>
          <w:p w14:paraId="049AD4FB">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473A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14:paraId="22F8B160">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21</w:t>
            </w:r>
          </w:p>
        </w:tc>
        <w:tc>
          <w:tcPr>
            <w:tcW w:w="950" w:type="dxa"/>
            <w:vAlign w:val="center"/>
          </w:tcPr>
          <w:p w14:paraId="66FD9CC0">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从业人员履职</w:t>
            </w:r>
          </w:p>
        </w:tc>
        <w:tc>
          <w:tcPr>
            <w:tcW w:w="951" w:type="dxa"/>
            <w:vAlign w:val="center"/>
          </w:tcPr>
          <w:p w14:paraId="021852F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履责和遵章守纪情况</w:t>
            </w:r>
          </w:p>
        </w:tc>
        <w:tc>
          <w:tcPr>
            <w:tcW w:w="3899" w:type="dxa"/>
            <w:vAlign w:val="center"/>
          </w:tcPr>
          <w:p w14:paraId="60D00304">
            <w:pPr>
              <w:widowControl/>
              <w:shd w:val="clear" w:color="auto" w:fill="FFFFFF"/>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w:t>
            </w:r>
            <w:r>
              <w:rPr>
                <w:rFonts w:hint="eastAsia" w:ascii="仿宋_GB2312" w:hAnsi="仿宋_GB2312" w:eastAsia="仿宋_GB2312" w:cs="仿宋_GB2312"/>
                <w:b/>
                <w:color w:val="auto"/>
                <w:kern w:val="0"/>
                <w:sz w:val="32"/>
                <w:szCs w:val="32"/>
              </w:rPr>
              <w:t>第五十七条</w:t>
            </w:r>
            <w:r>
              <w:rPr>
                <w:rFonts w:hint="eastAsia" w:ascii="仿宋_GB2312" w:hAnsi="仿宋_GB2312" w:eastAsia="仿宋_GB2312" w:cs="仿宋_GB2312"/>
                <w:color w:val="auto"/>
                <w:kern w:val="0"/>
                <w:sz w:val="32"/>
                <w:szCs w:val="32"/>
              </w:rPr>
              <w:t xml:space="preserve"> 从业人员在作业过程中，应当严格落实岗位安全责任，遵守本单位的安全生产规章制度和操作规程，服从管理，正确佩戴和使用劳动防护用品。</w:t>
            </w:r>
          </w:p>
          <w:p w14:paraId="4B0BD302">
            <w:pPr>
              <w:widowControl/>
              <w:adjustRightInd w:val="0"/>
              <w:snapToGrid w:val="0"/>
              <w:ind w:firstLine="643" w:firstLineChars="200"/>
              <w:rPr>
                <w:rFonts w:hint="eastAsia" w:ascii="仿宋_GB2312" w:hAnsi="仿宋_GB2312" w:eastAsia="仿宋_GB2312" w:cs="仿宋_GB2312"/>
                <w:b/>
                <w:bCs/>
                <w:color w:val="auto"/>
                <w:kern w:val="0"/>
                <w:sz w:val="32"/>
                <w:szCs w:val="32"/>
              </w:rPr>
            </w:pPr>
          </w:p>
        </w:tc>
        <w:tc>
          <w:tcPr>
            <w:tcW w:w="3899" w:type="dxa"/>
          </w:tcPr>
          <w:p w14:paraId="0C1102E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038D079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016E4D8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（3）图片及影像资料</w:t>
            </w:r>
            <w:r>
              <w:rPr>
                <w:rFonts w:hint="eastAsia" w:ascii="仿宋_GB2312" w:hAnsi="仿宋_GB2312" w:eastAsia="仿宋_GB2312" w:cs="仿宋_GB2312"/>
                <w:color w:val="auto"/>
                <w:sz w:val="32"/>
                <w:szCs w:val="32"/>
              </w:rPr>
              <w:t>；</w:t>
            </w:r>
          </w:p>
          <w:p w14:paraId="5884E5B6">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kern w:val="0"/>
                <w:sz w:val="32"/>
                <w:szCs w:val="32"/>
              </w:rPr>
              <w:t>从业人员花名册；</w:t>
            </w:r>
          </w:p>
          <w:p w14:paraId="03ACDA54">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（5）岗位安全责任制度；</w:t>
            </w:r>
          </w:p>
          <w:p w14:paraId="384EE05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（6）安全生产规章制度或者操作规程；</w:t>
            </w:r>
          </w:p>
          <w:p w14:paraId="08674CD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（7）《现场检查记录》《责令限期整改指令书》等相关执法文书；</w:t>
            </w:r>
          </w:p>
          <w:p w14:paraId="0A87EF7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bCs/>
                <w:color w:val="auto"/>
                <w:sz w:val="32"/>
                <w:szCs w:val="32"/>
              </w:rPr>
              <w:t>相关人员任职文件、身份证明及其询问笔录；</w:t>
            </w:r>
          </w:p>
          <w:p w14:paraId="676D072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（9）其他相关证据。</w:t>
            </w:r>
          </w:p>
        </w:tc>
        <w:tc>
          <w:tcPr>
            <w:tcW w:w="3899" w:type="dxa"/>
            <w:vAlign w:val="center"/>
          </w:tcPr>
          <w:p w14:paraId="76896FB5">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w:t>
            </w:r>
            <w:r>
              <w:rPr>
                <w:rFonts w:hint="eastAsia" w:ascii="仿宋_GB2312" w:hAnsi="仿宋_GB2312" w:eastAsia="仿宋_GB2312" w:cs="仿宋_GB2312"/>
                <w:b/>
                <w:color w:val="auto"/>
                <w:kern w:val="0"/>
                <w:sz w:val="32"/>
                <w:szCs w:val="32"/>
              </w:rPr>
              <w:t>第一百零七条</w:t>
            </w:r>
            <w:r>
              <w:rPr>
                <w:rFonts w:hint="eastAsia" w:ascii="仿宋_GB2312" w:hAnsi="仿宋_GB2312" w:eastAsia="仿宋_GB2312" w:cs="仿宋_GB2312"/>
                <w:color w:val="auto"/>
                <w:kern w:val="0"/>
                <w:sz w:val="32"/>
                <w:szCs w:val="32"/>
              </w:rPr>
              <w:t xml:space="preserve"> 生产经营单位的从业人员不落实岗位安全责任，不服从管理，违反安全生产规章制度或者操作规程的，由生产经营单位给予批评教育，依照有关规章制度给予处分；构成犯罪的，依照刑法有关规定追究刑事责任。</w:t>
            </w:r>
          </w:p>
        </w:tc>
        <w:tc>
          <w:tcPr>
            <w:tcW w:w="951" w:type="dxa"/>
          </w:tcPr>
          <w:p w14:paraId="74A95A63">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2C4A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14:paraId="24A145E2">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22</w:t>
            </w:r>
          </w:p>
        </w:tc>
        <w:tc>
          <w:tcPr>
            <w:tcW w:w="950" w:type="dxa"/>
            <w:vAlign w:val="center"/>
          </w:tcPr>
          <w:p w14:paraId="59B5B577">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监督检查</w:t>
            </w:r>
          </w:p>
        </w:tc>
        <w:tc>
          <w:tcPr>
            <w:tcW w:w="951" w:type="dxa"/>
            <w:vAlign w:val="center"/>
          </w:tcPr>
          <w:p w14:paraId="38796E9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配合情况</w:t>
            </w:r>
          </w:p>
        </w:tc>
        <w:tc>
          <w:tcPr>
            <w:tcW w:w="3899" w:type="dxa"/>
            <w:vAlign w:val="center"/>
          </w:tcPr>
          <w:p w14:paraId="5B3604DC">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《中华人民共和国安全生产法》第六十六条</w:t>
            </w:r>
            <w:r>
              <w:rPr>
                <w:rFonts w:hint="eastAsia" w:ascii="仿宋_GB2312" w:hAnsi="仿宋_GB2312" w:eastAsia="仿宋_GB2312" w:cs="仿宋_GB2312"/>
                <w:color w:val="auto"/>
                <w:kern w:val="0"/>
                <w:sz w:val="32"/>
                <w:szCs w:val="32"/>
              </w:rPr>
              <w:t xml:space="preserve"> 生产经营单位对负有安全生产监督管理职责的部门的监督检查人员（以下统称安全生产监督检查人员）依法履行监督检查职责，应当予以配合，不得拒绝、阻挠。</w:t>
            </w:r>
          </w:p>
          <w:p w14:paraId="76BAB671">
            <w:pPr>
              <w:widowControl/>
              <w:adjustRightInd w:val="0"/>
              <w:snapToGrid w:val="0"/>
              <w:ind w:firstLine="643" w:firstLineChars="200"/>
              <w:rPr>
                <w:rFonts w:hint="eastAsia" w:ascii="仿宋_GB2312" w:hAnsi="仿宋_GB2312" w:eastAsia="仿宋_GB2312" w:cs="仿宋_GB2312"/>
                <w:b/>
                <w:bCs/>
                <w:color w:val="auto"/>
                <w:kern w:val="0"/>
                <w:sz w:val="32"/>
                <w:szCs w:val="32"/>
              </w:rPr>
            </w:pPr>
          </w:p>
        </w:tc>
        <w:tc>
          <w:tcPr>
            <w:tcW w:w="3899" w:type="dxa"/>
          </w:tcPr>
          <w:p w14:paraId="1DABFF3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5C5FEAC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395B970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（3）图片及影像资料</w:t>
            </w:r>
            <w:r>
              <w:rPr>
                <w:rFonts w:hint="eastAsia" w:ascii="仿宋_GB2312" w:hAnsi="仿宋_GB2312" w:eastAsia="仿宋_GB2312" w:cs="仿宋_GB2312"/>
                <w:color w:val="auto"/>
                <w:sz w:val="32"/>
                <w:szCs w:val="32"/>
              </w:rPr>
              <w:t>；</w:t>
            </w:r>
          </w:p>
          <w:p w14:paraId="3BB3993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（4）《现场检查记录》《责令限期整改指令书》等相关执法文书；</w:t>
            </w:r>
          </w:p>
          <w:p w14:paraId="17AE45F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bCs/>
                <w:color w:val="auto"/>
                <w:sz w:val="32"/>
                <w:szCs w:val="32"/>
              </w:rPr>
              <w:t>相关人员任职文件、身份证明及其询问笔录；</w:t>
            </w:r>
          </w:p>
          <w:p w14:paraId="613D3A9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（6）其他相关证据。</w:t>
            </w:r>
          </w:p>
        </w:tc>
        <w:tc>
          <w:tcPr>
            <w:tcW w:w="3899" w:type="dxa"/>
            <w:vAlign w:val="center"/>
          </w:tcPr>
          <w:p w14:paraId="71551CE4">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《中华人民共和国安全生产法》第一百零八条 </w:t>
            </w:r>
            <w:r>
              <w:rPr>
                <w:rFonts w:hint="eastAsia" w:ascii="仿宋_GB2312" w:hAnsi="仿宋_GB2312" w:eastAsia="仿宋_GB2312" w:cs="仿宋_GB2312"/>
                <w:color w:val="auto"/>
                <w:kern w:val="0"/>
                <w:sz w:val="32"/>
                <w:szCs w:val="32"/>
              </w:rPr>
              <w:t>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951" w:type="dxa"/>
          </w:tcPr>
          <w:p w14:paraId="08EBCD24">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01B6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14:paraId="086E4B41">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23</w:t>
            </w:r>
          </w:p>
        </w:tc>
        <w:tc>
          <w:tcPr>
            <w:tcW w:w="950" w:type="dxa"/>
            <w:vAlign w:val="center"/>
          </w:tcPr>
          <w:p w14:paraId="2FB4E33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安全生产责任保险</w:t>
            </w:r>
          </w:p>
        </w:tc>
        <w:tc>
          <w:tcPr>
            <w:tcW w:w="951" w:type="dxa"/>
            <w:vAlign w:val="center"/>
          </w:tcPr>
          <w:p w14:paraId="08A6A99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保险情况</w:t>
            </w:r>
          </w:p>
        </w:tc>
        <w:tc>
          <w:tcPr>
            <w:tcW w:w="3899" w:type="dxa"/>
            <w:vAlign w:val="center"/>
          </w:tcPr>
          <w:p w14:paraId="311F67E8">
            <w:pPr>
              <w:widowControl/>
              <w:shd w:val="clear" w:color="auto" w:fill="FFFFFF"/>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《中华人民共和国安全生产法》第五十一条第二款</w:t>
            </w:r>
            <w:r>
              <w:rPr>
                <w:rFonts w:hint="eastAsia" w:ascii="仿宋_GB2312" w:hAnsi="仿宋_GB2312" w:eastAsia="仿宋_GB2312" w:cs="仿宋_GB2312"/>
                <w:color w:val="auto"/>
                <w:kern w:val="0"/>
                <w:sz w:val="32"/>
                <w:szCs w:val="32"/>
              </w:rPr>
              <w:t>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tc>
        <w:tc>
          <w:tcPr>
            <w:tcW w:w="3899" w:type="dxa"/>
          </w:tcPr>
          <w:p w14:paraId="54C9A3C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49ED30F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7241DF1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（3）图片及影像资料</w:t>
            </w:r>
            <w:r>
              <w:rPr>
                <w:rFonts w:hint="eastAsia" w:ascii="仿宋_GB2312" w:hAnsi="仿宋_GB2312" w:eastAsia="仿宋_GB2312" w:cs="仿宋_GB2312"/>
                <w:color w:val="auto"/>
                <w:sz w:val="32"/>
                <w:szCs w:val="32"/>
              </w:rPr>
              <w:t>；</w:t>
            </w:r>
          </w:p>
          <w:p w14:paraId="1DC1E82F">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kern w:val="0"/>
                <w:sz w:val="32"/>
                <w:szCs w:val="32"/>
              </w:rPr>
              <w:t>从业人员花名册；</w:t>
            </w:r>
          </w:p>
          <w:p w14:paraId="4A6B3F40">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（5）安全生产责任保险单（或协议）；</w:t>
            </w:r>
          </w:p>
          <w:p w14:paraId="16AC5938">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（6）安全生产责任保险财务账目；</w:t>
            </w:r>
          </w:p>
          <w:p w14:paraId="1BB897E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（7）《现场检查记录》《责令限期整改指令书》等相关执法文书；</w:t>
            </w:r>
          </w:p>
          <w:p w14:paraId="2C724A1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bCs/>
                <w:color w:val="auto"/>
                <w:sz w:val="32"/>
                <w:szCs w:val="32"/>
              </w:rPr>
              <w:t>相关人员任职文件、身份证明及其询问笔录；</w:t>
            </w:r>
          </w:p>
          <w:p w14:paraId="02A518E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（9）其他相关证据。</w:t>
            </w:r>
          </w:p>
        </w:tc>
        <w:tc>
          <w:tcPr>
            <w:tcW w:w="3899" w:type="dxa"/>
            <w:vAlign w:val="center"/>
          </w:tcPr>
          <w:p w14:paraId="7A225A3F">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w:t>
            </w:r>
            <w:r>
              <w:rPr>
                <w:rFonts w:hint="eastAsia" w:ascii="仿宋_GB2312" w:hAnsi="仿宋_GB2312" w:eastAsia="仿宋_GB2312" w:cs="仿宋_GB2312"/>
                <w:color w:val="auto"/>
                <w:kern w:val="0"/>
                <w:sz w:val="32"/>
                <w:szCs w:val="32"/>
              </w:rPr>
              <w:t>第一百零九条 高危行业、领域的生产经营单位未按照国家规定投保安全生产责任保险的，责令限期改正，处五万元以上十万元以下的罚款；逾期未改正的，处十万元以上二十万元以下的罚款。</w:t>
            </w:r>
          </w:p>
          <w:p w14:paraId="3964728E">
            <w:pPr>
              <w:widowControl/>
              <w:shd w:val="clear" w:color="auto" w:fill="FFFFFF"/>
              <w:rPr>
                <w:rFonts w:hint="eastAsia" w:ascii="仿宋_GB2312" w:hAnsi="仿宋_GB2312" w:eastAsia="仿宋_GB2312" w:cs="仿宋_GB2312"/>
                <w:color w:val="auto"/>
                <w:kern w:val="0"/>
                <w:sz w:val="32"/>
                <w:szCs w:val="32"/>
              </w:rPr>
            </w:pPr>
          </w:p>
        </w:tc>
        <w:tc>
          <w:tcPr>
            <w:tcW w:w="951" w:type="dxa"/>
          </w:tcPr>
          <w:p w14:paraId="5AEDE563">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2D68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39" w:hRule="atLeast"/>
          <w:jc w:val="center"/>
        </w:trPr>
        <w:tc>
          <w:tcPr>
            <w:tcW w:w="616" w:type="dxa"/>
            <w:vAlign w:val="center"/>
          </w:tcPr>
          <w:p w14:paraId="5EF97998">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24</w:t>
            </w:r>
          </w:p>
        </w:tc>
        <w:tc>
          <w:tcPr>
            <w:tcW w:w="950" w:type="dxa"/>
            <w:vAlign w:val="center"/>
          </w:tcPr>
          <w:p w14:paraId="1A40ABAF">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提请关闭</w:t>
            </w:r>
          </w:p>
        </w:tc>
        <w:tc>
          <w:tcPr>
            <w:tcW w:w="951" w:type="dxa"/>
            <w:vAlign w:val="center"/>
          </w:tcPr>
          <w:p w14:paraId="23417E8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关闭情形</w:t>
            </w:r>
          </w:p>
        </w:tc>
        <w:tc>
          <w:tcPr>
            <w:tcW w:w="3899" w:type="dxa"/>
            <w:vAlign w:val="center"/>
          </w:tcPr>
          <w:p w14:paraId="7640EEAB">
            <w:pPr>
              <w:widowControl/>
              <w:adjustRightInd w:val="0"/>
              <w:snapToGrid w:val="0"/>
              <w:ind w:firstLine="643" w:firstLineChars="200"/>
              <w:rPr>
                <w:rFonts w:hint="eastAsia" w:ascii="仿宋_GB2312" w:hAnsi="仿宋_GB2312" w:eastAsia="仿宋_GB2312" w:cs="仿宋_GB2312"/>
                <w:b/>
                <w:bCs/>
                <w:color w:val="auto"/>
                <w:kern w:val="0"/>
                <w:sz w:val="32"/>
                <w:szCs w:val="32"/>
              </w:rPr>
            </w:pPr>
          </w:p>
        </w:tc>
        <w:tc>
          <w:tcPr>
            <w:tcW w:w="3899" w:type="dxa"/>
          </w:tcPr>
          <w:p w14:paraId="473238F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2FCD78B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1CEBCAC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（3）图片及影像资料</w:t>
            </w:r>
            <w:r>
              <w:rPr>
                <w:rFonts w:hint="eastAsia" w:ascii="仿宋_GB2312" w:hAnsi="仿宋_GB2312" w:eastAsia="仿宋_GB2312" w:cs="仿宋_GB2312"/>
                <w:color w:val="auto"/>
                <w:sz w:val="32"/>
                <w:szCs w:val="32"/>
              </w:rPr>
              <w:t>；</w:t>
            </w:r>
          </w:p>
          <w:p w14:paraId="111BA5D5">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kern w:val="0"/>
                <w:sz w:val="32"/>
                <w:szCs w:val="32"/>
              </w:rPr>
              <w:t>重大事故隐患登记台账和整改方案及验收记录；</w:t>
            </w:r>
          </w:p>
          <w:p w14:paraId="62C5C39D">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（5）行政处罚处罚情况（包括相关行政处罚文书）；</w:t>
            </w:r>
          </w:p>
          <w:p w14:paraId="57F5C8F7">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（6）停产停业整顿及复查验收情况（包括相关安全生产行政执法文书）；</w:t>
            </w:r>
          </w:p>
          <w:p w14:paraId="1DE4CC69">
            <w:pPr>
              <w:pStyle w:val="2"/>
              <w:ind w:firstLine="0"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（7）生产安全事故报表及相关事故调查报告；</w:t>
            </w:r>
          </w:p>
          <w:p w14:paraId="3860BFCD">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19D1EB01">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（9）相关人员任职文件、身份证明及其询问笔录；</w:t>
            </w:r>
          </w:p>
          <w:p w14:paraId="4B754DAD">
            <w:pPr>
              <w:pStyle w:val="2"/>
              <w:ind w:firstLine="0"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（10）证人证言；</w:t>
            </w:r>
          </w:p>
          <w:p w14:paraId="48EF1D6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（11）其他相关证据。</w:t>
            </w:r>
          </w:p>
        </w:tc>
        <w:tc>
          <w:tcPr>
            <w:tcW w:w="3899" w:type="dxa"/>
            <w:vAlign w:val="center"/>
          </w:tcPr>
          <w:p w14:paraId="3FE0C3AD">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《中华人民共和国安全生产法》第一百一十三条 </w:t>
            </w:r>
            <w:r>
              <w:rPr>
                <w:rFonts w:hint="eastAsia" w:ascii="仿宋_GB2312" w:hAnsi="仿宋_GB2312" w:eastAsia="仿宋_GB2312" w:cs="仿宋_GB2312"/>
                <w:color w:val="auto"/>
                <w:kern w:val="0"/>
                <w:sz w:val="32"/>
                <w:szCs w:val="32"/>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20116043">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（一）存在重大事故隐患，一百八十日内三次或者一年内四次受到本法规定的行政处罚的；</w:t>
            </w:r>
          </w:p>
          <w:p w14:paraId="3A934534">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（二）经停产停业整顿，仍不具备法律、行政法规和国家标准或者行业标准规定的安全生产条件的；</w:t>
            </w:r>
          </w:p>
          <w:p w14:paraId="7D364F10">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（三）不具备法律、行政法规和国家标准或者行业标准规定的安全生产条件，导致发生重大、特别重大生产安全事故的；</w:t>
            </w:r>
          </w:p>
          <w:p w14:paraId="7FE0EACB">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（四）拒不执行负有安全生产监督管理职责的部门作出的停产停业整顿决定的。</w:t>
            </w:r>
          </w:p>
        </w:tc>
        <w:tc>
          <w:tcPr>
            <w:tcW w:w="951" w:type="dxa"/>
          </w:tcPr>
          <w:p w14:paraId="26E5995D">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3C93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5" w:hRule="atLeast"/>
          <w:jc w:val="center"/>
        </w:trPr>
        <w:tc>
          <w:tcPr>
            <w:tcW w:w="15165" w:type="dxa"/>
            <w:gridSpan w:val="7"/>
            <w:vAlign w:val="center"/>
          </w:tcPr>
          <w:p w14:paraId="475F8D3F">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说明：1、根据本清单提供的证照及资料有原件的，应核实原件后留存复印件；无原件的提供复印件。所有复印件资料均应加盖企业公章。证照及资料有正副本的，均核验留存复印件。</w:t>
            </w:r>
          </w:p>
          <w:p w14:paraId="67471154">
            <w:pPr>
              <w:widowControl/>
              <w:adjustRightInd w:val="0"/>
              <w:snapToGrid w:val="0"/>
              <w:ind w:firstLine="960" w:firstLineChars="3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2、其他相关证据：能够证明企业违法违规行为的其他相关资料。</w:t>
            </w:r>
          </w:p>
        </w:tc>
      </w:tr>
    </w:tbl>
    <w:p w14:paraId="22562147">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3BB3BCFA">
      <w:pPr>
        <w:pStyle w:val="3"/>
        <w:spacing w:line="240" w:lineRule="auto"/>
        <w:jc w:val="center"/>
        <w:rPr>
          <w:rFonts w:hint="eastAsia" w:ascii="仿宋_GB2312" w:hAnsi="仿宋_GB2312" w:eastAsia="仿宋_GB2312" w:cs="仿宋_GB2312"/>
          <w:color w:val="auto"/>
          <w:sz w:val="32"/>
          <w:szCs w:val="32"/>
        </w:rPr>
      </w:pPr>
      <w:bookmarkStart w:id="1" w:name="_Toc11118"/>
      <w:bookmarkStart w:id="2" w:name="_Toc6111"/>
      <w:bookmarkStart w:id="3" w:name="_Toc1552"/>
      <w:bookmarkStart w:id="4" w:name="_Toc29955"/>
      <w:r>
        <w:rPr>
          <w:rFonts w:hint="eastAsia" w:ascii="仿宋_GB2312" w:hAnsi="仿宋_GB2312" w:eastAsia="仿宋_GB2312" w:cs="仿宋_GB2312"/>
          <w:color w:val="auto"/>
          <w:sz w:val="32"/>
          <w:szCs w:val="32"/>
        </w:rPr>
        <w:t>煤矿企业检查清单</w:t>
      </w:r>
      <w:bookmarkEnd w:id="1"/>
    </w:p>
    <w:tbl>
      <w:tblPr>
        <w:tblStyle w:val="8"/>
        <w:tblW w:w="151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4"/>
        <w:gridCol w:w="948"/>
        <w:gridCol w:w="948"/>
        <w:gridCol w:w="3899"/>
        <w:gridCol w:w="3899"/>
        <w:gridCol w:w="3899"/>
        <w:gridCol w:w="948"/>
      </w:tblGrid>
      <w:tr w14:paraId="58F37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atLeast"/>
          <w:tblHeader/>
          <w:jc w:val="center"/>
        </w:trPr>
        <w:tc>
          <w:tcPr>
            <w:tcW w:w="624" w:type="dxa"/>
            <w:tcBorders>
              <w:top w:val="single" w:color="auto" w:sz="6" w:space="0"/>
              <w:left w:val="single" w:color="auto" w:sz="6" w:space="0"/>
              <w:bottom w:val="single" w:color="auto" w:sz="6" w:space="0"/>
              <w:right w:val="single" w:color="auto" w:sz="6" w:space="0"/>
            </w:tcBorders>
            <w:noWrap/>
            <w:vAlign w:val="center"/>
          </w:tcPr>
          <w:p w14:paraId="4F52CA0E">
            <w:pPr>
              <w:widowControl/>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序号</w:t>
            </w:r>
          </w:p>
        </w:tc>
        <w:tc>
          <w:tcPr>
            <w:tcW w:w="948" w:type="dxa"/>
            <w:tcBorders>
              <w:top w:val="single" w:color="auto" w:sz="6" w:space="0"/>
              <w:left w:val="nil"/>
              <w:bottom w:val="single" w:color="auto" w:sz="6" w:space="0"/>
              <w:right w:val="single" w:color="auto" w:sz="4" w:space="0"/>
            </w:tcBorders>
            <w:vAlign w:val="center"/>
          </w:tcPr>
          <w:p w14:paraId="44C58460">
            <w:pPr>
              <w:widowControl/>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检查事项</w:t>
            </w:r>
          </w:p>
        </w:tc>
        <w:tc>
          <w:tcPr>
            <w:tcW w:w="948" w:type="dxa"/>
            <w:tcBorders>
              <w:top w:val="single" w:color="auto" w:sz="6" w:space="0"/>
              <w:left w:val="single" w:color="auto" w:sz="4" w:space="0"/>
              <w:bottom w:val="single" w:color="auto" w:sz="6" w:space="0"/>
              <w:right w:val="single" w:color="auto" w:sz="6" w:space="0"/>
            </w:tcBorders>
            <w:vAlign w:val="center"/>
          </w:tcPr>
          <w:p w14:paraId="6F0D6D91">
            <w:pPr>
              <w:widowControl/>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检查内容</w:t>
            </w:r>
          </w:p>
        </w:tc>
        <w:tc>
          <w:tcPr>
            <w:tcW w:w="3899" w:type="dxa"/>
            <w:tcBorders>
              <w:top w:val="single" w:color="auto" w:sz="6" w:space="0"/>
              <w:left w:val="nil"/>
              <w:bottom w:val="single" w:color="auto" w:sz="6" w:space="0"/>
              <w:right w:val="single" w:color="auto" w:sz="6" w:space="0"/>
            </w:tcBorders>
            <w:vAlign w:val="center"/>
          </w:tcPr>
          <w:p w14:paraId="674D37B2">
            <w:pPr>
              <w:widowControl/>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检查依据</w:t>
            </w:r>
          </w:p>
        </w:tc>
        <w:tc>
          <w:tcPr>
            <w:tcW w:w="3899" w:type="dxa"/>
            <w:tcBorders>
              <w:top w:val="single" w:color="auto" w:sz="6" w:space="0"/>
              <w:left w:val="nil"/>
              <w:bottom w:val="single" w:color="auto" w:sz="6" w:space="0"/>
              <w:right w:val="single" w:color="auto" w:sz="6" w:space="0"/>
            </w:tcBorders>
            <w:vAlign w:val="center"/>
          </w:tcPr>
          <w:p w14:paraId="78D73BF9">
            <w:pPr>
              <w:widowControl/>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主要证据</w:t>
            </w:r>
          </w:p>
        </w:tc>
        <w:tc>
          <w:tcPr>
            <w:tcW w:w="3899" w:type="dxa"/>
            <w:tcBorders>
              <w:top w:val="single" w:color="auto" w:sz="6" w:space="0"/>
              <w:left w:val="nil"/>
              <w:bottom w:val="single" w:color="auto" w:sz="6" w:space="0"/>
              <w:right w:val="single" w:color="auto" w:sz="4" w:space="0"/>
            </w:tcBorders>
            <w:vAlign w:val="center"/>
          </w:tcPr>
          <w:p w14:paraId="058C6C74">
            <w:pPr>
              <w:widowControl/>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法律责任</w:t>
            </w:r>
          </w:p>
        </w:tc>
        <w:tc>
          <w:tcPr>
            <w:tcW w:w="948" w:type="dxa"/>
            <w:tcBorders>
              <w:top w:val="single" w:color="auto" w:sz="6" w:space="0"/>
              <w:left w:val="nil"/>
              <w:bottom w:val="single" w:color="auto" w:sz="6" w:space="0"/>
              <w:right w:val="single" w:color="auto" w:sz="6" w:space="0"/>
            </w:tcBorders>
            <w:vAlign w:val="center"/>
          </w:tcPr>
          <w:p w14:paraId="2D2DEFD4">
            <w:pPr>
              <w:widowControl/>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检查结果</w:t>
            </w:r>
          </w:p>
        </w:tc>
      </w:tr>
      <w:tr w14:paraId="0B51E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14:paraId="2A2E422B">
            <w:pPr>
              <w:widowControl/>
              <w:rPr>
                <w:rFonts w:hint="eastAsia" w:ascii="仿宋_GB2312" w:hAnsi="仿宋_GB2312" w:eastAsia="仿宋_GB2312" w:cs="仿宋_GB2312"/>
                <w:b/>
                <w:bCs/>
                <w:color w:val="auto"/>
                <w:kern w:val="0"/>
                <w:sz w:val="32"/>
                <w:szCs w:val="32"/>
              </w:rPr>
            </w:pPr>
          </w:p>
          <w:p w14:paraId="4E22C898">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w:t>
            </w:r>
          </w:p>
        </w:tc>
        <w:tc>
          <w:tcPr>
            <w:tcW w:w="948" w:type="dxa"/>
            <w:vMerge w:val="restart"/>
            <w:tcBorders>
              <w:top w:val="single" w:color="auto" w:sz="6" w:space="0"/>
              <w:left w:val="nil"/>
              <w:bottom w:val="single" w:color="auto" w:sz="6" w:space="0"/>
              <w:right w:val="single" w:color="auto" w:sz="6" w:space="0"/>
            </w:tcBorders>
            <w:vAlign w:val="center"/>
          </w:tcPr>
          <w:p w14:paraId="09501485">
            <w:pPr>
              <w:widowControl/>
              <w:rPr>
                <w:rFonts w:hint="eastAsia" w:ascii="仿宋_GB2312" w:hAnsi="仿宋_GB2312" w:eastAsia="仿宋_GB2312" w:cs="仿宋_GB2312"/>
                <w:color w:val="auto"/>
                <w:kern w:val="0"/>
                <w:sz w:val="32"/>
                <w:szCs w:val="32"/>
              </w:rPr>
            </w:pPr>
          </w:p>
          <w:p w14:paraId="77CA8E5E">
            <w:pPr>
              <w:widowControl/>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规章制度</w:t>
            </w:r>
          </w:p>
        </w:tc>
        <w:tc>
          <w:tcPr>
            <w:tcW w:w="948" w:type="dxa"/>
            <w:tcBorders>
              <w:top w:val="single" w:color="auto" w:sz="4" w:space="0"/>
              <w:left w:val="nil"/>
              <w:bottom w:val="single" w:color="auto" w:sz="6" w:space="0"/>
              <w:right w:val="single" w:color="auto" w:sz="6" w:space="0"/>
            </w:tcBorders>
            <w:vAlign w:val="center"/>
          </w:tcPr>
          <w:p w14:paraId="50A4421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1.1安全生产管理制度</w:t>
            </w:r>
          </w:p>
        </w:tc>
        <w:tc>
          <w:tcPr>
            <w:tcW w:w="3899" w:type="dxa"/>
            <w:tcBorders>
              <w:top w:val="single" w:color="auto" w:sz="6" w:space="0"/>
              <w:left w:val="nil"/>
              <w:bottom w:val="single" w:color="auto" w:sz="6" w:space="0"/>
              <w:right w:val="single" w:color="auto" w:sz="6" w:space="0"/>
            </w:tcBorders>
            <w:vAlign w:val="center"/>
          </w:tcPr>
          <w:p w14:paraId="1ED55E65">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第二十一条第二项</w:t>
            </w:r>
            <w:r>
              <w:rPr>
                <w:rFonts w:hint="eastAsia" w:ascii="仿宋_GB2312" w:hAnsi="仿宋_GB2312" w:eastAsia="仿宋_GB2312" w:cs="仿宋_GB2312"/>
                <w:color w:val="auto"/>
                <w:kern w:val="0"/>
                <w:sz w:val="32"/>
                <w:szCs w:val="32"/>
              </w:rPr>
              <w:t xml:space="preserve"> 生产经营单位的主要负责人对本单位安全生产工作负有下列职责：</w:t>
            </w:r>
          </w:p>
          <w:p w14:paraId="3115314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（二）组织制定并实施本单位安全生产规章制度和操作规程；</w:t>
            </w:r>
          </w:p>
          <w:p w14:paraId="2B1AEDF4">
            <w:pPr>
              <w:widowControl/>
              <w:ind w:firstLine="640" w:firstLineChars="200"/>
              <w:jc w:val="left"/>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Cs/>
                <w:color w:val="auto"/>
                <w:kern w:val="0"/>
                <w:sz w:val="32"/>
                <w:szCs w:val="32"/>
              </w:rPr>
              <w:br w:type="textWrapping"/>
            </w:r>
            <w:r>
              <w:rPr>
                <w:rFonts w:hint="eastAsia" w:ascii="仿宋_GB2312" w:hAnsi="仿宋_GB2312" w:eastAsia="仿宋_GB2312" w:cs="仿宋_GB2312"/>
                <w:b/>
                <w:color w:val="auto"/>
                <w:kern w:val="0"/>
                <w:sz w:val="32"/>
                <w:szCs w:val="32"/>
              </w:rPr>
              <w:t>《四川省生产经营单位安全生产责任规定》第七条</w:t>
            </w:r>
            <w:r>
              <w:rPr>
                <w:rFonts w:hint="eastAsia" w:ascii="仿宋_GB2312" w:hAnsi="仿宋_GB2312" w:eastAsia="仿宋_GB2312" w:cs="仿宋_GB2312"/>
                <w:bCs/>
                <w:color w:val="auto"/>
                <w:kern w:val="0"/>
                <w:sz w:val="32"/>
                <w:szCs w:val="32"/>
              </w:rPr>
              <w:t>生产经营单位应当建立健全下列安全生产规章制度</w:t>
            </w:r>
            <w:r>
              <w:rPr>
                <w:rFonts w:hint="eastAsia" w:ascii="仿宋_GB2312" w:hAnsi="仿宋_GB2312" w:eastAsia="仿宋_GB2312" w:cs="仿宋_GB2312"/>
                <w:b/>
                <w:color w:val="auto"/>
                <w:kern w:val="0"/>
                <w:sz w:val="32"/>
                <w:szCs w:val="32"/>
              </w:rPr>
              <w:t>：</w:t>
            </w:r>
          </w:p>
          <w:p w14:paraId="211EC679">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(一)安全生产投入保障制度;</w:t>
            </w:r>
          </w:p>
          <w:p w14:paraId="64ADB1CE">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(二)新建、改建、扩建工程项目的安全论证、评价和管理制度;</w:t>
            </w:r>
          </w:p>
          <w:p w14:paraId="51A92DA1">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(三)设施、设备综合安全管理制度以及安全设施、设备维护、保养和检修、维修制度;</w:t>
            </w:r>
          </w:p>
          <w:p w14:paraId="1CEA5ACA">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(四)有较大危险、危害因素的生产经营场所、设施、设备安全管理制度;</w:t>
            </w:r>
          </w:p>
          <w:p w14:paraId="21424EEB">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(五)重大危险源安全管理制度;</w:t>
            </w:r>
          </w:p>
          <w:p w14:paraId="43C5F31B">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(六)职业卫生管理制度;</w:t>
            </w:r>
          </w:p>
          <w:p w14:paraId="3A818E34">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(七)劳动防护用品使用和管理制度;</w:t>
            </w:r>
          </w:p>
          <w:p w14:paraId="4563138A">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(八)安全生产检查及事故隐患排查、整改制度;</w:t>
            </w:r>
          </w:p>
          <w:p w14:paraId="746D31BB">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(九)安全生产目标管理和责任追究制度;</w:t>
            </w:r>
          </w:p>
          <w:p w14:paraId="2AA1F472">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(十)安全生产教育培训管理考核制度;</w:t>
            </w:r>
          </w:p>
          <w:p w14:paraId="21019855">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(十一)特种作业人员管理制度;</w:t>
            </w:r>
          </w:p>
          <w:p w14:paraId="4785A809">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(十二)现场安全管理和岗位安全生产标准化操作制度;</w:t>
            </w:r>
          </w:p>
          <w:p w14:paraId="28FCD656">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(十三)安全生产会议管理制度;</w:t>
            </w:r>
          </w:p>
          <w:p w14:paraId="7A43B0FC">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(十四)应急救援预案和应急体系管理制度;</w:t>
            </w:r>
          </w:p>
          <w:p w14:paraId="7C7095D9">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(十五)生产安全事故报告和调查处理制度;</w:t>
            </w:r>
          </w:p>
          <w:p w14:paraId="1AF6C071">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(十六)消防、运输、储存、防灾等其他安全生产规章制度。</w:t>
            </w:r>
          </w:p>
        </w:tc>
        <w:tc>
          <w:tcPr>
            <w:tcW w:w="3899" w:type="dxa"/>
            <w:tcBorders>
              <w:top w:val="single" w:color="auto" w:sz="6" w:space="0"/>
              <w:left w:val="nil"/>
              <w:bottom w:val="single" w:color="auto" w:sz="6" w:space="0"/>
              <w:right w:val="single" w:color="auto" w:sz="6" w:space="0"/>
            </w:tcBorders>
            <w:vAlign w:val="center"/>
          </w:tcPr>
          <w:p w14:paraId="49B7C4B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（2）主要负责人等相关人员的身份证明、任职文件及其询问笔录；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（3）对照《四川省生产经营单位安全生产责任规定》第七条规定及煤矿企业生产特点收集单位安全生产规章制度和各岗位操作规程；</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（4）查主要负责人相关会议记录；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（5）查主要负责人签审记录；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（6）图片或影像资料；</w:t>
            </w:r>
          </w:p>
          <w:p w14:paraId="42174C1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55EDE36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tcBorders>
              <w:top w:val="single" w:color="auto" w:sz="6" w:space="0"/>
              <w:left w:val="nil"/>
              <w:bottom w:val="single" w:color="auto" w:sz="6" w:space="0"/>
              <w:right w:val="single" w:color="auto" w:sz="4" w:space="0"/>
            </w:tcBorders>
          </w:tcPr>
          <w:p w14:paraId="57D98832">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第九十四</w:t>
            </w:r>
            <w:r>
              <w:rPr>
                <w:rFonts w:hint="eastAsia" w:ascii="仿宋_GB2312" w:hAnsi="仿宋_GB2312" w:eastAsia="仿宋_GB2312" w:cs="仿宋_GB2312"/>
                <w:color w:val="auto"/>
                <w:sz w:val="32"/>
                <w:szCs w:val="32"/>
              </w:rPr>
              <w:t>条  生产经营单位的主要负责人未履行本法规定的安全生产管理职责的，责令限期改正，处二万元以上五万元以下的罚款；逾期未改正的，处五万元以上十万元以下的罚款，责令生产经营单位停产停业整顿。</w:t>
            </w:r>
          </w:p>
          <w:p w14:paraId="6189898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生产经营单位的主要负责人有前款违法行为，导致发生生产安全事故的，给予撤职处分；构成犯罪的，依照刑法有关规定追究刑事责任。</w:t>
            </w:r>
          </w:p>
          <w:p w14:paraId="5FE36573">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421AB3A5">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《四川省生产经营单位安全生产责任规定》第三十八条</w:t>
            </w:r>
            <w:r>
              <w:rPr>
                <w:rFonts w:hint="eastAsia" w:ascii="仿宋_GB2312" w:hAnsi="仿宋_GB2312" w:eastAsia="仿宋_GB2312" w:cs="仿宋_GB2312"/>
                <w:color w:val="auto"/>
                <w:kern w:val="0"/>
                <w:sz w:val="32"/>
                <w:szCs w:val="32"/>
              </w:rPr>
              <w:t>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948" w:type="dxa"/>
            <w:tcBorders>
              <w:top w:val="single" w:color="auto" w:sz="6" w:space="0"/>
              <w:left w:val="nil"/>
              <w:bottom w:val="single" w:color="auto" w:sz="6" w:space="0"/>
              <w:right w:val="single" w:color="auto" w:sz="6" w:space="0"/>
            </w:tcBorders>
          </w:tcPr>
          <w:p w14:paraId="1CDE8CC4">
            <w:pPr>
              <w:widowControl/>
              <w:jc w:val="center"/>
              <w:rPr>
                <w:rFonts w:hint="eastAsia" w:ascii="仿宋_GB2312" w:hAnsi="仿宋_GB2312" w:eastAsia="仿宋_GB2312" w:cs="仿宋_GB2312"/>
                <w:b/>
                <w:bCs/>
                <w:color w:val="auto"/>
                <w:kern w:val="0"/>
                <w:sz w:val="32"/>
                <w:szCs w:val="32"/>
              </w:rPr>
            </w:pPr>
          </w:p>
        </w:tc>
      </w:tr>
      <w:tr w14:paraId="46D93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0FE889FE">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6" w:space="0"/>
            </w:tcBorders>
            <w:vAlign w:val="center"/>
          </w:tcPr>
          <w:p w14:paraId="253377B6">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6" w:space="0"/>
              <w:left w:val="single" w:color="auto" w:sz="4" w:space="0"/>
              <w:bottom w:val="single" w:color="auto" w:sz="6" w:space="0"/>
              <w:right w:val="single" w:color="auto" w:sz="6" w:space="0"/>
            </w:tcBorders>
            <w:vAlign w:val="center"/>
          </w:tcPr>
          <w:p w14:paraId="24CCF38C">
            <w:pPr>
              <w:rPr>
                <w:rFonts w:hint="eastAsia" w:ascii="仿宋_GB2312" w:hAnsi="仿宋_GB2312" w:eastAsia="仿宋_GB2312" w:cs="仿宋_GB2312"/>
                <w:color w:val="auto"/>
                <w:kern w:val="0"/>
                <w:sz w:val="32"/>
                <w:szCs w:val="32"/>
              </w:rPr>
            </w:pPr>
          </w:p>
          <w:p w14:paraId="662925E2">
            <w:pPr>
              <w:rPr>
                <w:rFonts w:hint="eastAsia" w:ascii="仿宋_GB2312" w:hAnsi="仿宋_GB2312" w:eastAsia="仿宋_GB2312" w:cs="仿宋_GB2312"/>
                <w:color w:val="auto"/>
                <w:kern w:val="0"/>
                <w:sz w:val="32"/>
                <w:szCs w:val="32"/>
              </w:rPr>
            </w:pPr>
          </w:p>
          <w:p w14:paraId="41D24F26">
            <w:pPr>
              <w:rPr>
                <w:rFonts w:hint="eastAsia" w:ascii="仿宋_GB2312" w:hAnsi="仿宋_GB2312" w:eastAsia="仿宋_GB2312" w:cs="仿宋_GB2312"/>
                <w:color w:val="auto"/>
                <w:kern w:val="0"/>
                <w:sz w:val="32"/>
                <w:szCs w:val="32"/>
              </w:rPr>
            </w:pPr>
          </w:p>
          <w:p w14:paraId="340B5268">
            <w:pPr>
              <w:rPr>
                <w:rFonts w:hint="eastAsia" w:ascii="仿宋_GB2312" w:hAnsi="仿宋_GB2312" w:eastAsia="仿宋_GB2312" w:cs="仿宋_GB2312"/>
                <w:color w:val="auto"/>
                <w:kern w:val="0"/>
                <w:sz w:val="32"/>
                <w:szCs w:val="32"/>
              </w:rPr>
            </w:pPr>
          </w:p>
          <w:p w14:paraId="17E6FFD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1.2安全生产责任制</w:t>
            </w:r>
          </w:p>
          <w:p w14:paraId="6D63EFA1">
            <w:pPr>
              <w:widowControl/>
              <w:rPr>
                <w:rFonts w:hint="eastAsia" w:ascii="仿宋_GB2312" w:hAnsi="仿宋_GB2312" w:eastAsia="仿宋_GB2312" w:cs="仿宋_GB2312"/>
                <w:b/>
                <w:bCs/>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4A4D91BB">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第二十一条第一项</w:t>
            </w:r>
            <w:r>
              <w:rPr>
                <w:rFonts w:hint="eastAsia" w:ascii="仿宋_GB2312" w:hAnsi="仿宋_GB2312" w:eastAsia="仿宋_GB2312" w:cs="仿宋_GB2312"/>
                <w:color w:val="auto"/>
                <w:kern w:val="0"/>
                <w:sz w:val="32"/>
                <w:szCs w:val="32"/>
              </w:rPr>
              <w:t xml:space="preserve"> 生产经营单位的主要负责人对本单位安全生产工作负有下列职责：</w:t>
            </w:r>
          </w:p>
          <w:p w14:paraId="1B8D6CF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（一）建立健全并落实本单位全员安全生产责任制，加强安全生产标准化建设；</w:t>
            </w:r>
          </w:p>
          <w:p w14:paraId="274698B3">
            <w:pPr>
              <w:widowControl/>
              <w:ind w:firstLine="640" w:firstLineChars="200"/>
              <w:jc w:val="left"/>
              <w:rPr>
                <w:rFonts w:hint="eastAsia" w:ascii="仿宋_GB2312" w:hAnsi="仿宋_GB2312" w:eastAsia="仿宋_GB2312" w:cs="仿宋_GB2312"/>
                <w:bCs/>
                <w:color w:val="auto"/>
                <w:kern w:val="0"/>
                <w:sz w:val="32"/>
                <w:szCs w:val="32"/>
              </w:rPr>
            </w:pPr>
          </w:p>
          <w:p w14:paraId="468DF2B2">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《中华人民共和国安全生产法》第二十二条</w:t>
            </w:r>
            <w:r>
              <w:rPr>
                <w:rFonts w:hint="eastAsia" w:ascii="仿宋_GB2312" w:hAnsi="仿宋_GB2312" w:eastAsia="仿宋_GB2312" w:cs="仿宋_GB2312"/>
                <w:color w:val="auto"/>
                <w:kern w:val="0"/>
                <w:sz w:val="32"/>
                <w:szCs w:val="32"/>
              </w:rPr>
              <w:t xml:space="preserve"> 生产经营单位的全员安全生产责任制应当明确各岗位的责任人员、责任范围和考核标准等内容。</w:t>
            </w:r>
          </w:p>
          <w:p w14:paraId="356FF3DE">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生产经营单位应当建立相应的机制，加强对全员安全生产责任制落实情况的监督考核，保证全员安全生产责任制的落实。</w:t>
            </w:r>
          </w:p>
          <w:p w14:paraId="71DDA7CE">
            <w:pPr>
              <w:widowControl/>
              <w:ind w:firstLine="643"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《四川省生产经营单位安全生产责任规定》第八条</w:t>
            </w:r>
            <w:r>
              <w:rPr>
                <w:rFonts w:hint="eastAsia" w:ascii="仿宋_GB2312" w:hAnsi="仿宋_GB2312" w:eastAsia="仿宋_GB2312" w:cs="仿宋_GB2312"/>
                <w:bCs/>
                <w:color w:val="auto"/>
                <w:kern w:val="0"/>
                <w:sz w:val="32"/>
                <w:szCs w:val="32"/>
              </w:rPr>
              <w:t>生产经营单位必须依法建立健全本单位安全生产责任制度、安全生产目标管理制度，并将本单位的安全生产责任目标分解到各部门、各岗位，明确责任人员、责任内容和考核奖惩要求。</w:t>
            </w:r>
          </w:p>
          <w:p w14:paraId="343209F9">
            <w:pPr>
              <w:widowControl/>
              <w:shd w:val="clear" w:color="auto" w:fill="FFFFFF"/>
              <w:spacing w:after="150"/>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安全生产责任制度、安全生产目标管理制度包括以下内容:</w:t>
            </w:r>
          </w:p>
          <w:p w14:paraId="4251BA6E">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(一)主要负责人的安全生产责任、目标;</w:t>
            </w:r>
          </w:p>
          <w:p w14:paraId="7322EFF2">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(二)分管安全生产的负责人和其他负责人的安全生产责任、目标;</w:t>
            </w:r>
          </w:p>
          <w:p w14:paraId="4235B67B">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(三)管理科室、车间、分公司等部门及其负责人的安全生产责任、目标;</w:t>
            </w:r>
          </w:p>
          <w:p w14:paraId="403AB4AE">
            <w:pPr>
              <w:widowControl/>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(四)班组和班组长的安全生产责任、目标;</w:t>
            </w:r>
          </w:p>
          <w:p w14:paraId="563D5DB3">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(五)岗位从业人员的安全生产责任、目标。</w:t>
            </w:r>
          </w:p>
        </w:tc>
        <w:tc>
          <w:tcPr>
            <w:tcW w:w="3899" w:type="dxa"/>
            <w:tcBorders>
              <w:top w:val="single" w:color="auto" w:sz="6" w:space="0"/>
              <w:left w:val="nil"/>
              <w:bottom w:val="single" w:color="auto" w:sz="6" w:space="0"/>
              <w:right w:val="single" w:color="auto" w:sz="6" w:space="0"/>
            </w:tcBorders>
            <w:vAlign w:val="center"/>
          </w:tcPr>
          <w:p w14:paraId="63911B0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（2）主要负责人等相关人员的身份证明、任职文件及其询问笔录；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（3）本单位安全生产责任制；</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（4）安全生产目标责任体系建设相关资料；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（5）主要负责人相关会议记录；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（6）主要负责人签审记录；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（7）主要负责人与分管领导和各部门签订的《安全生产目标责任书》；</w:t>
            </w:r>
          </w:p>
          <w:p w14:paraId="0EC819A1">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（8）主要负责人、分管安全生产的负责人和其他负责人的安全生产责任、目标；</w:t>
            </w:r>
          </w:p>
          <w:p w14:paraId="1722B01E">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（10）《现场检查记录》《责令限期整改指令书》等相关执法文书；</w:t>
            </w:r>
          </w:p>
          <w:p w14:paraId="11F6454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（11）其他相关证据。</w:t>
            </w:r>
          </w:p>
        </w:tc>
        <w:tc>
          <w:tcPr>
            <w:tcW w:w="3899" w:type="dxa"/>
            <w:tcBorders>
              <w:top w:val="single" w:color="auto" w:sz="6" w:space="0"/>
              <w:left w:val="nil"/>
              <w:bottom w:val="single" w:color="auto" w:sz="6" w:space="0"/>
              <w:right w:val="single" w:color="auto" w:sz="4" w:space="0"/>
            </w:tcBorders>
          </w:tcPr>
          <w:p w14:paraId="72FC68C6">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第九十四</w:t>
            </w:r>
            <w:r>
              <w:rPr>
                <w:rFonts w:hint="eastAsia" w:ascii="仿宋_GB2312" w:hAnsi="仿宋_GB2312" w:eastAsia="仿宋_GB2312" w:cs="仿宋_GB2312"/>
                <w:color w:val="auto"/>
                <w:sz w:val="32"/>
                <w:szCs w:val="32"/>
              </w:rPr>
              <w:t>条  生产经营单位的主要负责人未履行本法规定的安全生产管理职责的，责令限期改正，处二万元以上五万元以下的罚款；逾期未改正的，处五万元以上十万元以下的罚款，责令生产经营单位停产停业整顿。</w:t>
            </w:r>
          </w:p>
          <w:p w14:paraId="2B3AAF8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生产经营单位的主要负责人有前款违法行为，导致发生生产安全事故的，给予撤职处分；构成犯罪的，依照刑法有关规定追究刑事责任。</w:t>
            </w:r>
          </w:p>
          <w:p w14:paraId="75DAB17E">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56C4173A">
            <w:pPr>
              <w:widowControl/>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color w:val="auto"/>
                <w:kern w:val="0"/>
                <w:sz w:val="32"/>
                <w:szCs w:val="32"/>
              </w:rPr>
              <w:t>《四川省生产经营单位安全生产责任规定》第三十八条</w:t>
            </w:r>
            <w:r>
              <w:rPr>
                <w:rFonts w:hint="eastAsia" w:ascii="仿宋_GB2312" w:hAnsi="仿宋_GB2312" w:eastAsia="仿宋_GB2312" w:cs="仿宋_GB2312"/>
                <w:bCs/>
                <w:color w:val="auto"/>
                <w:kern w:val="0"/>
                <w:sz w:val="32"/>
                <w:szCs w:val="32"/>
              </w:rPr>
              <w:t>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948" w:type="dxa"/>
            <w:tcBorders>
              <w:top w:val="single" w:color="auto" w:sz="6" w:space="0"/>
              <w:left w:val="nil"/>
              <w:bottom w:val="single" w:color="auto" w:sz="6" w:space="0"/>
              <w:right w:val="single" w:color="auto" w:sz="6" w:space="0"/>
            </w:tcBorders>
          </w:tcPr>
          <w:p w14:paraId="6DA8D0C4">
            <w:pPr>
              <w:widowControl/>
              <w:jc w:val="center"/>
              <w:rPr>
                <w:rFonts w:hint="eastAsia" w:ascii="仿宋_GB2312" w:hAnsi="仿宋_GB2312" w:eastAsia="仿宋_GB2312" w:cs="仿宋_GB2312"/>
                <w:b/>
                <w:bCs/>
                <w:color w:val="auto"/>
                <w:kern w:val="0"/>
                <w:sz w:val="32"/>
                <w:szCs w:val="32"/>
              </w:rPr>
            </w:pPr>
          </w:p>
        </w:tc>
      </w:tr>
      <w:tr w14:paraId="52281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26CC8593">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6" w:space="0"/>
            </w:tcBorders>
            <w:vAlign w:val="center"/>
          </w:tcPr>
          <w:p w14:paraId="4C3689DE">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single" w:color="auto" w:sz="4" w:space="0"/>
              <w:bottom w:val="single" w:color="auto" w:sz="4" w:space="0"/>
              <w:right w:val="single" w:color="auto" w:sz="6" w:space="0"/>
            </w:tcBorders>
            <w:vAlign w:val="center"/>
          </w:tcPr>
          <w:p w14:paraId="5FFF47D2">
            <w:pPr>
              <w:rPr>
                <w:rFonts w:hint="eastAsia" w:ascii="仿宋_GB2312" w:hAnsi="仿宋_GB2312" w:eastAsia="仿宋_GB2312" w:cs="仿宋_GB2312"/>
                <w:color w:val="auto"/>
                <w:kern w:val="0"/>
                <w:sz w:val="32"/>
                <w:szCs w:val="32"/>
              </w:rPr>
            </w:pPr>
          </w:p>
          <w:p w14:paraId="22629D2E">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1.3安全生产管理机构设置和人员配备</w:t>
            </w:r>
          </w:p>
          <w:p w14:paraId="76AF5847">
            <w:pPr>
              <w:rPr>
                <w:rFonts w:hint="eastAsia" w:ascii="仿宋_GB2312" w:hAnsi="仿宋_GB2312" w:eastAsia="仿宋_GB2312" w:cs="仿宋_GB2312"/>
                <w:color w:val="auto"/>
                <w:kern w:val="0"/>
                <w:sz w:val="32"/>
                <w:szCs w:val="32"/>
              </w:rPr>
            </w:pPr>
          </w:p>
          <w:p w14:paraId="47ADD772">
            <w:pPr>
              <w:rPr>
                <w:rFonts w:hint="eastAsia" w:ascii="仿宋_GB2312" w:hAnsi="仿宋_GB2312" w:eastAsia="仿宋_GB2312" w:cs="仿宋_GB2312"/>
                <w:color w:val="auto"/>
                <w:kern w:val="0"/>
                <w:sz w:val="32"/>
                <w:szCs w:val="32"/>
              </w:rPr>
            </w:pPr>
          </w:p>
          <w:p w14:paraId="4E444D00">
            <w:pPr>
              <w:rPr>
                <w:rFonts w:hint="eastAsia" w:ascii="仿宋_GB2312" w:hAnsi="仿宋_GB2312" w:eastAsia="仿宋_GB2312" w:cs="仿宋_GB2312"/>
                <w:color w:val="auto"/>
                <w:kern w:val="0"/>
                <w:sz w:val="32"/>
                <w:szCs w:val="32"/>
              </w:rPr>
            </w:pPr>
          </w:p>
          <w:p w14:paraId="36D093B6">
            <w:pPr>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50F60899">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第二十四条第一款</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矿山、金属冶炼、建筑施工、运输单位和危险物品的生产、经营、储存、装卸单位，应当设置安全生产管理机构或者配备专职安全生产管理人员。</w:t>
            </w:r>
          </w:p>
          <w:p w14:paraId="5BC332ED">
            <w:pPr>
              <w:pStyle w:val="2"/>
              <w:ind w:firstLine="361"/>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《中华人民共和国安全生产法》第二十七条第三款</w:t>
            </w:r>
            <w:r>
              <w:rPr>
                <w:rFonts w:hint="eastAsia" w:ascii="仿宋_GB2312" w:hAnsi="仿宋_GB2312" w:eastAsia="仿宋_GB2312" w:cs="仿宋_GB2312"/>
                <w:color w:val="auto"/>
                <w:sz w:val="32"/>
                <w:szCs w:val="32"/>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6E5FB00B">
            <w:pPr>
              <w:ind w:firstLine="640" w:firstLineChars="200"/>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0397B862">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（1）企业营业执照和有关证照（相关许可证等）；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（2）主要负责人等相关人员的身份证明、任职文件及其询问笔录；</w:t>
            </w:r>
          </w:p>
          <w:p w14:paraId="43591827">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（3）安全生产管理机构设置文件；</w:t>
            </w:r>
          </w:p>
          <w:p w14:paraId="173D63FE">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（4）专职安全管理人员任职资格及相关证照；</w:t>
            </w:r>
          </w:p>
          <w:p w14:paraId="43F56ABB">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（5）专职安全管理人员履职情况记录；</w:t>
            </w:r>
          </w:p>
          <w:p w14:paraId="5C2A85C8">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（6）主要负责人签审记录；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（7）图片或影像资料；</w:t>
            </w:r>
          </w:p>
          <w:p w14:paraId="34B1DBBD">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2FF28A9F">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tcBorders>
              <w:top w:val="single" w:color="auto" w:sz="6" w:space="0"/>
              <w:left w:val="nil"/>
              <w:bottom w:val="single" w:color="auto" w:sz="6" w:space="0"/>
              <w:right w:val="single" w:color="auto" w:sz="4" w:space="0"/>
            </w:tcBorders>
          </w:tcPr>
          <w:p w14:paraId="6E0BA01F">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w:t>
            </w:r>
            <w:r>
              <w:rPr>
                <w:rFonts w:hint="eastAsia" w:ascii="仿宋_GB2312" w:hAnsi="仿宋_GB2312" w:eastAsia="仿宋_GB2312" w:cs="仿宋_GB2312"/>
                <w:b/>
                <w:color w:val="auto"/>
                <w:sz w:val="32"/>
                <w:szCs w:val="32"/>
              </w:rPr>
              <w:t>第九十七条第一项</w:t>
            </w:r>
            <w:r>
              <w:rPr>
                <w:rFonts w:hint="eastAsia" w:ascii="仿宋_GB2312" w:hAnsi="仿宋_GB2312" w:eastAsia="仿宋_GB2312" w:cs="仿宋_GB2312"/>
                <w:color w:val="auto"/>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52B85D54">
            <w:pPr>
              <w:widowControl/>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sz w:val="32"/>
                <w:szCs w:val="32"/>
              </w:rPr>
              <w:t>（一）未按照规定设置安全生产管理机构或者配备安全生产管理人员、注册安全工程师的；</w:t>
            </w:r>
          </w:p>
        </w:tc>
        <w:tc>
          <w:tcPr>
            <w:tcW w:w="948" w:type="dxa"/>
            <w:tcBorders>
              <w:top w:val="single" w:color="auto" w:sz="6" w:space="0"/>
              <w:left w:val="nil"/>
              <w:bottom w:val="single" w:color="auto" w:sz="6" w:space="0"/>
              <w:right w:val="single" w:color="auto" w:sz="6" w:space="0"/>
            </w:tcBorders>
          </w:tcPr>
          <w:p w14:paraId="12C03F6D">
            <w:pPr>
              <w:widowControl/>
              <w:rPr>
                <w:rFonts w:hint="eastAsia" w:ascii="仿宋_GB2312" w:hAnsi="仿宋_GB2312" w:eastAsia="仿宋_GB2312" w:cs="仿宋_GB2312"/>
                <w:b/>
                <w:bCs/>
                <w:color w:val="auto"/>
                <w:kern w:val="0"/>
                <w:sz w:val="32"/>
                <w:szCs w:val="32"/>
              </w:rPr>
            </w:pPr>
          </w:p>
        </w:tc>
      </w:tr>
      <w:tr w14:paraId="25F1DA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546DD680">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6" w:space="0"/>
            </w:tcBorders>
            <w:vAlign w:val="center"/>
          </w:tcPr>
          <w:p w14:paraId="1B9335EB">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69E6D85D">
            <w:pPr>
              <w:widowControl/>
              <w:rPr>
                <w:rFonts w:hint="eastAsia" w:ascii="仿宋_GB2312" w:hAnsi="仿宋_GB2312" w:eastAsia="仿宋_GB2312" w:cs="仿宋_GB2312"/>
                <w:color w:val="auto"/>
                <w:kern w:val="0"/>
                <w:sz w:val="32"/>
                <w:szCs w:val="32"/>
              </w:rPr>
            </w:pPr>
          </w:p>
          <w:p w14:paraId="056B778F">
            <w:pPr>
              <w:widowControl/>
              <w:rPr>
                <w:rFonts w:hint="eastAsia" w:ascii="仿宋_GB2312" w:hAnsi="仿宋_GB2312" w:eastAsia="仿宋_GB2312" w:cs="仿宋_GB2312"/>
                <w:color w:val="auto"/>
                <w:kern w:val="0"/>
                <w:sz w:val="32"/>
                <w:szCs w:val="32"/>
              </w:rPr>
            </w:pPr>
          </w:p>
          <w:p w14:paraId="13BF8AA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1.4企业与职工协议</w:t>
            </w:r>
          </w:p>
        </w:tc>
        <w:tc>
          <w:tcPr>
            <w:tcW w:w="3899" w:type="dxa"/>
            <w:tcBorders>
              <w:top w:val="single" w:color="auto" w:sz="6" w:space="0"/>
              <w:left w:val="nil"/>
              <w:bottom w:val="single" w:color="auto" w:sz="6" w:space="0"/>
              <w:right w:val="single" w:color="auto" w:sz="6" w:space="0"/>
            </w:tcBorders>
            <w:vAlign w:val="center"/>
          </w:tcPr>
          <w:p w14:paraId="0971EEB5">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color w:val="auto"/>
                <w:kern w:val="0"/>
                <w:sz w:val="32"/>
                <w:szCs w:val="32"/>
              </w:rPr>
              <w:t>第五十二条第二款生产经营单位不得以任何形式与从业人员订立协议，免除或者减轻其对从业人员因生产安全事故伤亡依法应承担的责任。</w:t>
            </w:r>
          </w:p>
          <w:p w14:paraId="2F827A60">
            <w:pPr>
              <w:widowControl/>
              <w:ind w:firstLine="643" w:firstLineChars="200"/>
              <w:rPr>
                <w:rFonts w:hint="eastAsia" w:ascii="仿宋_GB2312" w:hAnsi="仿宋_GB2312" w:eastAsia="仿宋_GB2312" w:cs="仿宋_GB2312"/>
                <w:b/>
                <w:bCs/>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3E7472F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（1）企业营业执照和有关证照（相关许可证等）；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（2）主要负责人等相关人员的身份证明、任职文件及其询问笔录；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（3）劳动协议（或合同）；</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（4）证人证言；</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（5）企业有关部门和相关责任人责任落实资料；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（7）主要负责人签审记录；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（8）《现场检查记录》等相关执法文书；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（9）其他相关证据。</w:t>
            </w:r>
          </w:p>
        </w:tc>
        <w:tc>
          <w:tcPr>
            <w:tcW w:w="3899" w:type="dxa"/>
            <w:tcBorders>
              <w:top w:val="single" w:color="auto" w:sz="6" w:space="0"/>
              <w:left w:val="nil"/>
              <w:bottom w:val="single" w:color="auto" w:sz="6" w:space="0"/>
              <w:right w:val="single" w:color="auto" w:sz="4" w:space="0"/>
            </w:tcBorders>
          </w:tcPr>
          <w:p w14:paraId="7EB06D6C">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《中华人民共和国安全生产法》第一百零六条</w:t>
            </w:r>
            <w:r>
              <w:rPr>
                <w:rFonts w:hint="eastAsia" w:ascii="仿宋_GB2312" w:hAnsi="仿宋_GB2312" w:eastAsia="仿宋_GB2312" w:cs="仿宋_GB2312"/>
                <w:color w:val="auto"/>
                <w:kern w:val="0"/>
                <w:sz w:val="32"/>
                <w:szCs w:val="32"/>
              </w:rPr>
              <w:t>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948" w:type="dxa"/>
            <w:tcBorders>
              <w:top w:val="single" w:color="auto" w:sz="6" w:space="0"/>
              <w:left w:val="nil"/>
              <w:bottom w:val="single" w:color="auto" w:sz="6" w:space="0"/>
              <w:right w:val="single" w:color="auto" w:sz="6" w:space="0"/>
            </w:tcBorders>
          </w:tcPr>
          <w:p w14:paraId="3298C2D5">
            <w:pPr>
              <w:widowControl/>
              <w:rPr>
                <w:rFonts w:hint="eastAsia" w:ascii="仿宋_GB2312" w:hAnsi="仿宋_GB2312" w:eastAsia="仿宋_GB2312" w:cs="仿宋_GB2312"/>
                <w:b/>
                <w:bCs/>
                <w:color w:val="auto"/>
                <w:kern w:val="0"/>
                <w:sz w:val="32"/>
                <w:szCs w:val="32"/>
              </w:rPr>
            </w:pPr>
          </w:p>
        </w:tc>
      </w:tr>
      <w:tr w14:paraId="0ADAA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14:paraId="31BB8753">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w:t>
            </w:r>
          </w:p>
        </w:tc>
        <w:tc>
          <w:tcPr>
            <w:tcW w:w="948" w:type="dxa"/>
            <w:vMerge w:val="restart"/>
            <w:tcBorders>
              <w:top w:val="single" w:color="auto" w:sz="6" w:space="0"/>
              <w:left w:val="nil"/>
              <w:bottom w:val="single" w:color="auto" w:sz="6" w:space="0"/>
              <w:right w:val="single" w:color="auto" w:sz="4" w:space="0"/>
            </w:tcBorders>
            <w:vAlign w:val="center"/>
          </w:tcPr>
          <w:p w14:paraId="471D1DC8">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建设项目三同时管理</w:t>
            </w:r>
          </w:p>
        </w:tc>
        <w:tc>
          <w:tcPr>
            <w:tcW w:w="948" w:type="dxa"/>
            <w:tcBorders>
              <w:top w:val="single" w:color="auto" w:sz="4" w:space="0"/>
              <w:left w:val="single" w:color="auto" w:sz="4" w:space="0"/>
              <w:bottom w:val="single" w:color="auto" w:sz="4" w:space="0"/>
              <w:right w:val="single" w:color="auto" w:sz="6" w:space="0"/>
            </w:tcBorders>
            <w:vAlign w:val="center"/>
          </w:tcPr>
          <w:p w14:paraId="7A2B3371">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2.1</w:t>
            </w:r>
            <w:r>
              <w:rPr>
                <w:rFonts w:hint="eastAsia" w:ascii="仿宋_GB2312" w:hAnsi="仿宋_GB2312" w:eastAsia="仿宋_GB2312" w:cs="仿宋_GB2312"/>
                <w:color w:val="auto"/>
                <w:sz w:val="32"/>
                <w:szCs w:val="32"/>
              </w:rPr>
              <w:t>安全评价</w:t>
            </w:r>
          </w:p>
        </w:tc>
        <w:tc>
          <w:tcPr>
            <w:tcW w:w="3899" w:type="dxa"/>
            <w:tcBorders>
              <w:top w:val="single" w:color="auto" w:sz="6" w:space="0"/>
              <w:left w:val="nil"/>
              <w:bottom w:val="single" w:color="auto" w:sz="6" w:space="0"/>
              <w:right w:val="single" w:color="auto" w:sz="6" w:space="0"/>
            </w:tcBorders>
            <w:vAlign w:val="center"/>
          </w:tcPr>
          <w:p w14:paraId="1F49FC87">
            <w:pPr>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  第三十二条 </w:t>
            </w:r>
            <w:r>
              <w:rPr>
                <w:rFonts w:hint="eastAsia" w:ascii="仿宋_GB2312" w:hAnsi="仿宋_GB2312" w:eastAsia="仿宋_GB2312" w:cs="仿宋_GB2312"/>
                <w:color w:val="auto"/>
                <w:sz w:val="32"/>
                <w:szCs w:val="32"/>
              </w:rPr>
              <w:t>矿山、金属冶炼建设项目和用于生产、储存、装卸危险物品的建设项目，应当按照国家有关规定进行安全评价。</w:t>
            </w:r>
          </w:p>
          <w:p w14:paraId="107B3570">
            <w:pPr>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《四川省安全生产条例》第十七条</w:t>
            </w:r>
            <w:r>
              <w:rPr>
                <w:rFonts w:hint="eastAsia" w:ascii="仿宋_GB2312" w:hAnsi="仿宋_GB2312" w:eastAsia="仿宋_GB2312" w:cs="仿宋_GB2312"/>
                <w:color w:val="auto"/>
                <w:kern w:val="0"/>
                <w:sz w:val="32"/>
                <w:szCs w:val="32"/>
              </w:rPr>
              <w:t>新建、改建、扩建工程项目应当按照国家和省的规定进行安全条件论证和安全评价，其安全设施必须与主体工程同时设计、同时施工、同时投入生产使用，并按照有关规定办理审查手续。未经审查或者审查不合格的，不得办理行政许可，不得开工建设；未经验收或者验收不合格的，不得投入生产和使用。</w:t>
            </w:r>
          </w:p>
          <w:p w14:paraId="3EFBEB64">
            <w:pPr>
              <w:ind w:firstLine="640" w:firstLineChars="200"/>
              <w:rPr>
                <w:rFonts w:hint="eastAsia" w:ascii="仿宋_GB2312" w:hAnsi="仿宋_GB2312" w:eastAsia="仿宋_GB2312" w:cs="仿宋_GB2312"/>
                <w:color w:val="auto"/>
                <w:kern w:val="0"/>
                <w:sz w:val="32"/>
                <w:szCs w:val="32"/>
              </w:rPr>
            </w:pPr>
          </w:p>
          <w:p w14:paraId="34B6BD97">
            <w:pPr>
              <w:ind w:firstLine="640" w:firstLineChars="200"/>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43E619D9">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（1）企业营业执照和有关证照（相关许可证等）；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（2）项目审查相关文件资料；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（3）设计单位营业执照及设计资质证件；</w:t>
            </w:r>
          </w:p>
          <w:p w14:paraId="45DE7609">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（5）相关资格证书、设计人员登记及职称；</w:t>
            </w:r>
          </w:p>
          <w:p w14:paraId="01BB2B7A">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（6）安全评价报告；</w:t>
            </w:r>
          </w:p>
          <w:p w14:paraId="383F80F9">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（7）主要负责人签审记录；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（8）图片或影像资料；</w:t>
            </w:r>
          </w:p>
          <w:p w14:paraId="78A4CB52">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1A4D4537">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tcBorders>
              <w:top w:val="single" w:color="auto" w:sz="6" w:space="0"/>
              <w:left w:val="nil"/>
              <w:bottom w:val="single" w:color="auto" w:sz="6" w:space="0"/>
              <w:right w:val="single" w:color="auto" w:sz="4" w:space="0"/>
            </w:tcBorders>
          </w:tcPr>
          <w:p w14:paraId="20B567E8">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第九十八条第一项</w:t>
            </w:r>
            <w:r>
              <w:rPr>
                <w:rFonts w:hint="eastAsia" w:ascii="仿宋_GB2312" w:hAnsi="仿宋_GB2312" w:eastAsia="仿宋_GB2312" w:cs="仿宋_GB2312"/>
                <w:color w:val="auto"/>
                <w:kern w:val="0"/>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2161D140">
            <w:pPr>
              <w:widowControl/>
              <w:numPr>
                <w:ilvl w:val="0"/>
                <w:numId w:val="1"/>
              </w:numPr>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未按照规定对矿山、金属冶炼建设项目或者用于生产、储存、装卸危险物品的建设项目进行安全评价的；</w:t>
            </w:r>
          </w:p>
          <w:p w14:paraId="6756D0E4">
            <w:pPr>
              <w:widowControl/>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《四川省安全生产条例》第六十七条</w:t>
            </w:r>
            <w:r>
              <w:rPr>
                <w:rFonts w:hint="eastAsia" w:ascii="仿宋_GB2312" w:hAnsi="仿宋_GB2312" w:eastAsia="仿宋_GB2312" w:cs="仿宋_GB2312"/>
                <w:color w:val="auto"/>
                <w:kern w:val="0"/>
                <w:sz w:val="32"/>
                <w:szCs w:val="32"/>
              </w:rPr>
              <w:t>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48" w:type="dxa"/>
            <w:tcBorders>
              <w:top w:val="single" w:color="auto" w:sz="6" w:space="0"/>
              <w:left w:val="nil"/>
              <w:bottom w:val="single" w:color="auto" w:sz="6" w:space="0"/>
              <w:right w:val="single" w:color="auto" w:sz="6" w:space="0"/>
            </w:tcBorders>
          </w:tcPr>
          <w:p w14:paraId="3539A841">
            <w:pPr>
              <w:widowControl/>
              <w:jc w:val="center"/>
              <w:rPr>
                <w:rFonts w:hint="eastAsia" w:ascii="仿宋_GB2312" w:hAnsi="仿宋_GB2312" w:eastAsia="仿宋_GB2312" w:cs="仿宋_GB2312"/>
                <w:b/>
                <w:bCs/>
                <w:color w:val="auto"/>
                <w:kern w:val="0"/>
                <w:sz w:val="32"/>
                <w:szCs w:val="32"/>
              </w:rPr>
            </w:pPr>
          </w:p>
        </w:tc>
      </w:tr>
      <w:tr w14:paraId="0AC3D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6C04D93B">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6998DA06">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single" w:color="auto" w:sz="4" w:space="0"/>
              <w:bottom w:val="single" w:color="auto" w:sz="4" w:space="0"/>
              <w:right w:val="single" w:color="auto" w:sz="6" w:space="0"/>
            </w:tcBorders>
            <w:vAlign w:val="center"/>
          </w:tcPr>
          <w:p w14:paraId="6978B5E2">
            <w:pPr>
              <w:widowControl/>
              <w:rPr>
                <w:rFonts w:hint="eastAsia" w:ascii="仿宋_GB2312" w:hAnsi="仿宋_GB2312" w:eastAsia="仿宋_GB2312" w:cs="仿宋_GB2312"/>
                <w:color w:val="auto"/>
                <w:kern w:val="0"/>
                <w:sz w:val="32"/>
                <w:szCs w:val="32"/>
              </w:rPr>
            </w:pPr>
          </w:p>
          <w:p w14:paraId="03BEA5C4">
            <w:pPr>
              <w:widowControl/>
              <w:rPr>
                <w:rFonts w:hint="eastAsia" w:ascii="仿宋_GB2312" w:hAnsi="仿宋_GB2312" w:eastAsia="仿宋_GB2312" w:cs="仿宋_GB2312"/>
                <w:color w:val="auto"/>
                <w:kern w:val="0"/>
                <w:sz w:val="32"/>
                <w:szCs w:val="32"/>
              </w:rPr>
            </w:pPr>
          </w:p>
          <w:p w14:paraId="2A60B262">
            <w:pPr>
              <w:widowControl/>
              <w:rPr>
                <w:rFonts w:hint="eastAsia" w:ascii="仿宋_GB2312" w:hAnsi="仿宋_GB2312" w:eastAsia="仿宋_GB2312" w:cs="仿宋_GB2312"/>
                <w:color w:val="auto"/>
                <w:kern w:val="0"/>
                <w:sz w:val="32"/>
                <w:szCs w:val="32"/>
              </w:rPr>
            </w:pPr>
          </w:p>
          <w:p w14:paraId="05F9C36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2.2安全设施设计审查</w:t>
            </w:r>
          </w:p>
        </w:tc>
        <w:tc>
          <w:tcPr>
            <w:tcW w:w="3899" w:type="dxa"/>
            <w:tcBorders>
              <w:top w:val="single" w:color="auto" w:sz="6" w:space="0"/>
              <w:left w:val="nil"/>
              <w:bottom w:val="single" w:color="auto" w:sz="6" w:space="0"/>
              <w:right w:val="single" w:color="auto" w:sz="6" w:space="0"/>
            </w:tcBorders>
            <w:vAlign w:val="center"/>
          </w:tcPr>
          <w:p w14:paraId="03959939">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第三十三条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
                <w:bCs/>
                <w:color w:val="auto"/>
                <w:kern w:val="0"/>
                <w:sz w:val="32"/>
                <w:szCs w:val="32"/>
              </w:rPr>
              <w:t>第二款</w:t>
            </w:r>
            <w:r>
              <w:rPr>
                <w:rFonts w:hint="eastAsia" w:ascii="仿宋_GB2312" w:hAnsi="仿宋_GB2312" w:eastAsia="仿宋_GB2312" w:cs="仿宋_GB2312"/>
                <w:color w:val="auto"/>
                <w:sz w:val="32"/>
                <w:szCs w:val="32"/>
              </w:rPr>
              <w:t>矿山、金属冶炼建设项目和用于生产、储存、装卸危险物品的建设项目的安全设施设计应当按照国家有关规定报经有关部门审查，审查部门及其负责审查的人员对审查结果负责。</w:t>
            </w:r>
          </w:p>
          <w:p w14:paraId="6DCBFAB7">
            <w:pPr>
              <w:ind w:firstLine="643" w:firstLineChars="200"/>
              <w:rPr>
                <w:rFonts w:hint="eastAsia" w:ascii="仿宋_GB2312" w:hAnsi="仿宋_GB2312" w:eastAsia="仿宋_GB2312" w:cs="仿宋_GB2312"/>
                <w:b/>
                <w:bCs/>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0EC02D36">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（1）企业营业执照和有关证照（相关许可证等）；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（2）设计单位营业执照及设计资质证件；</w:t>
            </w:r>
          </w:p>
          <w:p w14:paraId="39F55A9D">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（4）《现场检查记录》《责令限期整改指令书》等相关执法文书；</w:t>
            </w:r>
          </w:p>
          <w:p w14:paraId="0E0D228B">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（5）企业项目立项批文；</w:t>
            </w:r>
          </w:p>
          <w:p w14:paraId="30741296">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（6）项目预评价报告；</w:t>
            </w:r>
          </w:p>
          <w:p w14:paraId="67547F04">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（7）项目安全设施设计；</w:t>
            </w:r>
          </w:p>
          <w:p w14:paraId="123D4E7B">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（8）安全生产监督管理部门安全设施设计审查意见书；</w:t>
            </w:r>
          </w:p>
          <w:p w14:paraId="3FF10519">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（9）图片或影像资料；</w:t>
            </w:r>
          </w:p>
          <w:p w14:paraId="6893D369">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p w14:paraId="16A47042">
            <w:pPr>
              <w:widowControl/>
              <w:rPr>
                <w:rFonts w:hint="eastAsia" w:ascii="仿宋_GB2312" w:hAnsi="仿宋_GB2312" w:eastAsia="仿宋_GB2312" w:cs="仿宋_GB2312"/>
                <w:b/>
                <w:bCs/>
                <w:color w:val="auto"/>
                <w:kern w:val="0"/>
                <w:sz w:val="32"/>
                <w:szCs w:val="32"/>
              </w:rPr>
            </w:pPr>
          </w:p>
        </w:tc>
        <w:tc>
          <w:tcPr>
            <w:tcW w:w="3899" w:type="dxa"/>
            <w:tcBorders>
              <w:top w:val="single" w:color="auto" w:sz="6" w:space="0"/>
              <w:left w:val="nil"/>
              <w:bottom w:val="single" w:color="auto" w:sz="6" w:space="0"/>
              <w:right w:val="single" w:color="auto" w:sz="4" w:space="0"/>
            </w:tcBorders>
          </w:tcPr>
          <w:p w14:paraId="638DEEEB">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第九十八条第二项</w:t>
            </w:r>
            <w:r>
              <w:rPr>
                <w:rFonts w:hint="eastAsia" w:ascii="仿宋_GB2312" w:hAnsi="仿宋_GB2312" w:eastAsia="仿宋_GB2312" w:cs="仿宋_GB2312"/>
                <w:color w:val="auto"/>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7BB2D7E5">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（二）矿山、金属冶炼建设项目或者用于生产、储存、装卸危险物品的建设项目没有安全设施设计或者安全设施设计未按照规定报经有关部门审查同意的；</w:t>
            </w:r>
          </w:p>
        </w:tc>
        <w:tc>
          <w:tcPr>
            <w:tcW w:w="948" w:type="dxa"/>
            <w:tcBorders>
              <w:top w:val="single" w:color="auto" w:sz="6" w:space="0"/>
              <w:left w:val="nil"/>
              <w:bottom w:val="single" w:color="auto" w:sz="6" w:space="0"/>
              <w:right w:val="single" w:color="auto" w:sz="6" w:space="0"/>
            </w:tcBorders>
          </w:tcPr>
          <w:p w14:paraId="1A5801D7">
            <w:pPr>
              <w:widowControl/>
              <w:jc w:val="center"/>
              <w:rPr>
                <w:rFonts w:hint="eastAsia" w:ascii="仿宋_GB2312" w:hAnsi="仿宋_GB2312" w:eastAsia="仿宋_GB2312" w:cs="仿宋_GB2312"/>
                <w:b/>
                <w:bCs/>
                <w:color w:val="auto"/>
                <w:kern w:val="0"/>
                <w:sz w:val="32"/>
                <w:szCs w:val="32"/>
              </w:rPr>
            </w:pPr>
          </w:p>
        </w:tc>
      </w:tr>
      <w:tr w14:paraId="7D676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59535C8A">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55A56DCC">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5C30A40C">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2.3按设计组织施工</w:t>
            </w:r>
          </w:p>
        </w:tc>
        <w:tc>
          <w:tcPr>
            <w:tcW w:w="3899" w:type="dxa"/>
            <w:tcBorders>
              <w:top w:val="single" w:color="auto" w:sz="6" w:space="0"/>
              <w:left w:val="nil"/>
              <w:bottom w:val="single" w:color="auto" w:sz="6" w:space="0"/>
              <w:right w:val="single" w:color="auto" w:sz="6" w:space="0"/>
            </w:tcBorders>
            <w:vAlign w:val="center"/>
          </w:tcPr>
          <w:p w14:paraId="0E264ABE">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第三十四条第一款</w:t>
            </w:r>
            <w:r>
              <w:rPr>
                <w:rFonts w:hint="eastAsia" w:ascii="仿宋_GB2312" w:hAnsi="仿宋_GB2312" w:eastAsia="仿宋_GB2312" w:cs="仿宋_GB2312"/>
                <w:color w:val="auto"/>
                <w:sz w:val="32"/>
                <w:szCs w:val="32"/>
              </w:rPr>
              <w:t>矿山、金属冶炼建设项目和用于生产、储存、装卸危险物品的建设项目的施工单位必须按照批准的安全设施设计施工，并对安全设施的工程质量负责。</w:t>
            </w:r>
          </w:p>
          <w:p w14:paraId="21765C5A">
            <w:pPr>
              <w:widowControl/>
              <w:ind w:firstLine="643" w:firstLineChars="200"/>
              <w:rPr>
                <w:rFonts w:hint="eastAsia" w:ascii="仿宋_GB2312" w:hAnsi="仿宋_GB2312" w:eastAsia="仿宋_GB2312" w:cs="仿宋_GB2312"/>
                <w:b/>
                <w:bCs/>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24C9FC4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（1）企业营业执照和有关证照（相关许可证等）；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1BDC253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（3）施工单位安全生产许可证；</w:t>
            </w:r>
          </w:p>
          <w:p w14:paraId="1310CD4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（4）施工单位负责人身份证、任职文件；</w:t>
            </w:r>
          </w:p>
          <w:p w14:paraId="4146436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（5）安全设施设计审查记录及文件资料；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（6）施工组织方案；</w:t>
            </w:r>
          </w:p>
          <w:p w14:paraId="4ADDBEA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（7）主要负责人签审记录；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（8）《现场检查记录》《责令限期整改指令书》等相关执法文书；</w:t>
            </w:r>
          </w:p>
          <w:p w14:paraId="5E91BE6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（9）施工单位相关工作安排记录；</w:t>
            </w:r>
          </w:p>
          <w:p w14:paraId="47C282A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（10）违法行为图片或影像证据；</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（11）其他相关证据。</w:t>
            </w:r>
          </w:p>
        </w:tc>
        <w:tc>
          <w:tcPr>
            <w:tcW w:w="3899" w:type="dxa"/>
            <w:tcBorders>
              <w:top w:val="single" w:color="auto" w:sz="6" w:space="0"/>
              <w:left w:val="nil"/>
              <w:bottom w:val="single" w:color="auto" w:sz="6" w:space="0"/>
              <w:right w:val="single" w:color="auto" w:sz="4" w:space="0"/>
            </w:tcBorders>
          </w:tcPr>
          <w:p w14:paraId="55DA1F19">
            <w:pPr>
              <w:widowControl/>
              <w:shd w:val="clear" w:color="auto" w:fill="FFFFFF"/>
              <w:ind w:firstLine="321"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第九十八条第三项</w:t>
            </w:r>
            <w:r>
              <w:rPr>
                <w:rFonts w:hint="eastAsia" w:ascii="仿宋_GB2312" w:hAnsi="仿宋_GB2312" w:eastAsia="仿宋_GB2312" w:cs="仿宋_GB2312"/>
                <w:color w:val="auto"/>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788813F1">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（三）矿山、金属冶炼建设项目或者用于生产、储存、装卸危险物品的建设项目的施工单位未按照批准的安全设施设计施工的；</w:t>
            </w:r>
          </w:p>
        </w:tc>
        <w:tc>
          <w:tcPr>
            <w:tcW w:w="948" w:type="dxa"/>
            <w:tcBorders>
              <w:top w:val="single" w:color="auto" w:sz="6" w:space="0"/>
              <w:left w:val="nil"/>
              <w:bottom w:val="single" w:color="auto" w:sz="6" w:space="0"/>
              <w:right w:val="single" w:color="auto" w:sz="6" w:space="0"/>
            </w:tcBorders>
          </w:tcPr>
          <w:p w14:paraId="392823F4">
            <w:pPr>
              <w:widowControl/>
              <w:jc w:val="center"/>
              <w:rPr>
                <w:rFonts w:hint="eastAsia" w:ascii="仿宋_GB2312" w:hAnsi="仿宋_GB2312" w:eastAsia="仿宋_GB2312" w:cs="仿宋_GB2312"/>
                <w:b/>
                <w:bCs/>
                <w:color w:val="auto"/>
                <w:kern w:val="0"/>
                <w:sz w:val="32"/>
                <w:szCs w:val="32"/>
              </w:rPr>
            </w:pPr>
          </w:p>
        </w:tc>
      </w:tr>
      <w:tr w14:paraId="46D0E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277DF5CB">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4C69EB7C">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single" w:color="auto" w:sz="4" w:space="0"/>
              <w:bottom w:val="single" w:color="auto" w:sz="4" w:space="0"/>
              <w:right w:val="single" w:color="auto" w:sz="6" w:space="0"/>
            </w:tcBorders>
            <w:vAlign w:val="center"/>
          </w:tcPr>
          <w:p w14:paraId="51C6E5A9">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2.4安全设施验收</w:t>
            </w:r>
          </w:p>
        </w:tc>
        <w:tc>
          <w:tcPr>
            <w:tcW w:w="3899" w:type="dxa"/>
            <w:tcBorders>
              <w:top w:val="single" w:color="auto" w:sz="6" w:space="0"/>
              <w:left w:val="nil"/>
              <w:bottom w:val="single" w:color="auto" w:sz="6" w:space="0"/>
              <w:right w:val="single" w:color="auto" w:sz="6" w:space="0"/>
            </w:tcBorders>
            <w:vAlign w:val="center"/>
          </w:tcPr>
          <w:p w14:paraId="5F1BFD33">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第三十四条第二款</w:t>
            </w:r>
            <w:r>
              <w:rPr>
                <w:rFonts w:hint="eastAsia" w:ascii="仿宋_GB2312" w:hAnsi="仿宋_GB2312" w:eastAsia="仿宋_GB2312" w:cs="仿宋_GB2312"/>
                <w:color w:val="auto"/>
                <w:sz w:val="32"/>
                <w:szCs w:val="3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61756E2A">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《四川省安全生产条例》第十七条</w:t>
            </w:r>
            <w:r>
              <w:rPr>
                <w:rFonts w:hint="eastAsia" w:ascii="仿宋_GB2312" w:hAnsi="仿宋_GB2312" w:eastAsia="仿宋_GB2312" w:cs="仿宋_GB2312"/>
                <w:color w:val="auto"/>
                <w:kern w:val="0"/>
                <w:sz w:val="32"/>
                <w:szCs w:val="32"/>
              </w:rPr>
              <w:t>新建、改建、扩建工程项目应当按照国家和省的规定进行安全条件论证和安全评价，其安全设施必须与主体工程同时设计、同时施工、同时投入生产使用，并按照有关规定办理审查手续。未经审查或者审查不合格的，不得办理行政许可，不得开工建设；未经验收或者验收不合格的，不得投入生产和使用。</w:t>
            </w:r>
          </w:p>
        </w:tc>
        <w:tc>
          <w:tcPr>
            <w:tcW w:w="3899" w:type="dxa"/>
            <w:tcBorders>
              <w:top w:val="single" w:color="auto" w:sz="6" w:space="0"/>
              <w:left w:val="nil"/>
              <w:bottom w:val="single" w:color="auto" w:sz="6" w:space="0"/>
              <w:right w:val="single" w:color="auto" w:sz="6" w:space="0"/>
            </w:tcBorders>
            <w:vAlign w:val="center"/>
          </w:tcPr>
          <w:p w14:paraId="5F1A800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（3）验收评价报告；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（4）竣工验收记录；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（5）安全设施竣工验收报告；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（6）试运行情况（包括申请、试运行时间、试运行记录、备案资料）；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（7）监督核查记录（或相关执法文书）；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（8）违法行为图片或影像证据；</w:t>
            </w:r>
          </w:p>
          <w:p w14:paraId="2011E40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429FBFA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tcBorders>
              <w:top w:val="single" w:color="auto" w:sz="6" w:space="0"/>
              <w:left w:val="nil"/>
              <w:bottom w:val="single" w:color="auto" w:sz="6" w:space="0"/>
              <w:right w:val="single" w:color="auto" w:sz="4" w:space="0"/>
            </w:tcBorders>
          </w:tcPr>
          <w:p w14:paraId="590D233D">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第九十八条第四项</w:t>
            </w:r>
            <w:r>
              <w:rPr>
                <w:rFonts w:hint="eastAsia" w:ascii="仿宋_GB2312" w:hAnsi="仿宋_GB2312" w:eastAsia="仿宋_GB2312" w:cs="仿宋_GB2312"/>
                <w:color w:val="auto"/>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196636E9">
            <w:pPr>
              <w:widowControl/>
              <w:ind w:firstLine="640"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sz w:val="32"/>
                <w:szCs w:val="32"/>
              </w:rPr>
              <w:t>（四）矿山、金属冶炼建设项目或者用于生产、储存、装卸危险物品的建设项目竣工投入生产或者使用前，安全设施未经验收合格的。</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bCs/>
                <w:color w:val="auto"/>
                <w:kern w:val="0"/>
                <w:sz w:val="32"/>
                <w:szCs w:val="32"/>
              </w:rPr>
              <w:t>《四川省安全生产条例》第六十七条</w:t>
            </w:r>
            <w:r>
              <w:rPr>
                <w:rFonts w:hint="eastAsia" w:ascii="仿宋_GB2312" w:hAnsi="仿宋_GB2312" w:eastAsia="仿宋_GB2312" w:cs="仿宋_GB2312"/>
                <w:color w:val="auto"/>
                <w:kern w:val="0"/>
                <w:sz w:val="32"/>
                <w:szCs w:val="32"/>
              </w:rPr>
              <w:t>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48" w:type="dxa"/>
            <w:tcBorders>
              <w:top w:val="single" w:color="auto" w:sz="6" w:space="0"/>
              <w:left w:val="nil"/>
              <w:bottom w:val="single" w:color="auto" w:sz="6" w:space="0"/>
              <w:right w:val="single" w:color="auto" w:sz="6" w:space="0"/>
            </w:tcBorders>
          </w:tcPr>
          <w:p w14:paraId="744B2571">
            <w:pPr>
              <w:widowControl/>
              <w:jc w:val="center"/>
              <w:rPr>
                <w:rFonts w:hint="eastAsia" w:ascii="仿宋_GB2312" w:hAnsi="仿宋_GB2312" w:eastAsia="仿宋_GB2312" w:cs="仿宋_GB2312"/>
                <w:b/>
                <w:bCs/>
                <w:color w:val="auto"/>
                <w:kern w:val="0"/>
                <w:sz w:val="32"/>
                <w:szCs w:val="32"/>
              </w:rPr>
            </w:pPr>
          </w:p>
        </w:tc>
      </w:tr>
      <w:tr w14:paraId="34537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57FC66B1">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289140A6">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6" w:space="0"/>
              <w:right w:val="single" w:color="auto" w:sz="6" w:space="0"/>
            </w:tcBorders>
            <w:vAlign w:val="center"/>
          </w:tcPr>
          <w:p w14:paraId="318E37F1">
            <w:pPr>
              <w:widowControl/>
              <w:rPr>
                <w:rFonts w:hint="eastAsia" w:ascii="仿宋_GB2312" w:hAnsi="仿宋_GB2312" w:eastAsia="仿宋_GB2312" w:cs="仿宋_GB2312"/>
                <w:color w:val="auto"/>
                <w:kern w:val="0"/>
                <w:sz w:val="32"/>
                <w:szCs w:val="32"/>
              </w:rPr>
            </w:pPr>
          </w:p>
          <w:p w14:paraId="06544D8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2.5改扩建矿井合法性审查</w:t>
            </w:r>
          </w:p>
          <w:p w14:paraId="3096D73C">
            <w:pPr>
              <w:widowControl/>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（重大生产安全事故隐患）</w:t>
            </w:r>
          </w:p>
        </w:tc>
        <w:tc>
          <w:tcPr>
            <w:tcW w:w="3899" w:type="dxa"/>
            <w:tcBorders>
              <w:top w:val="single" w:color="auto" w:sz="6" w:space="0"/>
              <w:left w:val="nil"/>
              <w:bottom w:val="single" w:color="auto" w:sz="6" w:space="0"/>
              <w:right w:val="single" w:color="auto" w:sz="6" w:space="0"/>
            </w:tcBorders>
            <w:vAlign w:val="center"/>
          </w:tcPr>
          <w:p w14:paraId="09F965C5">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《国务院关于预防煤矿生产安全事故的特别规定》第八条第二款第（十二）项</w:t>
            </w:r>
            <w:r>
              <w:rPr>
                <w:rFonts w:hint="eastAsia" w:ascii="仿宋_GB2312" w:hAnsi="仿宋_GB2312" w:eastAsia="仿宋_GB2312" w:cs="仿宋_GB2312"/>
                <w:color w:val="auto"/>
                <w:kern w:val="0"/>
                <w:sz w:val="32"/>
                <w:szCs w:val="32"/>
              </w:rPr>
              <w:t>煤矿有下列重大安全生产隐患和行为的，应当立即停止生产，排除隐患：</w:t>
            </w:r>
          </w:p>
          <w:p w14:paraId="7C5A40E5">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（十二）新建煤矿边建设边生产，煤矿改扩建期间，在改扩建的区域生产，或者在其他区域的生产超出安全设计规定的范围和规模的；</w:t>
            </w:r>
          </w:p>
          <w:p w14:paraId="205AFC53">
            <w:pPr>
              <w:widowControl/>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《煤矿重大事故隐患判定标准》第十五条</w:t>
            </w:r>
            <w:r>
              <w:rPr>
                <w:rFonts w:hint="eastAsia" w:ascii="仿宋_GB2312" w:hAnsi="仿宋_GB2312" w:eastAsia="仿宋_GB2312" w:cs="仿宋_GB2312"/>
                <w:color w:val="auto"/>
                <w:sz w:val="32"/>
                <w:szCs w:val="32"/>
              </w:rPr>
              <w:t>“新建煤矿边建设边生产，煤矿改扩建期间，在改扩建的区域生产，或者在其他区域的生产超出安全设施设计规定的范围和规模”重大事故隐患，是指有下列情形之一的：</w:t>
            </w:r>
          </w:p>
          <w:p w14:paraId="6171A16F">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（一）建设项目安全设施设计未经审查批准，或者审查批准后作出重大变更未经再次审查批准擅自组织施工的；</w:t>
            </w:r>
          </w:p>
          <w:p w14:paraId="0BB9B9E1">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（二）新建煤矿在建设期间组织采煤的（经批准的联合试运转除外）；</w:t>
            </w:r>
          </w:p>
          <w:p w14:paraId="0C5CBAB8">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（三）改扩建矿井在改扩建区域生产的；</w:t>
            </w:r>
          </w:p>
          <w:p w14:paraId="338E868D">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（四）改扩建矿井在非改扩建区域超出设计规定范围和规模生产的。</w:t>
            </w:r>
          </w:p>
        </w:tc>
        <w:tc>
          <w:tcPr>
            <w:tcW w:w="3899" w:type="dxa"/>
            <w:tcBorders>
              <w:top w:val="single" w:color="auto" w:sz="6" w:space="0"/>
              <w:left w:val="nil"/>
              <w:bottom w:val="single" w:color="auto" w:sz="6" w:space="0"/>
              <w:right w:val="single" w:color="auto" w:sz="6" w:space="0"/>
            </w:tcBorders>
            <w:vAlign w:val="center"/>
          </w:tcPr>
          <w:p w14:paraId="2A6F669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210103A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（3）建设项目立项审批文件；</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（4）安全设施设计和安全专篇及审批文件；</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（5）安全评价报告；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（6）变更设计资料及审批文件；</w:t>
            </w:r>
          </w:p>
          <w:p w14:paraId="72ED84C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（7）施工组织方案；</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（8）改扩建区域设计资料及审批文件；</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（9）现场检查相关工作开展情况；</w:t>
            </w:r>
          </w:p>
          <w:p w14:paraId="059BB43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（10）竣工验收资料；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（11）相关机构和有关人员责任落实情况；</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（12）现场图片或影像资料；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（13）《现场检查记录》《责令限期整改指令书》等相关执法文书；</w:t>
            </w:r>
          </w:p>
          <w:p w14:paraId="63083F0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（14）其他相关证据。</w:t>
            </w:r>
          </w:p>
        </w:tc>
        <w:tc>
          <w:tcPr>
            <w:tcW w:w="3899" w:type="dxa"/>
            <w:tcBorders>
              <w:top w:val="single" w:color="auto" w:sz="6" w:space="0"/>
              <w:left w:val="nil"/>
              <w:bottom w:val="single" w:color="auto" w:sz="6" w:space="0"/>
              <w:right w:val="single" w:color="auto" w:sz="4" w:space="0"/>
            </w:tcBorders>
          </w:tcPr>
          <w:p w14:paraId="3B6C5D10">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14:paraId="0636579A">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2977CCBD">
            <w:pPr>
              <w:widowControl/>
              <w:jc w:val="center"/>
              <w:rPr>
                <w:rFonts w:hint="eastAsia" w:ascii="仿宋_GB2312" w:hAnsi="仿宋_GB2312" w:eastAsia="仿宋_GB2312" w:cs="仿宋_GB2312"/>
                <w:b/>
                <w:bCs/>
                <w:color w:val="auto"/>
                <w:kern w:val="0"/>
                <w:sz w:val="32"/>
                <w:szCs w:val="32"/>
              </w:rPr>
            </w:pPr>
          </w:p>
        </w:tc>
      </w:tr>
      <w:tr w14:paraId="69B86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tcBorders>
              <w:top w:val="single" w:color="auto" w:sz="6" w:space="0"/>
              <w:left w:val="single" w:color="auto" w:sz="6" w:space="0"/>
              <w:bottom w:val="single" w:color="auto" w:sz="6" w:space="0"/>
              <w:right w:val="single" w:color="auto" w:sz="6" w:space="0"/>
            </w:tcBorders>
            <w:noWrap/>
          </w:tcPr>
          <w:p w14:paraId="59EFE468">
            <w:pPr>
              <w:widowControl/>
              <w:jc w:val="center"/>
              <w:rPr>
                <w:rFonts w:hint="eastAsia" w:ascii="仿宋_GB2312" w:hAnsi="仿宋_GB2312" w:eastAsia="仿宋_GB2312" w:cs="仿宋_GB2312"/>
                <w:b/>
                <w:bCs/>
                <w:color w:val="auto"/>
                <w:kern w:val="0"/>
                <w:sz w:val="32"/>
                <w:szCs w:val="32"/>
              </w:rPr>
            </w:pPr>
          </w:p>
          <w:p w14:paraId="3657EC13">
            <w:pPr>
              <w:widowControl/>
              <w:jc w:val="center"/>
              <w:rPr>
                <w:rFonts w:hint="eastAsia" w:ascii="仿宋_GB2312" w:hAnsi="仿宋_GB2312" w:eastAsia="仿宋_GB2312" w:cs="仿宋_GB2312"/>
                <w:b/>
                <w:bCs/>
                <w:color w:val="auto"/>
                <w:kern w:val="0"/>
                <w:sz w:val="32"/>
                <w:szCs w:val="32"/>
              </w:rPr>
            </w:pPr>
          </w:p>
          <w:p w14:paraId="2875020E">
            <w:pPr>
              <w:widowControl/>
              <w:jc w:val="center"/>
              <w:rPr>
                <w:rFonts w:hint="eastAsia" w:ascii="仿宋_GB2312" w:hAnsi="仿宋_GB2312" w:eastAsia="仿宋_GB2312" w:cs="仿宋_GB2312"/>
                <w:b/>
                <w:bCs/>
                <w:color w:val="auto"/>
                <w:kern w:val="0"/>
                <w:sz w:val="32"/>
                <w:szCs w:val="32"/>
              </w:rPr>
            </w:pPr>
          </w:p>
          <w:p w14:paraId="08B42C83">
            <w:pPr>
              <w:widowControl/>
              <w:jc w:val="center"/>
              <w:rPr>
                <w:rFonts w:hint="eastAsia" w:ascii="仿宋_GB2312" w:hAnsi="仿宋_GB2312" w:eastAsia="仿宋_GB2312" w:cs="仿宋_GB2312"/>
                <w:b/>
                <w:bCs/>
                <w:color w:val="auto"/>
                <w:kern w:val="0"/>
                <w:sz w:val="32"/>
                <w:szCs w:val="32"/>
              </w:rPr>
            </w:pPr>
          </w:p>
          <w:p w14:paraId="0B729C6D">
            <w:pPr>
              <w:widowControl/>
              <w:jc w:val="center"/>
              <w:rPr>
                <w:rFonts w:hint="eastAsia" w:ascii="仿宋_GB2312" w:hAnsi="仿宋_GB2312" w:eastAsia="仿宋_GB2312" w:cs="仿宋_GB2312"/>
                <w:b/>
                <w:bCs/>
                <w:color w:val="auto"/>
                <w:kern w:val="0"/>
                <w:sz w:val="32"/>
                <w:szCs w:val="32"/>
              </w:rPr>
            </w:pPr>
          </w:p>
          <w:p w14:paraId="2A1E954B">
            <w:pPr>
              <w:widowControl/>
              <w:jc w:val="center"/>
              <w:rPr>
                <w:rFonts w:hint="eastAsia" w:ascii="仿宋_GB2312" w:hAnsi="仿宋_GB2312" w:eastAsia="仿宋_GB2312" w:cs="仿宋_GB2312"/>
                <w:b/>
                <w:bCs/>
                <w:color w:val="auto"/>
                <w:kern w:val="0"/>
                <w:sz w:val="32"/>
                <w:szCs w:val="32"/>
              </w:rPr>
            </w:pPr>
          </w:p>
          <w:p w14:paraId="56E71A55">
            <w:pPr>
              <w:widowControl/>
              <w:jc w:val="center"/>
              <w:rPr>
                <w:rFonts w:hint="eastAsia" w:ascii="仿宋_GB2312" w:hAnsi="仿宋_GB2312" w:eastAsia="仿宋_GB2312" w:cs="仿宋_GB2312"/>
                <w:b/>
                <w:bCs/>
                <w:color w:val="auto"/>
                <w:kern w:val="0"/>
                <w:sz w:val="32"/>
                <w:szCs w:val="32"/>
              </w:rPr>
            </w:pPr>
          </w:p>
          <w:p w14:paraId="18D3B7C6">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w:t>
            </w:r>
          </w:p>
        </w:tc>
        <w:tc>
          <w:tcPr>
            <w:tcW w:w="948" w:type="dxa"/>
            <w:tcBorders>
              <w:top w:val="single" w:color="auto" w:sz="6" w:space="0"/>
              <w:left w:val="nil"/>
              <w:bottom w:val="single" w:color="auto" w:sz="6" w:space="0"/>
              <w:right w:val="single" w:color="auto" w:sz="6" w:space="0"/>
            </w:tcBorders>
          </w:tcPr>
          <w:p w14:paraId="623A3484">
            <w:pPr>
              <w:widowControl/>
              <w:jc w:val="center"/>
              <w:rPr>
                <w:rFonts w:hint="eastAsia" w:ascii="仿宋_GB2312" w:hAnsi="仿宋_GB2312" w:eastAsia="仿宋_GB2312" w:cs="仿宋_GB2312"/>
                <w:b/>
                <w:bCs/>
                <w:color w:val="auto"/>
                <w:kern w:val="0"/>
                <w:sz w:val="32"/>
                <w:szCs w:val="32"/>
              </w:rPr>
            </w:pPr>
          </w:p>
          <w:p w14:paraId="46A6CBD3">
            <w:pPr>
              <w:widowControl/>
              <w:jc w:val="center"/>
              <w:rPr>
                <w:rFonts w:hint="eastAsia" w:ascii="仿宋_GB2312" w:hAnsi="仿宋_GB2312" w:eastAsia="仿宋_GB2312" w:cs="仿宋_GB2312"/>
                <w:b/>
                <w:bCs/>
                <w:color w:val="auto"/>
                <w:kern w:val="0"/>
                <w:sz w:val="32"/>
                <w:szCs w:val="32"/>
              </w:rPr>
            </w:pPr>
          </w:p>
          <w:p w14:paraId="7028B1E0">
            <w:pPr>
              <w:widowControl/>
              <w:jc w:val="center"/>
              <w:rPr>
                <w:rFonts w:hint="eastAsia" w:ascii="仿宋_GB2312" w:hAnsi="仿宋_GB2312" w:eastAsia="仿宋_GB2312" w:cs="仿宋_GB2312"/>
                <w:b/>
                <w:bCs/>
                <w:color w:val="auto"/>
                <w:kern w:val="0"/>
                <w:sz w:val="32"/>
                <w:szCs w:val="32"/>
              </w:rPr>
            </w:pPr>
          </w:p>
          <w:p w14:paraId="09A51115">
            <w:pPr>
              <w:widowControl/>
              <w:jc w:val="center"/>
              <w:rPr>
                <w:rFonts w:hint="eastAsia" w:ascii="仿宋_GB2312" w:hAnsi="仿宋_GB2312" w:eastAsia="仿宋_GB2312" w:cs="仿宋_GB2312"/>
                <w:b/>
                <w:bCs/>
                <w:color w:val="auto"/>
                <w:kern w:val="0"/>
                <w:sz w:val="32"/>
                <w:szCs w:val="32"/>
              </w:rPr>
            </w:pPr>
          </w:p>
          <w:p w14:paraId="70E271CD">
            <w:pPr>
              <w:widowControl/>
              <w:jc w:val="center"/>
              <w:rPr>
                <w:rFonts w:hint="eastAsia" w:ascii="仿宋_GB2312" w:hAnsi="仿宋_GB2312" w:eastAsia="仿宋_GB2312" w:cs="仿宋_GB2312"/>
                <w:b/>
                <w:bCs/>
                <w:color w:val="auto"/>
                <w:kern w:val="0"/>
                <w:sz w:val="32"/>
                <w:szCs w:val="32"/>
              </w:rPr>
            </w:pPr>
          </w:p>
          <w:p w14:paraId="37E1F8BC">
            <w:pPr>
              <w:widowControl/>
              <w:jc w:val="center"/>
              <w:rPr>
                <w:rFonts w:hint="eastAsia" w:ascii="仿宋_GB2312" w:hAnsi="仿宋_GB2312" w:eastAsia="仿宋_GB2312" w:cs="仿宋_GB2312"/>
                <w:b/>
                <w:bCs/>
                <w:color w:val="auto"/>
                <w:kern w:val="0"/>
                <w:sz w:val="32"/>
                <w:szCs w:val="32"/>
              </w:rPr>
            </w:pPr>
          </w:p>
          <w:p w14:paraId="530EDC05">
            <w:pPr>
              <w:widowControl/>
              <w:jc w:val="center"/>
              <w:rPr>
                <w:rFonts w:hint="eastAsia" w:ascii="仿宋_GB2312" w:hAnsi="仿宋_GB2312" w:eastAsia="仿宋_GB2312" w:cs="仿宋_GB2312"/>
                <w:b/>
                <w:bCs/>
                <w:color w:val="auto"/>
                <w:kern w:val="0"/>
                <w:sz w:val="32"/>
                <w:szCs w:val="32"/>
              </w:rPr>
            </w:pPr>
          </w:p>
          <w:p w14:paraId="7EF1BE38">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煤矿安全管理人员配备</w:t>
            </w:r>
          </w:p>
        </w:tc>
        <w:tc>
          <w:tcPr>
            <w:tcW w:w="948" w:type="dxa"/>
            <w:tcBorders>
              <w:top w:val="single" w:color="auto" w:sz="4" w:space="0"/>
              <w:left w:val="nil"/>
              <w:bottom w:val="single" w:color="auto" w:sz="4" w:space="0"/>
              <w:right w:val="single" w:color="auto" w:sz="6" w:space="0"/>
            </w:tcBorders>
            <w:vAlign w:val="center"/>
          </w:tcPr>
          <w:p w14:paraId="45BC22E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“五长”及“五职”技术人员</w:t>
            </w:r>
          </w:p>
          <w:p w14:paraId="4DD1F749">
            <w:pPr>
              <w:widowControl/>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（重大生产安全事故隐患）</w:t>
            </w:r>
          </w:p>
        </w:tc>
        <w:tc>
          <w:tcPr>
            <w:tcW w:w="3899" w:type="dxa"/>
            <w:tcBorders>
              <w:top w:val="single" w:color="auto" w:sz="6" w:space="0"/>
              <w:left w:val="nil"/>
              <w:bottom w:val="single" w:color="auto" w:sz="6" w:space="0"/>
              <w:right w:val="single" w:color="auto" w:sz="6" w:space="0"/>
            </w:tcBorders>
            <w:vAlign w:val="center"/>
          </w:tcPr>
          <w:p w14:paraId="5F00F5AA">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《国务院关于预防煤矿生产安全事故的特别规定》第八条第二款第（十五）项</w:t>
            </w:r>
            <w:r>
              <w:rPr>
                <w:rFonts w:hint="eastAsia" w:ascii="仿宋_GB2312" w:hAnsi="仿宋_GB2312" w:eastAsia="仿宋_GB2312" w:cs="仿宋_GB2312"/>
                <w:color w:val="auto"/>
                <w:kern w:val="0"/>
                <w:sz w:val="32"/>
                <w:szCs w:val="32"/>
              </w:rPr>
              <w:t>煤矿有下列重大安全生产隐患和行为的，应当立即停止生产，排除隐患：（十五）有其他重大安全生产隐患的。</w:t>
            </w:r>
          </w:p>
          <w:p w14:paraId="6AF8951F">
            <w:pPr>
              <w:widowControl/>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《煤矿重大事故隐患判定标准》第十八条 第一项</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其他重大事故隐患”，是指有下列情形之一的：</w:t>
            </w:r>
          </w:p>
          <w:p w14:paraId="37CD7DC9">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（一）未分别配备专职的矿长、总工程师和分管安全、生产、机电的副矿长，以及负责采煤、掘进、机电运输、通风、地测、防治水工作的专业技术人员的；</w:t>
            </w:r>
          </w:p>
        </w:tc>
        <w:tc>
          <w:tcPr>
            <w:tcW w:w="3899" w:type="dxa"/>
            <w:tcBorders>
              <w:top w:val="single" w:color="auto" w:sz="6" w:space="0"/>
              <w:left w:val="nil"/>
              <w:bottom w:val="single" w:color="auto" w:sz="6" w:space="0"/>
              <w:right w:val="single" w:color="auto" w:sz="6" w:space="0"/>
            </w:tcBorders>
            <w:vAlign w:val="center"/>
          </w:tcPr>
          <w:p w14:paraId="5BD9F95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（3）企业管理机构（包括技术管理机构）设置和相关人员配备文件；</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（4）岗位职责和责任分工资料；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（5）相关专业技术人员学历证明文件；</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（6）相关工作记录；</w:t>
            </w:r>
          </w:p>
          <w:p w14:paraId="7269EA0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（7）企业相关部门及有关责任人员和主要负责人责任落实资料；</w:t>
            </w:r>
          </w:p>
          <w:p w14:paraId="7A93475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（8）现场图片或影像资料；</w:t>
            </w:r>
          </w:p>
          <w:p w14:paraId="733442F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67D4B85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tcBorders>
              <w:top w:val="single" w:color="auto" w:sz="6" w:space="0"/>
              <w:left w:val="nil"/>
              <w:bottom w:val="single" w:color="auto" w:sz="6" w:space="0"/>
              <w:right w:val="single" w:color="auto" w:sz="4" w:space="0"/>
            </w:tcBorders>
          </w:tcPr>
          <w:p w14:paraId="7D5CF411">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14:paraId="73C9421A">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061AA696">
            <w:pPr>
              <w:widowControl/>
              <w:jc w:val="center"/>
              <w:rPr>
                <w:rFonts w:hint="eastAsia" w:ascii="仿宋_GB2312" w:hAnsi="仿宋_GB2312" w:eastAsia="仿宋_GB2312" w:cs="仿宋_GB2312"/>
                <w:b/>
                <w:bCs/>
                <w:color w:val="auto"/>
                <w:kern w:val="0"/>
                <w:sz w:val="32"/>
                <w:szCs w:val="32"/>
              </w:rPr>
            </w:pPr>
          </w:p>
        </w:tc>
      </w:tr>
      <w:tr w14:paraId="09E63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14:paraId="156FD312">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w:t>
            </w:r>
          </w:p>
        </w:tc>
        <w:tc>
          <w:tcPr>
            <w:tcW w:w="948" w:type="dxa"/>
            <w:vMerge w:val="restart"/>
            <w:tcBorders>
              <w:top w:val="single" w:color="auto" w:sz="6" w:space="0"/>
              <w:left w:val="nil"/>
              <w:bottom w:val="single" w:color="auto" w:sz="6" w:space="0"/>
              <w:right w:val="single" w:color="auto" w:sz="4" w:space="0"/>
            </w:tcBorders>
            <w:vAlign w:val="center"/>
          </w:tcPr>
          <w:p w14:paraId="533AF583">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领导带班下井</w:t>
            </w:r>
          </w:p>
        </w:tc>
        <w:tc>
          <w:tcPr>
            <w:tcW w:w="948" w:type="dxa"/>
            <w:tcBorders>
              <w:top w:val="single" w:color="auto" w:sz="4" w:space="0"/>
              <w:left w:val="single" w:color="auto" w:sz="4" w:space="0"/>
              <w:bottom w:val="single" w:color="auto" w:sz="4" w:space="0"/>
              <w:right w:val="single" w:color="auto" w:sz="6" w:space="0"/>
            </w:tcBorders>
            <w:vAlign w:val="center"/>
          </w:tcPr>
          <w:p w14:paraId="22AE10E7">
            <w:pPr>
              <w:widowControl/>
              <w:rPr>
                <w:rFonts w:hint="eastAsia" w:ascii="仿宋_GB2312" w:hAnsi="仿宋_GB2312" w:eastAsia="仿宋_GB2312" w:cs="仿宋_GB2312"/>
                <w:color w:val="auto"/>
                <w:kern w:val="0"/>
                <w:sz w:val="32"/>
                <w:szCs w:val="32"/>
              </w:rPr>
            </w:pPr>
          </w:p>
          <w:p w14:paraId="078C4BA1">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4.1下井次数</w:t>
            </w:r>
          </w:p>
        </w:tc>
        <w:tc>
          <w:tcPr>
            <w:tcW w:w="3899" w:type="dxa"/>
            <w:tcBorders>
              <w:top w:val="single" w:color="auto" w:sz="6" w:space="0"/>
              <w:left w:val="nil"/>
              <w:bottom w:val="single" w:color="auto" w:sz="6" w:space="0"/>
              <w:right w:val="single" w:color="auto" w:sz="6" w:space="0"/>
            </w:tcBorders>
            <w:vAlign w:val="center"/>
          </w:tcPr>
          <w:p w14:paraId="1679437E">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《煤矿领导带班下井及安全监督检查规定》第七条第二款</w:t>
            </w:r>
            <w:r>
              <w:rPr>
                <w:rFonts w:hint="eastAsia" w:ascii="仿宋_GB2312" w:hAnsi="仿宋_GB2312" w:eastAsia="仿宋_GB2312" w:cs="仿宋_GB2312"/>
                <w:color w:val="auto"/>
                <w:kern w:val="0"/>
                <w:sz w:val="32"/>
                <w:szCs w:val="32"/>
              </w:rPr>
              <w:t>煤矿的主要负责人每月带班下井不得少于5个。</w:t>
            </w:r>
          </w:p>
          <w:p w14:paraId="0AAB8E0E">
            <w:pPr>
              <w:widowControl/>
              <w:ind w:firstLine="643" w:firstLineChars="200"/>
              <w:rPr>
                <w:rFonts w:hint="eastAsia" w:ascii="仿宋_GB2312" w:hAnsi="仿宋_GB2312" w:eastAsia="仿宋_GB2312" w:cs="仿宋_GB2312"/>
                <w:b/>
                <w:bCs/>
                <w:color w:val="auto"/>
                <w:kern w:val="0"/>
                <w:sz w:val="32"/>
                <w:szCs w:val="32"/>
              </w:rPr>
            </w:pPr>
          </w:p>
        </w:tc>
        <w:tc>
          <w:tcPr>
            <w:tcW w:w="3899" w:type="dxa"/>
            <w:vMerge w:val="restart"/>
            <w:tcBorders>
              <w:top w:val="single" w:color="auto" w:sz="6" w:space="0"/>
              <w:left w:val="nil"/>
              <w:bottom w:val="single" w:color="auto" w:sz="6" w:space="0"/>
              <w:right w:val="single" w:color="auto" w:sz="6" w:space="0"/>
            </w:tcBorders>
            <w:vAlign w:val="center"/>
          </w:tcPr>
          <w:p w14:paraId="13F8515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（3）煤矿领导带班下井制度；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（4）煤矿领导井下交接班制度；</w:t>
            </w:r>
          </w:p>
          <w:p w14:paraId="24973CB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（5）煤矿领导带班下井档案管理制度；</w:t>
            </w:r>
          </w:p>
          <w:p w14:paraId="088D116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（6）每月带班下井公示资料；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（7）煤矿领导下井交接班记录簿；</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（8）带班下井记录及相关记录档案；</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（9）特种作业人员档案；</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（10）现场检查考核资料；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（11）企业相关部门及有关责任人员和主要负责人责任落实资料；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（12）图片或影像资料；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（13）《现场检查记录》《责令限期整改指令书》等相关执法文书；</w:t>
            </w:r>
          </w:p>
          <w:p w14:paraId="1D77A3A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（14）.其他相关证据。</w:t>
            </w:r>
          </w:p>
        </w:tc>
        <w:tc>
          <w:tcPr>
            <w:tcW w:w="3899" w:type="dxa"/>
            <w:tcBorders>
              <w:top w:val="single" w:color="auto" w:sz="6" w:space="0"/>
              <w:left w:val="nil"/>
              <w:bottom w:val="single" w:color="auto" w:sz="6" w:space="0"/>
              <w:right w:val="single" w:color="auto" w:sz="4" w:space="0"/>
            </w:tcBorders>
          </w:tcPr>
          <w:p w14:paraId="4FEC3484">
            <w:pPr>
              <w:widowControl/>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《煤矿领导带班下井及安全监督检查规定》第十九条</w:t>
            </w:r>
            <w:r>
              <w:rPr>
                <w:rFonts w:hint="eastAsia" w:ascii="仿宋_GB2312" w:hAnsi="仿宋_GB2312" w:eastAsia="仿宋_GB2312" w:cs="仿宋_GB2312"/>
                <w:color w:val="auto"/>
                <w:kern w:val="0"/>
                <w:sz w:val="32"/>
                <w:szCs w:val="32"/>
              </w:rPr>
              <w:t>煤矿领导未按规定带班下井，或者带班下井档案虚假的，责令改正，并对该煤矿处15万元的罚款，对违反规定的煤矿领导按照擅离职守处理，对煤矿主要负责人处1万元的罚款。</w:t>
            </w:r>
          </w:p>
        </w:tc>
        <w:tc>
          <w:tcPr>
            <w:tcW w:w="948" w:type="dxa"/>
            <w:tcBorders>
              <w:top w:val="single" w:color="auto" w:sz="6" w:space="0"/>
              <w:left w:val="nil"/>
              <w:bottom w:val="single" w:color="auto" w:sz="6" w:space="0"/>
              <w:right w:val="single" w:color="auto" w:sz="6" w:space="0"/>
            </w:tcBorders>
          </w:tcPr>
          <w:p w14:paraId="2EC40090">
            <w:pPr>
              <w:widowControl/>
              <w:jc w:val="center"/>
              <w:rPr>
                <w:rFonts w:hint="eastAsia" w:ascii="仿宋_GB2312" w:hAnsi="仿宋_GB2312" w:eastAsia="仿宋_GB2312" w:cs="仿宋_GB2312"/>
                <w:b/>
                <w:bCs/>
                <w:color w:val="auto"/>
                <w:kern w:val="0"/>
                <w:sz w:val="32"/>
                <w:szCs w:val="32"/>
              </w:rPr>
            </w:pPr>
          </w:p>
        </w:tc>
      </w:tr>
      <w:tr w14:paraId="5784A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2ED83573">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0F7C29FA">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1A46DDF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4.2领导带班下井制度</w:t>
            </w:r>
          </w:p>
        </w:tc>
        <w:tc>
          <w:tcPr>
            <w:tcW w:w="3899" w:type="dxa"/>
            <w:tcBorders>
              <w:top w:val="single" w:color="auto" w:sz="6" w:space="0"/>
              <w:left w:val="nil"/>
              <w:bottom w:val="single" w:color="auto" w:sz="6" w:space="0"/>
              <w:right w:val="single" w:color="auto" w:sz="6" w:space="0"/>
            </w:tcBorders>
            <w:vAlign w:val="center"/>
          </w:tcPr>
          <w:p w14:paraId="57505447">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《煤矿领导带班下井及安全监督检查规定》第七条第一款</w:t>
            </w:r>
            <w:r>
              <w:rPr>
                <w:rFonts w:hint="eastAsia" w:ascii="仿宋_GB2312" w:hAnsi="仿宋_GB2312" w:eastAsia="仿宋_GB2312" w:cs="仿宋_GB2312"/>
                <w:color w:val="auto"/>
                <w:kern w:val="0"/>
                <w:sz w:val="32"/>
                <w:szCs w:val="32"/>
              </w:rPr>
              <w:t>煤矿应当建立健全领导带班下井制度，并严格考核。带班下井制度应当明确带班下井人员、每月带班下井的个数、在井下工作时间、带班下井的任务、职责权限、群众监督和考核奖惩等内容。</w:t>
            </w:r>
          </w:p>
        </w:tc>
        <w:tc>
          <w:tcPr>
            <w:tcW w:w="3899" w:type="dxa"/>
            <w:vMerge w:val="continue"/>
            <w:tcBorders>
              <w:top w:val="single" w:color="auto" w:sz="6" w:space="0"/>
              <w:left w:val="nil"/>
              <w:bottom w:val="single" w:color="auto" w:sz="6" w:space="0"/>
              <w:right w:val="single" w:color="auto" w:sz="6" w:space="0"/>
            </w:tcBorders>
            <w:vAlign w:val="center"/>
          </w:tcPr>
          <w:p w14:paraId="335A6D1B">
            <w:pPr>
              <w:widowControl/>
              <w:jc w:val="left"/>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4" w:space="0"/>
            </w:tcBorders>
          </w:tcPr>
          <w:p w14:paraId="45D903CB">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《煤矿领导带班下井及安全监督检查规定》</w:t>
            </w:r>
            <w:r>
              <w:rPr>
                <w:rFonts w:hint="eastAsia" w:ascii="仿宋_GB2312" w:hAnsi="仿宋_GB2312" w:eastAsia="仿宋_GB2312" w:cs="仿宋_GB2312"/>
                <w:color w:val="auto"/>
                <w:kern w:val="0"/>
                <w:sz w:val="32"/>
                <w:szCs w:val="32"/>
              </w:rPr>
              <w:t>第</w:t>
            </w:r>
            <w:r>
              <w:rPr>
                <w:rFonts w:hint="eastAsia" w:ascii="仿宋_GB2312" w:hAnsi="仿宋_GB2312" w:eastAsia="仿宋_GB2312" w:cs="仿宋_GB2312"/>
                <w:b/>
                <w:bCs/>
                <w:color w:val="auto"/>
                <w:kern w:val="0"/>
                <w:sz w:val="32"/>
                <w:szCs w:val="32"/>
              </w:rPr>
              <w:t>十八条第（一）项</w:t>
            </w:r>
            <w:r>
              <w:rPr>
                <w:rFonts w:hint="eastAsia" w:ascii="仿宋_GB2312" w:hAnsi="仿宋_GB2312" w:eastAsia="仿宋_GB2312" w:cs="仿宋_GB2312"/>
                <w:color w:val="auto"/>
                <w:kern w:val="0"/>
                <w:sz w:val="32"/>
                <w:szCs w:val="32"/>
              </w:rPr>
              <w:t>煤矿有下列情形之一的，给予警告，并处3万元罚款；对煤矿主要负责人处1万元罚款：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（一）未建立健全煤矿领导带班下井制度的；</w:t>
            </w:r>
          </w:p>
        </w:tc>
        <w:tc>
          <w:tcPr>
            <w:tcW w:w="948" w:type="dxa"/>
            <w:tcBorders>
              <w:top w:val="single" w:color="auto" w:sz="6" w:space="0"/>
              <w:left w:val="nil"/>
              <w:bottom w:val="single" w:color="auto" w:sz="6" w:space="0"/>
              <w:right w:val="single" w:color="auto" w:sz="6" w:space="0"/>
            </w:tcBorders>
          </w:tcPr>
          <w:p w14:paraId="4BFC9E67">
            <w:pPr>
              <w:widowControl/>
              <w:jc w:val="center"/>
              <w:rPr>
                <w:rFonts w:hint="eastAsia" w:ascii="仿宋_GB2312" w:hAnsi="仿宋_GB2312" w:eastAsia="仿宋_GB2312" w:cs="仿宋_GB2312"/>
                <w:b/>
                <w:bCs/>
                <w:color w:val="auto"/>
                <w:kern w:val="0"/>
                <w:sz w:val="32"/>
                <w:szCs w:val="32"/>
              </w:rPr>
            </w:pPr>
          </w:p>
        </w:tc>
      </w:tr>
      <w:tr w14:paraId="2FF84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45451FAB">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5FB824D8">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1BF7DFE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4.3下井公示</w:t>
            </w:r>
          </w:p>
        </w:tc>
        <w:tc>
          <w:tcPr>
            <w:tcW w:w="3899" w:type="dxa"/>
            <w:tcBorders>
              <w:top w:val="single" w:color="auto" w:sz="6" w:space="0"/>
              <w:left w:val="nil"/>
              <w:bottom w:val="single" w:color="auto" w:sz="6" w:space="0"/>
              <w:right w:val="single" w:color="auto" w:sz="6" w:space="0"/>
            </w:tcBorders>
            <w:vAlign w:val="center"/>
          </w:tcPr>
          <w:p w14:paraId="4DF4663E">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《煤矿领导带班下井及安全监督检查规定》第七条第三款</w:t>
            </w:r>
            <w:r>
              <w:rPr>
                <w:rFonts w:hint="eastAsia" w:ascii="仿宋_GB2312" w:hAnsi="仿宋_GB2312" w:eastAsia="仿宋_GB2312" w:cs="仿宋_GB2312"/>
                <w:color w:val="auto"/>
                <w:kern w:val="0"/>
                <w:sz w:val="32"/>
                <w:szCs w:val="32"/>
              </w:rPr>
              <w:t>煤矿领导带班下井时，其领导姓名应当在井口明显位置公示。煤矿领导每月带班下井工作计划的完成情况，应当在煤矿公示栏公示，接受群众监督。</w:t>
            </w:r>
          </w:p>
        </w:tc>
        <w:tc>
          <w:tcPr>
            <w:tcW w:w="3899" w:type="dxa"/>
            <w:vMerge w:val="continue"/>
            <w:tcBorders>
              <w:top w:val="single" w:color="auto" w:sz="6" w:space="0"/>
              <w:left w:val="nil"/>
              <w:bottom w:val="single" w:color="auto" w:sz="6" w:space="0"/>
              <w:right w:val="single" w:color="auto" w:sz="6" w:space="0"/>
            </w:tcBorders>
            <w:vAlign w:val="center"/>
          </w:tcPr>
          <w:p w14:paraId="767918A5">
            <w:pPr>
              <w:widowControl/>
              <w:jc w:val="left"/>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4" w:space="0"/>
            </w:tcBorders>
          </w:tcPr>
          <w:p w14:paraId="0D8E5990">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《煤矿领导带班下井及安全监督检查规定》第十八条第（四）项</w:t>
            </w:r>
            <w:r>
              <w:rPr>
                <w:rFonts w:hint="eastAsia" w:ascii="仿宋_GB2312" w:hAnsi="仿宋_GB2312" w:eastAsia="仿宋_GB2312" w:cs="仿宋_GB2312"/>
                <w:color w:val="auto"/>
                <w:kern w:val="0"/>
                <w:sz w:val="32"/>
                <w:szCs w:val="32"/>
              </w:rPr>
              <w:t>煤矿有下列情形之一的，给予警告，并处3万元罚款；对煤矿主要负责人处1万元罚款：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（四）煤矿领导每月带班下井情况未按照规定公示的；</w:t>
            </w:r>
          </w:p>
        </w:tc>
        <w:tc>
          <w:tcPr>
            <w:tcW w:w="948" w:type="dxa"/>
            <w:tcBorders>
              <w:top w:val="single" w:color="auto" w:sz="6" w:space="0"/>
              <w:left w:val="nil"/>
              <w:bottom w:val="single" w:color="auto" w:sz="6" w:space="0"/>
              <w:right w:val="single" w:color="auto" w:sz="6" w:space="0"/>
            </w:tcBorders>
          </w:tcPr>
          <w:p w14:paraId="44B4F5AB">
            <w:pPr>
              <w:widowControl/>
              <w:jc w:val="center"/>
              <w:rPr>
                <w:rFonts w:hint="eastAsia" w:ascii="仿宋_GB2312" w:hAnsi="仿宋_GB2312" w:eastAsia="仿宋_GB2312" w:cs="仿宋_GB2312"/>
                <w:b/>
                <w:bCs/>
                <w:color w:val="auto"/>
                <w:kern w:val="0"/>
                <w:sz w:val="32"/>
                <w:szCs w:val="32"/>
              </w:rPr>
            </w:pPr>
          </w:p>
        </w:tc>
      </w:tr>
      <w:tr w14:paraId="20127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1D699F04">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1252F240">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6" w:space="0"/>
              <w:right w:val="single" w:color="auto" w:sz="6" w:space="0"/>
            </w:tcBorders>
            <w:vAlign w:val="center"/>
          </w:tcPr>
          <w:p w14:paraId="097D096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4.4下井交接班记录簿、带班下井记录或者保存带班下井档案</w:t>
            </w:r>
          </w:p>
        </w:tc>
        <w:tc>
          <w:tcPr>
            <w:tcW w:w="3899" w:type="dxa"/>
            <w:tcBorders>
              <w:top w:val="single" w:color="auto" w:sz="6" w:space="0"/>
              <w:left w:val="nil"/>
              <w:bottom w:val="single" w:color="auto" w:sz="6" w:space="0"/>
              <w:right w:val="single" w:color="auto" w:sz="6" w:space="0"/>
            </w:tcBorders>
            <w:vAlign w:val="center"/>
          </w:tcPr>
          <w:p w14:paraId="33F88C11">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《煤矿领导带班下井及安全监督检查规定》第十条</w:t>
            </w:r>
            <w:r>
              <w:rPr>
                <w:rFonts w:hint="eastAsia" w:ascii="仿宋_GB2312" w:hAnsi="仿宋_GB2312" w:eastAsia="仿宋_GB2312" w:cs="仿宋_GB2312"/>
                <w:color w:val="auto"/>
                <w:kern w:val="0"/>
                <w:sz w:val="32"/>
                <w:szCs w:val="32"/>
              </w:rPr>
              <w:t>煤矿领导带班下井实行井下交接班制度。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上一班的带班领导应当在井下向接班的领导详细说明井下安全状况、存在的问题及原因、需要注意的事项等，并认真填写交接班记录簿。</w:t>
            </w:r>
          </w:p>
        </w:tc>
        <w:tc>
          <w:tcPr>
            <w:tcW w:w="3899" w:type="dxa"/>
            <w:tcBorders>
              <w:top w:val="single" w:color="auto" w:sz="6" w:space="0"/>
              <w:left w:val="nil"/>
              <w:bottom w:val="single" w:color="auto" w:sz="6" w:space="0"/>
              <w:right w:val="single" w:color="auto" w:sz="6" w:space="0"/>
            </w:tcBorders>
            <w:vAlign w:val="center"/>
          </w:tcPr>
          <w:p w14:paraId="2ECB9F2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（3）煤矿领导带班下井制度；</w:t>
            </w:r>
          </w:p>
          <w:p w14:paraId="538E4AC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（4）煤矿领导井下交接班制度；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（5）煤矿领导带班下井档案管理制度；</w:t>
            </w:r>
          </w:p>
          <w:p w14:paraId="1D60C2A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（6）每月带班下井公示资料；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（7）煤矿领导下井交接班记录簿；</w:t>
            </w:r>
          </w:p>
          <w:p w14:paraId="21D050D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（8）图片或影像资料；</w:t>
            </w:r>
          </w:p>
          <w:p w14:paraId="54974F8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（9）《现场检查记录》等相关执法文书；</w:t>
            </w:r>
          </w:p>
          <w:p w14:paraId="6CFE43B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tcBorders>
              <w:top w:val="single" w:color="auto" w:sz="6" w:space="0"/>
              <w:left w:val="nil"/>
              <w:bottom w:val="single" w:color="auto" w:sz="6" w:space="0"/>
              <w:right w:val="single" w:color="auto" w:sz="4" w:space="0"/>
            </w:tcBorders>
          </w:tcPr>
          <w:p w14:paraId="4AA987CE">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《煤矿领导带班下井及安全监督检查规定》第十八条第（五）项</w:t>
            </w:r>
            <w:r>
              <w:rPr>
                <w:rFonts w:hint="eastAsia" w:ascii="仿宋_GB2312" w:hAnsi="仿宋_GB2312" w:eastAsia="仿宋_GB2312" w:cs="仿宋_GB2312"/>
                <w:color w:val="auto"/>
                <w:kern w:val="0"/>
                <w:sz w:val="32"/>
                <w:szCs w:val="32"/>
              </w:rPr>
              <w:t>煤矿有下列情形之一的，给予警告，并处3万元罚款；对煤矿主要负责人处1万元罚款：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（五）未按规定填写煤矿领导下井交接班记录簿、带班下井记录或者保存带班下井相关记录档案的。</w:t>
            </w:r>
          </w:p>
        </w:tc>
        <w:tc>
          <w:tcPr>
            <w:tcW w:w="948" w:type="dxa"/>
            <w:tcBorders>
              <w:top w:val="single" w:color="auto" w:sz="6" w:space="0"/>
              <w:left w:val="nil"/>
              <w:bottom w:val="single" w:color="auto" w:sz="6" w:space="0"/>
              <w:right w:val="single" w:color="auto" w:sz="6" w:space="0"/>
            </w:tcBorders>
          </w:tcPr>
          <w:p w14:paraId="7D6DB6E1">
            <w:pPr>
              <w:widowControl/>
              <w:jc w:val="center"/>
              <w:rPr>
                <w:rFonts w:hint="eastAsia" w:ascii="仿宋_GB2312" w:hAnsi="仿宋_GB2312" w:eastAsia="仿宋_GB2312" w:cs="仿宋_GB2312"/>
                <w:b/>
                <w:bCs/>
                <w:color w:val="auto"/>
                <w:kern w:val="0"/>
                <w:sz w:val="32"/>
                <w:szCs w:val="32"/>
              </w:rPr>
            </w:pPr>
          </w:p>
        </w:tc>
      </w:tr>
      <w:tr w14:paraId="76D70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630FD15C">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6059B00F">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0D3B739A">
            <w:pPr>
              <w:widowControl/>
              <w:rPr>
                <w:rFonts w:hint="eastAsia" w:ascii="仿宋_GB2312" w:hAnsi="仿宋_GB2312" w:eastAsia="仿宋_GB2312" w:cs="仿宋_GB2312"/>
                <w:color w:val="auto"/>
                <w:kern w:val="0"/>
                <w:sz w:val="32"/>
                <w:szCs w:val="32"/>
              </w:rPr>
            </w:pPr>
          </w:p>
          <w:p w14:paraId="0B38B78A">
            <w:pPr>
              <w:widowControl/>
              <w:rPr>
                <w:rFonts w:hint="eastAsia" w:ascii="仿宋_GB2312" w:hAnsi="仿宋_GB2312" w:eastAsia="仿宋_GB2312" w:cs="仿宋_GB2312"/>
                <w:color w:val="auto"/>
                <w:kern w:val="0"/>
                <w:sz w:val="32"/>
                <w:szCs w:val="32"/>
              </w:rPr>
            </w:pPr>
          </w:p>
          <w:p w14:paraId="4C3F4D89">
            <w:pPr>
              <w:widowControl/>
              <w:rPr>
                <w:rFonts w:hint="eastAsia" w:ascii="仿宋_GB2312" w:hAnsi="仿宋_GB2312" w:eastAsia="仿宋_GB2312" w:cs="仿宋_GB2312"/>
                <w:color w:val="auto"/>
                <w:kern w:val="0"/>
                <w:sz w:val="32"/>
                <w:szCs w:val="32"/>
              </w:rPr>
            </w:pPr>
          </w:p>
          <w:p w14:paraId="0CE5AD4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4.5矿领导井下交接班制度</w:t>
            </w:r>
          </w:p>
        </w:tc>
        <w:tc>
          <w:tcPr>
            <w:tcW w:w="3899" w:type="dxa"/>
            <w:tcBorders>
              <w:top w:val="single" w:color="auto" w:sz="6" w:space="0"/>
              <w:left w:val="nil"/>
              <w:bottom w:val="single" w:color="auto" w:sz="6" w:space="0"/>
              <w:right w:val="single" w:color="auto" w:sz="6" w:space="0"/>
            </w:tcBorders>
            <w:vAlign w:val="center"/>
          </w:tcPr>
          <w:p w14:paraId="2330F7CB">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《煤矿领导带班下井及安全监督检查规定》第十条</w:t>
            </w:r>
            <w:r>
              <w:rPr>
                <w:rFonts w:hint="eastAsia" w:ascii="仿宋_GB2312" w:hAnsi="仿宋_GB2312" w:eastAsia="仿宋_GB2312" w:cs="仿宋_GB2312"/>
                <w:color w:val="auto"/>
                <w:kern w:val="0"/>
                <w:sz w:val="32"/>
                <w:szCs w:val="32"/>
              </w:rPr>
              <w:t>煤矿领导带班下井实行井下交接班制度。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上一班的带班领导应当在井下向接班的领导详细说明井下安全状况、存在的问题及原因、需要注意的事项等，并认真填写交接班记录簿。</w:t>
            </w:r>
          </w:p>
        </w:tc>
        <w:tc>
          <w:tcPr>
            <w:tcW w:w="3899" w:type="dxa"/>
            <w:vMerge w:val="restart"/>
            <w:tcBorders>
              <w:top w:val="single" w:color="auto" w:sz="6" w:space="0"/>
              <w:left w:val="nil"/>
              <w:bottom w:val="single" w:color="auto" w:sz="6" w:space="0"/>
              <w:right w:val="single" w:color="auto" w:sz="6" w:space="0"/>
            </w:tcBorders>
            <w:vAlign w:val="center"/>
          </w:tcPr>
          <w:p w14:paraId="114A917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（3）矿领导带班下井制度；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（4）煤矿领导井下交接班制度；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（5）煤矿领导带班下井档案管理制度；</w:t>
            </w:r>
          </w:p>
          <w:p w14:paraId="334D9EE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（6）每月带班下井公示资料；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（7）煤矿领导下井交接班记录簿；</w:t>
            </w:r>
          </w:p>
          <w:p w14:paraId="71E5288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（8）带班下井记录及相关记录档案；</w:t>
            </w:r>
          </w:p>
          <w:p w14:paraId="45E7729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（10）《现场检查记录》等相关执法文书；</w:t>
            </w:r>
          </w:p>
          <w:p w14:paraId="2FB4232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（11）其他相关证据。</w:t>
            </w:r>
          </w:p>
        </w:tc>
        <w:tc>
          <w:tcPr>
            <w:tcW w:w="3899" w:type="dxa"/>
            <w:tcBorders>
              <w:top w:val="single" w:color="auto" w:sz="6" w:space="0"/>
              <w:left w:val="nil"/>
              <w:bottom w:val="single" w:color="auto" w:sz="6" w:space="0"/>
              <w:right w:val="single" w:color="auto" w:sz="4" w:space="0"/>
            </w:tcBorders>
          </w:tcPr>
          <w:p w14:paraId="355B2A00">
            <w:pPr>
              <w:widowControl/>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《煤矿领导带班下井及安全监督检查规定》第十八条第（二）项</w:t>
            </w:r>
            <w:r>
              <w:rPr>
                <w:rFonts w:hint="eastAsia" w:ascii="仿宋_GB2312" w:hAnsi="仿宋_GB2312" w:eastAsia="仿宋_GB2312" w:cs="仿宋_GB2312"/>
                <w:color w:val="auto"/>
                <w:kern w:val="0"/>
                <w:sz w:val="32"/>
                <w:szCs w:val="32"/>
              </w:rPr>
              <w:t>煤矿有下列情形之一的，给予警告，并处3万元罚款；对煤矿主要负责人处1万元罚款：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（二）未建立煤矿领导井下交接班制度的；</w:t>
            </w:r>
          </w:p>
        </w:tc>
        <w:tc>
          <w:tcPr>
            <w:tcW w:w="948" w:type="dxa"/>
            <w:tcBorders>
              <w:top w:val="single" w:color="auto" w:sz="6" w:space="0"/>
              <w:left w:val="nil"/>
              <w:bottom w:val="single" w:color="auto" w:sz="6" w:space="0"/>
              <w:right w:val="single" w:color="auto" w:sz="6" w:space="0"/>
            </w:tcBorders>
          </w:tcPr>
          <w:p w14:paraId="1DD66DA8">
            <w:pPr>
              <w:widowControl/>
              <w:jc w:val="center"/>
              <w:rPr>
                <w:rFonts w:hint="eastAsia" w:ascii="仿宋_GB2312" w:hAnsi="仿宋_GB2312" w:eastAsia="仿宋_GB2312" w:cs="仿宋_GB2312"/>
                <w:b/>
                <w:bCs/>
                <w:color w:val="auto"/>
                <w:kern w:val="0"/>
                <w:sz w:val="32"/>
                <w:szCs w:val="32"/>
              </w:rPr>
            </w:pPr>
          </w:p>
        </w:tc>
      </w:tr>
      <w:tr w14:paraId="246B1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0E915B4B">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0C0CC7EC">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6" w:space="0"/>
              <w:right w:val="single" w:color="auto" w:sz="6" w:space="0"/>
            </w:tcBorders>
            <w:vAlign w:val="center"/>
          </w:tcPr>
          <w:p w14:paraId="5B9D65AB">
            <w:pPr>
              <w:widowControl/>
              <w:rPr>
                <w:rFonts w:hint="eastAsia" w:ascii="仿宋_GB2312" w:hAnsi="仿宋_GB2312" w:eastAsia="仿宋_GB2312" w:cs="仿宋_GB2312"/>
                <w:color w:val="auto"/>
                <w:kern w:val="0"/>
                <w:sz w:val="32"/>
                <w:szCs w:val="32"/>
              </w:rPr>
            </w:pPr>
          </w:p>
          <w:p w14:paraId="578D0E48">
            <w:pPr>
              <w:widowControl/>
              <w:rPr>
                <w:rFonts w:hint="eastAsia" w:ascii="仿宋_GB2312" w:hAnsi="仿宋_GB2312" w:eastAsia="仿宋_GB2312" w:cs="仿宋_GB2312"/>
                <w:color w:val="auto"/>
                <w:kern w:val="0"/>
                <w:sz w:val="32"/>
                <w:szCs w:val="32"/>
              </w:rPr>
            </w:pPr>
          </w:p>
          <w:p w14:paraId="1D4402A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4.6领导带班下井档案管理制度</w:t>
            </w:r>
          </w:p>
        </w:tc>
        <w:tc>
          <w:tcPr>
            <w:tcW w:w="3899" w:type="dxa"/>
            <w:tcBorders>
              <w:top w:val="single" w:color="auto" w:sz="6" w:space="0"/>
              <w:left w:val="nil"/>
              <w:bottom w:val="single" w:color="auto" w:sz="6" w:space="0"/>
              <w:right w:val="single" w:color="auto" w:sz="6" w:space="0"/>
            </w:tcBorders>
            <w:vAlign w:val="center"/>
          </w:tcPr>
          <w:p w14:paraId="11239E84">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《煤矿领导带班下井及安全监督检查规定》第十一条</w:t>
            </w:r>
            <w:r>
              <w:rPr>
                <w:rFonts w:hint="eastAsia" w:ascii="仿宋_GB2312" w:hAnsi="仿宋_GB2312" w:eastAsia="仿宋_GB2312" w:cs="仿宋_GB2312"/>
                <w:color w:val="auto"/>
                <w:kern w:val="0"/>
                <w:sz w:val="32"/>
                <w:szCs w:val="32"/>
              </w:rPr>
              <w:t>煤矿应当建立领导带班下井档案管理制度。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煤矿领导升井后，应当及时将下井的时间、地点、经过路线、发现的问题及处理情况、意见等有关情况进行登记，并由专人负责整理和存档备查。</w:t>
            </w:r>
          </w:p>
          <w:p w14:paraId="27E2E6C7">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煤矿领导带班下井的相关记录和煤矿井下人员定位系统存储信息保存期不少于一年。</w:t>
            </w:r>
          </w:p>
        </w:tc>
        <w:tc>
          <w:tcPr>
            <w:tcW w:w="3899" w:type="dxa"/>
            <w:vMerge w:val="continue"/>
            <w:tcBorders>
              <w:top w:val="single" w:color="auto" w:sz="6" w:space="0"/>
              <w:left w:val="nil"/>
              <w:bottom w:val="single" w:color="auto" w:sz="6" w:space="0"/>
              <w:right w:val="single" w:color="auto" w:sz="6" w:space="0"/>
            </w:tcBorders>
            <w:vAlign w:val="center"/>
          </w:tcPr>
          <w:p w14:paraId="5281E117">
            <w:pPr>
              <w:widowControl/>
              <w:jc w:val="left"/>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4" w:space="0"/>
            </w:tcBorders>
          </w:tcPr>
          <w:p w14:paraId="130387F4">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《煤矿领导带班下井及安全监督检查规定》第十八条第（三）项</w:t>
            </w:r>
            <w:r>
              <w:rPr>
                <w:rFonts w:hint="eastAsia" w:ascii="仿宋_GB2312" w:hAnsi="仿宋_GB2312" w:eastAsia="仿宋_GB2312" w:cs="仿宋_GB2312"/>
                <w:color w:val="auto"/>
                <w:kern w:val="0"/>
                <w:sz w:val="32"/>
                <w:szCs w:val="32"/>
              </w:rPr>
              <w:t>煤矿有下列情形之一的，给予警告，并处3万元罚款；对煤矿主要负责人处1万元罚款：</w:t>
            </w:r>
          </w:p>
          <w:p w14:paraId="7DB2EAA4">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（三）未建立煤矿领导带班下井档案管理制度的；</w:t>
            </w:r>
          </w:p>
          <w:p w14:paraId="49990086">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textWrapping"/>
            </w:r>
          </w:p>
        </w:tc>
        <w:tc>
          <w:tcPr>
            <w:tcW w:w="948" w:type="dxa"/>
            <w:tcBorders>
              <w:top w:val="single" w:color="auto" w:sz="6" w:space="0"/>
              <w:left w:val="nil"/>
              <w:bottom w:val="single" w:color="auto" w:sz="6" w:space="0"/>
              <w:right w:val="single" w:color="auto" w:sz="6" w:space="0"/>
            </w:tcBorders>
          </w:tcPr>
          <w:p w14:paraId="7937D258">
            <w:pPr>
              <w:widowControl/>
              <w:jc w:val="center"/>
              <w:rPr>
                <w:rFonts w:hint="eastAsia" w:ascii="仿宋_GB2312" w:hAnsi="仿宋_GB2312" w:eastAsia="仿宋_GB2312" w:cs="仿宋_GB2312"/>
                <w:b/>
                <w:bCs/>
                <w:color w:val="auto"/>
                <w:kern w:val="0"/>
                <w:sz w:val="32"/>
                <w:szCs w:val="32"/>
              </w:rPr>
            </w:pPr>
          </w:p>
        </w:tc>
      </w:tr>
      <w:tr w14:paraId="40BC1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tcPr>
          <w:p w14:paraId="4F7F5CDB">
            <w:pPr>
              <w:widowControl/>
              <w:jc w:val="center"/>
              <w:rPr>
                <w:rFonts w:hint="eastAsia" w:ascii="仿宋_GB2312" w:hAnsi="仿宋_GB2312" w:eastAsia="仿宋_GB2312" w:cs="仿宋_GB2312"/>
                <w:b/>
                <w:bCs/>
                <w:color w:val="auto"/>
                <w:kern w:val="0"/>
                <w:sz w:val="32"/>
                <w:szCs w:val="32"/>
              </w:rPr>
            </w:pPr>
          </w:p>
          <w:p w14:paraId="00AAA350">
            <w:pPr>
              <w:widowControl/>
              <w:jc w:val="center"/>
              <w:rPr>
                <w:rFonts w:hint="eastAsia" w:ascii="仿宋_GB2312" w:hAnsi="仿宋_GB2312" w:eastAsia="仿宋_GB2312" w:cs="仿宋_GB2312"/>
                <w:b/>
                <w:bCs/>
                <w:color w:val="auto"/>
                <w:kern w:val="0"/>
                <w:sz w:val="32"/>
                <w:szCs w:val="32"/>
              </w:rPr>
            </w:pPr>
          </w:p>
          <w:p w14:paraId="7A60D9CA">
            <w:pPr>
              <w:widowControl/>
              <w:jc w:val="center"/>
              <w:rPr>
                <w:rFonts w:hint="eastAsia" w:ascii="仿宋_GB2312" w:hAnsi="仿宋_GB2312" w:eastAsia="仿宋_GB2312" w:cs="仿宋_GB2312"/>
                <w:b/>
                <w:bCs/>
                <w:color w:val="auto"/>
                <w:kern w:val="0"/>
                <w:sz w:val="32"/>
                <w:szCs w:val="32"/>
              </w:rPr>
            </w:pPr>
          </w:p>
          <w:p w14:paraId="0FAB2F39">
            <w:pPr>
              <w:widowControl/>
              <w:jc w:val="center"/>
              <w:rPr>
                <w:rFonts w:hint="eastAsia" w:ascii="仿宋_GB2312" w:hAnsi="仿宋_GB2312" w:eastAsia="仿宋_GB2312" w:cs="仿宋_GB2312"/>
                <w:b/>
                <w:bCs/>
                <w:color w:val="auto"/>
                <w:kern w:val="0"/>
                <w:sz w:val="32"/>
                <w:szCs w:val="32"/>
              </w:rPr>
            </w:pPr>
          </w:p>
          <w:p w14:paraId="0BAE56FE">
            <w:pPr>
              <w:widowControl/>
              <w:jc w:val="center"/>
              <w:rPr>
                <w:rFonts w:hint="eastAsia" w:ascii="仿宋_GB2312" w:hAnsi="仿宋_GB2312" w:eastAsia="仿宋_GB2312" w:cs="仿宋_GB2312"/>
                <w:b/>
                <w:bCs/>
                <w:color w:val="auto"/>
                <w:kern w:val="0"/>
                <w:sz w:val="32"/>
                <w:szCs w:val="32"/>
              </w:rPr>
            </w:pPr>
          </w:p>
          <w:p w14:paraId="4D2011F6">
            <w:pPr>
              <w:widowControl/>
              <w:jc w:val="center"/>
              <w:rPr>
                <w:rFonts w:hint="eastAsia" w:ascii="仿宋_GB2312" w:hAnsi="仿宋_GB2312" w:eastAsia="仿宋_GB2312" w:cs="仿宋_GB2312"/>
                <w:b/>
                <w:bCs/>
                <w:color w:val="auto"/>
                <w:kern w:val="0"/>
                <w:sz w:val="32"/>
                <w:szCs w:val="32"/>
              </w:rPr>
            </w:pPr>
          </w:p>
          <w:p w14:paraId="5ACC3492">
            <w:pPr>
              <w:widowControl/>
              <w:jc w:val="center"/>
              <w:rPr>
                <w:rFonts w:hint="eastAsia" w:ascii="仿宋_GB2312" w:hAnsi="仿宋_GB2312" w:eastAsia="仿宋_GB2312" w:cs="仿宋_GB2312"/>
                <w:b/>
                <w:bCs/>
                <w:color w:val="auto"/>
                <w:kern w:val="0"/>
                <w:sz w:val="32"/>
                <w:szCs w:val="32"/>
              </w:rPr>
            </w:pPr>
          </w:p>
          <w:p w14:paraId="4DF71DBF">
            <w:pPr>
              <w:widowControl/>
              <w:jc w:val="center"/>
              <w:rPr>
                <w:rFonts w:hint="eastAsia" w:ascii="仿宋_GB2312" w:hAnsi="仿宋_GB2312" w:eastAsia="仿宋_GB2312" w:cs="仿宋_GB2312"/>
                <w:b/>
                <w:bCs/>
                <w:color w:val="auto"/>
                <w:kern w:val="0"/>
                <w:sz w:val="32"/>
                <w:szCs w:val="32"/>
              </w:rPr>
            </w:pPr>
          </w:p>
          <w:p w14:paraId="5C002FC6">
            <w:pPr>
              <w:widowControl/>
              <w:ind w:firstLine="320" w:firstLineChars="1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w:t>
            </w:r>
          </w:p>
        </w:tc>
        <w:tc>
          <w:tcPr>
            <w:tcW w:w="948" w:type="dxa"/>
            <w:vMerge w:val="restart"/>
            <w:tcBorders>
              <w:top w:val="single" w:color="auto" w:sz="6" w:space="0"/>
              <w:left w:val="nil"/>
              <w:bottom w:val="single" w:color="auto" w:sz="6" w:space="0"/>
              <w:right w:val="single" w:color="auto" w:sz="6" w:space="0"/>
            </w:tcBorders>
          </w:tcPr>
          <w:p w14:paraId="0730634C">
            <w:pPr>
              <w:widowControl/>
              <w:jc w:val="center"/>
              <w:rPr>
                <w:rFonts w:hint="eastAsia" w:ascii="仿宋_GB2312" w:hAnsi="仿宋_GB2312" w:eastAsia="仿宋_GB2312" w:cs="仿宋_GB2312"/>
                <w:b/>
                <w:bCs/>
                <w:color w:val="auto"/>
                <w:kern w:val="0"/>
                <w:sz w:val="32"/>
                <w:szCs w:val="32"/>
              </w:rPr>
            </w:pPr>
          </w:p>
          <w:p w14:paraId="61EAF9B3">
            <w:pPr>
              <w:widowControl/>
              <w:jc w:val="center"/>
              <w:rPr>
                <w:rFonts w:hint="eastAsia" w:ascii="仿宋_GB2312" w:hAnsi="仿宋_GB2312" w:eastAsia="仿宋_GB2312" w:cs="仿宋_GB2312"/>
                <w:b/>
                <w:bCs/>
                <w:color w:val="auto"/>
                <w:kern w:val="0"/>
                <w:sz w:val="32"/>
                <w:szCs w:val="32"/>
              </w:rPr>
            </w:pPr>
          </w:p>
          <w:p w14:paraId="013B14A3">
            <w:pPr>
              <w:widowControl/>
              <w:jc w:val="center"/>
              <w:rPr>
                <w:rFonts w:hint="eastAsia" w:ascii="仿宋_GB2312" w:hAnsi="仿宋_GB2312" w:eastAsia="仿宋_GB2312" w:cs="仿宋_GB2312"/>
                <w:b/>
                <w:bCs/>
                <w:color w:val="auto"/>
                <w:kern w:val="0"/>
                <w:sz w:val="32"/>
                <w:szCs w:val="32"/>
              </w:rPr>
            </w:pPr>
          </w:p>
          <w:p w14:paraId="515037DB">
            <w:pPr>
              <w:widowControl/>
              <w:jc w:val="center"/>
              <w:rPr>
                <w:rFonts w:hint="eastAsia" w:ascii="仿宋_GB2312" w:hAnsi="仿宋_GB2312" w:eastAsia="仿宋_GB2312" w:cs="仿宋_GB2312"/>
                <w:b/>
                <w:bCs/>
                <w:color w:val="auto"/>
                <w:kern w:val="0"/>
                <w:sz w:val="32"/>
                <w:szCs w:val="32"/>
              </w:rPr>
            </w:pPr>
          </w:p>
          <w:p w14:paraId="78A15CF9">
            <w:pPr>
              <w:widowControl/>
              <w:jc w:val="center"/>
              <w:rPr>
                <w:rFonts w:hint="eastAsia" w:ascii="仿宋_GB2312" w:hAnsi="仿宋_GB2312" w:eastAsia="仿宋_GB2312" w:cs="仿宋_GB2312"/>
                <w:b/>
                <w:bCs/>
                <w:color w:val="auto"/>
                <w:kern w:val="0"/>
                <w:sz w:val="32"/>
                <w:szCs w:val="32"/>
              </w:rPr>
            </w:pPr>
          </w:p>
          <w:p w14:paraId="6AA193A3">
            <w:pPr>
              <w:widowControl/>
              <w:jc w:val="center"/>
              <w:rPr>
                <w:rFonts w:hint="eastAsia" w:ascii="仿宋_GB2312" w:hAnsi="仿宋_GB2312" w:eastAsia="仿宋_GB2312" w:cs="仿宋_GB2312"/>
                <w:b/>
                <w:bCs/>
                <w:color w:val="auto"/>
                <w:kern w:val="0"/>
                <w:sz w:val="32"/>
                <w:szCs w:val="32"/>
              </w:rPr>
            </w:pPr>
          </w:p>
          <w:p w14:paraId="384EC75C">
            <w:pPr>
              <w:widowControl/>
              <w:jc w:val="center"/>
              <w:rPr>
                <w:rFonts w:hint="eastAsia" w:ascii="仿宋_GB2312" w:hAnsi="仿宋_GB2312" w:eastAsia="仿宋_GB2312" w:cs="仿宋_GB2312"/>
                <w:b/>
                <w:bCs/>
                <w:color w:val="auto"/>
                <w:kern w:val="0"/>
                <w:sz w:val="32"/>
                <w:szCs w:val="32"/>
              </w:rPr>
            </w:pPr>
          </w:p>
          <w:p w14:paraId="76B87022">
            <w:pPr>
              <w:widowControl/>
              <w:jc w:val="center"/>
              <w:rPr>
                <w:rFonts w:hint="eastAsia" w:ascii="仿宋_GB2312" w:hAnsi="仿宋_GB2312" w:eastAsia="仿宋_GB2312" w:cs="仿宋_GB2312"/>
                <w:b/>
                <w:bCs/>
                <w:color w:val="auto"/>
                <w:kern w:val="0"/>
                <w:sz w:val="32"/>
                <w:szCs w:val="32"/>
              </w:rPr>
            </w:pPr>
          </w:p>
          <w:p w14:paraId="140DAE27">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转承包管理</w:t>
            </w:r>
          </w:p>
        </w:tc>
        <w:tc>
          <w:tcPr>
            <w:tcW w:w="948" w:type="dxa"/>
            <w:tcBorders>
              <w:top w:val="single" w:color="auto" w:sz="4" w:space="0"/>
              <w:left w:val="nil"/>
              <w:bottom w:val="single" w:color="auto" w:sz="4" w:space="0"/>
              <w:right w:val="single" w:color="auto" w:sz="6" w:space="0"/>
            </w:tcBorders>
            <w:vAlign w:val="center"/>
          </w:tcPr>
          <w:p w14:paraId="7AE2E78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5.1矿井承包或者出租条件或者资质（重大生产安全事故隐患）</w:t>
            </w:r>
          </w:p>
        </w:tc>
        <w:tc>
          <w:tcPr>
            <w:tcW w:w="3899" w:type="dxa"/>
            <w:vMerge w:val="restart"/>
            <w:tcBorders>
              <w:top w:val="single" w:color="auto" w:sz="6" w:space="0"/>
              <w:left w:val="nil"/>
              <w:bottom w:val="single" w:color="auto" w:sz="6" w:space="0"/>
              <w:right w:val="single" w:color="auto" w:sz="6" w:space="0"/>
            </w:tcBorders>
            <w:vAlign w:val="center"/>
          </w:tcPr>
          <w:p w14:paraId="41DAB7C6">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《中华人民共和国安全生产法》第四十九条第一款</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生产经营单位不得将生产经营项目、场所、设备发包或者出租给不具备安全生产条件或者相应资质的单位或者个人。</w:t>
            </w:r>
          </w:p>
          <w:p w14:paraId="6DB772A5">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《中华人民共和国安全生产法》第四十八条</w:t>
            </w:r>
            <w:r>
              <w:rPr>
                <w:rFonts w:hint="eastAsia" w:ascii="仿宋_GB2312" w:hAnsi="仿宋_GB2312" w:eastAsia="仿宋_GB2312" w:cs="仿宋_GB2312"/>
                <w:color w:val="auto"/>
                <w:kern w:val="0"/>
                <w:sz w:val="32"/>
                <w:szCs w:val="32"/>
              </w:rPr>
              <w:t xml:space="preserve">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14:paraId="51D82C80">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《国务院关于预防煤矿生产安全事故的特别规定》第八条第二款第（十三）项</w:t>
            </w:r>
            <w:r>
              <w:rPr>
                <w:rFonts w:hint="eastAsia" w:ascii="仿宋_GB2312" w:hAnsi="仿宋_GB2312" w:eastAsia="仿宋_GB2312" w:cs="仿宋_GB2312"/>
                <w:color w:val="auto"/>
                <w:kern w:val="0"/>
                <w:sz w:val="32"/>
                <w:szCs w:val="32"/>
              </w:rPr>
              <w:t>煤矿有下列重大安全生产隐患和行为的，应当立即停止生产，排除隐患：（十三）煤矿实行整体承包生产经营后，未重新取得安全生产许可证，从事生产的，或者承包方再次转包的，以及煤矿将井下采掘工作面和井巷维修作业进行劳务承包的；</w:t>
            </w:r>
          </w:p>
          <w:p w14:paraId="2CB55D8A">
            <w:pPr>
              <w:widowControl/>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《煤矿重大事故隐患判定标准》</w:t>
            </w:r>
            <w:r>
              <w:rPr>
                <w:rFonts w:hint="eastAsia" w:ascii="仿宋_GB2312" w:hAnsi="仿宋_GB2312" w:eastAsia="仿宋_GB2312" w:cs="仿宋_GB2312"/>
                <w:b/>
                <w:color w:val="auto"/>
                <w:sz w:val="32"/>
                <w:szCs w:val="32"/>
              </w:rPr>
              <w:t>第十六条</w:t>
            </w:r>
            <w:r>
              <w:rPr>
                <w:rFonts w:hint="eastAsia" w:ascii="仿宋_GB2312" w:hAnsi="仿宋_GB2312" w:eastAsia="仿宋_GB2312" w:cs="仿宋_GB2312"/>
                <w:color w:val="auto"/>
                <w:sz w:val="32"/>
                <w:szCs w:val="32"/>
              </w:rPr>
              <w:t>“煤矿实行整体承包生产经营后，未重新取得或者及时变更安全生产许可证而从事生产，或者承包方再次转包，以及将井下采掘工作面和井巷维修作业进行劳务承包”重大事故隐患，是指有下列情形之一的：</w:t>
            </w:r>
          </w:p>
          <w:p w14:paraId="4444277F">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（一）煤矿未采取整体承包形式进行发包，或者将煤矿整体发包给不具有法人资格或者未取得合法有效营业执照的单位或者个人的；</w:t>
            </w:r>
          </w:p>
          <w:p w14:paraId="002E5012">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（二）实行整体承包的煤矿，未签订安全生产管理协议，或者未按照国家规定约定双方安全生产管理职责而进行生产的；</w:t>
            </w:r>
          </w:p>
          <w:p w14:paraId="3D718C4D">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（三）实行整体承包的煤矿，未重新取得或者变更安全生产许可证进行生产的；</w:t>
            </w:r>
          </w:p>
          <w:p w14:paraId="061E3192">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（四）实行整体承包的煤矿，承包方再次将煤矿转包给其他单位或者个人的；</w:t>
            </w:r>
          </w:p>
          <w:p w14:paraId="0A12230E">
            <w:pPr>
              <w:widowControl/>
              <w:ind w:firstLine="640"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sz w:val="32"/>
                <w:szCs w:val="32"/>
              </w:rPr>
              <w:t>（五）井工煤矿将井下采掘作业或者井巷维修作业（井筒及井下新水平延深的井底车场、主运输、主通风、主排水、主要机电硐室开拓工程除外）作为独立工程发包给其他企业或者个人的，以及转包井下新水平延深开拓工程的。</w:t>
            </w:r>
          </w:p>
        </w:tc>
        <w:tc>
          <w:tcPr>
            <w:tcW w:w="3899" w:type="dxa"/>
            <w:vMerge w:val="restart"/>
            <w:tcBorders>
              <w:top w:val="single" w:color="auto" w:sz="6" w:space="0"/>
              <w:left w:val="nil"/>
              <w:bottom w:val="single" w:color="auto" w:sz="6" w:space="0"/>
              <w:right w:val="single" w:color="auto" w:sz="6" w:space="0"/>
            </w:tcBorders>
            <w:vAlign w:val="center"/>
          </w:tcPr>
          <w:p w14:paraId="4E697E4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407D246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（3）煤矿（矿井）承租单位或者个人安全生产条件相应资质；</w:t>
            </w:r>
          </w:p>
          <w:p w14:paraId="4DE1C0C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（4）煤矿（矿井）承包或者出租合同或协议；</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（5）安全生产管理协议或者载有双方安全责任与权力内容的承包合同；</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（6）采掘工作面或者井巷维修对外承包协议或合同；</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（7）承包方（承托方）营业执照和有关证照（安全生产许可证件等）；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（8）图片或影像资料；</w:t>
            </w:r>
          </w:p>
          <w:p w14:paraId="6422114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478C018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vMerge w:val="restart"/>
            <w:tcBorders>
              <w:top w:val="single" w:color="auto" w:sz="6" w:space="0"/>
              <w:left w:val="nil"/>
              <w:bottom w:val="single" w:color="auto" w:sz="6" w:space="0"/>
              <w:right w:val="single" w:color="auto" w:sz="4" w:space="0"/>
            </w:tcBorders>
          </w:tcPr>
          <w:p w14:paraId="1271B062">
            <w:pPr>
              <w:widowControl/>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第一百零三条第一款</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r>
              <w:rPr>
                <w:rFonts w:hint="eastAsia" w:ascii="仿宋_GB2312" w:hAnsi="仿宋_GB2312" w:eastAsia="仿宋_GB2312" w:cs="仿宋_GB2312"/>
                <w:b/>
                <w:bCs/>
                <w:color w:val="auto"/>
                <w:kern w:val="0"/>
                <w:sz w:val="32"/>
                <w:szCs w:val="32"/>
              </w:rPr>
              <w:t xml:space="preserve">《中华人民共和国安全生产法》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第一百零四条</w:t>
            </w:r>
            <w:r>
              <w:rPr>
                <w:rFonts w:hint="eastAsia" w:ascii="仿宋_GB2312" w:hAnsi="仿宋_GB2312" w:eastAsia="仿宋_GB2312" w:cs="仿宋_GB2312"/>
                <w:color w:val="auto"/>
                <w:sz w:val="32"/>
                <w:szCs w:val="32"/>
              </w:rPr>
              <w:t>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14:paraId="11A46C53">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24DEFF20">
            <w:pPr>
              <w:widowControl/>
              <w:jc w:val="center"/>
              <w:rPr>
                <w:rFonts w:hint="eastAsia" w:ascii="仿宋_GB2312" w:hAnsi="仿宋_GB2312" w:eastAsia="仿宋_GB2312" w:cs="仿宋_GB2312"/>
                <w:b/>
                <w:bCs/>
                <w:color w:val="auto"/>
                <w:kern w:val="0"/>
                <w:sz w:val="32"/>
                <w:szCs w:val="32"/>
              </w:rPr>
            </w:pPr>
          </w:p>
        </w:tc>
      </w:tr>
      <w:tr w14:paraId="10819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7C6658A7">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6" w:space="0"/>
            </w:tcBorders>
            <w:vAlign w:val="center"/>
          </w:tcPr>
          <w:p w14:paraId="1DF286CD">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437BAC4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5.2承包安全生产管理协议</w:t>
            </w:r>
          </w:p>
        </w:tc>
        <w:tc>
          <w:tcPr>
            <w:tcW w:w="3899" w:type="dxa"/>
            <w:vMerge w:val="continue"/>
            <w:tcBorders>
              <w:top w:val="single" w:color="auto" w:sz="6" w:space="0"/>
              <w:left w:val="nil"/>
              <w:bottom w:val="single" w:color="auto" w:sz="6" w:space="0"/>
              <w:right w:val="single" w:color="auto" w:sz="6" w:space="0"/>
            </w:tcBorders>
            <w:vAlign w:val="center"/>
          </w:tcPr>
          <w:p w14:paraId="1948FF39">
            <w:pPr>
              <w:widowControl/>
              <w:jc w:val="left"/>
              <w:rPr>
                <w:rFonts w:hint="eastAsia" w:ascii="仿宋_GB2312" w:hAnsi="仿宋_GB2312" w:eastAsia="仿宋_GB2312" w:cs="仿宋_GB2312"/>
                <w:b/>
                <w:bCs/>
                <w:color w:val="auto"/>
                <w:kern w:val="0"/>
                <w:sz w:val="32"/>
                <w:szCs w:val="32"/>
              </w:rPr>
            </w:pPr>
          </w:p>
        </w:tc>
        <w:tc>
          <w:tcPr>
            <w:tcW w:w="3899" w:type="dxa"/>
            <w:vMerge w:val="continue"/>
            <w:tcBorders>
              <w:top w:val="single" w:color="auto" w:sz="6" w:space="0"/>
              <w:left w:val="nil"/>
              <w:bottom w:val="single" w:color="auto" w:sz="6" w:space="0"/>
              <w:right w:val="single" w:color="auto" w:sz="6" w:space="0"/>
            </w:tcBorders>
            <w:vAlign w:val="center"/>
          </w:tcPr>
          <w:p w14:paraId="0AB7F928">
            <w:pPr>
              <w:widowControl/>
              <w:jc w:val="left"/>
              <w:rPr>
                <w:rFonts w:hint="eastAsia" w:ascii="仿宋_GB2312" w:hAnsi="仿宋_GB2312" w:eastAsia="仿宋_GB2312" w:cs="仿宋_GB2312"/>
                <w:color w:val="auto"/>
                <w:kern w:val="0"/>
                <w:sz w:val="32"/>
                <w:szCs w:val="32"/>
              </w:rPr>
            </w:pPr>
          </w:p>
        </w:tc>
        <w:tc>
          <w:tcPr>
            <w:tcW w:w="3899" w:type="dxa"/>
            <w:vMerge w:val="continue"/>
            <w:tcBorders>
              <w:top w:val="single" w:color="auto" w:sz="6" w:space="0"/>
              <w:left w:val="nil"/>
              <w:bottom w:val="single" w:color="auto" w:sz="6" w:space="0"/>
              <w:right w:val="single" w:color="auto" w:sz="4" w:space="0"/>
            </w:tcBorders>
            <w:vAlign w:val="center"/>
          </w:tcPr>
          <w:p w14:paraId="523E6300">
            <w:pPr>
              <w:widowControl/>
              <w:jc w:val="left"/>
              <w:rPr>
                <w:rFonts w:hint="eastAsia" w:ascii="仿宋_GB2312" w:hAnsi="仿宋_GB2312" w:eastAsia="仿宋_GB2312" w:cs="仿宋_GB2312"/>
                <w:color w:val="auto"/>
                <w:kern w:val="0"/>
                <w:sz w:val="32"/>
                <w:szCs w:val="32"/>
              </w:rPr>
            </w:pPr>
          </w:p>
        </w:tc>
        <w:tc>
          <w:tcPr>
            <w:tcW w:w="948" w:type="dxa"/>
            <w:tcBorders>
              <w:top w:val="single" w:color="auto" w:sz="6" w:space="0"/>
              <w:left w:val="nil"/>
              <w:bottom w:val="single" w:color="auto" w:sz="6" w:space="0"/>
              <w:right w:val="single" w:color="auto" w:sz="6" w:space="0"/>
            </w:tcBorders>
          </w:tcPr>
          <w:p w14:paraId="7D4BED3A">
            <w:pPr>
              <w:widowControl/>
              <w:jc w:val="center"/>
              <w:rPr>
                <w:rFonts w:hint="eastAsia" w:ascii="仿宋_GB2312" w:hAnsi="仿宋_GB2312" w:eastAsia="仿宋_GB2312" w:cs="仿宋_GB2312"/>
                <w:b/>
                <w:bCs/>
                <w:color w:val="auto"/>
                <w:kern w:val="0"/>
                <w:sz w:val="32"/>
                <w:szCs w:val="32"/>
              </w:rPr>
            </w:pPr>
          </w:p>
        </w:tc>
      </w:tr>
      <w:tr w14:paraId="530D2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5C5A1327">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6" w:space="0"/>
            </w:tcBorders>
            <w:vAlign w:val="center"/>
          </w:tcPr>
          <w:p w14:paraId="1FBF66B0">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4F365DE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5.3承包方（承托方）安全生产许可证</w:t>
            </w:r>
          </w:p>
        </w:tc>
        <w:tc>
          <w:tcPr>
            <w:tcW w:w="3899" w:type="dxa"/>
            <w:vMerge w:val="continue"/>
            <w:tcBorders>
              <w:top w:val="single" w:color="auto" w:sz="6" w:space="0"/>
              <w:left w:val="nil"/>
              <w:bottom w:val="single" w:color="auto" w:sz="6" w:space="0"/>
              <w:right w:val="single" w:color="auto" w:sz="6" w:space="0"/>
            </w:tcBorders>
            <w:vAlign w:val="center"/>
          </w:tcPr>
          <w:p w14:paraId="58F6BE36">
            <w:pPr>
              <w:widowControl/>
              <w:jc w:val="left"/>
              <w:rPr>
                <w:rFonts w:hint="eastAsia" w:ascii="仿宋_GB2312" w:hAnsi="仿宋_GB2312" w:eastAsia="仿宋_GB2312" w:cs="仿宋_GB2312"/>
                <w:b/>
                <w:bCs/>
                <w:color w:val="auto"/>
                <w:kern w:val="0"/>
                <w:sz w:val="32"/>
                <w:szCs w:val="32"/>
              </w:rPr>
            </w:pPr>
          </w:p>
        </w:tc>
        <w:tc>
          <w:tcPr>
            <w:tcW w:w="3899" w:type="dxa"/>
            <w:vMerge w:val="continue"/>
            <w:tcBorders>
              <w:top w:val="single" w:color="auto" w:sz="6" w:space="0"/>
              <w:left w:val="nil"/>
              <w:bottom w:val="single" w:color="auto" w:sz="6" w:space="0"/>
              <w:right w:val="single" w:color="auto" w:sz="6" w:space="0"/>
            </w:tcBorders>
            <w:vAlign w:val="center"/>
          </w:tcPr>
          <w:p w14:paraId="26E05286">
            <w:pPr>
              <w:widowControl/>
              <w:jc w:val="left"/>
              <w:rPr>
                <w:rFonts w:hint="eastAsia" w:ascii="仿宋_GB2312" w:hAnsi="仿宋_GB2312" w:eastAsia="仿宋_GB2312" w:cs="仿宋_GB2312"/>
                <w:color w:val="auto"/>
                <w:kern w:val="0"/>
                <w:sz w:val="32"/>
                <w:szCs w:val="32"/>
              </w:rPr>
            </w:pPr>
          </w:p>
        </w:tc>
        <w:tc>
          <w:tcPr>
            <w:tcW w:w="3899" w:type="dxa"/>
            <w:vMerge w:val="continue"/>
            <w:tcBorders>
              <w:top w:val="single" w:color="auto" w:sz="6" w:space="0"/>
              <w:left w:val="nil"/>
              <w:bottom w:val="single" w:color="auto" w:sz="6" w:space="0"/>
              <w:right w:val="single" w:color="auto" w:sz="4" w:space="0"/>
            </w:tcBorders>
            <w:vAlign w:val="center"/>
          </w:tcPr>
          <w:p w14:paraId="4F85F2AB">
            <w:pPr>
              <w:widowControl/>
              <w:jc w:val="left"/>
              <w:rPr>
                <w:rFonts w:hint="eastAsia" w:ascii="仿宋_GB2312" w:hAnsi="仿宋_GB2312" w:eastAsia="仿宋_GB2312" w:cs="仿宋_GB2312"/>
                <w:color w:val="auto"/>
                <w:kern w:val="0"/>
                <w:sz w:val="32"/>
                <w:szCs w:val="32"/>
              </w:rPr>
            </w:pPr>
          </w:p>
        </w:tc>
        <w:tc>
          <w:tcPr>
            <w:tcW w:w="948" w:type="dxa"/>
            <w:tcBorders>
              <w:top w:val="single" w:color="auto" w:sz="6" w:space="0"/>
              <w:left w:val="nil"/>
              <w:bottom w:val="single" w:color="auto" w:sz="6" w:space="0"/>
              <w:right w:val="single" w:color="auto" w:sz="6" w:space="0"/>
            </w:tcBorders>
          </w:tcPr>
          <w:p w14:paraId="6F46BD0F">
            <w:pPr>
              <w:widowControl/>
              <w:jc w:val="center"/>
              <w:rPr>
                <w:rFonts w:hint="eastAsia" w:ascii="仿宋_GB2312" w:hAnsi="仿宋_GB2312" w:eastAsia="仿宋_GB2312" w:cs="仿宋_GB2312"/>
                <w:b/>
                <w:bCs/>
                <w:color w:val="auto"/>
                <w:kern w:val="0"/>
                <w:sz w:val="32"/>
                <w:szCs w:val="32"/>
              </w:rPr>
            </w:pPr>
          </w:p>
        </w:tc>
      </w:tr>
      <w:tr w14:paraId="41059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0FA1DB3A">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6" w:space="0"/>
            </w:tcBorders>
            <w:vAlign w:val="center"/>
          </w:tcPr>
          <w:p w14:paraId="4BC3303E">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649F45C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5.4转包</w:t>
            </w:r>
          </w:p>
        </w:tc>
        <w:tc>
          <w:tcPr>
            <w:tcW w:w="3899" w:type="dxa"/>
            <w:vMerge w:val="continue"/>
            <w:tcBorders>
              <w:top w:val="single" w:color="auto" w:sz="6" w:space="0"/>
              <w:left w:val="nil"/>
              <w:bottom w:val="single" w:color="auto" w:sz="6" w:space="0"/>
              <w:right w:val="single" w:color="auto" w:sz="6" w:space="0"/>
            </w:tcBorders>
            <w:vAlign w:val="center"/>
          </w:tcPr>
          <w:p w14:paraId="2183E154">
            <w:pPr>
              <w:widowControl/>
              <w:jc w:val="left"/>
              <w:rPr>
                <w:rFonts w:hint="eastAsia" w:ascii="仿宋_GB2312" w:hAnsi="仿宋_GB2312" w:eastAsia="仿宋_GB2312" w:cs="仿宋_GB2312"/>
                <w:b/>
                <w:bCs/>
                <w:color w:val="auto"/>
                <w:kern w:val="0"/>
                <w:sz w:val="32"/>
                <w:szCs w:val="32"/>
              </w:rPr>
            </w:pPr>
          </w:p>
        </w:tc>
        <w:tc>
          <w:tcPr>
            <w:tcW w:w="3899" w:type="dxa"/>
            <w:vMerge w:val="continue"/>
            <w:tcBorders>
              <w:top w:val="single" w:color="auto" w:sz="6" w:space="0"/>
              <w:left w:val="nil"/>
              <w:bottom w:val="single" w:color="auto" w:sz="6" w:space="0"/>
              <w:right w:val="single" w:color="auto" w:sz="6" w:space="0"/>
            </w:tcBorders>
            <w:vAlign w:val="center"/>
          </w:tcPr>
          <w:p w14:paraId="7B86619F">
            <w:pPr>
              <w:widowControl/>
              <w:jc w:val="left"/>
              <w:rPr>
                <w:rFonts w:hint="eastAsia" w:ascii="仿宋_GB2312" w:hAnsi="仿宋_GB2312" w:eastAsia="仿宋_GB2312" w:cs="仿宋_GB2312"/>
                <w:color w:val="auto"/>
                <w:kern w:val="0"/>
                <w:sz w:val="32"/>
                <w:szCs w:val="32"/>
              </w:rPr>
            </w:pPr>
          </w:p>
        </w:tc>
        <w:tc>
          <w:tcPr>
            <w:tcW w:w="3899" w:type="dxa"/>
            <w:vMerge w:val="continue"/>
            <w:tcBorders>
              <w:top w:val="single" w:color="auto" w:sz="6" w:space="0"/>
              <w:left w:val="nil"/>
              <w:bottom w:val="single" w:color="auto" w:sz="6" w:space="0"/>
              <w:right w:val="single" w:color="auto" w:sz="4" w:space="0"/>
            </w:tcBorders>
            <w:vAlign w:val="center"/>
          </w:tcPr>
          <w:p w14:paraId="399D0132">
            <w:pPr>
              <w:widowControl/>
              <w:jc w:val="left"/>
              <w:rPr>
                <w:rFonts w:hint="eastAsia" w:ascii="仿宋_GB2312" w:hAnsi="仿宋_GB2312" w:eastAsia="仿宋_GB2312" w:cs="仿宋_GB2312"/>
                <w:color w:val="auto"/>
                <w:kern w:val="0"/>
                <w:sz w:val="32"/>
                <w:szCs w:val="32"/>
              </w:rPr>
            </w:pPr>
          </w:p>
        </w:tc>
        <w:tc>
          <w:tcPr>
            <w:tcW w:w="948" w:type="dxa"/>
            <w:tcBorders>
              <w:top w:val="single" w:color="auto" w:sz="6" w:space="0"/>
              <w:left w:val="nil"/>
              <w:bottom w:val="single" w:color="auto" w:sz="6" w:space="0"/>
              <w:right w:val="single" w:color="auto" w:sz="6" w:space="0"/>
            </w:tcBorders>
          </w:tcPr>
          <w:p w14:paraId="73B484A5">
            <w:pPr>
              <w:widowControl/>
              <w:jc w:val="center"/>
              <w:rPr>
                <w:rFonts w:hint="eastAsia" w:ascii="仿宋_GB2312" w:hAnsi="仿宋_GB2312" w:eastAsia="仿宋_GB2312" w:cs="仿宋_GB2312"/>
                <w:b/>
                <w:bCs/>
                <w:color w:val="auto"/>
                <w:kern w:val="0"/>
                <w:sz w:val="32"/>
                <w:szCs w:val="32"/>
              </w:rPr>
            </w:pPr>
          </w:p>
        </w:tc>
      </w:tr>
      <w:tr w14:paraId="7E92B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05"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11CCC366">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6" w:space="0"/>
            </w:tcBorders>
            <w:vAlign w:val="center"/>
          </w:tcPr>
          <w:p w14:paraId="703DD46D">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6" w:space="0"/>
              <w:right w:val="single" w:color="auto" w:sz="6" w:space="0"/>
            </w:tcBorders>
            <w:vAlign w:val="center"/>
          </w:tcPr>
          <w:p w14:paraId="2B39050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5.5对外承包</w:t>
            </w:r>
          </w:p>
        </w:tc>
        <w:tc>
          <w:tcPr>
            <w:tcW w:w="3899" w:type="dxa"/>
            <w:vMerge w:val="continue"/>
            <w:tcBorders>
              <w:top w:val="single" w:color="auto" w:sz="6" w:space="0"/>
              <w:left w:val="nil"/>
              <w:bottom w:val="single" w:color="auto" w:sz="6" w:space="0"/>
              <w:right w:val="single" w:color="auto" w:sz="6" w:space="0"/>
            </w:tcBorders>
            <w:vAlign w:val="center"/>
          </w:tcPr>
          <w:p w14:paraId="0C38289E">
            <w:pPr>
              <w:widowControl/>
              <w:jc w:val="left"/>
              <w:rPr>
                <w:rFonts w:hint="eastAsia" w:ascii="仿宋_GB2312" w:hAnsi="仿宋_GB2312" w:eastAsia="仿宋_GB2312" w:cs="仿宋_GB2312"/>
                <w:b/>
                <w:bCs/>
                <w:color w:val="auto"/>
                <w:kern w:val="0"/>
                <w:sz w:val="32"/>
                <w:szCs w:val="32"/>
              </w:rPr>
            </w:pPr>
          </w:p>
        </w:tc>
        <w:tc>
          <w:tcPr>
            <w:tcW w:w="3899" w:type="dxa"/>
            <w:vMerge w:val="continue"/>
            <w:tcBorders>
              <w:top w:val="single" w:color="auto" w:sz="6" w:space="0"/>
              <w:left w:val="nil"/>
              <w:bottom w:val="single" w:color="auto" w:sz="6" w:space="0"/>
              <w:right w:val="single" w:color="auto" w:sz="6" w:space="0"/>
            </w:tcBorders>
            <w:vAlign w:val="center"/>
          </w:tcPr>
          <w:p w14:paraId="2E13D8C1">
            <w:pPr>
              <w:widowControl/>
              <w:jc w:val="left"/>
              <w:rPr>
                <w:rFonts w:hint="eastAsia" w:ascii="仿宋_GB2312" w:hAnsi="仿宋_GB2312" w:eastAsia="仿宋_GB2312" w:cs="仿宋_GB2312"/>
                <w:color w:val="auto"/>
                <w:kern w:val="0"/>
                <w:sz w:val="32"/>
                <w:szCs w:val="32"/>
              </w:rPr>
            </w:pPr>
          </w:p>
        </w:tc>
        <w:tc>
          <w:tcPr>
            <w:tcW w:w="3899" w:type="dxa"/>
            <w:vMerge w:val="continue"/>
            <w:tcBorders>
              <w:top w:val="single" w:color="auto" w:sz="6" w:space="0"/>
              <w:left w:val="nil"/>
              <w:bottom w:val="single" w:color="auto" w:sz="6" w:space="0"/>
              <w:right w:val="single" w:color="auto" w:sz="4" w:space="0"/>
            </w:tcBorders>
            <w:vAlign w:val="center"/>
          </w:tcPr>
          <w:p w14:paraId="39C89F73">
            <w:pPr>
              <w:widowControl/>
              <w:jc w:val="left"/>
              <w:rPr>
                <w:rFonts w:hint="eastAsia" w:ascii="仿宋_GB2312" w:hAnsi="仿宋_GB2312" w:eastAsia="仿宋_GB2312" w:cs="仿宋_GB2312"/>
                <w:color w:val="auto"/>
                <w:kern w:val="0"/>
                <w:sz w:val="32"/>
                <w:szCs w:val="32"/>
              </w:rPr>
            </w:pPr>
          </w:p>
        </w:tc>
        <w:tc>
          <w:tcPr>
            <w:tcW w:w="948" w:type="dxa"/>
            <w:tcBorders>
              <w:top w:val="single" w:color="auto" w:sz="6" w:space="0"/>
              <w:left w:val="nil"/>
              <w:bottom w:val="single" w:color="auto" w:sz="6" w:space="0"/>
              <w:right w:val="single" w:color="auto" w:sz="6" w:space="0"/>
            </w:tcBorders>
          </w:tcPr>
          <w:p w14:paraId="1C33D93C">
            <w:pPr>
              <w:widowControl/>
              <w:jc w:val="center"/>
              <w:rPr>
                <w:rFonts w:hint="eastAsia" w:ascii="仿宋_GB2312" w:hAnsi="仿宋_GB2312" w:eastAsia="仿宋_GB2312" w:cs="仿宋_GB2312"/>
                <w:b/>
                <w:bCs/>
                <w:color w:val="auto"/>
                <w:kern w:val="0"/>
                <w:sz w:val="32"/>
                <w:szCs w:val="32"/>
              </w:rPr>
            </w:pPr>
          </w:p>
        </w:tc>
      </w:tr>
      <w:tr w14:paraId="6842D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14:paraId="7624367A">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w:t>
            </w:r>
          </w:p>
        </w:tc>
        <w:tc>
          <w:tcPr>
            <w:tcW w:w="948" w:type="dxa"/>
            <w:vMerge w:val="restart"/>
            <w:tcBorders>
              <w:top w:val="single" w:color="auto" w:sz="6" w:space="0"/>
              <w:left w:val="nil"/>
              <w:bottom w:val="single" w:color="auto" w:sz="6" w:space="0"/>
              <w:right w:val="single" w:color="auto" w:sz="4" w:space="0"/>
            </w:tcBorders>
            <w:vAlign w:val="center"/>
          </w:tcPr>
          <w:p w14:paraId="1084D2F5">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安全生产</w:t>
            </w:r>
          </w:p>
          <w:p w14:paraId="758E411F">
            <w:pPr>
              <w:widowControl/>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Cs/>
                <w:color w:val="auto"/>
                <w:kern w:val="0"/>
                <w:sz w:val="32"/>
                <w:szCs w:val="32"/>
              </w:rPr>
              <w:t>教育培训</w:t>
            </w:r>
          </w:p>
        </w:tc>
        <w:tc>
          <w:tcPr>
            <w:tcW w:w="948" w:type="dxa"/>
            <w:tcBorders>
              <w:top w:val="single" w:color="auto" w:sz="6" w:space="0"/>
              <w:left w:val="single" w:color="auto" w:sz="4" w:space="0"/>
              <w:bottom w:val="single" w:color="auto" w:sz="6" w:space="0"/>
              <w:right w:val="single" w:color="auto" w:sz="6" w:space="0"/>
            </w:tcBorders>
            <w:vAlign w:val="center"/>
          </w:tcPr>
          <w:p w14:paraId="3A0F8F45">
            <w:pPr>
              <w:widowControl/>
              <w:rPr>
                <w:rFonts w:hint="eastAsia" w:ascii="仿宋_GB2312" w:hAnsi="仿宋_GB2312" w:eastAsia="仿宋_GB2312" w:cs="仿宋_GB2312"/>
                <w:color w:val="auto"/>
                <w:kern w:val="0"/>
                <w:sz w:val="32"/>
                <w:szCs w:val="32"/>
              </w:rPr>
            </w:pPr>
          </w:p>
          <w:p w14:paraId="43D860EC">
            <w:pPr>
              <w:widowControl/>
              <w:rPr>
                <w:rFonts w:hint="eastAsia" w:ascii="仿宋_GB2312" w:hAnsi="仿宋_GB2312" w:eastAsia="仿宋_GB2312" w:cs="仿宋_GB2312"/>
                <w:color w:val="auto"/>
                <w:kern w:val="0"/>
                <w:sz w:val="32"/>
                <w:szCs w:val="32"/>
              </w:rPr>
            </w:pPr>
          </w:p>
          <w:p w14:paraId="103FAE19">
            <w:pPr>
              <w:widowControl/>
              <w:rPr>
                <w:rFonts w:hint="eastAsia" w:ascii="仿宋_GB2312" w:hAnsi="仿宋_GB2312" w:eastAsia="仿宋_GB2312" w:cs="仿宋_GB2312"/>
                <w:color w:val="auto"/>
                <w:kern w:val="0"/>
                <w:sz w:val="32"/>
                <w:szCs w:val="32"/>
              </w:rPr>
            </w:pPr>
          </w:p>
          <w:p w14:paraId="37C3E010">
            <w:pPr>
              <w:widowControl/>
              <w:rPr>
                <w:rFonts w:hint="eastAsia" w:ascii="仿宋_GB2312" w:hAnsi="仿宋_GB2312" w:eastAsia="仿宋_GB2312" w:cs="仿宋_GB2312"/>
                <w:color w:val="auto"/>
                <w:kern w:val="0"/>
                <w:sz w:val="32"/>
                <w:szCs w:val="32"/>
              </w:rPr>
            </w:pPr>
          </w:p>
          <w:p w14:paraId="2F3285C8">
            <w:pPr>
              <w:widowControl/>
              <w:rPr>
                <w:rFonts w:hint="eastAsia" w:ascii="仿宋_GB2312" w:hAnsi="仿宋_GB2312" w:eastAsia="仿宋_GB2312" w:cs="仿宋_GB2312"/>
                <w:color w:val="auto"/>
                <w:kern w:val="0"/>
                <w:sz w:val="32"/>
                <w:szCs w:val="32"/>
              </w:rPr>
            </w:pPr>
          </w:p>
          <w:p w14:paraId="0E91B8A2">
            <w:pPr>
              <w:widowControl/>
              <w:rPr>
                <w:rFonts w:hint="eastAsia" w:ascii="仿宋_GB2312" w:hAnsi="仿宋_GB2312" w:eastAsia="仿宋_GB2312" w:cs="仿宋_GB2312"/>
                <w:color w:val="auto"/>
                <w:kern w:val="0"/>
                <w:sz w:val="32"/>
                <w:szCs w:val="32"/>
              </w:rPr>
            </w:pPr>
          </w:p>
          <w:p w14:paraId="7CC8C479">
            <w:pPr>
              <w:widowControl/>
              <w:rPr>
                <w:rFonts w:hint="eastAsia" w:ascii="仿宋_GB2312" w:hAnsi="仿宋_GB2312" w:eastAsia="仿宋_GB2312" w:cs="仿宋_GB2312"/>
                <w:color w:val="auto"/>
                <w:kern w:val="0"/>
                <w:sz w:val="32"/>
                <w:szCs w:val="32"/>
              </w:rPr>
            </w:pPr>
          </w:p>
          <w:p w14:paraId="492D7F90">
            <w:pPr>
              <w:widowControl/>
              <w:rPr>
                <w:rFonts w:hint="eastAsia" w:ascii="仿宋_GB2312" w:hAnsi="仿宋_GB2312" w:eastAsia="仿宋_GB2312" w:cs="仿宋_GB2312"/>
                <w:color w:val="auto"/>
                <w:kern w:val="0"/>
                <w:sz w:val="32"/>
                <w:szCs w:val="32"/>
              </w:rPr>
            </w:pPr>
          </w:p>
          <w:p w14:paraId="529F77CB">
            <w:pPr>
              <w:widowControl/>
              <w:rPr>
                <w:rFonts w:hint="eastAsia" w:ascii="仿宋_GB2312" w:hAnsi="仿宋_GB2312" w:eastAsia="仿宋_GB2312" w:cs="仿宋_GB2312"/>
                <w:color w:val="auto"/>
                <w:kern w:val="0"/>
                <w:sz w:val="32"/>
                <w:szCs w:val="32"/>
              </w:rPr>
            </w:pPr>
          </w:p>
          <w:p w14:paraId="3A51833C">
            <w:pPr>
              <w:widowControl/>
              <w:rPr>
                <w:rFonts w:hint="eastAsia" w:ascii="仿宋_GB2312" w:hAnsi="仿宋_GB2312" w:eastAsia="仿宋_GB2312" w:cs="仿宋_GB2312"/>
                <w:color w:val="auto"/>
                <w:kern w:val="0"/>
                <w:sz w:val="32"/>
                <w:szCs w:val="32"/>
              </w:rPr>
            </w:pPr>
          </w:p>
          <w:p w14:paraId="69373A13">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6.1井下从业人员及特种作业人员培训</w:t>
            </w:r>
          </w:p>
        </w:tc>
        <w:tc>
          <w:tcPr>
            <w:tcW w:w="3899" w:type="dxa"/>
            <w:tcBorders>
              <w:top w:val="single" w:color="auto" w:sz="6" w:space="0"/>
              <w:left w:val="nil"/>
              <w:bottom w:val="single" w:color="auto" w:sz="6" w:space="0"/>
              <w:right w:val="single" w:color="auto" w:sz="6" w:space="0"/>
            </w:tcBorders>
            <w:vAlign w:val="center"/>
          </w:tcPr>
          <w:p w14:paraId="4D3E39B6">
            <w:pPr>
              <w:widowControl/>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第二十八条</w:t>
            </w:r>
            <w:r>
              <w:rPr>
                <w:rFonts w:hint="eastAsia" w:ascii="仿宋_GB2312" w:hAnsi="仿宋_GB2312" w:eastAsia="仿宋_GB2312" w:cs="仿宋_GB2312"/>
                <w:color w:val="auto"/>
                <w:sz w:val="32"/>
                <w:szCs w:val="32"/>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3ECF82A">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4DFD2212">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14:paraId="160CEAD2">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生产经营单位应当建立安全生产教育和培训档案，如实记录安全生产教育和培训的时间、内容、参加人员以及考核结果等情况。</w:t>
            </w:r>
          </w:p>
          <w:p w14:paraId="7AF65A97">
            <w:pPr>
              <w:widowControl/>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《中华人民共和国安全生产法》 </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
                <w:bCs/>
                <w:color w:val="auto"/>
                <w:kern w:val="0"/>
                <w:sz w:val="32"/>
                <w:szCs w:val="32"/>
              </w:rPr>
              <w:t>第三十条</w:t>
            </w:r>
            <w:r>
              <w:rPr>
                <w:rFonts w:hint="eastAsia" w:ascii="仿宋_GB2312" w:hAnsi="仿宋_GB2312" w:eastAsia="仿宋_GB2312" w:cs="仿宋_GB2312"/>
                <w:color w:val="auto"/>
                <w:sz w:val="32"/>
                <w:szCs w:val="32"/>
              </w:rPr>
              <w:t xml:space="preserve"> 生产经营单位的特种作业人员必须按照国家有关规定经专门的安全作业培训，取得相应资格，方可上岗作业。</w:t>
            </w:r>
          </w:p>
          <w:p w14:paraId="44C2B71D">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特种作业人员的范围由国务院应急管理部门会同国务院有关部门确定。</w:t>
            </w:r>
          </w:p>
          <w:p w14:paraId="65A8902B">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《国务院关于预防煤矿生产安全事故的特别规定》第十六条第一款</w:t>
            </w:r>
            <w:r>
              <w:rPr>
                <w:rFonts w:hint="eastAsia" w:ascii="仿宋_GB2312" w:hAnsi="仿宋_GB2312" w:eastAsia="仿宋_GB2312" w:cs="仿宋_GB2312"/>
                <w:color w:val="auto"/>
                <w:kern w:val="0"/>
                <w:sz w:val="32"/>
                <w:szCs w:val="32"/>
              </w:rPr>
              <w:t xml:space="preserve">  煤矿企业应当依照国家有关规定对井下作业人员进行安全生产教育和培训，保证井下作业人员具有必要的安全生产知识，熟悉有关安全生产规章制度和安全操作规程，掌握本岗位的安全操作技能，并建立培训档案。未进行安全生产教育和培训或者经教育和培训不合格的人员不得下井作业。</w:t>
            </w:r>
          </w:p>
        </w:tc>
        <w:tc>
          <w:tcPr>
            <w:tcW w:w="3899" w:type="dxa"/>
            <w:tcBorders>
              <w:top w:val="single" w:color="auto" w:sz="6" w:space="0"/>
              <w:left w:val="nil"/>
              <w:bottom w:val="single" w:color="auto" w:sz="6" w:space="0"/>
              <w:right w:val="single" w:color="auto" w:sz="6" w:space="0"/>
            </w:tcBorders>
            <w:vAlign w:val="center"/>
          </w:tcPr>
          <w:p w14:paraId="5948850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（3）安全生产教育和培训档案；</w:t>
            </w:r>
          </w:p>
          <w:p w14:paraId="48FAF45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（4）安全培训计划；</w:t>
            </w:r>
          </w:p>
          <w:p w14:paraId="3063CD7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（5）井下作业人员安全教育培训记录；</w:t>
            </w:r>
          </w:p>
          <w:p w14:paraId="40E3B66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（6）特种作业人员管理档案；</w:t>
            </w:r>
          </w:p>
          <w:p w14:paraId="67AF2EB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（7）特种作业人员资格证书；</w:t>
            </w:r>
          </w:p>
          <w:p w14:paraId="7696A43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（8）图片或影像资料；</w:t>
            </w:r>
          </w:p>
          <w:p w14:paraId="1474959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4CFDDCA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p w14:paraId="293AF4CC">
            <w:pPr>
              <w:widowControl/>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4" w:space="0"/>
            </w:tcBorders>
          </w:tcPr>
          <w:p w14:paraId="62036EB4">
            <w:pPr>
              <w:widowControl/>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第九十七条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5D088AC1">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（三）未按照规定对从业人员、被派遣劳动者、实习学生进行安全生产教育和培训，或者未按照规定如实告知有关的安全生产事项的；</w:t>
            </w:r>
          </w:p>
          <w:p w14:paraId="5B61BFE5">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（四）未如实记录安全生产教育和培训情况的；</w:t>
            </w:r>
          </w:p>
          <w:p w14:paraId="145D5709">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（七）特种作业人员未按照规定经专门的安全作业培训并取得相应资格，上岗作业的。</w:t>
            </w:r>
          </w:p>
          <w:p w14:paraId="2D26154A">
            <w:pPr>
              <w:widowControl/>
              <w:ind w:firstLine="643" w:firstLineChars="200"/>
              <w:rPr>
                <w:rFonts w:hint="eastAsia" w:ascii="仿宋_GB2312" w:hAnsi="仿宋_GB2312" w:eastAsia="仿宋_GB2312" w:cs="仿宋_GB2312"/>
                <w:b/>
                <w:bCs/>
                <w:color w:val="auto"/>
                <w:kern w:val="0"/>
                <w:sz w:val="32"/>
                <w:szCs w:val="32"/>
              </w:rPr>
            </w:pPr>
          </w:p>
          <w:p w14:paraId="2A5F7110">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《国务院关于预防煤矿生产安全事故的特别规定》第十六条第二款</w:t>
            </w:r>
            <w:r>
              <w:rPr>
                <w:rFonts w:hint="eastAsia" w:ascii="仿宋_GB2312" w:hAnsi="仿宋_GB2312" w:eastAsia="仿宋_GB2312" w:cs="仿宋_GB2312"/>
                <w:color w:val="auto"/>
                <w:kern w:val="0"/>
                <w:sz w:val="32"/>
                <w:szCs w:val="32"/>
              </w:rPr>
              <w:t>县级以上地方人民政府负责煤矿安全生产监督管理的部门应当对煤矿井下作业人员的安全生产教育和培训情况进行监督检查；煤矿安全监察机构应当对煤矿特种作业人员持证上岗情况进行监督检查。发现煤矿企业未依照国家有关规定对井下作业人员进行安全生产教育和培训或者特种作业人员无证上岗的，应当责令限期改正，处10万元以上50万元以下的罚款；逾期未改正的，责令停产整顿。</w:t>
            </w:r>
          </w:p>
        </w:tc>
        <w:tc>
          <w:tcPr>
            <w:tcW w:w="948" w:type="dxa"/>
            <w:tcBorders>
              <w:top w:val="single" w:color="auto" w:sz="6" w:space="0"/>
              <w:left w:val="nil"/>
              <w:bottom w:val="single" w:color="auto" w:sz="6" w:space="0"/>
              <w:right w:val="single" w:color="auto" w:sz="6" w:space="0"/>
            </w:tcBorders>
          </w:tcPr>
          <w:p w14:paraId="575AEC2B">
            <w:pPr>
              <w:widowControl/>
              <w:jc w:val="center"/>
              <w:rPr>
                <w:rFonts w:hint="eastAsia" w:ascii="仿宋_GB2312" w:hAnsi="仿宋_GB2312" w:eastAsia="仿宋_GB2312" w:cs="仿宋_GB2312"/>
                <w:b/>
                <w:bCs/>
                <w:color w:val="auto"/>
                <w:kern w:val="0"/>
                <w:sz w:val="32"/>
                <w:szCs w:val="32"/>
              </w:rPr>
            </w:pPr>
          </w:p>
          <w:p w14:paraId="29EC5BEC">
            <w:pPr>
              <w:widowControl/>
              <w:jc w:val="center"/>
              <w:rPr>
                <w:rFonts w:hint="eastAsia" w:ascii="仿宋_GB2312" w:hAnsi="仿宋_GB2312" w:eastAsia="仿宋_GB2312" w:cs="仿宋_GB2312"/>
                <w:b/>
                <w:bCs/>
                <w:color w:val="auto"/>
                <w:kern w:val="0"/>
                <w:sz w:val="32"/>
                <w:szCs w:val="32"/>
              </w:rPr>
            </w:pPr>
          </w:p>
        </w:tc>
      </w:tr>
      <w:tr w14:paraId="6CD21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03"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310D39C4">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43BDE2D8">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7D50CDE7">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6.2</w:t>
            </w:r>
            <w:r>
              <w:rPr>
                <w:rFonts w:hint="eastAsia" w:ascii="仿宋_GB2312" w:hAnsi="仿宋_GB2312" w:eastAsia="仿宋_GB2312" w:cs="仿宋_GB2312"/>
                <w:color w:val="auto"/>
                <w:kern w:val="0"/>
                <w:sz w:val="32"/>
                <w:szCs w:val="32"/>
              </w:rPr>
              <w:t>发放安全手册</w:t>
            </w:r>
          </w:p>
        </w:tc>
        <w:tc>
          <w:tcPr>
            <w:tcW w:w="3899" w:type="dxa"/>
            <w:tcBorders>
              <w:top w:val="single" w:color="auto" w:sz="6" w:space="0"/>
              <w:left w:val="nil"/>
              <w:bottom w:val="single" w:color="auto" w:sz="6" w:space="0"/>
              <w:right w:val="single" w:color="auto" w:sz="6" w:space="0"/>
            </w:tcBorders>
            <w:vAlign w:val="center"/>
          </w:tcPr>
          <w:p w14:paraId="68680F93">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《国务院关于预防煤矿生产安全事故的特别规定》第二十二条第一、二款  </w:t>
            </w:r>
            <w:r>
              <w:rPr>
                <w:rFonts w:hint="eastAsia" w:ascii="仿宋_GB2312" w:hAnsi="仿宋_GB2312" w:eastAsia="仿宋_GB2312" w:cs="仿宋_GB2312"/>
                <w:color w:val="auto"/>
                <w:kern w:val="0"/>
                <w:sz w:val="32"/>
                <w:szCs w:val="32"/>
              </w:rPr>
              <w:t>煤矿企业应当免费为每位职工发放煤矿职工安全手册。</w:t>
            </w:r>
          </w:p>
          <w:p w14:paraId="4AABB0A8">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煤矿职工安全手册应当载明职工的权利、义务，煤矿重大安全生产隐患的情形和应急保护措施、方法以及安全生产隐患和违法行为的举报电话、受理部门。</w:t>
            </w:r>
          </w:p>
        </w:tc>
        <w:tc>
          <w:tcPr>
            <w:tcW w:w="3899" w:type="dxa"/>
            <w:tcBorders>
              <w:top w:val="single" w:color="auto" w:sz="6" w:space="0"/>
              <w:left w:val="nil"/>
              <w:bottom w:val="single" w:color="auto" w:sz="6" w:space="0"/>
              <w:right w:val="single" w:color="auto" w:sz="6" w:space="0"/>
            </w:tcBorders>
            <w:vAlign w:val="center"/>
          </w:tcPr>
          <w:p w14:paraId="072978D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32D58E6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（3）安全手册发放记录；</w:t>
            </w:r>
          </w:p>
          <w:p w14:paraId="4A1BC1E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（4）图片或影像资料；</w:t>
            </w:r>
          </w:p>
          <w:p w14:paraId="6A39D5E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59CB3FE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（6）其他相关证据。</w:t>
            </w:r>
          </w:p>
        </w:tc>
        <w:tc>
          <w:tcPr>
            <w:tcW w:w="3899" w:type="dxa"/>
            <w:tcBorders>
              <w:top w:val="single" w:color="auto" w:sz="6" w:space="0"/>
              <w:left w:val="nil"/>
              <w:bottom w:val="single" w:color="auto" w:sz="6" w:space="0"/>
              <w:right w:val="single" w:color="auto" w:sz="4" w:space="0"/>
            </w:tcBorders>
          </w:tcPr>
          <w:p w14:paraId="4CA0004E">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《国务院关于预防煤矿生产安全事故的特别规定》第二十二条第三款  </w:t>
            </w:r>
            <w:r>
              <w:rPr>
                <w:rFonts w:hint="eastAsia" w:ascii="仿宋_GB2312" w:hAnsi="仿宋_GB2312" w:eastAsia="仿宋_GB2312" w:cs="仿宋_GB2312"/>
                <w:color w:val="auto"/>
                <w:kern w:val="0"/>
                <w:sz w:val="32"/>
                <w:szCs w:val="32"/>
              </w:rPr>
              <w:t>煤矿企业没有为每位职工发放符合要求的职工安全手册的，由县级以上地方人民政府负责煤矿安全生产监督管理的部门或者煤矿安全监察机构责令限期改正；逾期未改正的，处5万元以下的罚款。</w:t>
            </w:r>
          </w:p>
        </w:tc>
        <w:tc>
          <w:tcPr>
            <w:tcW w:w="948" w:type="dxa"/>
            <w:tcBorders>
              <w:top w:val="single" w:color="auto" w:sz="6" w:space="0"/>
              <w:left w:val="nil"/>
              <w:bottom w:val="single" w:color="auto" w:sz="6" w:space="0"/>
              <w:right w:val="single" w:color="auto" w:sz="6" w:space="0"/>
            </w:tcBorders>
          </w:tcPr>
          <w:p w14:paraId="33044F96">
            <w:pPr>
              <w:widowControl/>
              <w:jc w:val="center"/>
              <w:rPr>
                <w:rFonts w:hint="eastAsia" w:ascii="仿宋_GB2312" w:hAnsi="仿宋_GB2312" w:eastAsia="仿宋_GB2312" w:cs="仿宋_GB2312"/>
                <w:b/>
                <w:bCs/>
                <w:color w:val="auto"/>
                <w:kern w:val="0"/>
                <w:sz w:val="32"/>
                <w:szCs w:val="32"/>
              </w:rPr>
            </w:pPr>
          </w:p>
        </w:tc>
      </w:tr>
      <w:tr w14:paraId="17426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2C161602">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35BD7BA9">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single" w:color="auto" w:sz="4" w:space="0"/>
              <w:bottom w:val="single" w:color="auto" w:sz="6" w:space="0"/>
              <w:right w:val="single" w:color="auto" w:sz="6" w:space="0"/>
            </w:tcBorders>
            <w:vAlign w:val="center"/>
          </w:tcPr>
          <w:p w14:paraId="3078CB8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6.3培训学时</w:t>
            </w:r>
          </w:p>
        </w:tc>
        <w:tc>
          <w:tcPr>
            <w:tcW w:w="3899" w:type="dxa"/>
            <w:tcBorders>
              <w:top w:val="single" w:color="auto" w:sz="6" w:space="0"/>
              <w:left w:val="nil"/>
              <w:bottom w:val="single" w:color="auto" w:sz="6" w:space="0"/>
              <w:right w:val="single" w:color="auto" w:sz="6" w:space="0"/>
            </w:tcBorders>
            <w:vAlign w:val="center"/>
          </w:tcPr>
          <w:p w14:paraId="0C9F9D18">
            <w:pPr>
              <w:widowControl/>
              <w:ind w:left="178" w:leftChars="85" w:firstLine="321" w:firstLineChars="1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《安全生产培训管理办法》第十一条第三款</w:t>
            </w:r>
            <w:r>
              <w:rPr>
                <w:rFonts w:hint="eastAsia" w:ascii="仿宋_GB2312" w:hAnsi="仿宋_GB2312" w:eastAsia="仿宋_GB2312" w:cs="仿宋_GB2312"/>
                <w:color w:val="auto"/>
                <w:kern w:val="0"/>
                <w:sz w:val="32"/>
                <w:szCs w:val="32"/>
              </w:rPr>
              <w:t>生产经营单位从业人员的培训内容和培训时间，应当符合《生产经营单位安全培训规定》和有关标准的规定。</w:t>
            </w:r>
          </w:p>
          <w:p w14:paraId="5D2232A9">
            <w:pPr>
              <w:widowControl/>
              <w:ind w:left="178" w:leftChars="85"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《生产经营单位安全培训规定》第九条第二款</w:t>
            </w:r>
            <w:r>
              <w:rPr>
                <w:rFonts w:hint="eastAsia" w:ascii="仿宋_GB2312" w:hAnsi="仿宋_GB2312" w:eastAsia="仿宋_GB2312" w:cs="仿宋_GB2312"/>
                <w:color w:val="auto"/>
                <w:kern w:val="0"/>
                <w:sz w:val="32"/>
                <w:szCs w:val="32"/>
              </w:rPr>
              <w:t>煤矿、非煤矿山、危险化学品、烟花爆竹、金属冶炼等生产经营单位主要负责人和安全生产管理人员初次安全培训时间不得少于48学时，每年再培训时间不得少于16学时。</w:t>
            </w:r>
          </w:p>
          <w:p w14:paraId="6EA59DA0">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《生产经营单位安全培训规定》第十三条第二款</w:t>
            </w:r>
            <w:r>
              <w:rPr>
                <w:rFonts w:hint="eastAsia" w:ascii="仿宋_GB2312" w:hAnsi="仿宋_GB2312" w:eastAsia="仿宋_GB2312" w:cs="仿宋_GB2312"/>
                <w:color w:val="auto"/>
                <w:kern w:val="0"/>
                <w:sz w:val="32"/>
                <w:szCs w:val="32"/>
              </w:rPr>
              <w:t>煤矿、非煤矿山、危险化学品、烟花爆竹、金属冶炼等生产经营单位新上岗的从业人员安全培训时间不得少于72学时，每年再培训的时间不得少于20学时。</w:t>
            </w:r>
          </w:p>
        </w:tc>
        <w:tc>
          <w:tcPr>
            <w:tcW w:w="3899" w:type="dxa"/>
            <w:tcBorders>
              <w:top w:val="single" w:color="auto" w:sz="6" w:space="0"/>
              <w:left w:val="nil"/>
              <w:bottom w:val="single" w:color="auto" w:sz="6" w:space="0"/>
              <w:right w:val="single" w:color="auto" w:sz="6" w:space="0"/>
            </w:tcBorders>
            <w:vAlign w:val="center"/>
          </w:tcPr>
          <w:p w14:paraId="6050530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（3）安全生产教育培训档案；</w:t>
            </w:r>
          </w:p>
          <w:p w14:paraId="1A4D615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（4）安全生产教育培训计划、记录；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（5）安全生产培训计划实施相关资料；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（6）企业相关部门及有关责任人员和主要负责人责任落实资料；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（7）图片或影像资料；</w:t>
            </w:r>
          </w:p>
          <w:p w14:paraId="19F0B72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3942E13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tcBorders>
              <w:top w:val="single" w:color="auto" w:sz="6" w:space="0"/>
              <w:left w:val="nil"/>
              <w:bottom w:val="single" w:color="auto" w:sz="6" w:space="0"/>
              <w:right w:val="single" w:color="auto" w:sz="4" w:space="0"/>
            </w:tcBorders>
            <w:vAlign w:val="center"/>
          </w:tcPr>
          <w:p w14:paraId="4DCB0897">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《安全生产培训管理办法》第三十六条第（一）项</w:t>
            </w:r>
            <w:r>
              <w:rPr>
                <w:rFonts w:hint="eastAsia" w:ascii="仿宋_GB2312" w:hAnsi="仿宋_GB2312" w:eastAsia="仿宋_GB2312" w:cs="仿宋_GB2312"/>
                <w:color w:val="auto"/>
                <w:kern w:val="0"/>
                <w:sz w:val="32"/>
                <w:szCs w:val="32"/>
              </w:rPr>
              <w:t>生产经营单位有下列情形之一的，责令改正，处3万元以下的罚款：</w:t>
            </w:r>
          </w:p>
          <w:p w14:paraId="4A17CC7C">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（一）从业人员安全培训的时间少于《生产经营单位安全培训规定》或者有关标准规定的；</w:t>
            </w:r>
          </w:p>
        </w:tc>
        <w:tc>
          <w:tcPr>
            <w:tcW w:w="948" w:type="dxa"/>
            <w:tcBorders>
              <w:top w:val="single" w:color="auto" w:sz="6" w:space="0"/>
              <w:left w:val="nil"/>
              <w:bottom w:val="single" w:color="auto" w:sz="6" w:space="0"/>
              <w:right w:val="single" w:color="auto" w:sz="6" w:space="0"/>
            </w:tcBorders>
          </w:tcPr>
          <w:p w14:paraId="5270CE96">
            <w:pPr>
              <w:widowControl/>
              <w:jc w:val="center"/>
              <w:rPr>
                <w:rFonts w:hint="eastAsia" w:ascii="仿宋_GB2312" w:hAnsi="仿宋_GB2312" w:eastAsia="仿宋_GB2312" w:cs="仿宋_GB2312"/>
                <w:b/>
                <w:bCs/>
                <w:color w:val="auto"/>
                <w:kern w:val="0"/>
                <w:sz w:val="32"/>
                <w:szCs w:val="32"/>
              </w:rPr>
            </w:pPr>
          </w:p>
        </w:tc>
      </w:tr>
      <w:tr w14:paraId="011D2D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38A65D67">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2EE8074D">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6" w:space="0"/>
              <w:right w:val="single" w:color="auto" w:sz="6" w:space="0"/>
            </w:tcBorders>
            <w:vAlign w:val="center"/>
          </w:tcPr>
          <w:p w14:paraId="3CED1A7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6.4主要负责人和安全生产管理人员培训</w:t>
            </w:r>
          </w:p>
        </w:tc>
        <w:tc>
          <w:tcPr>
            <w:tcW w:w="3899" w:type="dxa"/>
            <w:tcBorders>
              <w:top w:val="single" w:color="auto" w:sz="6" w:space="0"/>
              <w:left w:val="nil"/>
              <w:bottom w:val="single" w:color="auto" w:sz="6" w:space="0"/>
              <w:right w:val="single" w:color="auto" w:sz="6" w:space="0"/>
            </w:tcBorders>
            <w:vAlign w:val="center"/>
          </w:tcPr>
          <w:p w14:paraId="14F76AFC">
            <w:pPr>
              <w:widowControl/>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第二十七条第二款</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05C9BE7C">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《煤矿安全培训规定》第十七条第一款</w:t>
            </w:r>
            <w:r>
              <w:rPr>
                <w:rFonts w:hint="eastAsia" w:ascii="仿宋_GB2312" w:hAnsi="仿宋_GB2312" w:eastAsia="仿宋_GB2312" w:cs="仿宋_GB2312"/>
                <w:color w:val="auto"/>
                <w:kern w:val="0"/>
                <w:sz w:val="32"/>
                <w:szCs w:val="32"/>
              </w:rPr>
              <w:t>煤矿企业主要负责人和安全生产管理人员应当自任职之日起六个月内通过考核部门组织的安全生产知识和管理能力考核，并持续保持相应水平和能力。</w:t>
            </w:r>
          </w:p>
        </w:tc>
        <w:tc>
          <w:tcPr>
            <w:tcW w:w="3899" w:type="dxa"/>
            <w:tcBorders>
              <w:top w:val="single" w:color="auto" w:sz="6" w:space="0"/>
              <w:left w:val="nil"/>
              <w:bottom w:val="single" w:color="auto" w:sz="6" w:space="0"/>
              <w:right w:val="single" w:color="auto" w:sz="6" w:space="0"/>
            </w:tcBorders>
            <w:vAlign w:val="center"/>
          </w:tcPr>
          <w:p w14:paraId="0F16B9A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（4）主要负责人安全生产知识和管理能力合格证明、职责分工、岗位职责等资料；</w:t>
            </w:r>
          </w:p>
          <w:p w14:paraId="1222799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（5）配备安全生产管理人员登记表或者资料及相应人员安全生产知识和管理能力合格证明；</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（6）《现场检查记录》《责令限期整改指令书》等相关执法文书；</w:t>
            </w:r>
          </w:p>
          <w:p w14:paraId="72BCCFF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p w14:paraId="5346A7D9">
            <w:pPr>
              <w:widowControl/>
              <w:rPr>
                <w:rFonts w:hint="eastAsia" w:ascii="仿宋_GB2312" w:hAnsi="仿宋_GB2312" w:eastAsia="仿宋_GB2312" w:cs="仿宋_GB2312"/>
                <w:b/>
                <w:bCs/>
                <w:color w:val="auto"/>
                <w:kern w:val="0"/>
                <w:sz w:val="32"/>
                <w:szCs w:val="32"/>
              </w:rPr>
            </w:pPr>
          </w:p>
        </w:tc>
        <w:tc>
          <w:tcPr>
            <w:tcW w:w="3899" w:type="dxa"/>
            <w:tcBorders>
              <w:top w:val="single" w:color="auto" w:sz="6" w:space="0"/>
              <w:left w:val="nil"/>
              <w:bottom w:val="single" w:color="auto" w:sz="6" w:space="0"/>
              <w:right w:val="single" w:color="auto" w:sz="4" w:space="0"/>
            </w:tcBorders>
          </w:tcPr>
          <w:p w14:paraId="56FDC988">
            <w:pPr>
              <w:widowControl/>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第九十七条第二项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7929AE80">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（二）危险物品的生产、经营、储存、装卸单位以及矿山、金属冶炼、建筑施工、运输单位的主要负责人和安全生产管理人员未按照规定经考核合格的；</w:t>
            </w:r>
          </w:p>
          <w:p w14:paraId="1C8842BA">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《煤矿安全培训规定》第四十七条第（一）项</w:t>
            </w:r>
            <w:r>
              <w:rPr>
                <w:rFonts w:hint="eastAsia" w:ascii="仿宋_GB2312" w:hAnsi="仿宋_GB2312" w:eastAsia="仿宋_GB2312" w:cs="仿宋_GB2312"/>
                <w:color w:val="auto"/>
                <w:kern w:val="0"/>
                <w:sz w:val="32"/>
                <w:szCs w:val="32"/>
              </w:rPr>
              <w:t>煤矿企业有下列行为之一的，由煤矿安全培训主管部门或者煤矿安全监察机构责令其限期改正，可以处五万元以下的罚款；逾期未改正的，责令停产停业整顿，并处五万元以上十万元以下的罚款，对其直接负责的主管人员和其他直接责任人员处一万元以上二万元以下的罚款：</w:t>
            </w:r>
          </w:p>
          <w:p w14:paraId="57EEE493">
            <w:pPr>
              <w:widowControl/>
              <w:ind w:firstLine="640"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（一）主要负责人和安全生产管理人员未按照规定经考核合格的；</w:t>
            </w:r>
          </w:p>
        </w:tc>
        <w:tc>
          <w:tcPr>
            <w:tcW w:w="948" w:type="dxa"/>
            <w:tcBorders>
              <w:top w:val="single" w:color="auto" w:sz="6" w:space="0"/>
              <w:left w:val="nil"/>
              <w:bottom w:val="single" w:color="auto" w:sz="6" w:space="0"/>
              <w:right w:val="single" w:color="auto" w:sz="6" w:space="0"/>
            </w:tcBorders>
          </w:tcPr>
          <w:p w14:paraId="23564FB3">
            <w:pPr>
              <w:widowControl/>
              <w:jc w:val="center"/>
              <w:rPr>
                <w:rFonts w:hint="eastAsia" w:ascii="仿宋_GB2312" w:hAnsi="仿宋_GB2312" w:eastAsia="仿宋_GB2312" w:cs="仿宋_GB2312"/>
                <w:b/>
                <w:bCs/>
                <w:color w:val="auto"/>
                <w:kern w:val="0"/>
                <w:sz w:val="32"/>
                <w:szCs w:val="32"/>
              </w:rPr>
            </w:pPr>
          </w:p>
        </w:tc>
      </w:tr>
      <w:tr w14:paraId="5B8F5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82" w:hRule="atLeast"/>
          <w:jc w:val="center"/>
        </w:trPr>
        <w:tc>
          <w:tcPr>
            <w:tcW w:w="624" w:type="dxa"/>
            <w:tcBorders>
              <w:top w:val="single" w:color="auto" w:sz="6" w:space="0"/>
              <w:left w:val="single" w:color="auto" w:sz="6" w:space="0"/>
              <w:bottom w:val="single" w:color="auto" w:sz="6" w:space="0"/>
              <w:right w:val="single" w:color="auto" w:sz="6" w:space="0"/>
            </w:tcBorders>
            <w:noWrap/>
            <w:vAlign w:val="center"/>
          </w:tcPr>
          <w:p w14:paraId="023F43DB">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7</w:t>
            </w:r>
          </w:p>
        </w:tc>
        <w:tc>
          <w:tcPr>
            <w:tcW w:w="948" w:type="dxa"/>
            <w:tcBorders>
              <w:top w:val="single" w:color="auto" w:sz="6" w:space="0"/>
              <w:left w:val="nil"/>
              <w:bottom w:val="single" w:color="auto" w:sz="6" w:space="0"/>
              <w:right w:val="single" w:color="auto" w:sz="4" w:space="0"/>
            </w:tcBorders>
            <w:vAlign w:val="center"/>
          </w:tcPr>
          <w:p w14:paraId="4CB9ECA2">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安全费用</w:t>
            </w:r>
          </w:p>
          <w:p w14:paraId="23E1B9B6">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管理</w:t>
            </w:r>
          </w:p>
        </w:tc>
        <w:tc>
          <w:tcPr>
            <w:tcW w:w="948" w:type="dxa"/>
            <w:tcBorders>
              <w:top w:val="single" w:color="auto" w:sz="6" w:space="0"/>
              <w:left w:val="single" w:color="auto" w:sz="4" w:space="0"/>
              <w:bottom w:val="single" w:color="auto" w:sz="6" w:space="0"/>
              <w:right w:val="single" w:color="auto" w:sz="6" w:space="0"/>
            </w:tcBorders>
            <w:vAlign w:val="center"/>
          </w:tcPr>
          <w:p w14:paraId="1A2030CE">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提取和使用安全生产费用（重大生产安全事故隐患）</w:t>
            </w:r>
          </w:p>
        </w:tc>
        <w:tc>
          <w:tcPr>
            <w:tcW w:w="3899" w:type="dxa"/>
            <w:tcBorders>
              <w:top w:val="single" w:color="auto" w:sz="6" w:space="0"/>
              <w:left w:val="nil"/>
              <w:bottom w:val="single" w:color="auto" w:sz="6" w:space="0"/>
              <w:right w:val="single" w:color="auto" w:sz="6" w:space="0"/>
            </w:tcBorders>
            <w:vAlign w:val="center"/>
          </w:tcPr>
          <w:p w14:paraId="0325613C">
            <w:pPr>
              <w:widowControl/>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第二十三条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生产经营单位应当具备的安全生产条件所必需的资金投入，由生产经营单位的决策机构、主要负责人或者个人经营的投资人予以保证，并对由于安全生产所必需的资金投入不足导致的后果承担责任。</w:t>
            </w:r>
          </w:p>
          <w:p w14:paraId="5C5F8BC8">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14:paraId="3F4C5CEB">
            <w:pPr>
              <w:widowControl/>
              <w:ind w:firstLine="643" w:firstLineChars="200"/>
              <w:rPr>
                <w:rFonts w:hint="eastAsia" w:ascii="仿宋_GB2312" w:hAnsi="仿宋_GB2312" w:eastAsia="仿宋_GB2312" w:cs="仿宋_GB2312"/>
                <w:b/>
                <w:bCs/>
                <w:color w:val="auto"/>
                <w:kern w:val="0"/>
                <w:sz w:val="32"/>
                <w:szCs w:val="32"/>
              </w:rPr>
            </w:pPr>
          </w:p>
          <w:p w14:paraId="65B9215D">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《国务院关于预防煤矿生产安全事故的特别规定》第八条第二款第（十五）项</w:t>
            </w:r>
            <w:r>
              <w:rPr>
                <w:rFonts w:hint="eastAsia" w:ascii="仿宋_GB2312" w:hAnsi="仿宋_GB2312" w:eastAsia="仿宋_GB2312" w:cs="仿宋_GB2312"/>
                <w:color w:val="auto"/>
                <w:kern w:val="0"/>
                <w:sz w:val="32"/>
                <w:szCs w:val="32"/>
              </w:rPr>
              <w:t>煤矿有下列重大安全生产隐患和行为的，应当立即停止生产，排除隐患：（十五）有其他重大安全生产隐患的。</w:t>
            </w:r>
          </w:p>
          <w:p w14:paraId="7A698895">
            <w:pPr>
              <w:widowControl/>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《煤矿重大事故隐患判定标准》第十八条第（二）项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“其他重大事故隐患”，是指有下列情形之一的：</w:t>
            </w:r>
          </w:p>
          <w:p w14:paraId="7A974EFB">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（二）未按照国家规定足额提取或者未按照国家规定范围使用安全生产费用的；</w:t>
            </w:r>
          </w:p>
          <w:p w14:paraId="43DCA36C">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《企业安全生产费用提取和使用管理办法》第五条第一款</w:t>
            </w:r>
            <w:r>
              <w:rPr>
                <w:rFonts w:hint="eastAsia" w:ascii="仿宋_GB2312" w:hAnsi="仿宋_GB2312" w:eastAsia="仿宋_GB2312" w:cs="仿宋_GB2312"/>
                <w:color w:val="auto"/>
                <w:kern w:val="0"/>
                <w:sz w:val="32"/>
                <w:szCs w:val="32"/>
              </w:rPr>
              <w:t>煤炭生产企业依据开采的原煤产量按月提取。各类煤矿原煤单位产量安全费用提取标准如下:</w:t>
            </w:r>
          </w:p>
          <w:p w14:paraId="5F1A45B6">
            <w:pPr>
              <w:widowControl/>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(一)煤(岩)与瓦斯(二氧化碳)突出矿井、高瓦斯矿井吨煤30元;</w:t>
            </w:r>
          </w:p>
          <w:p w14:paraId="272D10D1">
            <w:pPr>
              <w:widowControl/>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(二)其他井工矿吨煤15元;</w:t>
            </w:r>
          </w:p>
          <w:p w14:paraId="1E3C46D7">
            <w:pPr>
              <w:widowControl/>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(三)露天矿吨煤5元。</w:t>
            </w:r>
          </w:p>
          <w:p w14:paraId="578D9DE7">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《企业安全生产费用提取和使用管理办法》第十七条</w:t>
            </w:r>
            <w:r>
              <w:rPr>
                <w:rFonts w:hint="eastAsia" w:ascii="仿宋_GB2312" w:hAnsi="仿宋_GB2312" w:eastAsia="仿宋_GB2312" w:cs="仿宋_GB2312"/>
                <w:color w:val="auto"/>
                <w:kern w:val="0"/>
                <w:sz w:val="32"/>
                <w:szCs w:val="32"/>
              </w:rPr>
              <w:t> 煤炭生产企业安全费用应当按照以下范围使用:</w:t>
            </w:r>
          </w:p>
          <w:p w14:paraId="34D2DC6C">
            <w:pPr>
              <w:widowControl/>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"https://baike.so.com/doc/5942513-26054866.html" \t "https://baike.so.com/doc/_blank" </w:instrText>
            </w:r>
            <w:r>
              <w:rPr>
                <w:rFonts w:hint="eastAsia" w:ascii="仿宋_GB2312" w:hAnsi="仿宋_GB2312" w:eastAsia="仿宋_GB2312" w:cs="仿宋_GB2312"/>
                <w:color w:val="auto"/>
                <w:sz w:val="32"/>
                <w:szCs w:val="32"/>
              </w:rPr>
              <w:fldChar w:fldCharType="separate"/>
            </w:r>
            <w:r>
              <w:rPr>
                <w:rStyle w:val="11"/>
                <w:rFonts w:hint="eastAsia" w:ascii="仿宋_GB2312" w:hAnsi="仿宋_GB2312" w:eastAsia="仿宋_GB2312" w:cs="仿宋_GB2312"/>
                <w:color w:val="auto"/>
                <w:kern w:val="0"/>
                <w:sz w:val="32"/>
                <w:szCs w:val="32"/>
                <w:u w:val="none"/>
              </w:rPr>
              <w:t>煤与瓦斯突出</w:t>
            </w:r>
            <w:r>
              <w:rPr>
                <w:rStyle w:val="11"/>
                <w:rFonts w:hint="eastAsia" w:ascii="仿宋_GB2312" w:hAnsi="仿宋_GB2312" w:eastAsia="仿宋_GB2312" w:cs="仿宋_GB2312"/>
                <w:color w:val="auto"/>
                <w:kern w:val="0"/>
                <w:sz w:val="32"/>
                <w:szCs w:val="32"/>
                <w:u w:val="none"/>
              </w:rPr>
              <w:fldChar w:fldCharType="end"/>
            </w:r>
            <w:r>
              <w:rPr>
                <w:rFonts w:hint="eastAsia" w:ascii="仿宋_GB2312" w:hAnsi="仿宋_GB2312" w:eastAsia="仿宋_GB2312" w:cs="仿宋_GB2312"/>
                <w:color w:val="auto"/>
                <w:kern w:val="0"/>
                <w:sz w:val="32"/>
                <w:szCs w:val="32"/>
              </w:rPr>
              <w:t>及高瓦斯矿井落实"两个四位一体"综合防突措施支出，包括瓦斯区域预抽、保护层开采区域防突措施、开展突出区域和局部预测、实施局部补充防突措施、更新改造防突设备和设施、建立突出防治实验室等支出;</w:t>
            </w:r>
          </w:p>
          <w:p w14:paraId="3C4B049C">
            <w:pPr>
              <w:widowControl/>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煤矿安全生产改造和重大隐患治理支出，包括"一通三防"(通风，防瓦斯、防煤尘、防灭火)、防治水、供电、运输等系统设备改造和灾害治理工程，实施煤矿机械化改造，实施矿压(冲击地压)、热害、露天矿边坡治理、采空区治理等支出;</w:t>
            </w:r>
          </w:p>
          <w:p w14:paraId="06BA769C">
            <w:pPr>
              <w:widowControl/>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(三)完善煤矿井下监测监控、人员定位、紧急避险、压风自救、供水施救和通信联络安全避险"六大系统"支出，应急救援技术装备、设施配置和维护保养支出，事故逃生和紧急避难设施设备的配置和应急演练支出;</w:t>
            </w:r>
          </w:p>
          <w:p w14:paraId="109A1493">
            <w:pPr>
              <w:widowControl/>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(四)开展重大危险源和事故隐患评估、监控和整改支出;</w:t>
            </w:r>
          </w:p>
          <w:p w14:paraId="1BB3467C">
            <w:pPr>
              <w:widowControl/>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"https://baike.so.com/doc/6755334-6969917.html" \t "https://baike.so.com/doc/_blank" </w:instrText>
            </w:r>
            <w:r>
              <w:rPr>
                <w:rFonts w:hint="eastAsia" w:ascii="仿宋_GB2312" w:hAnsi="仿宋_GB2312" w:eastAsia="仿宋_GB2312" w:cs="仿宋_GB2312"/>
                <w:color w:val="auto"/>
                <w:sz w:val="32"/>
                <w:szCs w:val="32"/>
              </w:rPr>
              <w:fldChar w:fldCharType="separate"/>
            </w:r>
            <w:r>
              <w:rPr>
                <w:rStyle w:val="11"/>
                <w:rFonts w:hint="eastAsia" w:ascii="仿宋_GB2312" w:hAnsi="仿宋_GB2312" w:eastAsia="仿宋_GB2312" w:cs="仿宋_GB2312"/>
                <w:color w:val="auto"/>
                <w:kern w:val="0"/>
                <w:sz w:val="32"/>
                <w:szCs w:val="32"/>
                <w:u w:val="none"/>
              </w:rPr>
              <w:t>安全生产检查</w:t>
            </w:r>
            <w:r>
              <w:rPr>
                <w:rStyle w:val="11"/>
                <w:rFonts w:hint="eastAsia" w:ascii="仿宋_GB2312" w:hAnsi="仿宋_GB2312" w:eastAsia="仿宋_GB2312" w:cs="仿宋_GB2312"/>
                <w:color w:val="auto"/>
                <w:kern w:val="0"/>
                <w:sz w:val="32"/>
                <w:szCs w:val="32"/>
                <w:u w:val="none"/>
              </w:rPr>
              <w:fldChar w:fldCharType="end"/>
            </w:r>
            <w:r>
              <w:rPr>
                <w:rFonts w:hint="eastAsia" w:ascii="仿宋_GB2312" w:hAnsi="仿宋_GB2312" w:eastAsia="仿宋_GB2312" w:cs="仿宋_GB2312"/>
                <w:color w:val="auto"/>
                <w:kern w:val="0"/>
                <w:sz w:val="32"/>
                <w:szCs w:val="32"/>
              </w:rPr>
              <w:t>、评价(不包括新建、改建、扩建项目安全评价)、咨询、标准化建设支出;</w:t>
            </w:r>
          </w:p>
          <w:p w14:paraId="4958F0FA">
            <w:pPr>
              <w:widowControl/>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(六)配备和更新现场作业人员安全防护用品支出;</w:t>
            </w:r>
          </w:p>
          <w:p w14:paraId="70F55545">
            <w:pPr>
              <w:widowControl/>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(七)安全生产宣传、教育、培训支出;</w:t>
            </w:r>
          </w:p>
          <w:p w14:paraId="160C5423">
            <w:pPr>
              <w:widowControl/>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(八)安全生产适用新技术、新工艺、新标准、新装备的推广应用支出;</w:t>
            </w:r>
          </w:p>
          <w:p w14:paraId="1975FF18">
            <w:pPr>
              <w:widowControl/>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(九)安全设施及特种设备检测检验支出;</w:t>
            </w:r>
          </w:p>
          <w:p w14:paraId="3AA9C59C">
            <w:pPr>
              <w:widowControl/>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(十)其他与安全生产直接相关的支出。</w:t>
            </w:r>
          </w:p>
        </w:tc>
        <w:tc>
          <w:tcPr>
            <w:tcW w:w="3899" w:type="dxa"/>
            <w:tcBorders>
              <w:top w:val="single" w:color="auto" w:sz="6" w:space="0"/>
              <w:left w:val="nil"/>
              <w:bottom w:val="single" w:color="auto" w:sz="6" w:space="0"/>
              <w:right w:val="single" w:color="auto" w:sz="6" w:space="0"/>
            </w:tcBorders>
            <w:vAlign w:val="center"/>
          </w:tcPr>
          <w:p w14:paraId="257D263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（3）安全生产费用提取和使用制度；</w:t>
            </w:r>
          </w:p>
          <w:p w14:paraId="0B206F1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（4）实际提取标准、使用范围【《企业安全生产费用提取和使用管理办法》（财企〔2012〕16号）等规定执行）】；</w:t>
            </w:r>
          </w:p>
          <w:p w14:paraId="60955CE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（5）使用项目清单；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（6）使用费用预决算财务资料；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（7）现场核实图片或影像资料；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（8）《现场检查记录》《责令限期整改指令书》等相关执法文书；</w:t>
            </w:r>
          </w:p>
          <w:p w14:paraId="053B8F7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tcBorders>
              <w:top w:val="single" w:color="auto" w:sz="6" w:space="0"/>
              <w:left w:val="nil"/>
              <w:bottom w:val="single" w:color="auto" w:sz="6" w:space="0"/>
              <w:right w:val="single" w:color="auto" w:sz="4" w:space="0"/>
            </w:tcBorders>
            <w:vAlign w:val="center"/>
          </w:tcPr>
          <w:p w14:paraId="7F0C5418">
            <w:pPr>
              <w:widowControl/>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第九十三条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18D830EB">
            <w:pPr>
              <w:widowControl/>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有前款违法行为，导致发生生产安全事故的，对生产经营单位的主要负责人给予撤职处分，对个人经营的投资人处二万元以上二十万元以下的罚款；构成犯罪的，依照刑法有关规定追究刑事责任。</w:t>
            </w:r>
          </w:p>
          <w:p w14:paraId="13D0E99B">
            <w:pPr>
              <w:widowControl/>
              <w:ind w:firstLine="643" w:firstLineChars="200"/>
              <w:rPr>
                <w:rFonts w:hint="eastAsia" w:ascii="仿宋_GB2312" w:hAnsi="仿宋_GB2312" w:eastAsia="仿宋_GB2312" w:cs="仿宋_GB2312"/>
                <w:b/>
                <w:bCs/>
                <w:color w:val="auto"/>
                <w:kern w:val="0"/>
                <w:sz w:val="32"/>
                <w:szCs w:val="32"/>
              </w:rPr>
            </w:pPr>
          </w:p>
          <w:p w14:paraId="6622D7F1">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2988B644">
            <w:pPr>
              <w:widowControl/>
              <w:jc w:val="center"/>
              <w:rPr>
                <w:rFonts w:hint="eastAsia" w:ascii="仿宋_GB2312" w:hAnsi="仿宋_GB2312" w:eastAsia="仿宋_GB2312" w:cs="仿宋_GB2312"/>
                <w:b/>
                <w:bCs/>
                <w:color w:val="auto"/>
                <w:kern w:val="0"/>
                <w:sz w:val="32"/>
                <w:szCs w:val="32"/>
              </w:rPr>
            </w:pPr>
          </w:p>
        </w:tc>
      </w:tr>
      <w:tr w14:paraId="2DA23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14:paraId="1EB57FEF">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8</w:t>
            </w:r>
          </w:p>
        </w:tc>
        <w:tc>
          <w:tcPr>
            <w:tcW w:w="948" w:type="dxa"/>
            <w:vMerge w:val="restart"/>
            <w:tcBorders>
              <w:top w:val="single" w:color="auto" w:sz="6" w:space="0"/>
              <w:left w:val="nil"/>
              <w:bottom w:val="single" w:color="auto" w:sz="6" w:space="0"/>
              <w:right w:val="single" w:color="auto" w:sz="4" w:space="0"/>
            </w:tcBorders>
            <w:vAlign w:val="center"/>
          </w:tcPr>
          <w:p w14:paraId="246B946E">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事故隐患排查治理</w:t>
            </w:r>
          </w:p>
        </w:tc>
        <w:tc>
          <w:tcPr>
            <w:tcW w:w="948" w:type="dxa"/>
            <w:tcBorders>
              <w:top w:val="single" w:color="auto" w:sz="4" w:space="0"/>
              <w:left w:val="single" w:color="auto" w:sz="4" w:space="0"/>
              <w:bottom w:val="single" w:color="auto" w:sz="4" w:space="0"/>
              <w:right w:val="single" w:color="auto" w:sz="6" w:space="0"/>
            </w:tcBorders>
            <w:vAlign w:val="center"/>
          </w:tcPr>
          <w:p w14:paraId="17A8A6D1">
            <w:pPr>
              <w:widowControl/>
              <w:rPr>
                <w:rFonts w:hint="eastAsia" w:ascii="仿宋_GB2312" w:hAnsi="仿宋_GB2312" w:eastAsia="仿宋_GB2312" w:cs="仿宋_GB2312"/>
                <w:color w:val="auto"/>
                <w:kern w:val="0"/>
                <w:sz w:val="32"/>
                <w:szCs w:val="32"/>
              </w:rPr>
            </w:pPr>
          </w:p>
          <w:p w14:paraId="493F9770">
            <w:pPr>
              <w:widowControl/>
              <w:rPr>
                <w:rFonts w:hint="eastAsia" w:ascii="仿宋_GB2312" w:hAnsi="仿宋_GB2312" w:eastAsia="仿宋_GB2312" w:cs="仿宋_GB2312"/>
                <w:color w:val="auto"/>
                <w:kern w:val="0"/>
                <w:sz w:val="32"/>
                <w:szCs w:val="32"/>
              </w:rPr>
            </w:pPr>
          </w:p>
          <w:p w14:paraId="42B26786">
            <w:pPr>
              <w:widowControl/>
              <w:rPr>
                <w:rFonts w:hint="eastAsia" w:ascii="仿宋_GB2312" w:hAnsi="仿宋_GB2312" w:eastAsia="仿宋_GB2312" w:cs="仿宋_GB2312"/>
                <w:color w:val="auto"/>
                <w:kern w:val="0"/>
                <w:sz w:val="32"/>
                <w:szCs w:val="32"/>
              </w:rPr>
            </w:pPr>
          </w:p>
          <w:p w14:paraId="6189A80A">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8.1事故隐患排查治理统计分析表</w:t>
            </w:r>
          </w:p>
        </w:tc>
        <w:tc>
          <w:tcPr>
            <w:tcW w:w="3899" w:type="dxa"/>
            <w:tcBorders>
              <w:top w:val="single" w:color="auto" w:sz="6" w:space="0"/>
              <w:left w:val="nil"/>
              <w:bottom w:val="single" w:color="auto" w:sz="6" w:space="0"/>
              <w:right w:val="single" w:color="auto" w:sz="6" w:space="0"/>
            </w:tcBorders>
            <w:vAlign w:val="center"/>
          </w:tcPr>
          <w:p w14:paraId="55714874">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《安全生产事故隐患排查治理暂行规定》第十四条第一款</w:t>
            </w:r>
            <w:r>
              <w:rPr>
                <w:rFonts w:hint="eastAsia" w:ascii="仿宋_GB2312" w:hAnsi="仿宋_GB2312" w:eastAsia="仿宋_GB2312" w:cs="仿宋_GB2312"/>
                <w:color w:val="auto"/>
                <w:kern w:val="0"/>
                <w:sz w:val="32"/>
                <w:szCs w:val="32"/>
              </w:rPr>
              <w:t>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tc>
        <w:tc>
          <w:tcPr>
            <w:tcW w:w="3899" w:type="dxa"/>
            <w:tcBorders>
              <w:top w:val="single" w:color="auto" w:sz="6" w:space="0"/>
              <w:left w:val="nil"/>
              <w:bottom w:val="single" w:color="auto" w:sz="6" w:space="0"/>
              <w:right w:val="single" w:color="auto" w:sz="6" w:space="0"/>
            </w:tcBorders>
            <w:vAlign w:val="center"/>
          </w:tcPr>
          <w:p w14:paraId="5274FE4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（3）事故隐患排查治理统计分析表（主要负责人必须签字）；</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（4）重大事故隐患报告（包括隐患的现状及其产生原因，隐患的危害程度和整改难易程度分析；</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隐患的治理方案）；</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（5）报告文件及签收记录；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（6）图片或影像资料；</w:t>
            </w:r>
          </w:p>
          <w:p w14:paraId="35156CB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（7）《现场检查记录》等相关执法文书；</w:t>
            </w:r>
          </w:p>
          <w:p w14:paraId="1EAB9D60">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tcBorders>
              <w:top w:val="single" w:color="auto" w:sz="6" w:space="0"/>
              <w:left w:val="nil"/>
              <w:bottom w:val="single" w:color="auto" w:sz="6" w:space="0"/>
              <w:right w:val="single" w:color="auto" w:sz="4" w:space="0"/>
            </w:tcBorders>
            <w:vAlign w:val="center"/>
          </w:tcPr>
          <w:p w14:paraId="28AE3256">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《安全生产事故隐患排查治理暂行规定》第二十六条第二项</w:t>
            </w:r>
            <w:r>
              <w:rPr>
                <w:rFonts w:hint="eastAsia" w:ascii="仿宋_GB2312" w:hAnsi="仿宋_GB2312" w:eastAsia="仿宋_GB2312" w:cs="仿宋_GB2312"/>
                <w:color w:val="auto"/>
                <w:kern w:val="0"/>
                <w:sz w:val="32"/>
                <w:szCs w:val="32"/>
              </w:rPr>
              <w:t>生产经营单位违反本规定，有下列行为之一的，由安全监管监察部门给予警告，并处三万元以下的罚款：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（二）未按规定上报事故隐患排查治理统计分析表的；</w:t>
            </w:r>
          </w:p>
        </w:tc>
        <w:tc>
          <w:tcPr>
            <w:tcW w:w="948" w:type="dxa"/>
            <w:tcBorders>
              <w:top w:val="single" w:color="auto" w:sz="6" w:space="0"/>
              <w:left w:val="nil"/>
              <w:bottom w:val="single" w:color="auto" w:sz="6" w:space="0"/>
              <w:right w:val="single" w:color="auto" w:sz="6" w:space="0"/>
            </w:tcBorders>
          </w:tcPr>
          <w:p w14:paraId="32E70FED">
            <w:pPr>
              <w:widowControl/>
              <w:jc w:val="center"/>
              <w:rPr>
                <w:rFonts w:hint="eastAsia" w:ascii="仿宋_GB2312" w:hAnsi="仿宋_GB2312" w:eastAsia="仿宋_GB2312" w:cs="仿宋_GB2312"/>
                <w:b/>
                <w:bCs/>
                <w:color w:val="auto"/>
                <w:kern w:val="0"/>
                <w:sz w:val="32"/>
                <w:szCs w:val="32"/>
              </w:rPr>
            </w:pPr>
          </w:p>
        </w:tc>
      </w:tr>
      <w:tr w14:paraId="604D8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2688209F">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0B0BEBE7">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401529F8">
            <w:pPr>
              <w:widowControl/>
              <w:rPr>
                <w:rFonts w:hint="eastAsia" w:ascii="仿宋_GB2312" w:hAnsi="仿宋_GB2312" w:eastAsia="仿宋_GB2312" w:cs="仿宋_GB2312"/>
                <w:color w:val="auto"/>
                <w:kern w:val="0"/>
                <w:sz w:val="32"/>
                <w:szCs w:val="32"/>
              </w:rPr>
            </w:pPr>
          </w:p>
          <w:p w14:paraId="436CD3DD">
            <w:pPr>
              <w:widowControl/>
              <w:rPr>
                <w:rFonts w:hint="eastAsia" w:ascii="仿宋_GB2312" w:hAnsi="仿宋_GB2312" w:eastAsia="仿宋_GB2312" w:cs="仿宋_GB2312"/>
                <w:color w:val="auto"/>
                <w:kern w:val="0"/>
                <w:sz w:val="32"/>
                <w:szCs w:val="32"/>
              </w:rPr>
            </w:pPr>
          </w:p>
          <w:p w14:paraId="2C386C22">
            <w:pPr>
              <w:widowControl/>
              <w:rPr>
                <w:rFonts w:hint="eastAsia" w:ascii="仿宋_GB2312" w:hAnsi="仿宋_GB2312" w:eastAsia="仿宋_GB2312" w:cs="仿宋_GB2312"/>
                <w:color w:val="auto"/>
                <w:kern w:val="0"/>
                <w:sz w:val="32"/>
                <w:szCs w:val="32"/>
              </w:rPr>
            </w:pPr>
          </w:p>
          <w:p w14:paraId="53A726FA">
            <w:pPr>
              <w:widowControl/>
              <w:rPr>
                <w:rFonts w:hint="eastAsia" w:ascii="仿宋_GB2312" w:hAnsi="仿宋_GB2312" w:eastAsia="仿宋_GB2312" w:cs="仿宋_GB2312"/>
                <w:color w:val="auto"/>
                <w:kern w:val="0"/>
                <w:sz w:val="32"/>
                <w:szCs w:val="32"/>
              </w:rPr>
            </w:pPr>
          </w:p>
          <w:p w14:paraId="36792C9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8.2重大事故隐患报告</w:t>
            </w:r>
          </w:p>
        </w:tc>
        <w:tc>
          <w:tcPr>
            <w:tcW w:w="3899" w:type="dxa"/>
            <w:tcBorders>
              <w:top w:val="single" w:color="auto" w:sz="6" w:space="0"/>
              <w:left w:val="nil"/>
              <w:bottom w:val="single" w:color="auto" w:sz="6" w:space="0"/>
              <w:right w:val="single" w:color="auto" w:sz="6" w:space="0"/>
            </w:tcBorders>
            <w:vAlign w:val="center"/>
          </w:tcPr>
          <w:p w14:paraId="22E6CF02">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《安全生产事故隐患排查治理暂行规定》第十四条第二款</w:t>
            </w:r>
            <w:r>
              <w:rPr>
                <w:rFonts w:hint="eastAsia" w:ascii="仿宋_GB2312" w:hAnsi="仿宋_GB2312" w:eastAsia="仿宋_GB2312" w:cs="仿宋_GB2312"/>
                <w:color w:val="auto"/>
                <w:kern w:val="0"/>
                <w:sz w:val="32"/>
                <w:szCs w:val="32"/>
              </w:rPr>
              <w:t>对于重大事故隐患，生产经营单位除依照前款规定报送外，应当及时向安全监管监察部门和有关部门报告。重大事故隐患报告内容应当包括：</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（一）隐患的现状及其产生原因；</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（二）隐患的危害程度和整改难易程度分析；</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（三）隐患的治理方案。</w:t>
            </w:r>
          </w:p>
        </w:tc>
        <w:tc>
          <w:tcPr>
            <w:tcW w:w="3899" w:type="dxa"/>
            <w:tcBorders>
              <w:top w:val="single" w:color="auto" w:sz="6" w:space="0"/>
              <w:left w:val="nil"/>
              <w:bottom w:val="single" w:color="auto" w:sz="6" w:space="0"/>
              <w:right w:val="single" w:color="auto" w:sz="6" w:space="0"/>
            </w:tcBorders>
            <w:vAlign w:val="center"/>
          </w:tcPr>
          <w:p w14:paraId="093C298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（3）企业安全检查记录；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（4）隐患排查治理登记资料；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（5）重大事故隐患报告（包括隐患的现状及其产生原因；隐患的危害程度和整改难易程度分析；隐患的治理方案）；</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（6）报告文件及签收记录；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（7）图片或影像资料；</w:t>
            </w:r>
          </w:p>
          <w:p w14:paraId="1B8412C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（8）《现场检查记录》等相关执法文书；</w:t>
            </w:r>
          </w:p>
          <w:p w14:paraId="73E5342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tcBorders>
              <w:top w:val="single" w:color="auto" w:sz="6" w:space="0"/>
              <w:left w:val="nil"/>
              <w:bottom w:val="single" w:color="auto" w:sz="6" w:space="0"/>
              <w:right w:val="single" w:color="auto" w:sz="4" w:space="0"/>
            </w:tcBorders>
            <w:vAlign w:val="center"/>
          </w:tcPr>
          <w:p w14:paraId="3F54E0FC">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《安全生产事故隐患排查治理暂行规定》第二十六条第四项</w:t>
            </w:r>
            <w:r>
              <w:rPr>
                <w:rFonts w:hint="eastAsia" w:ascii="仿宋_GB2312" w:hAnsi="仿宋_GB2312" w:eastAsia="仿宋_GB2312" w:cs="仿宋_GB2312"/>
                <w:color w:val="auto"/>
                <w:kern w:val="0"/>
                <w:sz w:val="32"/>
                <w:szCs w:val="32"/>
              </w:rPr>
              <w:t>生产经营单位违反本规定，有下列行为之一的，由安全监管监察部门给予警告，并处三万元以下的罚款：</w:t>
            </w:r>
          </w:p>
          <w:p w14:paraId="35DF543A">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（四）重大事故隐患不报或者未及时报告的；</w:t>
            </w:r>
          </w:p>
        </w:tc>
        <w:tc>
          <w:tcPr>
            <w:tcW w:w="948" w:type="dxa"/>
            <w:tcBorders>
              <w:top w:val="single" w:color="auto" w:sz="6" w:space="0"/>
              <w:left w:val="nil"/>
              <w:bottom w:val="single" w:color="auto" w:sz="6" w:space="0"/>
              <w:right w:val="single" w:color="auto" w:sz="6" w:space="0"/>
            </w:tcBorders>
          </w:tcPr>
          <w:p w14:paraId="10DAA9FA">
            <w:pPr>
              <w:widowControl/>
              <w:jc w:val="center"/>
              <w:rPr>
                <w:rFonts w:hint="eastAsia" w:ascii="仿宋_GB2312" w:hAnsi="仿宋_GB2312" w:eastAsia="仿宋_GB2312" w:cs="仿宋_GB2312"/>
                <w:b/>
                <w:bCs/>
                <w:color w:val="auto"/>
                <w:kern w:val="0"/>
                <w:sz w:val="32"/>
                <w:szCs w:val="32"/>
              </w:rPr>
            </w:pPr>
          </w:p>
        </w:tc>
      </w:tr>
      <w:tr w14:paraId="3B978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4629480E">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6BBCD87C">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5813DAEC">
            <w:pPr>
              <w:widowControl/>
              <w:rPr>
                <w:rFonts w:hint="eastAsia" w:ascii="仿宋_GB2312" w:hAnsi="仿宋_GB2312" w:eastAsia="仿宋_GB2312" w:cs="仿宋_GB2312"/>
                <w:color w:val="auto"/>
                <w:kern w:val="0"/>
                <w:sz w:val="32"/>
                <w:szCs w:val="32"/>
              </w:rPr>
            </w:pPr>
          </w:p>
          <w:p w14:paraId="3B4A15F3">
            <w:pPr>
              <w:widowControl/>
              <w:rPr>
                <w:rFonts w:hint="eastAsia" w:ascii="仿宋_GB2312" w:hAnsi="仿宋_GB2312" w:eastAsia="仿宋_GB2312" w:cs="仿宋_GB2312"/>
                <w:color w:val="auto"/>
                <w:kern w:val="0"/>
                <w:sz w:val="32"/>
                <w:szCs w:val="32"/>
              </w:rPr>
            </w:pPr>
          </w:p>
          <w:p w14:paraId="76DECFC3">
            <w:pPr>
              <w:widowControl/>
              <w:rPr>
                <w:rFonts w:hint="eastAsia" w:ascii="仿宋_GB2312" w:hAnsi="仿宋_GB2312" w:eastAsia="仿宋_GB2312" w:cs="仿宋_GB2312"/>
                <w:color w:val="auto"/>
                <w:kern w:val="0"/>
                <w:sz w:val="32"/>
                <w:szCs w:val="32"/>
              </w:rPr>
            </w:pPr>
          </w:p>
          <w:p w14:paraId="61DFF7D6">
            <w:pPr>
              <w:widowControl/>
              <w:rPr>
                <w:rFonts w:hint="eastAsia" w:ascii="仿宋_GB2312" w:hAnsi="仿宋_GB2312" w:eastAsia="仿宋_GB2312" w:cs="仿宋_GB2312"/>
                <w:color w:val="auto"/>
                <w:kern w:val="0"/>
                <w:sz w:val="32"/>
                <w:szCs w:val="32"/>
              </w:rPr>
            </w:pPr>
          </w:p>
          <w:p w14:paraId="19DFA1F6">
            <w:pPr>
              <w:widowControl/>
              <w:rPr>
                <w:rFonts w:hint="eastAsia" w:ascii="仿宋_GB2312" w:hAnsi="仿宋_GB2312" w:eastAsia="仿宋_GB2312" w:cs="仿宋_GB2312"/>
                <w:color w:val="auto"/>
                <w:kern w:val="0"/>
                <w:sz w:val="32"/>
                <w:szCs w:val="32"/>
              </w:rPr>
            </w:pPr>
          </w:p>
          <w:p w14:paraId="799DFD92">
            <w:pPr>
              <w:widowControl/>
              <w:rPr>
                <w:rFonts w:hint="eastAsia" w:ascii="仿宋_GB2312" w:hAnsi="仿宋_GB2312" w:eastAsia="仿宋_GB2312" w:cs="仿宋_GB2312"/>
                <w:color w:val="auto"/>
                <w:kern w:val="0"/>
                <w:sz w:val="32"/>
                <w:szCs w:val="32"/>
              </w:rPr>
            </w:pPr>
          </w:p>
          <w:p w14:paraId="48FF444E">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8.3事故隐患治理方案</w:t>
            </w:r>
          </w:p>
        </w:tc>
        <w:tc>
          <w:tcPr>
            <w:tcW w:w="3899" w:type="dxa"/>
            <w:tcBorders>
              <w:top w:val="single" w:color="auto" w:sz="6" w:space="0"/>
              <w:left w:val="nil"/>
              <w:bottom w:val="single" w:color="auto" w:sz="6" w:space="0"/>
              <w:right w:val="single" w:color="auto" w:sz="6" w:space="0"/>
            </w:tcBorders>
            <w:vAlign w:val="center"/>
          </w:tcPr>
          <w:p w14:paraId="1AB5B0A2">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《安全生产事故隐患排查治理暂行规定》第十五条</w:t>
            </w:r>
            <w:r>
              <w:rPr>
                <w:rFonts w:hint="eastAsia" w:ascii="仿宋_GB2312" w:hAnsi="仿宋_GB2312" w:eastAsia="仿宋_GB2312" w:cs="仿宋_GB2312"/>
                <w:color w:val="auto"/>
                <w:kern w:val="0"/>
                <w:sz w:val="32"/>
                <w:szCs w:val="32"/>
              </w:rPr>
              <w:t>对于一般事故隐患，由生产经营单位（车间、分厂、区队等）负责人或者有关人员立即组织整改。</w:t>
            </w:r>
          </w:p>
          <w:p w14:paraId="6491DFC8">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对于重大事故隐患，由生产经营单位主要负责人组织制定并实施事故隐患治理方案。重大事故隐患治理方案应当包括以下内容：</w:t>
            </w:r>
          </w:p>
          <w:p w14:paraId="676B4C6C">
            <w:pPr>
              <w:widowControl/>
              <w:ind w:left="418" w:leftChars="19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（一）治理的目标和任务；</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（二）采取的方法和措施；</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（三）经费和物资的落实；</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（四）负责治理的机构和人员；</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（五）治理的时限和要求；</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（六）安全措施和应急预案。</w:t>
            </w:r>
          </w:p>
        </w:tc>
        <w:tc>
          <w:tcPr>
            <w:tcW w:w="3899" w:type="dxa"/>
            <w:tcBorders>
              <w:top w:val="single" w:color="auto" w:sz="6" w:space="0"/>
              <w:left w:val="nil"/>
              <w:bottom w:val="single" w:color="auto" w:sz="6" w:space="0"/>
              <w:right w:val="single" w:color="auto" w:sz="6" w:space="0"/>
            </w:tcBorders>
            <w:vAlign w:val="center"/>
          </w:tcPr>
          <w:p w14:paraId="346E7CA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（3）企业安全检查记录；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（4）隐患排查治理登记资料；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（5）隐患整改资料；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（6）隐患复查验收资料；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（7）隐患治理方案；</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（8）图片或影像资料；</w:t>
            </w:r>
          </w:p>
          <w:p w14:paraId="686938E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（9）《现场检查记录》等相关执法文书；</w:t>
            </w:r>
          </w:p>
          <w:p w14:paraId="11380E00">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tcBorders>
              <w:top w:val="single" w:color="auto" w:sz="6" w:space="0"/>
              <w:left w:val="nil"/>
              <w:bottom w:val="single" w:color="auto" w:sz="6" w:space="0"/>
              <w:right w:val="single" w:color="auto" w:sz="4" w:space="0"/>
            </w:tcBorders>
            <w:vAlign w:val="center"/>
          </w:tcPr>
          <w:p w14:paraId="7FDBBE55">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《安全生产事故隐患排查治理暂行规定》第二十六条第三项</w:t>
            </w:r>
            <w:r>
              <w:rPr>
                <w:rFonts w:hint="eastAsia" w:ascii="仿宋_GB2312" w:hAnsi="仿宋_GB2312" w:eastAsia="仿宋_GB2312" w:cs="仿宋_GB2312"/>
                <w:color w:val="auto"/>
                <w:kern w:val="0"/>
                <w:sz w:val="32"/>
                <w:szCs w:val="32"/>
              </w:rPr>
              <w:t>生产经营单位违反本规定，有下列行为之一的，由安全监管监察部门给予警告，并处三万元以下的罚款：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（三）未制定事故隐患治理方案的；</w:t>
            </w:r>
          </w:p>
        </w:tc>
        <w:tc>
          <w:tcPr>
            <w:tcW w:w="948" w:type="dxa"/>
            <w:tcBorders>
              <w:top w:val="single" w:color="auto" w:sz="6" w:space="0"/>
              <w:left w:val="nil"/>
              <w:bottom w:val="single" w:color="auto" w:sz="6" w:space="0"/>
              <w:right w:val="single" w:color="auto" w:sz="6" w:space="0"/>
            </w:tcBorders>
          </w:tcPr>
          <w:p w14:paraId="58200628">
            <w:pPr>
              <w:widowControl/>
              <w:jc w:val="center"/>
              <w:rPr>
                <w:rFonts w:hint="eastAsia" w:ascii="仿宋_GB2312" w:hAnsi="仿宋_GB2312" w:eastAsia="仿宋_GB2312" w:cs="仿宋_GB2312"/>
                <w:b/>
                <w:bCs/>
                <w:color w:val="auto"/>
                <w:kern w:val="0"/>
                <w:sz w:val="32"/>
                <w:szCs w:val="32"/>
              </w:rPr>
            </w:pPr>
          </w:p>
        </w:tc>
      </w:tr>
      <w:tr w14:paraId="6A6D0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tcBorders>
              <w:top w:val="single" w:color="auto" w:sz="6" w:space="0"/>
              <w:left w:val="single" w:color="auto" w:sz="6" w:space="0"/>
              <w:bottom w:val="single" w:color="auto" w:sz="6" w:space="0"/>
              <w:right w:val="single" w:color="auto" w:sz="6" w:space="0"/>
            </w:tcBorders>
            <w:noWrap/>
            <w:vAlign w:val="center"/>
          </w:tcPr>
          <w:p w14:paraId="69FF74CC">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9</w:t>
            </w:r>
          </w:p>
        </w:tc>
        <w:tc>
          <w:tcPr>
            <w:tcW w:w="948" w:type="dxa"/>
            <w:tcBorders>
              <w:top w:val="single" w:color="auto" w:sz="6" w:space="0"/>
              <w:left w:val="nil"/>
              <w:bottom w:val="single" w:color="auto" w:sz="6" w:space="0"/>
              <w:right w:val="single" w:color="auto" w:sz="6" w:space="0"/>
            </w:tcBorders>
            <w:vAlign w:val="center"/>
          </w:tcPr>
          <w:p w14:paraId="08C8E9FF">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安全生产许可</w:t>
            </w:r>
          </w:p>
        </w:tc>
        <w:tc>
          <w:tcPr>
            <w:tcW w:w="948" w:type="dxa"/>
            <w:tcBorders>
              <w:top w:val="single" w:color="auto" w:sz="4" w:space="0"/>
              <w:left w:val="nil"/>
              <w:bottom w:val="single" w:color="auto" w:sz="4" w:space="0"/>
              <w:right w:val="single" w:color="auto" w:sz="6" w:space="0"/>
            </w:tcBorders>
            <w:vAlign w:val="center"/>
          </w:tcPr>
          <w:p w14:paraId="43C67FD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安全生产许可证延期</w:t>
            </w:r>
          </w:p>
        </w:tc>
        <w:tc>
          <w:tcPr>
            <w:tcW w:w="3899" w:type="dxa"/>
            <w:tcBorders>
              <w:top w:val="single" w:color="auto" w:sz="6" w:space="0"/>
              <w:left w:val="nil"/>
              <w:bottom w:val="single" w:color="auto" w:sz="6" w:space="0"/>
              <w:right w:val="single" w:color="auto" w:sz="6" w:space="0"/>
            </w:tcBorders>
            <w:vAlign w:val="center"/>
          </w:tcPr>
          <w:p w14:paraId="1C3DA802">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《安全生产许可证条例》第九条第一款</w:t>
            </w:r>
            <w:r>
              <w:rPr>
                <w:rFonts w:hint="eastAsia" w:ascii="仿宋_GB2312" w:hAnsi="仿宋_GB2312" w:eastAsia="仿宋_GB2312" w:cs="仿宋_GB2312"/>
                <w:color w:val="auto"/>
                <w:kern w:val="0"/>
                <w:sz w:val="32"/>
                <w:szCs w:val="32"/>
              </w:rPr>
              <w:t>安全生产许可证的有效期为3年。安全生产许可证有效期满需要延期的，企业应当于期满前3个月向原安全生产许可证颁发管理机关办理延期手续。</w:t>
            </w:r>
          </w:p>
        </w:tc>
        <w:tc>
          <w:tcPr>
            <w:tcW w:w="3899" w:type="dxa"/>
            <w:tcBorders>
              <w:top w:val="single" w:color="auto" w:sz="6" w:space="0"/>
              <w:left w:val="nil"/>
              <w:bottom w:val="single" w:color="auto" w:sz="6" w:space="0"/>
              <w:right w:val="single" w:color="auto" w:sz="6" w:space="0"/>
            </w:tcBorders>
            <w:vAlign w:val="center"/>
          </w:tcPr>
          <w:p w14:paraId="0DB91D7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（3）生产经营相关记录；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（5）《现场检查记录》等相关执法文书；</w:t>
            </w:r>
          </w:p>
          <w:p w14:paraId="05B04CC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（6）其他相关证据。</w:t>
            </w:r>
          </w:p>
        </w:tc>
        <w:tc>
          <w:tcPr>
            <w:tcW w:w="3899" w:type="dxa"/>
            <w:tcBorders>
              <w:top w:val="single" w:color="auto" w:sz="6" w:space="0"/>
              <w:left w:val="nil"/>
              <w:bottom w:val="single" w:color="auto" w:sz="6" w:space="0"/>
              <w:right w:val="single" w:color="auto" w:sz="4" w:space="0"/>
            </w:tcBorders>
          </w:tcPr>
          <w:p w14:paraId="21B3DCB8">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《安全生产许可证条例》第十九条</w:t>
            </w:r>
            <w:r>
              <w:rPr>
                <w:rFonts w:hint="eastAsia" w:ascii="仿宋_GB2312" w:hAnsi="仿宋_GB2312" w:eastAsia="仿宋_GB2312" w:cs="仿宋_GB2312"/>
                <w:color w:val="auto"/>
                <w:kern w:val="0"/>
                <w:sz w:val="32"/>
                <w:szCs w:val="32"/>
              </w:rPr>
              <w:t>违反本条例规定，未取得安全生产许可证擅自进行生产的，责令停止生产，没收违法所得，并处10万元以上50万元以下的罚款；造成重大事故或者其他严重后果，构成犯罪的，依法追究刑事责任。</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bCs/>
                <w:color w:val="auto"/>
                <w:kern w:val="0"/>
                <w:sz w:val="32"/>
                <w:szCs w:val="32"/>
              </w:rPr>
              <w:t>《安全生产许可证条例》第二十条</w:t>
            </w:r>
            <w:r>
              <w:rPr>
                <w:rFonts w:hint="eastAsia" w:ascii="仿宋_GB2312" w:hAnsi="仿宋_GB2312" w:eastAsia="仿宋_GB2312" w:cs="仿宋_GB2312"/>
                <w:color w:val="auto"/>
                <w:kern w:val="0"/>
                <w:sz w:val="32"/>
                <w:szCs w:val="32"/>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tc>
        <w:tc>
          <w:tcPr>
            <w:tcW w:w="948" w:type="dxa"/>
            <w:tcBorders>
              <w:top w:val="single" w:color="auto" w:sz="6" w:space="0"/>
              <w:left w:val="nil"/>
              <w:bottom w:val="single" w:color="auto" w:sz="6" w:space="0"/>
              <w:right w:val="single" w:color="auto" w:sz="6" w:space="0"/>
            </w:tcBorders>
          </w:tcPr>
          <w:p w14:paraId="4C34319B">
            <w:pPr>
              <w:widowControl/>
              <w:jc w:val="center"/>
              <w:rPr>
                <w:rFonts w:hint="eastAsia" w:ascii="仿宋_GB2312" w:hAnsi="仿宋_GB2312" w:eastAsia="仿宋_GB2312" w:cs="仿宋_GB2312"/>
                <w:b/>
                <w:bCs/>
                <w:color w:val="auto"/>
                <w:kern w:val="0"/>
                <w:sz w:val="32"/>
                <w:szCs w:val="32"/>
              </w:rPr>
            </w:pPr>
          </w:p>
        </w:tc>
      </w:tr>
      <w:tr w14:paraId="7B8C5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8" w:hRule="atLeast"/>
          <w:jc w:val="center"/>
        </w:trPr>
        <w:tc>
          <w:tcPr>
            <w:tcW w:w="624" w:type="dxa"/>
            <w:vMerge w:val="restart"/>
            <w:tcBorders>
              <w:top w:val="single" w:color="auto" w:sz="6" w:space="0"/>
              <w:left w:val="single" w:color="auto" w:sz="6" w:space="0"/>
              <w:right w:val="single" w:color="auto" w:sz="6" w:space="0"/>
            </w:tcBorders>
            <w:noWrap/>
          </w:tcPr>
          <w:p w14:paraId="3947C93F">
            <w:pPr>
              <w:widowControl/>
              <w:jc w:val="center"/>
              <w:rPr>
                <w:rFonts w:hint="eastAsia" w:ascii="仿宋_GB2312" w:hAnsi="仿宋_GB2312" w:eastAsia="仿宋_GB2312" w:cs="仿宋_GB2312"/>
                <w:bCs/>
                <w:color w:val="auto"/>
                <w:kern w:val="0"/>
                <w:sz w:val="32"/>
                <w:szCs w:val="32"/>
              </w:rPr>
            </w:pPr>
          </w:p>
          <w:p w14:paraId="258C46EB">
            <w:pPr>
              <w:widowControl/>
              <w:jc w:val="center"/>
              <w:rPr>
                <w:rFonts w:hint="eastAsia" w:ascii="仿宋_GB2312" w:hAnsi="仿宋_GB2312" w:eastAsia="仿宋_GB2312" w:cs="仿宋_GB2312"/>
                <w:bCs/>
                <w:color w:val="auto"/>
                <w:kern w:val="0"/>
                <w:sz w:val="32"/>
                <w:szCs w:val="32"/>
              </w:rPr>
            </w:pPr>
          </w:p>
          <w:p w14:paraId="5DF136E4">
            <w:pPr>
              <w:widowControl/>
              <w:jc w:val="center"/>
              <w:rPr>
                <w:rFonts w:hint="eastAsia" w:ascii="仿宋_GB2312" w:hAnsi="仿宋_GB2312" w:eastAsia="仿宋_GB2312" w:cs="仿宋_GB2312"/>
                <w:bCs/>
                <w:color w:val="auto"/>
                <w:kern w:val="0"/>
                <w:sz w:val="32"/>
                <w:szCs w:val="32"/>
              </w:rPr>
            </w:pPr>
          </w:p>
          <w:p w14:paraId="25F3D1CB">
            <w:pPr>
              <w:widowControl/>
              <w:jc w:val="center"/>
              <w:rPr>
                <w:rFonts w:hint="eastAsia" w:ascii="仿宋_GB2312" w:hAnsi="仿宋_GB2312" w:eastAsia="仿宋_GB2312" w:cs="仿宋_GB2312"/>
                <w:bCs/>
                <w:color w:val="auto"/>
                <w:kern w:val="0"/>
                <w:sz w:val="32"/>
                <w:szCs w:val="32"/>
              </w:rPr>
            </w:pPr>
          </w:p>
          <w:p w14:paraId="5D751EEF">
            <w:pPr>
              <w:widowControl/>
              <w:jc w:val="center"/>
              <w:rPr>
                <w:rFonts w:hint="eastAsia" w:ascii="仿宋_GB2312" w:hAnsi="仿宋_GB2312" w:eastAsia="仿宋_GB2312" w:cs="仿宋_GB2312"/>
                <w:bCs/>
                <w:color w:val="auto"/>
                <w:kern w:val="0"/>
                <w:sz w:val="32"/>
                <w:szCs w:val="32"/>
              </w:rPr>
            </w:pPr>
          </w:p>
          <w:p w14:paraId="2149BD87">
            <w:pPr>
              <w:widowControl/>
              <w:jc w:val="center"/>
              <w:rPr>
                <w:rFonts w:hint="eastAsia" w:ascii="仿宋_GB2312" w:hAnsi="仿宋_GB2312" w:eastAsia="仿宋_GB2312" w:cs="仿宋_GB2312"/>
                <w:bCs/>
                <w:color w:val="auto"/>
                <w:kern w:val="0"/>
                <w:sz w:val="32"/>
                <w:szCs w:val="32"/>
              </w:rPr>
            </w:pPr>
          </w:p>
          <w:p w14:paraId="506704DB">
            <w:pPr>
              <w:widowControl/>
              <w:jc w:val="center"/>
              <w:rPr>
                <w:rFonts w:hint="eastAsia" w:ascii="仿宋_GB2312" w:hAnsi="仿宋_GB2312" w:eastAsia="仿宋_GB2312" w:cs="仿宋_GB2312"/>
                <w:bCs/>
                <w:color w:val="auto"/>
                <w:kern w:val="0"/>
                <w:sz w:val="32"/>
                <w:szCs w:val="32"/>
              </w:rPr>
            </w:pPr>
          </w:p>
          <w:p w14:paraId="0EE608C2">
            <w:pPr>
              <w:widowControl/>
              <w:jc w:val="center"/>
              <w:rPr>
                <w:rFonts w:hint="eastAsia" w:ascii="仿宋_GB2312" w:hAnsi="仿宋_GB2312" w:eastAsia="仿宋_GB2312" w:cs="仿宋_GB2312"/>
                <w:bCs/>
                <w:color w:val="auto"/>
                <w:kern w:val="0"/>
                <w:sz w:val="32"/>
                <w:szCs w:val="32"/>
              </w:rPr>
            </w:pPr>
          </w:p>
          <w:p w14:paraId="16AEF03E">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10</w:t>
            </w:r>
          </w:p>
        </w:tc>
        <w:tc>
          <w:tcPr>
            <w:tcW w:w="948" w:type="dxa"/>
            <w:vMerge w:val="restart"/>
            <w:tcBorders>
              <w:top w:val="single" w:color="auto" w:sz="6" w:space="0"/>
              <w:left w:val="nil"/>
              <w:bottom w:val="single" w:color="auto" w:sz="6" w:space="0"/>
              <w:right w:val="single" w:color="auto" w:sz="6" w:space="0"/>
            </w:tcBorders>
          </w:tcPr>
          <w:p w14:paraId="5AD71651">
            <w:pPr>
              <w:widowControl/>
              <w:jc w:val="center"/>
              <w:rPr>
                <w:rFonts w:hint="eastAsia" w:ascii="仿宋_GB2312" w:hAnsi="仿宋_GB2312" w:eastAsia="仿宋_GB2312" w:cs="仿宋_GB2312"/>
                <w:bCs/>
                <w:color w:val="auto"/>
                <w:kern w:val="0"/>
                <w:sz w:val="32"/>
                <w:szCs w:val="32"/>
              </w:rPr>
            </w:pPr>
          </w:p>
          <w:p w14:paraId="1D8A62B4">
            <w:pPr>
              <w:widowControl/>
              <w:jc w:val="center"/>
              <w:rPr>
                <w:rFonts w:hint="eastAsia" w:ascii="仿宋_GB2312" w:hAnsi="仿宋_GB2312" w:eastAsia="仿宋_GB2312" w:cs="仿宋_GB2312"/>
                <w:bCs/>
                <w:color w:val="auto"/>
                <w:kern w:val="0"/>
                <w:sz w:val="32"/>
                <w:szCs w:val="32"/>
              </w:rPr>
            </w:pPr>
          </w:p>
          <w:p w14:paraId="665881BF">
            <w:pPr>
              <w:widowControl/>
              <w:jc w:val="center"/>
              <w:rPr>
                <w:rFonts w:hint="eastAsia" w:ascii="仿宋_GB2312" w:hAnsi="仿宋_GB2312" w:eastAsia="仿宋_GB2312" w:cs="仿宋_GB2312"/>
                <w:bCs/>
                <w:color w:val="auto"/>
                <w:kern w:val="0"/>
                <w:sz w:val="32"/>
                <w:szCs w:val="32"/>
              </w:rPr>
            </w:pPr>
          </w:p>
          <w:p w14:paraId="550DBB31">
            <w:pPr>
              <w:widowControl/>
              <w:jc w:val="center"/>
              <w:rPr>
                <w:rFonts w:hint="eastAsia" w:ascii="仿宋_GB2312" w:hAnsi="仿宋_GB2312" w:eastAsia="仿宋_GB2312" w:cs="仿宋_GB2312"/>
                <w:bCs/>
                <w:color w:val="auto"/>
                <w:kern w:val="0"/>
                <w:sz w:val="32"/>
                <w:szCs w:val="32"/>
              </w:rPr>
            </w:pPr>
          </w:p>
          <w:p w14:paraId="7CC293B0">
            <w:pPr>
              <w:widowControl/>
              <w:jc w:val="center"/>
              <w:rPr>
                <w:rFonts w:hint="eastAsia" w:ascii="仿宋_GB2312" w:hAnsi="仿宋_GB2312" w:eastAsia="仿宋_GB2312" w:cs="仿宋_GB2312"/>
                <w:bCs/>
                <w:color w:val="auto"/>
                <w:kern w:val="0"/>
                <w:sz w:val="32"/>
                <w:szCs w:val="32"/>
              </w:rPr>
            </w:pPr>
          </w:p>
          <w:p w14:paraId="01486C5E">
            <w:pPr>
              <w:widowControl/>
              <w:jc w:val="center"/>
              <w:rPr>
                <w:rFonts w:hint="eastAsia" w:ascii="仿宋_GB2312" w:hAnsi="仿宋_GB2312" w:eastAsia="仿宋_GB2312" w:cs="仿宋_GB2312"/>
                <w:bCs/>
                <w:color w:val="auto"/>
                <w:kern w:val="0"/>
                <w:sz w:val="32"/>
                <w:szCs w:val="32"/>
              </w:rPr>
            </w:pPr>
          </w:p>
          <w:p w14:paraId="4CA23A25">
            <w:pPr>
              <w:widowControl/>
              <w:jc w:val="center"/>
              <w:rPr>
                <w:rFonts w:hint="eastAsia" w:ascii="仿宋_GB2312" w:hAnsi="仿宋_GB2312" w:eastAsia="仿宋_GB2312" w:cs="仿宋_GB2312"/>
                <w:bCs/>
                <w:color w:val="auto"/>
                <w:kern w:val="0"/>
                <w:sz w:val="32"/>
                <w:szCs w:val="32"/>
              </w:rPr>
            </w:pPr>
          </w:p>
          <w:p w14:paraId="2CFC19E1">
            <w:pPr>
              <w:widowControl/>
              <w:jc w:val="center"/>
              <w:rPr>
                <w:rFonts w:hint="eastAsia" w:ascii="仿宋_GB2312" w:hAnsi="仿宋_GB2312" w:eastAsia="仿宋_GB2312" w:cs="仿宋_GB2312"/>
                <w:bCs/>
                <w:color w:val="auto"/>
                <w:kern w:val="0"/>
                <w:sz w:val="32"/>
                <w:szCs w:val="32"/>
              </w:rPr>
            </w:pPr>
          </w:p>
          <w:p w14:paraId="69AE801C">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日常安全管理</w:t>
            </w:r>
          </w:p>
        </w:tc>
        <w:tc>
          <w:tcPr>
            <w:tcW w:w="948" w:type="dxa"/>
            <w:tcBorders>
              <w:top w:val="single" w:color="auto" w:sz="4" w:space="0"/>
              <w:left w:val="nil"/>
              <w:bottom w:val="single" w:color="auto" w:sz="4" w:space="0"/>
              <w:right w:val="single" w:color="auto" w:sz="6" w:space="0"/>
            </w:tcBorders>
            <w:vAlign w:val="center"/>
          </w:tcPr>
          <w:p w14:paraId="5D224C7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10.1劳动保护用品</w:t>
            </w:r>
          </w:p>
        </w:tc>
        <w:tc>
          <w:tcPr>
            <w:tcW w:w="3899" w:type="dxa"/>
            <w:tcBorders>
              <w:top w:val="single" w:color="auto" w:sz="6" w:space="0"/>
              <w:left w:val="nil"/>
              <w:bottom w:val="single" w:color="auto" w:sz="6" w:space="0"/>
              <w:right w:val="single" w:color="auto" w:sz="6" w:space="0"/>
            </w:tcBorders>
            <w:vAlign w:val="center"/>
          </w:tcPr>
          <w:p w14:paraId="499CCBED">
            <w:pPr>
              <w:widowControl/>
              <w:ind w:firstLine="643" w:firstLineChars="200"/>
              <w:rPr>
                <w:rFonts w:hint="eastAsia" w:ascii="仿宋_GB2312" w:hAnsi="仿宋_GB2312" w:eastAsia="仿宋_GB2312" w:cs="仿宋_GB2312"/>
                <w:b/>
                <w:bCs/>
                <w:color w:val="auto"/>
                <w:kern w:val="0"/>
                <w:sz w:val="32"/>
                <w:szCs w:val="32"/>
              </w:rPr>
            </w:pPr>
          </w:p>
          <w:p w14:paraId="5EA18052">
            <w:pPr>
              <w:widowControl/>
              <w:ind w:firstLine="643" w:firstLineChars="200"/>
              <w:rPr>
                <w:rFonts w:hint="eastAsia" w:ascii="仿宋_GB2312" w:hAnsi="仿宋_GB2312" w:eastAsia="仿宋_GB2312" w:cs="仿宋_GB2312"/>
                <w:b/>
                <w:bCs/>
                <w:color w:val="auto"/>
                <w:kern w:val="0"/>
                <w:sz w:val="32"/>
                <w:szCs w:val="32"/>
              </w:rPr>
            </w:pPr>
          </w:p>
          <w:p w14:paraId="17597704">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第四十五条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生产经营单位必须为从业人员提供符合国家标准或者行业标准的劳动防护用品，并监督、教育从业人员按照使用规则佩戴、使用。</w:t>
            </w:r>
          </w:p>
          <w:p w14:paraId="23CCDDA8">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《四川省安全生产条例》第三十四条第一款</w:t>
            </w:r>
            <w:r>
              <w:rPr>
                <w:rFonts w:hint="eastAsia" w:ascii="仿宋_GB2312" w:hAnsi="仿宋_GB2312" w:eastAsia="仿宋_GB2312" w:cs="仿宋_GB2312"/>
                <w:color w:val="auto"/>
                <w:kern w:val="0"/>
                <w:sz w:val="32"/>
                <w:szCs w:val="32"/>
              </w:rPr>
              <w:t>生产经营单位应当按照规定免费为从业人员提供符合国家标准或者行业标准的劳动防护用品、用具，并教育、督促从业人员正确佩戴、使用。生产经营单位不得以现金或者其他物品替代劳动防护用品、用具。</w:t>
            </w:r>
          </w:p>
        </w:tc>
        <w:tc>
          <w:tcPr>
            <w:tcW w:w="3899" w:type="dxa"/>
            <w:tcBorders>
              <w:top w:val="single" w:color="auto" w:sz="6" w:space="0"/>
              <w:left w:val="nil"/>
              <w:bottom w:val="single" w:color="auto" w:sz="6" w:space="0"/>
              <w:right w:val="single" w:color="auto" w:sz="6" w:space="0"/>
            </w:tcBorders>
            <w:vAlign w:val="center"/>
          </w:tcPr>
          <w:p w14:paraId="0B6E40F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（3）劳动防护用品管理制度；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（4）劳动防护用品购买合同；</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（5）劳动防护用品购买发票及相关财务资料；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（6）劳动防护用品合格证；</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（7）劳动防护用品使用说明书；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（8）劳动防护用品佩戴使用培训记录；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（9）劳动防护用品发放登记资料；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（10）现场核实佩戴使用情况；</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（11）劳动防护用品抽检情况，是否符</w:t>
            </w:r>
          </w:p>
          <w:p w14:paraId="6E764B5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合国家标准、行业标准；</w:t>
            </w:r>
          </w:p>
          <w:p w14:paraId="2AF3696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（13）《现场检查记录》《责令限期整改指令书》等相关执法文书；</w:t>
            </w:r>
          </w:p>
          <w:p w14:paraId="7C3F5ED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（14）其他相关证据。</w:t>
            </w:r>
          </w:p>
        </w:tc>
        <w:tc>
          <w:tcPr>
            <w:tcW w:w="3899" w:type="dxa"/>
            <w:tcBorders>
              <w:top w:val="single" w:color="auto" w:sz="6" w:space="0"/>
              <w:left w:val="nil"/>
              <w:bottom w:val="single" w:color="auto" w:sz="6" w:space="0"/>
              <w:right w:val="single" w:color="auto" w:sz="4" w:space="0"/>
            </w:tcBorders>
          </w:tcPr>
          <w:p w14:paraId="65B04211">
            <w:pPr>
              <w:widowControl/>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第九十九条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7B8C72E">
            <w:pPr>
              <w:widowControl/>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（五）未为从业人员提供符合国家标准或者行业标准的劳动防护用品的；</w:t>
            </w:r>
          </w:p>
          <w:p w14:paraId="1815A149">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《四川省安全生产条例》第六十九条</w:t>
            </w:r>
            <w:r>
              <w:rPr>
                <w:rFonts w:hint="eastAsia" w:ascii="仿宋_GB2312" w:hAnsi="仿宋_GB2312" w:eastAsia="仿宋_GB2312" w:cs="仿宋_GB2312"/>
                <w:color w:val="auto"/>
                <w:kern w:val="0"/>
                <w:sz w:val="32"/>
                <w:szCs w:val="32"/>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48" w:type="dxa"/>
            <w:tcBorders>
              <w:top w:val="single" w:color="auto" w:sz="6" w:space="0"/>
              <w:left w:val="nil"/>
              <w:bottom w:val="single" w:color="auto" w:sz="6" w:space="0"/>
              <w:right w:val="single" w:color="auto" w:sz="6" w:space="0"/>
            </w:tcBorders>
          </w:tcPr>
          <w:p w14:paraId="282A7490">
            <w:pPr>
              <w:widowControl/>
              <w:jc w:val="center"/>
              <w:rPr>
                <w:rFonts w:hint="eastAsia" w:ascii="仿宋_GB2312" w:hAnsi="仿宋_GB2312" w:eastAsia="仿宋_GB2312" w:cs="仿宋_GB2312"/>
                <w:b/>
                <w:bCs/>
                <w:color w:val="auto"/>
                <w:kern w:val="0"/>
                <w:sz w:val="32"/>
                <w:szCs w:val="32"/>
              </w:rPr>
            </w:pPr>
          </w:p>
          <w:p w14:paraId="2F9606F3">
            <w:pPr>
              <w:widowControl/>
              <w:jc w:val="center"/>
              <w:rPr>
                <w:rFonts w:hint="eastAsia" w:ascii="仿宋_GB2312" w:hAnsi="仿宋_GB2312" w:eastAsia="仿宋_GB2312" w:cs="仿宋_GB2312"/>
                <w:b/>
                <w:bCs/>
                <w:color w:val="auto"/>
                <w:kern w:val="0"/>
                <w:sz w:val="32"/>
                <w:szCs w:val="32"/>
              </w:rPr>
            </w:pPr>
          </w:p>
          <w:p w14:paraId="16A83DFE">
            <w:pPr>
              <w:widowControl/>
              <w:jc w:val="center"/>
              <w:rPr>
                <w:rFonts w:hint="eastAsia" w:ascii="仿宋_GB2312" w:hAnsi="仿宋_GB2312" w:eastAsia="仿宋_GB2312" w:cs="仿宋_GB2312"/>
                <w:b/>
                <w:bCs/>
                <w:color w:val="auto"/>
                <w:kern w:val="0"/>
                <w:sz w:val="32"/>
                <w:szCs w:val="32"/>
              </w:rPr>
            </w:pPr>
          </w:p>
          <w:p w14:paraId="674AF8AB">
            <w:pPr>
              <w:widowControl/>
              <w:jc w:val="center"/>
              <w:rPr>
                <w:rFonts w:hint="eastAsia" w:ascii="仿宋_GB2312" w:hAnsi="仿宋_GB2312" w:eastAsia="仿宋_GB2312" w:cs="仿宋_GB2312"/>
                <w:b/>
                <w:bCs/>
                <w:color w:val="auto"/>
                <w:kern w:val="0"/>
                <w:sz w:val="32"/>
                <w:szCs w:val="32"/>
              </w:rPr>
            </w:pPr>
          </w:p>
          <w:p w14:paraId="40CF5186">
            <w:pPr>
              <w:widowControl/>
              <w:jc w:val="center"/>
              <w:rPr>
                <w:rFonts w:hint="eastAsia" w:ascii="仿宋_GB2312" w:hAnsi="仿宋_GB2312" w:eastAsia="仿宋_GB2312" w:cs="仿宋_GB2312"/>
                <w:b/>
                <w:bCs/>
                <w:color w:val="auto"/>
                <w:kern w:val="0"/>
                <w:sz w:val="32"/>
                <w:szCs w:val="32"/>
              </w:rPr>
            </w:pPr>
          </w:p>
          <w:p w14:paraId="22E70A6E">
            <w:pPr>
              <w:widowControl/>
              <w:jc w:val="center"/>
              <w:rPr>
                <w:rFonts w:hint="eastAsia" w:ascii="仿宋_GB2312" w:hAnsi="仿宋_GB2312" w:eastAsia="仿宋_GB2312" w:cs="仿宋_GB2312"/>
                <w:b/>
                <w:bCs/>
                <w:color w:val="auto"/>
                <w:kern w:val="0"/>
                <w:sz w:val="32"/>
                <w:szCs w:val="32"/>
              </w:rPr>
            </w:pPr>
          </w:p>
          <w:p w14:paraId="01E421DC">
            <w:pPr>
              <w:widowControl/>
              <w:jc w:val="center"/>
              <w:rPr>
                <w:rFonts w:hint="eastAsia" w:ascii="仿宋_GB2312" w:hAnsi="仿宋_GB2312" w:eastAsia="仿宋_GB2312" w:cs="仿宋_GB2312"/>
                <w:b/>
                <w:bCs/>
                <w:color w:val="auto"/>
                <w:kern w:val="0"/>
                <w:sz w:val="32"/>
                <w:szCs w:val="32"/>
              </w:rPr>
            </w:pPr>
          </w:p>
          <w:p w14:paraId="409C729C">
            <w:pPr>
              <w:widowControl/>
              <w:jc w:val="center"/>
              <w:rPr>
                <w:rFonts w:hint="eastAsia" w:ascii="仿宋_GB2312" w:hAnsi="仿宋_GB2312" w:eastAsia="仿宋_GB2312" w:cs="仿宋_GB2312"/>
                <w:b/>
                <w:bCs/>
                <w:color w:val="auto"/>
                <w:kern w:val="0"/>
                <w:sz w:val="32"/>
                <w:szCs w:val="32"/>
              </w:rPr>
            </w:pPr>
          </w:p>
          <w:p w14:paraId="208C7B21">
            <w:pPr>
              <w:widowControl/>
              <w:jc w:val="center"/>
              <w:rPr>
                <w:rFonts w:hint="eastAsia" w:ascii="仿宋_GB2312" w:hAnsi="仿宋_GB2312" w:eastAsia="仿宋_GB2312" w:cs="仿宋_GB2312"/>
                <w:b/>
                <w:bCs/>
                <w:color w:val="auto"/>
                <w:kern w:val="0"/>
                <w:sz w:val="32"/>
                <w:szCs w:val="32"/>
              </w:rPr>
            </w:pPr>
          </w:p>
        </w:tc>
      </w:tr>
      <w:tr w14:paraId="69144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left w:val="single" w:color="auto" w:sz="6" w:space="0"/>
              <w:bottom w:val="single" w:color="auto" w:sz="6" w:space="0"/>
              <w:right w:val="single" w:color="auto" w:sz="6" w:space="0"/>
            </w:tcBorders>
            <w:noWrap/>
          </w:tcPr>
          <w:p w14:paraId="3BEE2001">
            <w:pPr>
              <w:widowControl/>
              <w:jc w:val="center"/>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6" w:space="0"/>
            </w:tcBorders>
            <w:vAlign w:val="center"/>
          </w:tcPr>
          <w:p w14:paraId="62028787">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single" w:color="auto" w:sz="4" w:space="0"/>
              <w:bottom w:val="single" w:color="auto" w:sz="4" w:space="0"/>
              <w:right w:val="single" w:color="auto" w:sz="6" w:space="0"/>
            </w:tcBorders>
            <w:vAlign w:val="center"/>
          </w:tcPr>
          <w:p w14:paraId="1143E45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10.2安全警示标志</w:t>
            </w:r>
          </w:p>
        </w:tc>
        <w:tc>
          <w:tcPr>
            <w:tcW w:w="3899" w:type="dxa"/>
            <w:tcBorders>
              <w:top w:val="single" w:color="auto" w:sz="6" w:space="0"/>
              <w:left w:val="nil"/>
              <w:bottom w:val="single" w:color="auto" w:sz="6" w:space="0"/>
              <w:right w:val="single" w:color="auto" w:sz="6" w:space="0"/>
            </w:tcBorders>
            <w:vAlign w:val="center"/>
          </w:tcPr>
          <w:p w14:paraId="1D737242">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第三十五条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生产经营单位应当在有较大危险因素的生产经营场所和有关设施、设备上，设置明显的安全警示标志。</w:t>
            </w:r>
          </w:p>
          <w:p w14:paraId="3CE79C1C">
            <w:pPr>
              <w:widowControl/>
              <w:ind w:firstLine="640" w:firstLineChars="200"/>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77BF4FE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（3）危险因素辨识登记表；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（4）有较大危险因素的场所和有关设施及设备登记表；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（5）安全警示标志设置登记表；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（6）现场图片或影像资料；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（7）《现场检查记录》《责令限期整改指令书》等相关执法文书；</w:t>
            </w:r>
          </w:p>
          <w:p w14:paraId="6084A85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tcBorders>
              <w:top w:val="single" w:color="auto" w:sz="6" w:space="0"/>
              <w:left w:val="nil"/>
              <w:bottom w:val="single" w:color="auto" w:sz="6" w:space="0"/>
              <w:right w:val="single" w:color="auto" w:sz="4" w:space="0"/>
            </w:tcBorders>
          </w:tcPr>
          <w:p w14:paraId="6BE28F96">
            <w:pPr>
              <w:widowControl/>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第九十九条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20DFE36">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（一）未在有较大危险因素的生产经营场所和有关设施、设备上设置明显的安全警示标志的；</w:t>
            </w:r>
          </w:p>
          <w:p w14:paraId="693673D7">
            <w:pPr>
              <w:widowControl/>
              <w:ind w:firstLine="640" w:firstLineChars="200"/>
              <w:jc w:val="left"/>
              <w:rPr>
                <w:rFonts w:hint="eastAsia" w:ascii="仿宋_GB2312" w:hAnsi="仿宋_GB2312" w:eastAsia="仿宋_GB2312" w:cs="仿宋_GB2312"/>
                <w:color w:val="auto"/>
                <w:kern w:val="0"/>
                <w:sz w:val="32"/>
                <w:szCs w:val="32"/>
              </w:rPr>
            </w:pPr>
          </w:p>
        </w:tc>
        <w:tc>
          <w:tcPr>
            <w:tcW w:w="948" w:type="dxa"/>
            <w:tcBorders>
              <w:top w:val="single" w:color="auto" w:sz="6" w:space="0"/>
              <w:left w:val="nil"/>
              <w:bottom w:val="single" w:color="auto" w:sz="6" w:space="0"/>
              <w:right w:val="single" w:color="auto" w:sz="6" w:space="0"/>
            </w:tcBorders>
          </w:tcPr>
          <w:p w14:paraId="60B2B44B">
            <w:pPr>
              <w:widowControl/>
              <w:jc w:val="center"/>
              <w:rPr>
                <w:rFonts w:hint="eastAsia" w:ascii="仿宋_GB2312" w:hAnsi="仿宋_GB2312" w:eastAsia="仿宋_GB2312" w:cs="仿宋_GB2312"/>
                <w:b/>
                <w:bCs/>
                <w:color w:val="auto"/>
                <w:kern w:val="0"/>
                <w:sz w:val="32"/>
                <w:szCs w:val="32"/>
              </w:rPr>
            </w:pPr>
          </w:p>
        </w:tc>
      </w:tr>
      <w:tr w14:paraId="58C0A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14:paraId="23CE55D4">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11</w:t>
            </w:r>
          </w:p>
        </w:tc>
        <w:tc>
          <w:tcPr>
            <w:tcW w:w="948" w:type="dxa"/>
            <w:vMerge w:val="restart"/>
            <w:tcBorders>
              <w:top w:val="single" w:color="auto" w:sz="6" w:space="0"/>
              <w:left w:val="nil"/>
              <w:bottom w:val="single" w:color="auto" w:sz="6" w:space="0"/>
              <w:right w:val="single" w:color="auto" w:sz="6" w:space="0"/>
            </w:tcBorders>
            <w:vAlign w:val="center"/>
          </w:tcPr>
          <w:p w14:paraId="272E7A8E">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应急救援管理</w:t>
            </w:r>
          </w:p>
        </w:tc>
        <w:tc>
          <w:tcPr>
            <w:tcW w:w="948" w:type="dxa"/>
            <w:tcBorders>
              <w:top w:val="single" w:color="auto" w:sz="4" w:space="0"/>
              <w:left w:val="nil"/>
              <w:bottom w:val="single" w:color="auto" w:sz="4" w:space="0"/>
              <w:right w:val="single" w:color="auto" w:sz="6" w:space="0"/>
            </w:tcBorders>
            <w:vAlign w:val="center"/>
          </w:tcPr>
          <w:p w14:paraId="2248BC29">
            <w:pPr>
              <w:widowControl/>
              <w:rPr>
                <w:rFonts w:hint="eastAsia" w:ascii="仿宋_GB2312" w:hAnsi="仿宋_GB2312" w:eastAsia="仿宋_GB2312" w:cs="仿宋_GB2312"/>
                <w:color w:val="auto"/>
                <w:kern w:val="0"/>
                <w:sz w:val="32"/>
                <w:szCs w:val="32"/>
              </w:rPr>
            </w:pPr>
          </w:p>
          <w:p w14:paraId="749DF71E">
            <w:pPr>
              <w:widowControl/>
              <w:rPr>
                <w:rFonts w:hint="eastAsia" w:ascii="仿宋_GB2312" w:hAnsi="仿宋_GB2312" w:eastAsia="仿宋_GB2312" w:cs="仿宋_GB2312"/>
                <w:color w:val="auto"/>
                <w:kern w:val="0"/>
                <w:sz w:val="32"/>
                <w:szCs w:val="32"/>
              </w:rPr>
            </w:pPr>
          </w:p>
          <w:p w14:paraId="060BB15B">
            <w:pPr>
              <w:widowControl/>
              <w:rPr>
                <w:rFonts w:hint="eastAsia" w:ascii="仿宋_GB2312" w:hAnsi="仿宋_GB2312" w:eastAsia="仿宋_GB2312" w:cs="仿宋_GB2312"/>
                <w:color w:val="auto"/>
                <w:kern w:val="0"/>
                <w:sz w:val="32"/>
                <w:szCs w:val="32"/>
              </w:rPr>
            </w:pPr>
          </w:p>
          <w:p w14:paraId="10D17C2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11.1应急救援器材、设备</w:t>
            </w:r>
          </w:p>
        </w:tc>
        <w:tc>
          <w:tcPr>
            <w:tcW w:w="3899" w:type="dxa"/>
            <w:tcBorders>
              <w:top w:val="single" w:color="auto" w:sz="6" w:space="0"/>
              <w:left w:val="nil"/>
              <w:bottom w:val="single" w:color="auto" w:sz="6" w:space="0"/>
              <w:right w:val="single" w:color="auto" w:sz="6" w:space="0"/>
            </w:tcBorders>
            <w:vAlign w:val="center"/>
          </w:tcPr>
          <w:p w14:paraId="7B617A6D">
            <w:pPr>
              <w:widowControl/>
              <w:ind w:firstLine="643" w:firstLineChars="200"/>
              <w:rPr>
                <w:rFonts w:hint="eastAsia" w:ascii="仿宋_GB2312" w:hAnsi="仿宋_GB2312" w:eastAsia="仿宋_GB2312" w:cs="仿宋_GB2312"/>
                <w:b/>
                <w:bCs/>
                <w:color w:val="auto"/>
                <w:kern w:val="0"/>
                <w:sz w:val="32"/>
                <w:szCs w:val="32"/>
              </w:rPr>
            </w:pPr>
          </w:p>
          <w:p w14:paraId="073F7AF0">
            <w:pPr>
              <w:widowControl/>
              <w:ind w:firstLine="643" w:firstLineChars="200"/>
              <w:rPr>
                <w:rFonts w:hint="eastAsia" w:ascii="仿宋_GB2312" w:hAnsi="仿宋_GB2312" w:eastAsia="仿宋_GB2312" w:cs="仿宋_GB2312"/>
                <w:b/>
                <w:bCs/>
                <w:color w:val="auto"/>
                <w:kern w:val="0"/>
                <w:sz w:val="32"/>
                <w:szCs w:val="32"/>
              </w:rPr>
            </w:pPr>
          </w:p>
          <w:p w14:paraId="14A50D41">
            <w:pPr>
              <w:widowControl/>
              <w:ind w:firstLine="643" w:firstLineChars="200"/>
              <w:rPr>
                <w:rFonts w:hint="eastAsia" w:ascii="仿宋_GB2312" w:hAnsi="仿宋_GB2312" w:eastAsia="仿宋_GB2312" w:cs="仿宋_GB2312"/>
                <w:b/>
                <w:bCs/>
                <w:color w:val="auto"/>
                <w:kern w:val="0"/>
                <w:sz w:val="32"/>
                <w:szCs w:val="32"/>
              </w:rPr>
            </w:pPr>
          </w:p>
          <w:p w14:paraId="0830EE7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《中华人民共和国安全生产法》第八十二条第二款</w:t>
            </w:r>
            <w:r>
              <w:rPr>
                <w:rFonts w:hint="eastAsia" w:ascii="仿宋_GB2312" w:hAnsi="仿宋_GB2312" w:eastAsia="仿宋_GB2312" w:cs="仿宋_GB2312"/>
                <w:color w:val="auto"/>
                <w:sz w:val="32"/>
                <w:szCs w:val="32"/>
              </w:rPr>
              <w:t>危险物品的生产、经营、储存、运输单位以及矿山、金属冶炼、城市轨道交通运营、建筑施工单位应当配备必要的应急救援器材、设备和物资，并进行经常性维护、保养，保证正常运转。</w:t>
            </w:r>
          </w:p>
          <w:p w14:paraId="11F82F55">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《突发事件应对法》第二十四条第二款</w:t>
            </w:r>
            <w:r>
              <w:rPr>
                <w:rFonts w:hint="eastAsia" w:ascii="仿宋_GB2312" w:hAnsi="仿宋_GB2312" w:eastAsia="仿宋_GB2312" w:cs="仿宋_GB2312"/>
                <w:color w:val="auto"/>
                <w:kern w:val="0"/>
                <w:sz w:val="32"/>
                <w:szCs w:val="32"/>
              </w:rPr>
              <w:t>有关单位应当定期检测、维护其报警装置和应急救援设备、设施，使其处于良好状态，确保正常使用。</w:t>
            </w:r>
          </w:p>
        </w:tc>
        <w:tc>
          <w:tcPr>
            <w:tcW w:w="3899" w:type="dxa"/>
            <w:tcBorders>
              <w:top w:val="single" w:color="auto" w:sz="6" w:space="0"/>
              <w:left w:val="nil"/>
              <w:bottom w:val="single" w:color="auto" w:sz="6" w:space="0"/>
              <w:right w:val="single" w:color="auto" w:sz="6" w:space="0"/>
            </w:tcBorders>
            <w:vAlign w:val="center"/>
          </w:tcPr>
          <w:p w14:paraId="5BD40E1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（3）应急救援器材、设备和物资清单；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（4）应急救援器材、设备维护、保养记录；</w:t>
            </w:r>
          </w:p>
          <w:p w14:paraId="3097199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（5）设备管理机构及维保人员责任落实资料；</w:t>
            </w:r>
          </w:p>
          <w:p w14:paraId="475E03E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（6）主要负责人保证本单位安全生产投入的有效实施履职资料；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（8）《现场检查记录》等相关执法文书；</w:t>
            </w:r>
          </w:p>
          <w:p w14:paraId="67DBABE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tcBorders>
              <w:top w:val="single" w:color="auto" w:sz="6" w:space="0"/>
              <w:left w:val="nil"/>
              <w:bottom w:val="single" w:color="auto" w:sz="6" w:space="0"/>
              <w:right w:val="single" w:color="auto" w:sz="4" w:space="0"/>
            </w:tcBorders>
          </w:tcPr>
          <w:p w14:paraId="636AEC64">
            <w:pPr>
              <w:widowControl/>
              <w:ind w:firstLine="643" w:firstLineChars="200"/>
              <w:jc w:val="left"/>
              <w:rPr>
                <w:rFonts w:hint="eastAsia" w:ascii="仿宋_GB2312" w:hAnsi="仿宋_GB2312" w:eastAsia="仿宋_GB2312" w:cs="仿宋_GB2312"/>
                <w:b/>
                <w:bCs/>
                <w:color w:val="auto"/>
                <w:kern w:val="0"/>
                <w:sz w:val="32"/>
                <w:szCs w:val="32"/>
              </w:rPr>
            </w:pPr>
          </w:p>
          <w:p w14:paraId="16D47030">
            <w:pPr>
              <w:widowControl/>
              <w:ind w:firstLine="643" w:firstLineChars="200"/>
              <w:jc w:val="left"/>
              <w:rPr>
                <w:rFonts w:hint="eastAsia" w:ascii="仿宋_GB2312" w:hAnsi="仿宋_GB2312" w:eastAsia="仿宋_GB2312" w:cs="仿宋_GB2312"/>
                <w:b/>
                <w:bCs/>
                <w:color w:val="auto"/>
                <w:kern w:val="0"/>
                <w:sz w:val="32"/>
                <w:szCs w:val="32"/>
              </w:rPr>
            </w:pPr>
          </w:p>
          <w:p w14:paraId="1E69BE44">
            <w:pPr>
              <w:widowControl/>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《突发事件应对法》第六十四条第一款第（三）项</w:t>
            </w:r>
            <w:r>
              <w:rPr>
                <w:rFonts w:hint="eastAsia" w:ascii="仿宋_GB2312" w:hAnsi="仿宋_GB2312" w:eastAsia="仿宋_GB2312" w:cs="仿宋_GB2312"/>
                <w:color w:val="auto"/>
                <w:kern w:val="0"/>
                <w:sz w:val="32"/>
                <w:szCs w:val="32"/>
              </w:rPr>
              <w:t>有关单位有下列情形之一的，由所在地履行统一领导职责的人民政府责令停产停业，暂扣或者吊销许可证或者营业执照，并处五万元以上二十万元以下的罚款；构成违反治安管理行为的，由公安机关依法给予处罚：</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（三）未做好应急设备、设施日常维护、检测工作，导致发生严重突发事件或者突发事件危害扩大的；</w:t>
            </w:r>
          </w:p>
        </w:tc>
        <w:tc>
          <w:tcPr>
            <w:tcW w:w="948" w:type="dxa"/>
            <w:tcBorders>
              <w:top w:val="single" w:color="auto" w:sz="6" w:space="0"/>
              <w:left w:val="nil"/>
              <w:bottom w:val="single" w:color="auto" w:sz="6" w:space="0"/>
              <w:right w:val="single" w:color="auto" w:sz="6" w:space="0"/>
            </w:tcBorders>
          </w:tcPr>
          <w:p w14:paraId="718413B8">
            <w:pPr>
              <w:widowControl/>
              <w:jc w:val="center"/>
              <w:rPr>
                <w:rFonts w:hint="eastAsia" w:ascii="仿宋_GB2312" w:hAnsi="仿宋_GB2312" w:eastAsia="仿宋_GB2312" w:cs="仿宋_GB2312"/>
                <w:b/>
                <w:bCs/>
                <w:color w:val="auto"/>
                <w:kern w:val="0"/>
                <w:sz w:val="32"/>
                <w:szCs w:val="32"/>
              </w:rPr>
            </w:pPr>
          </w:p>
        </w:tc>
      </w:tr>
      <w:tr w14:paraId="05F29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64D7A519">
            <w:pPr>
              <w:widowControl/>
              <w:jc w:val="left"/>
              <w:rPr>
                <w:rFonts w:hint="eastAsia" w:ascii="仿宋_GB2312" w:hAnsi="仿宋_GB2312" w:eastAsia="仿宋_GB2312" w:cs="仿宋_GB2312"/>
                <w:bCs/>
                <w:color w:val="auto"/>
                <w:kern w:val="0"/>
                <w:sz w:val="32"/>
                <w:szCs w:val="32"/>
              </w:rPr>
            </w:pPr>
          </w:p>
        </w:tc>
        <w:tc>
          <w:tcPr>
            <w:tcW w:w="948" w:type="dxa"/>
            <w:vMerge w:val="continue"/>
            <w:tcBorders>
              <w:top w:val="single" w:color="auto" w:sz="6" w:space="0"/>
              <w:left w:val="nil"/>
              <w:bottom w:val="single" w:color="auto" w:sz="6" w:space="0"/>
              <w:right w:val="single" w:color="auto" w:sz="6" w:space="0"/>
            </w:tcBorders>
            <w:vAlign w:val="center"/>
          </w:tcPr>
          <w:p w14:paraId="2400C508">
            <w:pPr>
              <w:widowControl/>
              <w:jc w:val="left"/>
              <w:rPr>
                <w:rFonts w:hint="eastAsia" w:ascii="仿宋_GB2312" w:hAnsi="仿宋_GB2312" w:eastAsia="仿宋_GB2312" w:cs="仿宋_GB2312"/>
                <w:bCs/>
                <w:color w:val="auto"/>
                <w:kern w:val="0"/>
                <w:sz w:val="32"/>
                <w:szCs w:val="32"/>
              </w:rPr>
            </w:pPr>
          </w:p>
        </w:tc>
        <w:tc>
          <w:tcPr>
            <w:tcW w:w="948" w:type="dxa"/>
            <w:tcBorders>
              <w:top w:val="single" w:color="auto" w:sz="4" w:space="0"/>
              <w:left w:val="single" w:color="auto" w:sz="4" w:space="0"/>
              <w:bottom w:val="single" w:color="auto" w:sz="4" w:space="0"/>
              <w:right w:val="single" w:color="auto" w:sz="6" w:space="0"/>
            </w:tcBorders>
            <w:vAlign w:val="center"/>
          </w:tcPr>
          <w:p w14:paraId="6740916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11.2.应急预案管理及演练</w:t>
            </w:r>
          </w:p>
        </w:tc>
        <w:tc>
          <w:tcPr>
            <w:tcW w:w="3899" w:type="dxa"/>
            <w:tcBorders>
              <w:top w:val="single" w:color="auto" w:sz="6" w:space="0"/>
              <w:left w:val="nil"/>
              <w:bottom w:val="single" w:color="auto" w:sz="6" w:space="0"/>
              <w:right w:val="single" w:color="auto" w:sz="6" w:space="0"/>
            </w:tcBorders>
            <w:vAlign w:val="center"/>
          </w:tcPr>
          <w:p w14:paraId="588D99DE">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第八十一条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生产经营单位应当制定本单位生产安全事故应急救援预案，与所在地县级以上地方人民政府组织制定的生产安全事故应急救援预案相衔接，并定期组织演练。</w:t>
            </w:r>
          </w:p>
          <w:p w14:paraId="73D11FFD">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《生产安全事故应急预案管理办法》第三十三条第一款</w:t>
            </w:r>
            <w:r>
              <w:rPr>
                <w:rFonts w:hint="eastAsia" w:ascii="仿宋_GB2312" w:hAnsi="仿宋_GB2312" w:eastAsia="仿宋_GB2312" w:cs="仿宋_GB2312"/>
                <w:color w:val="auto"/>
                <w:kern w:val="0"/>
                <w:sz w:val="32"/>
                <w:szCs w:val="32"/>
              </w:rPr>
              <w:t> 生产经营单位应当制定本单位的应急预案演练计划，根据本单位的事故风险特点，每年至少组织一次综合应急预案演练或者专项应急预案演练，每半年至少组织一次现场处置方案演练。</w:t>
            </w:r>
          </w:p>
          <w:p w14:paraId="7503699E">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《生产安全事故应急预案管理办法》第二十一条第一款</w:t>
            </w:r>
            <w:r>
              <w:rPr>
                <w:rFonts w:hint="eastAsia" w:ascii="仿宋_GB2312" w:hAnsi="仿宋_GB2312" w:eastAsia="仿宋_GB2312" w:cs="仿宋_GB2312"/>
                <w:color w:val="auto"/>
                <w:kern w:val="0"/>
                <w:sz w:val="32"/>
                <w:szCs w:val="32"/>
              </w:rPr>
              <w:t> 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tc>
        <w:tc>
          <w:tcPr>
            <w:tcW w:w="3899" w:type="dxa"/>
            <w:tcBorders>
              <w:top w:val="single" w:color="auto" w:sz="6" w:space="0"/>
              <w:left w:val="nil"/>
              <w:bottom w:val="single" w:color="auto" w:sz="4" w:space="0"/>
              <w:right w:val="single" w:color="auto" w:sz="6" w:space="0"/>
            </w:tcBorders>
            <w:vAlign w:val="center"/>
          </w:tcPr>
          <w:p w14:paraId="048A2A0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（3）救护协议；</w:t>
            </w:r>
          </w:p>
          <w:p w14:paraId="31A83A7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（4）兼职救援人员名单；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（5）兼职救援人员教育培训档案；</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（6）主要负责人保证本单位安全生产投入的有效实施履职资料；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（8）《现场检查记录》《责令限期整改指令书》等相关执法文书；</w:t>
            </w:r>
          </w:p>
          <w:p w14:paraId="4B678FC3">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tcBorders>
              <w:top w:val="single" w:color="auto" w:sz="6" w:space="0"/>
              <w:left w:val="nil"/>
              <w:bottom w:val="single" w:color="auto" w:sz="6" w:space="0"/>
              <w:right w:val="single" w:color="auto" w:sz="4" w:space="0"/>
            </w:tcBorders>
          </w:tcPr>
          <w:p w14:paraId="096AF14F">
            <w:pPr>
              <w:widowControl/>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第九十七条第六项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03F1D55C">
            <w:pPr>
              <w:widowControl/>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（六）未按照规定制定生产安全事故应急救援预案或者未定期组织演练的；</w:t>
            </w:r>
          </w:p>
          <w:p w14:paraId="507874F6">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《生产安全事故应急预案管理办法》第四十五条第一款第（二）项</w:t>
            </w:r>
            <w:r>
              <w:rPr>
                <w:rFonts w:hint="eastAsia" w:ascii="仿宋_GB2312" w:hAnsi="仿宋_GB2312" w:eastAsia="仿宋_GB2312" w:cs="仿宋_GB2312"/>
                <w:color w:val="auto"/>
                <w:kern w:val="0"/>
                <w:sz w:val="32"/>
                <w:szCs w:val="32"/>
              </w:rPr>
              <w:t>生产经营单位有下列情形之一的，由县级以上人民政府应急管理部门责令限期改正，可以处1万元以上3万元以下的罚款：......</w:t>
            </w:r>
          </w:p>
          <w:p w14:paraId="226F1D6B">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shd w:val="clear" w:color="auto" w:fill="FFFFFF"/>
              </w:rPr>
              <w:t>（二）未按照规定开展应急预案评审的；</w:t>
            </w:r>
            <w:r>
              <w:rPr>
                <w:rFonts w:hint="eastAsia" w:ascii="仿宋_GB2312" w:hAnsi="仿宋_GB2312" w:eastAsia="仿宋_GB2312" w:cs="仿宋_GB2312"/>
                <w:color w:val="auto"/>
                <w:kern w:val="0"/>
                <w:sz w:val="32"/>
                <w:szCs w:val="32"/>
              </w:rPr>
              <w:t>......</w:t>
            </w:r>
          </w:p>
        </w:tc>
        <w:tc>
          <w:tcPr>
            <w:tcW w:w="948" w:type="dxa"/>
            <w:tcBorders>
              <w:top w:val="single" w:color="auto" w:sz="6" w:space="0"/>
              <w:left w:val="nil"/>
              <w:bottom w:val="single" w:color="auto" w:sz="6" w:space="0"/>
              <w:right w:val="single" w:color="auto" w:sz="6" w:space="0"/>
            </w:tcBorders>
          </w:tcPr>
          <w:p w14:paraId="3315040B">
            <w:pPr>
              <w:widowControl/>
              <w:jc w:val="center"/>
              <w:rPr>
                <w:rFonts w:hint="eastAsia" w:ascii="仿宋_GB2312" w:hAnsi="仿宋_GB2312" w:eastAsia="仿宋_GB2312" w:cs="仿宋_GB2312"/>
                <w:b/>
                <w:bCs/>
                <w:color w:val="auto"/>
                <w:kern w:val="0"/>
                <w:sz w:val="32"/>
                <w:szCs w:val="32"/>
              </w:rPr>
            </w:pPr>
          </w:p>
        </w:tc>
      </w:tr>
      <w:tr w14:paraId="68975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0A8F070A">
            <w:pPr>
              <w:widowControl/>
              <w:jc w:val="left"/>
              <w:rPr>
                <w:rFonts w:hint="eastAsia" w:ascii="仿宋_GB2312" w:hAnsi="仿宋_GB2312" w:eastAsia="仿宋_GB2312" w:cs="仿宋_GB2312"/>
                <w:bCs/>
                <w:color w:val="auto"/>
                <w:kern w:val="0"/>
                <w:sz w:val="32"/>
                <w:szCs w:val="32"/>
              </w:rPr>
            </w:pPr>
          </w:p>
        </w:tc>
        <w:tc>
          <w:tcPr>
            <w:tcW w:w="948" w:type="dxa"/>
            <w:vMerge w:val="continue"/>
            <w:tcBorders>
              <w:top w:val="single" w:color="auto" w:sz="6" w:space="0"/>
              <w:left w:val="nil"/>
              <w:bottom w:val="single" w:color="auto" w:sz="6" w:space="0"/>
              <w:right w:val="single" w:color="auto" w:sz="6" w:space="0"/>
            </w:tcBorders>
            <w:vAlign w:val="center"/>
          </w:tcPr>
          <w:p w14:paraId="27FEB5FF">
            <w:pPr>
              <w:widowControl/>
              <w:jc w:val="left"/>
              <w:rPr>
                <w:rFonts w:hint="eastAsia" w:ascii="仿宋_GB2312" w:hAnsi="仿宋_GB2312" w:eastAsia="仿宋_GB2312" w:cs="仿宋_GB2312"/>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78D18B37">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11.3签订救护协议或联合建立矿山救护队</w:t>
            </w:r>
          </w:p>
        </w:tc>
        <w:tc>
          <w:tcPr>
            <w:tcW w:w="3899" w:type="dxa"/>
            <w:tcBorders>
              <w:top w:val="single" w:color="auto" w:sz="6" w:space="0"/>
              <w:left w:val="nil"/>
              <w:bottom w:val="single" w:color="auto" w:sz="6" w:space="0"/>
              <w:right w:val="single" w:color="auto" w:sz="6" w:space="0"/>
            </w:tcBorders>
            <w:vAlign w:val="center"/>
          </w:tcPr>
          <w:p w14:paraId="4DA2A396">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第八十二条第一款</w:t>
            </w:r>
            <w:r>
              <w:rPr>
                <w:rFonts w:hint="eastAsia" w:ascii="仿宋_GB2312" w:hAnsi="仿宋_GB2312" w:eastAsia="仿宋_GB2312" w:cs="仿宋_GB2312"/>
                <w:color w:val="auto"/>
                <w:sz w:val="32"/>
                <w:szCs w:val="32"/>
              </w:rPr>
              <w:t>危险物品的生产、经营、储存单位以及矿山、金属冶炼、城市轨道交通运营、建筑施工单位应当建立应急救援组织；生产经营规模较小的，可以不建立应急救援组织，但应当指定兼职的应急救援人员。</w:t>
            </w:r>
          </w:p>
          <w:p w14:paraId="5F7256B5">
            <w:pPr>
              <w:widowControl/>
              <w:ind w:firstLine="640" w:firstLineChars="200"/>
              <w:rPr>
                <w:rFonts w:hint="eastAsia" w:ascii="仿宋_GB2312" w:hAnsi="仿宋_GB2312" w:eastAsia="仿宋_GB2312" w:cs="仿宋_GB2312"/>
                <w:color w:val="auto"/>
                <w:kern w:val="0"/>
                <w:sz w:val="32"/>
                <w:szCs w:val="32"/>
              </w:rPr>
            </w:pPr>
          </w:p>
        </w:tc>
        <w:tc>
          <w:tcPr>
            <w:tcW w:w="3899" w:type="dxa"/>
            <w:tcBorders>
              <w:top w:val="single" w:color="auto" w:sz="4" w:space="0"/>
              <w:left w:val="nil"/>
              <w:bottom w:val="single" w:color="auto" w:sz="6" w:space="0"/>
              <w:right w:val="single" w:color="auto" w:sz="6" w:space="0"/>
            </w:tcBorders>
            <w:vAlign w:val="center"/>
          </w:tcPr>
          <w:p w14:paraId="08165E7E">
            <w:pPr>
              <w:widowControl/>
              <w:jc w:val="left"/>
              <w:rPr>
                <w:rFonts w:hint="eastAsia" w:ascii="仿宋_GB2312" w:hAnsi="仿宋_GB2312" w:eastAsia="仿宋_GB2312" w:cs="仿宋_GB2312"/>
                <w:b/>
                <w:bCs/>
                <w:color w:val="auto"/>
                <w:kern w:val="0"/>
                <w:sz w:val="32"/>
                <w:szCs w:val="32"/>
              </w:rPr>
            </w:pPr>
          </w:p>
        </w:tc>
        <w:tc>
          <w:tcPr>
            <w:tcW w:w="3899" w:type="dxa"/>
            <w:tcBorders>
              <w:top w:val="single" w:color="auto" w:sz="6" w:space="0"/>
              <w:left w:val="nil"/>
              <w:bottom w:val="single" w:color="auto" w:sz="6" w:space="0"/>
              <w:right w:val="single" w:color="auto" w:sz="4" w:space="0"/>
            </w:tcBorders>
          </w:tcPr>
          <w:p w14:paraId="0E3AFA63">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0CB52688">
            <w:pPr>
              <w:pStyle w:val="7"/>
              <w:shd w:val="clear" w:color="auto" w:fill="FFFFFF"/>
              <w:spacing w:before="0" w:beforeAutospacing="0" w:after="0" w:afterAutospacing="0"/>
              <w:ind w:firstLine="42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sz w:val="32"/>
                <w:szCs w:val="32"/>
              </w:rPr>
              <w:t>《安全生产违法行为行政处罚办法》第四十六条第一项</w:t>
            </w:r>
            <w:r>
              <w:rPr>
                <w:rFonts w:hint="eastAsia" w:ascii="仿宋_GB2312" w:hAnsi="仿宋_GB2312" w:eastAsia="仿宋_GB2312" w:cs="仿宋_GB2312"/>
                <w:color w:val="auto"/>
                <w:kern w:val="2"/>
                <w:sz w:val="32"/>
                <w:szCs w:val="32"/>
              </w:rPr>
              <w:t>危险物品的生产、经营、储存单位以及矿山、金属冶炼单位有下列行为之一的，责令改正，并可以处1万元以上3万元以下的罚款：</w:t>
            </w:r>
          </w:p>
          <w:p w14:paraId="7871155D">
            <w:pPr>
              <w:pStyle w:val="7"/>
              <w:shd w:val="clear" w:color="auto" w:fill="FFFFFF"/>
              <w:spacing w:before="0" w:beforeAutospacing="0" w:after="0" w:afterAutospacing="0"/>
              <w:ind w:firstLine="42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（一）未建立应急救援组织或者生产经营规模较小、未指定兼职应急救援人员的；</w:t>
            </w:r>
          </w:p>
          <w:p w14:paraId="75144E38">
            <w:pPr>
              <w:pStyle w:val="3"/>
              <w:keepNext w:val="0"/>
              <w:keepLines w:val="0"/>
              <w:widowControl/>
              <w:shd w:val="clear" w:color="auto" w:fill="FFFFFF"/>
              <w:spacing w:before="0" w:after="0" w:line="240" w:lineRule="auto"/>
              <w:rPr>
                <w:rFonts w:hint="eastAsia" w:ascii="仿宋_GB2312" w:hAnsi="仿宋_GB2312" w:eastAsia="仿宋_GB2312" w:cs="仿宋_GB2312"/>
                <w:b w:val="0"/>
                <w:color w:val="auto"/>
                <w:kern w:val="0"/>
                <w:sz w:val="32"/>
                <w:szCs w:val="32"/>
              </w:rPr>
            </w:pPr>
          </w:p>
          <w:p w14:paraId="775CC372">
            <w:pPr>
              <w:widowControl/>
              <w:ind w:firstLine="640" w:firstLineChars="200"/>
              <w:jc w:val="left"/>
              <w:rPr>
                <w:rFonts w:hint="eastAsia" w:ascii="仿宋_GB2312" w:hAnsi="仿宋_GB2312" w:eastAsia="仿宋_GB2312" w:cs="仿宋_GB2312"/>
                <w:color w:val="auto"/>
                <w:kern w:val="0"/>
                <w:sz w:val="32"/>
                <w:szCs w:val="32"/>
              </w:rPr>
            </w:pPr>
          </w:p>
        </w:tc>
        <w:tc>
          <w:tcPr>
            <w:tcW w:w="948" w:type="dxa"/>
            <w:tcBorders>
              <w:top w:val="single" w:color="auto" w:sz="6" w:space="0"/>
              <w:left w:val="nil"/>
              <w:bottom w:val="single" w:color="auto" w:sz="6" w:space="0"/>
              <w:right w:val="single" w:color="auto" w:sz="6" w:space="0"/>
            </w:tcBorders>
          </w:tcPr>
          <w:p w14:paraId="75ADE5F0">
            <w:pPr>
              <w:widowControl/>
              <w:jc w:val="center"/>
              <w:rPr>
                <w:rFonts w:hint="eastAsia" w:ascii="仿宋_GB2312" w:hAnsi="仿宋_GB2312" w:eastAsia="仿宋_GB2312" w:cs="仿宋_GB2312"/>
                <w:b/>
                <w:bCs/>
                <w:color w:val="auto"/>
                <w:kern w:val="0"/>
                <w:sz w:val="32"/>
                <w:szCs w:val="32"/>
              </w:rPr>
            </w:pPr>
          </w:p>
        </w:tc>
      </w:tr>
      <w:tr w14:paraId="32BEE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14:paraId="104D0CA9">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12</w:t>
            </w:r>
          </w:p>
        </w:tc>
        <w:tc>
          <w:tcPr>
            <w:tcW w:w="948" w:type="dxa"/>
            <w:vMerge w:val="restart"/>
            <w:tcBorders>
              <w:top w:val="single" w:color="auto" w:sz="6" w:space="0"/>
              <w:left w:val="nil"/>
              <w:bottom w:val="single" w:color="auto" w:sz="6" w:space="0"/>
              <w:right w:val="single" w:color="auto" w:sz="4" w:space="0"/>
            </w:tcBorders>
            <w:vAlign w:val="center"/>
          </w:tcPr>
          <w:p w14:paraId="6F0AB9D1">
            <w:pPr>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瓦斯管理</w:t>
            </w:r>
          </w:p>
        </w:tc>
        <w:tc>
          <w:tcPr>
            <w:tcW w:w="948" w:type="dxa"/>
            <w:tcBorders>
              <w:top w:val="single" w:color="auto" w:sz="4" w:space="0"/>
              <w:left w:val="single" w:color="auto" w:sz="4" w:space="0"/>
              <w:bottom w:val="single" w:color="auto" w:sz="4" w:space="0"/>
              <w:right w:val="single" w:color="auto" w:sz="6" w:space="0"/>
            </w:tcBorders>
            <w:vAlign w:val="center"/>
          </w:tcPr>
          <w:p w14:paraId="0876B46C">
            <w:pPr>
              <w:rPr>
                <w:rFonts w:hint="eastAsia" w:ascii="仿宋_GB2312" w:hAnsi="仿宋_GB2312" w:eastAsia="仿宋_GB2312" w:cs="仿宋_GB2312"/>
                <w:b/>
                <w:bCs/>
                <w:color w:val="auto"/>
                <w:kern w:val="0"/>
                <w:sz w:val="32"/>
                <w:szCs w:val="32"/>
              </w:rPr>
            </w:pPr>
          </w:p>
          <w:p w14:paraId="2312E827">
            <w:pPr>
              <w:rPr>
                <w:rFonts w:hint="eastAsia" w:ascii="仿宋_GB2312" w:hAnsi="仿宋_GB2312" w:eastAsia="仿宋_GB2312" w:cs="仿宋_GB2312"/>
                <w:b/>
                <w:bCs/>
                <w:color w:val="auto"/>
                <w:kern w:val="0"/>
                <w:sz w:val="32"/>
                <w:szCs w:val="32"/>
              </w:rPr>
            </w:pPr>
          </w:p>
          <w:p w14:paraId="23E3F3B3">
            <w:pPr>
              <w:rPr>
                <w:rFonts w:hint="eastAsia" w:ascii="仿宋_GB2312" w:hAnsi="仿宋_GB2312" w:eastAsia="仿宋_GB2312" w:cs="仿宋_GB2312"/>
                <w:b/>
                <w:bCs/>
                <w:color w:val="auto"/>
                <w:kern w:val="0"/>
                <w:sz w:val="32"/>
                <w:szCs w:val="32"/>
              </w:rPr>
            </w:pPr>
          </w:p>
          <w:p w14:paraId="4DFE6B11">
            <w:pPr>
              <w:rPr>
                <w:rFonts w:hint="eastAsia" w:ascii="仿宋_GB2312" w:hAnsi="仿宋_GB2312" w:eastAsia="仿宋_GB2312" w:cs="仿宋_GB2312"/>
                <w:b/>
                <w:bCs/>
                <w:color w:val="auto"/>
                <w:kern w:val="0"/>
                <w:sz w:val="32"/>
                <w:szCs w:val="32"/>
              </w:rPr>
            </w:pPr>
          </w:p>
          <w:p w14:paraId="44DF00A3">
            <w:pPr>
              <w:rPr>
                <w:rFonts w:hint="eastAsia" w:ascii="仿宋_GB2312" w:hAnsi="仿宋_GB2312" w:eastAsia="仿宋_GB2312" w:cs="仿宋_GB2312"/>
                <w:b/>
                <w:bCs/>
                <w:color w:val="auto"/>
                <w:kern w:val="0"/>
                <w:sz w:val="32"/>
                <w:szCs w:val="32"/>
              </w:rPr>
            </w:pPr>
          </w:p>
          <w:p w14:paraId="4B85CEAB">
            <w:pPr>
              <w:rPr>
                <w:rFonts w:hint="eastAsia" w:ascii="仿宋_GB2312" w:hAnsi="仿宋_GB2312" w:eastAsia="仿宋_GB2312" w:cs="仿宋_GB2312"/>
                <w:b/>
                <w:bCs/>
                <w:color w:val="auto"/>
                <w:kern w:val="0"/>
                <w:sz w:val="32"/>
                <w:szCs w:val="32"/>
              </w:rPr>
            </w:pPr>
          </w:p>
          <w:p w14:paraId="1065866F">
            <w:pPr>
              <w:rPr>
                <w:rFonts w:hint="eastAsia" w:ascii="仿宋_GB2312" w:hAnsi="仿宋_GB2312" w:eastAsia="仿宋_GB2312" w:cs="仿宋_GB2312"/>
                <w:b/>
                <w:bCs/>
                <w:color w:val="auto"/>
                <w:kern w:val="0"/>
                <w:sz w:val="32"/>
                <w:szCs w:val="32"/>
              </w:rPr>
            </w:pPr>
          </w:p>
          <w:p w14:paraId="2D21A3E7">
            <w:pP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12.1</w:t>
            </w:r>
            <w:r>
              <w:rPr>
                <w:rFonts w:hint="eastAsia" w:ascii="仿宋_GB2312" w:hAnsi="仿宋_GB2312" w:eastAsia="仿宋_GB2312" w:cs="仿宋_GB2312"/>
                <w:color w:val="auto"/>
                <w:kern w:val="0"/>
                <w:sz w:val="32"/>
                <w:szCs w:val="32"/>
              </w:rPr>
              <w:t>瓦斯检查、瓦斯超限作业（重大生产安全事故隐患</w:t>
            </w:r>
            <w:r>
              <w:rPr>
                <w:rFonts w:hint="eastAsia" w:ascii="仿宋_GB2312" w:hAnsi="仿宋_GB2312" w:eastAsia="仿宋_GB2312" w:cs="仿宋_GB2312"/>
                <w:color w:val="auto"/>
                <w:sz w:val="32"/>
                <w:szCs w:val="32"/>
              </w:rPr>
              <w:t>）</w:t>
            </w:r>
          </w:p>
        </w:tc>
        <w:tc>
          <w:tcPr>
            <w:tcW w:w="3899" w:type="dxa"/>
            <w:tcBorders>
              <w:top w:val="single" w:color="auto" w:sz="6" w:space="0"/>
              <w:left w:val="nil"/>
              <w:bottom w:val="single" w:color="auto" w:sz="6" w:space="0"/>
              <w:right w:val="single" w:color="auto" w:sz="6" w:space="0"/>
            </w:tcBorders>
            <w:vAlign w:val="center"/>
          </w:tcPr>
          <w:p w14:paraId="0633D033">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《国务院关于预防煤矿生产安全事故的特别规定》第八条第二款第二项</w:t>
            </w:r>
            <w:r>
              <w:rPr>
                <w:rFonts w:hint="eastAsia" w:ascii="仿宋_GB2312" w:hAnsi="仿宋_GB2312" w:eastAsia="仿宋_GB2312" w:cs="仿宋_GB2312"/>
                <w:color w:val="auto"/>
                <w:kern w:val="0"/>
                <w:sz w:val="32"/>
                <w:szCs w:val="32"/>
              </w:rPr>
              <w:t>煤矿有下列重大安全生产隐患和行为的，应当立即停止生产，排除隐患：......</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（二）瓦斯超限作业的；......</w:t>
            </w:r>
          </w:p>
          <w:p w14:paraId="00BC37EA">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《煤矿重大事故隐患判定标准》第五条</w:t>
            </w:r>
            <w:r>
              <w:rPr>
                <w:rFonts w:hint="eastAsia" w:ascii="仿宋_GB2312" w:hAnsi="仿宋_GB2312" w:eastAsia="仿宋_GB2312" w:cs="仿宋_GB2312"/>
                <w:color w:val="auto"/>
                <w:sz w:val="32"/>
                <w:szCs w:val="32"/>
              </w:rPr>
              <w:t>“瓦斯超限作业”重大事故隐患，是指有下列情形之一的：</w:t>
            </w:r>
          </w:p>
          <w:p w14:paraId="295FD717">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（一）瓦斯检查存在漏检、假检情况且进行作业的；</w:t>
            </w:r>
          </w:p>
          <w:p w14:paraId="1F0FFA2B">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（二）井下瓦斯超限后继续作业或者未按照国家规定处置继续进行作业的；</w:t>
            </w:r>
          </w:p>
          <w:p w14:paraId="561E7912">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（三）井下排放积聚瓦斯未按照国家规定制定并实施安全技术措施进行作业的。</w:t>
            </w:r>
          </w:p>
          <w:p w14:paraId="2F597B4E">
            <w:pPr>
              <w:widowControl/>
              <w:ind w:firstLine="640" w:firstLineChars="200"/>
              <w:rPr>
                <w:rFonts w:hint="eastAsia" w:ascii="仿宋_GB2312" w:hAnsi="仿宋_GB2312" w:eastAsia="仿宋_GB2312" w:cs="仿宋_GB2312"/>
                <w:color w:val="auto"/>
                <w:sz w:val="32"/>
                <w:szCs w:val="32"/>
              </w:rPr>
            </w:pPr>
          </w:p>
          <w:p w14:paraId="3B65BA27">
            <w:pPr>
              <w:widowControl/>
              <w:ind w:firstLine="640" w:firstLineChars="200"/>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5FC216FB">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（3）瓦斯检查工配备人数及其相应资质等资料；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（4）瓦斯检查工工作安排和入井检查到岗记录；</w:t>
            </w:r>
          </w:p>
          <w:p w14:paraId="723F5B62">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瓦斯检查记录牌、检查手册和瓦斯检查台帐是否做到“三对口”（记录的有关情况和数据要完全一致，不能出现矛盾、不符或遗漏。主要内容包括：检查地点和检查人姓名;检查日期、班次及每次检查的具体时间;检查结果，瓦斯浓度、二氧化碳浓度和空气温度以及《煤矿安全规程》规定要求检查的内容）；</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（6）现场图片或影像资料；</w:t>
            </w:r>
          </w:p>
          <w:p w14:paraId="1BFCAB5C">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（7）监控系统监测数据记录；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（8）查瓦斯超限所采取的相应措施；</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（9）瓦斯日报表；</w:t>
            </w:r>
          </w:p>
          <w:p w14:paraId="7B5B8DC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（10）《现场检查记录》《责令限期整改指令书》等相关执法文书；</w:t>
            </w:r>
          </w:p>
          <w:p w14:paraId="2364B57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（11）其他相关证据。</w:t>
            </w:r>
          </w:p>
        </w:tc>
        <w:tc>
          <w:tcPr>
            <w:tcW w:w="3899" w:type="dxa"/>
            <w:tcBorders>
              <w:top w:val="single" w:color="auto" w:sz="6" w:space="0"/>
              <w:left w:val="nil"/>
              <w:bottom w:val="single" w:color="auto" w:sz="6" w:space="0"/>
              <w:right w:val="single" w:color="auto" w:sz="4" w:space="0"/>
            </w:tcBorders>
            <w:vAlign w:val="center"/>
          </w:tcPr>
          <w:p w14:paraId="1EC7CC63">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14:paraId="3B6B8AFD">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3BB809B3">
            <w:pPr>
              <w:widowControl/>
              <w:jc w:val="center"/>
              <w:rPr>
                <w:rFonts w:hint="eastAsia" w:ascii="仿宋_GB2312" w:hAnsi="仿宋_GB2312" w:eastAsia="仿宋_GB2312" w:cs="仿宋_GB2312"/>
                <w:b/>
                <w:bCs/>
                <w:color w:val="auto"/>
                <w:kern w:val="0"/>
                <w:sz w:val="32"/>
                <w:szCs w:val="32"/>
              </w:rPr>
            </w:pPr>
          </w:p>
        </w:tc>
      </w:tr>
      <w:tr w14:paraId="420BD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3C3ED5CE">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4F3F45C6">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single" w:color="auto" w:sz="4" w:space="0"/>
              <w:bottom w:val="single" w:color="auto" w:sz="4" w:space="0"/>
              <w:right w:val="single" w:color="auto" w:sz="6" w:space="0"/>
            </w:tcBorders>
            <w:vAlign w:val="center"/>
          </w:tcPr>
          <w:p w14:paraId="5B2CDED5">
            <w:pPr>
              <w:rPr>
                <w:rFonts w:hint="eastAsia" w:ascii="仿宋_GB2312" w:hAnsi="仿宋_GB2312" w:eastAsia="仿宋_GB2312" w:cs="仿宋_GB2312"/>
                <w:color w:val="auto"/>
                <w:kern w:val="0"/>
                <w:sz w:val="32"/>
                <w:szCs w:val="32"/>
              </w:rPr>
            </w:pPr>
          </w:p>
          <w:p w14:paraId="3D13F0A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12.2瓦斯抽放系统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瓦斯传感器</w:t>
            </w:r>
          </w:p>
          <w:p w14:paraId="4A4F33E1">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sz w:val="32"/>
                <w:szCs w:val="32"/>
              </w:rPr>
              <w:t>（重大生产安全事故隐患）</w:t>
            </w:r>
          </w:p>
        </w:tc>
        <w:tc>
          <w:tcPr>
            <w:tcW w:w="3899" w:type="dxa"/>
            <w:tcBorders>
              <w:top w:val="single" w:color="auto" w:sz="6" w:space="0"/>
              <w:left w:val="nil"/>
              <w:bottom w:val="single" w:color="auto" w:sz="6" w:space="0"/>
              <w:right w:val="single" w:color="auto" w:sz="6" w:space="0"/>
            </w:tcBorders>
            <w:vAlign w:val="center"/>
          </w:tcPr>
          <w:p w14:paraId="1ECF4A05">
            <w:pPr>
              <w:widowControl/>
              <w:ind w:firstLine="640" w:firstLineChars="200"/>
              <w:rPr>
                <w:rFonts w:hint="eastAsia" w:ascii="仿宋_GB2312" w:hAnsi="仿宋_GB2312" w:eastAsia="仿宋_GB2312" w:cs="仿宋_GB2312"/>
                <w:color w:val="auto"/>
                <w:sz w:val="32"/>
                <w:szCs w:val="32"/>
              </w:rPr>
            </w:pPr>
          </w:p>
          <w:p w14:paraId="4D7BB071">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《国务院关于预防煤矿生产安全事故的特别规定》第八条第二款第四项</w:t>
            </w:r>
            <w:r>
              <w:rPr>
                <w:rFonts w:hint="eastAsia" w:ascii="仿宋_GB2312" w:hAnsi="仿宋_GB2312" w:eastAsia="仿宋_GB2312" w:cs="仿宋_GB2312"/>
                <w:color w:val="auto"/>
                <w:sz w:val="32"/>
                <w:szCs w:val="32"/>
              </w:rPr>
              <w:t>煤矿有下列重大安全生产隐患和行为的，应当立即停止生产，排除隐患：</w:t>
            </w:r>
          </w:p>
          <w:p w14:paraId="61D4107D">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（四）高瓦斯矿井未建立瓦斯抽放系统和监控系统，或者瓦斯监控系统不能正常运行的；</w:t>
            </w:r>
          </w:p>
          <w:p w14:paraId="393A76B8">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《煤矿重大事故隐患判定标准》第七条</w:t>
            </w:r>
            <w:r>
              <w:rPr>
                <w:rFonts w:hint="eastAsia" w:ascii="仿宋_GB2312" w:hAnsi="仿宋_GB2312" w:eastAsia="仿宋_GB2312" w:cs="仿宋_GB2312"/>
                <w:color w:val="auto"/>
                <w:sz w:val="32"/>
                <w:szCs w:val="32"/>
              </w:rPr>
              <w:t>“高瓦斯矿井未建立瓦斯抽采系统和监控系统，或者系统不能正常运行”重大事故隐患，是指有下列情形之一的：</w:t>
            </w:r>
          </w:p>
          <w:p w14:paraId="73D3F7E3">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（一）按照《煤矿安全规程》规定应当建立而未建立瓦斯抽采系统或者系统不正常使用的；</w:t>
            </w:r>
          </w:p>
          <w:p w14:paraId="63EA12ED">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（二）未按照国家规定安设、调校甲烷传感器，人为造成甲烷传感器失效，或者瓦斯超限后不能报警、断电或者断电范围不符合国家规定的。</w:t>
            </w:r>
          </w:p>
          <w:p w14:paraId="4175DDEC">
            <w:pPr>
              <w:widowControl/>
              <w:ind w:firstLine="640" w:firstLineChars="200"/>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55C6CDE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（3）相关设计及安全评价资料；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（4）瓦斯等级鉴定资料；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（5）抽放瓦斯基础参数定期检测制度；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（6）抽放瓦斯系统运行及检维修记录；</w:t>
            </w:r>
          </w:p>
          <w:p w14:paraId="25FB782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（7）监控系统图；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（8）安全监控作业管理制度；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（9）安全监控系统进行管理、调校、使用和维护记录；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（10）传感器设置台账；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（11）传感器调校记录；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（12）相关部门和责任人责任落实资料；</w:t>
            </w:r>
          </w:p>
          <w:p w14:paraId="211B5D1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（13）现场图片或影像资料；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（14）《现场检查记录》《责令限期整改指令书》等相关执法文书；</w:t>
            </w:r>
          </w:p>
          <w:p w14:paraId="20FB876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（15）其他相关证据。</w:t>
            </w:r>
          </w:p>
        </w:tc>
        <w:tc>
          <w:tcPr>
            <w:tcW w:w="3899" w:type="dxa"/>
            <w:tcBorders>
              <w:top w:val="single" w:color="auto" w:sz="6" w:space="0"/>
              <w:left w:val="nil"/>
              <w:bottom w:val="single" w:color="auto" w:sz="6" w:space="0"/>
              <w:right w:val="single" w:color="auto" w:sz="4" w:space="0"/>
            </w:tcBorders>
          </w:tcPr>
          <w:p w14:paraId="3541FC9C">
            <w:pPr>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1D21EB8E">
            <w:pPr>
              <w:widowControl/>
              <w:jc w:val="center"/>
              <w:rPr>
                <w:rFonts w:hint="eastAsia" w:ascii="仿宋_GB2312" w:hAnsi="仿宋_GB2312" w:eastAsia="仿宋_GB2312" w:cs="仿宋_GB2312"/>
                <w:b/>
                <w:bCs/>
                <w:color w:val="auto"/>
                <w:kern w:val="0"/>
                <w:sz w:val="32"/>
                <w:szCs w:val="32"/>
              </w:rPr>
            </w:pPr>
          </w:p>
        </w:tc>
      </w:tr>
      <w:tr w14:paraId="61752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tcBorders>
              <w:top w:val="single" w:color="auto" w:sz="6" w:space="0"/>
              <w:left w:val="single" w:color="auto" w:sz="6" w:space="0"/>
              <w:bottom w:val="single" w:color="auto" w:sz="6" w:space="0"/>
              <w:right w:val="single" w:color="auto" w:sz="6" w:space="0"/>
            </w:tcBorders>
            <w:noWrap/>
            <w:vAlign w:val="center"/>
          </w:tcPr>
          <w:p w14:paraId="3D75ACFF">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13</w:t>
            </w:r>
          </w:p>
        </w:tc>
        <w:tc>
          <w:tcPr>
            <w:tcW w:w="948" w:type="dxa"/>
            <w:tcBorders>
              <w:top w:val="single" w:color="auto" w:sz="6" w:space="0"/>
              <w:left w:val="nil"/>
              <w:bottom w:val="single" w:color="auto" w:sz="6" w:space="0"/>
              <w:right w:val="single" w:color="auto" w:sz="4" w:space="0"/>
            </w:tcBorders>
            <w:vAlign w:val="center"/>
          </w:tcPr>
          <w:p w14:paraId="3FAB66D8">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通风安全管理</w:t>
            </w:r>
          </w:p>
        </w:tc>
        <w:tc>
          <w:tcPr>
            <w:tcW w:w="948" w:type="dxa"/>
            <w:tcBorders>
              <w:top w:val="single" w:color="auto" w:sz="4" w:space="0"/>
              <w:left w:val="single" w:color="auto" w:sz="4" w:space="0"/>
              <w:bottom w:val="single" w:color="auto" w:sz="6" w:space="0"/>
              <w:right w:val="single" w:color="auto" w:sz="6" w:space="0"/>
            </w:tcBorders>
            <w:vAlign w:val="center"/>
          </w:tcPr>
          <w:p w14:paraId="7EF3BBF5">
            <w:pPr>
              <w:widowControl/>
              <w:rPr>
                <w:rFonts w:hint="eastAsia" w:ascii="仿宋_GB2312" w:hAnsi="仿宋_GB2312" w:eastAsia="仿宋_GB2312" w:cs="仿宋_GB2312"/>
                <w:color w:val="auto"/>
                <w:kern w:val="0"/>
                <w:sz w:val="32"/>
                <w:szCs w:val="32"/>
              </w:rPr>
            </w:pPr>
          </w:p>
          <w:p w14:paraId="650BB12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13.1通风系统</w:t>
            </w:r>
          </w:p>
        </w:tc>
        <w:tc>
          <w:tcPr>
            <w:tcW w:w="3899" w:type="dxa"/>
            <w:tcBorders>
              <w:top w:val="single" w:color="auto" w:sz="6" w:space="0"/>
              <w:left w:val="nil"/>
              <w:bottom w:val="single" w:color="auto" w:sz="6" w:space="0"/>
              <w:right w:val="single" w:color="auto" w:sz="6" w:space="0"/>
            </w:tcBorders>
            <w:vAlign w:val="center"/>
          </w:tcPr>
          <w:p w14:paraId="71F3007C">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《国务院关于预防煤矿生产安全事故的特别规定》第八条第二款第（五）项</w:t>
            </w:r>
            <w:r>
              <w:rPr>
                <w:rFonts w:hint="eastAsia" w:ascii="仿宋_GB2312" w:hAnsi="仿宋_GB2312" w:eastAsia="仿宋_GB2312" w:cs="仿宋_GB2312"/>
                <w:color w:val="auto"/>
                <w:kern w:val="0"/>
                <w:sz w:val="32"/>
                <w:szCs w:val="32"/>
              </w:rPr>
              <w:t>煤矿有下列重大安全生产隐患和行为的，应当立即停止生产，排除隐患：</w:t>
            </w:r>
          </w:p>
          <w:p w14:paraId="6163841C">
            <w:pPr>
              <w:widowControl/>
              <w:ind w:firstLine="64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（五）通风系统不完善、不可靠的；</w:t>
            </w:r>
          </w:p>
          <w:p w14:paraId="5827390F">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《煤矿重大事故隐患判定标准》</w:t>
            </w:r>
            <w:r>
              <w:rPr>
                <w:rFonts w:hint="eastAsia" w:ascii="仿宋_GB2312" w:hAnsi="仿宋_GB2312" w:eastAsia="仿宋_GB2312" w:cs="仿宋_GB2312"/>
                <w:color w:val="auto"/>
                <w:sz w:val="32"/>
                <w:szCs w:val="32"/>
              </w:rPr>
              <w:t>第八条“通风系统不完善、不可靠”重大事故隐患，是指有下列情形之一的：</w:t>
            </w:r>
          </w:p>
          <w:p w14:paraId="17195C27">
            <w:pPr>
              <w:widowControl/>
              <w:numPr>
                <w:ilvl w:val="0"/>
                <w:numId w:val="2"/>
              </w:numPr>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矿井总风量不足或者采掘工作面等主要用风地点风量不足的；</w:t>
            </w:r>
          </w:p>
          <w:p w14:paraId="4223B489">
            <w:pPr>
              <w:widowControl/>
              <w:numPr>
                <w:ilvl w:val="0"/>
                <w:numId w:val="2"/>
              </w:numPr>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没有备用主要通风机，或者两台主要通风机不具有同等能力的；</w:t>
            </w:r>
          </w:p>
          <w:p w14:paraId="7C8B410C">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（三）违反《煤矿安全规程》规定采用串联通风的；</w:t>
            </w:r>
          </w:p>
          <w:p w14:paraId="588C7ABF">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（四）未按照设计形成通风系统，或者生产水平和采（盘）区未实现分区通风的；</w:t>
            </w:r>
          </w:p>
          <w:p w14:paraId="5DE5E933">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（五）高瓦斯、煤与瓦斯突出矿井的任一采（盘）区，开采容易自燃煤层、低瓦斯矿井开采煤层群和分层开采采用联合布置的采（盘）区，未设置专用回风巷，或者突出煤层工作面没有独立的回风系统的；</w:t>
            </w:r>
          </w:p>
          <w:p w14:paraId="02430F60">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（六）进、回风井之间和主要进、回风巷之间联络巷中的风墙、风门不符合《煤矿安全规程》规定，造成风流短路的；</w:t>
            </w:r>
          </w:p>
          <w:p w14:paraId="40A02DC6">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（七）采区进、回风巷未贯穿整个采区，或者虽贯穿整个采区但一段进风、一段回风，或者采用倾斜长壁布置，大巷未超前至少2个区段构成通风系统即开掘其他巷道的；</w:t>
            </w:r>
          </w:p>
          <w:p w14:paraId="263F4A7A">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（八）煤巷、半煤岩巷和有瓦斯涌出的岩巷掘进未按照国家规定装备甲烷电、风电闭锁装置或者有关装置不能正常使用的；</w:t>
            </w:r>
          </w:p>
          <w:p w14:paraId="61E6487E">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（九）高瓦斯、煤（岩）与瓦斯（二氧化碳）突出矿井的煤巷、半煤岩巷和有瓦斯涌出的岩巷掘进工作面采用局部通风时，不能实现双风机、双电源且自动切换的；</w:t>
            </w:r>
          </w:p>
          <w:p w14:paraId="183B5491">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（十）高瓦斯、煤（岩）与瓦斯（二氧化碳）突出建设矿井进入二期工程前，其他建设矿井进入三期工程前，没有形成地面主要通风机供风的全风压通风系统的。</w:t>
            </w:r>
          </w:p>
          <w:p w14:paraId="5BAD9627">
            <w:pPr>
              <w:widowControl/>
              <w:ind w:left="666" w:leftChars="165" w:hanging="320" w:hangingChars="100"/>
              <w:rPr>
                <w:rFonts w:hint="eastAsia" w:ascii="仿宋_GB2312" w:hAnsi="仿宋_GB2312" w:eastAsia="仿宋_GB2312" w:cs="仿宋_GB2312"/>
                <w:color w:val="auto"/>
                <w:kern w:val="0"/>
                <w:sz w:val="32"/>
                <w:szCs w:val="32"/>
              </w:rPr>
            </w:pPr>
          </w:p>
          <w:p w14:paraId="368E3C68">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rPr>
              <w:t>第一百五十条</w:t>
            </w:r>
            <w:r>
              <w:rPr>
                <w:rFonts w:hint="eastAsia" w:ascii="仿宋_GB2312" w:hAnsi="仿宋_GB2312" w:eastAsia="仿宋_GB2312" w:cs="仿宋_GB2312"/>
                <w:color w:val="auto"/>
                <w:kern w:val="0"/>
                <w:sz w:val="32"/>
                <w:szCs w:val="32"/>
              </w:rPr>
              <w:t>采、掘工作面应当实行独立通风，严禁2个采煤工作面之间串联通风。</w:t>
            </w:r>
          </w:p>
          <w:p w14:paraId="06F9E247">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同一采区内1个采煤工作面与其相连接的1个掘进工作面、相邻的2个掘进工作面，布置独立通风有困</w:t>
            </w:r>
          </w:p>
          <w:p w14:paraId="2A7D7921">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难时，在制定措施后，可采用串联通风，但串联通风的次数不得超过1次。</w:t>
            </w:r>
          </w:p>
          <w:p w14:paraId="43D060AB">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采区内为构成新区段通风系统的掘进巷道或者采煤工作面遇地质构造而重新掘进的巷道，布置独立通风有困难时，其回风可以串入采煤工作面，但必须制定安全措施，且串联通风的次数不得超过1次；构成独立通风系统后，必须立即改为独立通风。</w:t>
            </w:r>
          </w:p>
          <w:p w14:paraId="4A1BDB1D">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对于本条规定的串联通风，必须在进入被串联工作面的巷道中装设甲烷传感器，且甲烷和二氧化碳浓度都不得超过0.5%，其他有害气体浓度都应当符合本规程第一百三十五条的要求。</w:t>
            </w:r>
          </w:p>
          <w:p w14:paraId="156D5A1A">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开采有瓦斯喷出、有突出危险的煤层或者在距离突出煤层垂距小于10m的区域掘进施工时，严禁任何2个工作面之间串联通风。</w:t>
            </w:r>
          </w:p>
        </w:tc>
        <w:tc>
          <w:tcPr>
            <w:tcW w:w="3899" w:type="dxa"/>
            <w:tcBorders>
              <w:top w:val="single" w:color="auto" w:sz="6" w:space="0"/>
              <w:left w:val="nil"/>
              <w:bottom w:val="single" w:color="auto" w:sz="6" w:space="0"/>
              <w:right w:val="single" w:color="auto" w:sz="6" w:space="0"/>
            </w:tcBorders>
            <w:vAlign w:val="center"/>
          </w:tcPr>
          <w:p w14:paraId="787153D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（3）相关设计及安全评价报告；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（4）主要通风机型号及技术参数；</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（5）生产能力核定及采掘工作面及单班入井最多人数核定；</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（6）实际生产能力和单班入井最多人数；</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（7）实测总进风量和总回风量；</w:t>
            </w:r>
          </w:p>
          <w:p w14:paraId="7BF1B2B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（8）采掘工程平面图、通风系统图和通风网络图；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（9）相关部门和责任人责任落实资料；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（10）现场图片或影像资料；</w:t>
            </w:r>
          </w:p>
          <w:p w14:paraId="2CDF517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（11）《现场检查记录》《责令限期整改指令书》等相关执法文书；</w:t>
            </w:r>
          </w:p>
          <w:p w14:paraId="0E7571B6">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（12）其他相关证据。</w:t>
            </w:r>
          </w:p>
        </w:tc>
        <w:tc>
          <w:tcPr>
            <w:tcW w:w="3899" w:type="dxa"/>
            <w:tcBorders>
              <w:top w:val="single" w:color="auto" w:sz="6" w:space="0"/>
              <w:left w:val="nil"/>
              <w:bottom w:val="single" w:color="auto" w:sz="6" w:space="0"/>
              <w:right w:val="single" w:color="auto" w:sz="4" w:space="0"/>
            </w:tcBorders>
            <w:vAlign w:val="center"/>
          </w:tcPr>
          <w:p w14:paraId="2100E22B">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14:paraId="0A71BEA3">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55DF42E8">
            <w:pPr>
              <w:widowControl/>
              <w:jc w:val="center"/>
              <w:rPr>
                <w:rFonts w:hint="eastAsia" w:ascii="仿宋_GB2312" w:hAnsi="仿宋_GB2312" w:eastAsia="仿宋_GB2312" w:cs="仿宋_GB2312"/>
                <w:b/>
                <w:bCs/>
                <w:color w:val="auto"/>
                <w:kern w:val="0"/>
                <w:sz w:val="32"/>
                <w:szCs w:val="32"/>
              </w:rPr>
            </w:pPr>
          </w:p>
        </w:tc>
      </w:tr>
      <w:tr w14:paraId="5D38C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right w:val="single" w:color="auto" w:sz="6" w:space="0"/>
            </w:tcBorders>
            <w:vAlign w:val="center"/>
          </w:tcPr>
          <w:p w14:paraId="14C27E5C">
            <w:pPr>
              <w:widowControl/>
              <w:jc w:val="left"/>
              <w:rPr>
                <w:rFonts w:hint="eastAsia" w:ascii="仿宋_GB2312" w:hAnsi="仿宋_GB2312" w:eastAsia="仿宋_GB2312" w:cs="仿宋_GB2312"/>
                <w:b/>
                <w:bCs/>
                <w:color w:val="auto"/>
                <w:kern w:val="0"/>
                <w:sz w:val="32"/>
                <w:szCs w:val="32"/>
              </w:rPr>
            </w:pPr>
          </w:p>
        </w:tc>
        <w:tc>
          <w:tcPr>
            <w:tcW w:w="948" w:type="dxa"/>
            <w:vMerge w:val="restart"/>
            <w:tcBorders>
              <w:top w:val="single" w:color="auto" w:sz="6" w:space="0"/>
              <w:left w:val="nil"/>
              <w:right w:val="single" w:color="auto" w:sz="4" w:space="0"/>
            </w:tcBorders>
            <w:vAlign w:val="center"/>
          </w:tcPr>
          <w:p w14:paraId="0F06FC58">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6" w:space="0"/>
              <w:right w:val="single" w:color="auto" w:sz="6" w:space="0"/>
            </w:tcBorders>
            <w:vAlign w:val="center"/>
          </w:tcPr>
          <w:p w14:paraId="4FBC7D4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13.2井下主要用风地点风量</w:t>
            </w:r>
          </w:p>
          <w:p w14:paraId="0754B5D9">
            <w:pPr>
              <w:widowControl/>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557EE2AB">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《国务院关于预防煤矿生产安全事故的特别规定》第八条第二款第（五）项</w:t>
            </w:r>
            <w:r>
              <w:rPr>
                <w:rFonts w:hint="eastAsia" w:ascii="仿宋_GB2312" w:hAnsi="仿宋_GB2312" w:eastAsia="仿宋_GB2312" w:cs="仿宋_GB2312"/>
                <w:color w:val="auto"/>
                <w:kern w:val="0"/>
                <w:sz w:val="32"/>
                <w:szCs w:val="32"/>
              </w:rPr>
              <w:t>煤矿有下列重大安全生产隐患和行为的，应当立即停止生产，排除隐患：</w:t>
            </w:r>
          </w:p>
          <w:p w14:paraId="28CE979C">
            <w:pPr>
              <w:widowControl/>
              <w:ind w:firstLine="64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（五）通风系统不完善、不可靠的；</w:t>
            </w:r>
          </w:p>
          <w:p w14:paraId="0736541B">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《煤矿重大事故隐患判定标准》</w:t>
            </w:r>
            <w:r>
              <w:rPr>
                <w:rFonts w:hint="eastAsia" w:ascii="仿宋_GB2312" w:hAnsi="仿宋_GB2312" w:eastAsia="仿宋_GB2312" w:cs="仿宋_GB2312"/>
                <w:color w:val="auto"/>
                <w:sz w:val="32"/>
                <w:szCs w:val="32"/>
              </w:rPr>
              <w:t>第八条第一项“通风系统不完善、不可靠”重大事故隐患，是指有下列情形之一的：</w:t>
            </w:r>
          </w:p>
          <w:p w14:paraId="7DACAC11">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（一）矿井总风量不足或者采掘工作面等主要用风地点风量不足的；</w:t>
            </w:r>
          </w:p>
          <w:p w14:paraId="70F39433">
            <w:pPr>
              <w:widowControl/>
              <w:ind w:firstLine="643" w:firstLineChars="200"/>
              <w:rPr>
                <w:rFonts w:hint="eastAsia" w:ascii="仿宋_GB2312" w:hAnsi="仿宋_GB2312" w:eastAsia="仿宋_GB2312" w:cs="仿宋_GB2312"/>
                <w:b/>
                <w:bCs/>
                <w:color w:val="auto"/>
                <w:kern w:val="0"/>
                <w:sz w:val="32"/>
                <w:szCs w:val="32"/>
              </w:rPr>
            </w:pPr>
          </w:p>
        </w:tc>
        <w:tc>
          <w:tcPr>
            <w:tcW w:w="3899" w:type="dxa"/>
            <w:tcBorders>
              <w:top w:val="single" w:color="auto" w:sz="6" w:space="0"/>
              <w:left w:val="nil"/>
              <w:bottom w:val="single" w:color="auto" w:sz="4" w:space="0"/>
              <w:right w:val="single" w:color="auto" w:sz="6" w:space="0"/>
            </w:tcBorders>
            <w:vAlign w:val="center"/>
          </w:tcPr>
          <w:p w14:paraId="3A2B11C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kern w:val="0"/>
                <w:sz w:val="32"/>
                <w:szCs w:val="32"/>
              </w:rPr>
              <w:t>（1）企业营业执照</w:t>
            </w:r>
            <w:r>
              <w:rPr>
                <w:rFonts w:hint="eastAsia" w:ascii="仿宋_GB2312" w:hAnsi="仿宋_GB2312" w:eastAsia="仿宋_GB2312" w:cs="仿宋_GB2312"/>
                <w:color w:val="auto"/>
                <w:kern w:val="0"/>
                <w:sz w:val="32"/>
                <w:szCs w:val="32"/>
              </w:rPr>
              <w:t>和有关证照（安全生产许可证等）</w:t>
            </w:r>
            <w:r>
              <w:rPr>
                <w:rFonts w:hint="eastAsia" w:ascii="仿宋_GB2312" w:hAnsi="仿宋_GB2312" w:eastAsia="仿宋_GB2312" w:cs="仿宋_GB2312"/>
                <w:color w:val="auto"/>
                <w:spacing w:val="-6"/>
                <w:kern w:val="0"/>
                <w:sz w:val="32"/>
                <w:szCs w:val="32"/>
              </w:rPr>
              <w:t>；</w:t>
            </w:r>
            <w:r>
              <w:rPr>
                <w:rFonts w:hint="eastAsia" w:ascii="仿宋_GB2312" w:hAnsi="仿宋_GB2312" w:eastAsia="仿宋_GB2312" w:cs="仿宋_GB2312"/>
                <w:color w:val="auto"/>
                <w:spacing w:val="-6"/>
                <w:kern w:val="0"/>
                <w:sz w:val="32"/>
                <w:szCs w:val="32"/>
              </w:rPr>
              <w:br w:type="textWrapping"/>
            </w:r>
            <w:r>
              <w:rPr>
                <w:rFonts w:hint="eastAsia" w:ascii="仿宋_GB2312" w:hAnsi="仿宋_GB2312" w:eastAsia="仿宋_GB2312" w:cs="仿宋_GB2312"/>
                <w:color w:val="auto"/>
                <w:spacing w:val="-6"/>
                <w:kern w:val="0"/>
                <w:sz w:val="32"/>
                <w:szCs w:val="32"/>
              </w:rPr>
              <w:t>（2）</w:t>
            </w:r>
            <w:r>
              <w:rPr>
                <w:rFonts w:hint="eastAsia" w:ascii="仿宋_GB2312" w:hAnsi="仿宋_GB2312" w:eastAsia="仿宋_GB2312" w:cs="仿宋_GB2312"/>
                <w:color w:val="auto"/>
                <w:kern w:val="0"/>
                <w:sz w:val="32"/>
                <w:szCs w:val="32"/>
              </w:rPr>
              <w:t>单位负责人等相关人员的身份证明、任职文件及其询问笔录</w:t>
            </w:r>
            <w:r>
              <w:rPr>
                <w:rFonts w:hint="eastAsia" w:ascii="仿宋_GB2312" w:hAnsi="仿宋_GB2312" w:eastAsia="仿宋_GB2312" w:cs="仿宋_GB2312"/>
                <w:color w:val="auto"/>
                <w:spacing w:val="-6"/>
                <w:kern w:val="0"/>
                <w:sz w:val="32"/>
                <w:szCs w:val="32"/>
              </w:rPr>
              <w:t>；</w:t>
            </w:r>
            <w:r>
              <w:rPr>
                <w:rFonts w:hint="eastAsia" w:ascii="仿宋_GB2312" w:hAnsi="仿宋_GB2312" w:eastAsia="仿宋_GB2312" w:cs="仿宋_GB2312"/>
                <w:color w:val="auto"/>
                <w:spacing w:val="-6"/>
                <w:kern w:val="0"/>
                <w:sz w:val="32"/>
                <w:szCs w:val="32"/>
              </w:rPr>
              <w:br w:type="textWrapping"/>
            </w:r>
            <w:r>
              <w:rPr>
                <w:rFonts w:hint="eastAsia" w:ascii="仿宋_GB2312" w:hAnsi="仿宋_GB2312" w:eastAsia="仿宋_GB2312" w:cs="仿宋_GB2312"/>
                <w:color w:val="auto"/>
                <w:spacing w:val="-6"/>
                <w:kern w:val="0"/>
                <w:sz w:val="32"/>
                <w:szCs w:val="32"/>
              </w:rPr>
              <w:t>（3）设计资料及安全评价报告；</w:t>
            </w:r>
            <w:r>
              <w:rPr>
                <w:rFonts w:hint="eastAsia" w:ascii="仿宋_GB2312" w:hAnsi="仿宋_GB2312" w:eastAsia="仿宋_GB2312" w:cs="仿宋_GB2312"/>
                <w:color w:val="auto"/>
                <w:spacing w:val="-6"/>
                <w:kern w:val="0"/>
                <w:sz w:val="32"/>
                <w:szCs w:val="32"/>
              </w:rPr>
              <w:br w:type="textWrapping"/>
            </w:r>
            <w:r>
              <w:rPr>
                <w:rFonts w:hint="eastAsia" w:ascii="仿宋_GB2312" w:hAnsi="仿宋_GB2312" w:eastAsia="仿宋_GB2312" w:cs="仿宋_GB2312"/>
                <w:color w:val="auto"/>
                <w:spacing w:val="-6"/>
                <w:kern w:val="0"/>
                <w:sz w:val="32"/>
                <w:szCs w:val="32"/>
              </w:rPr>
              <w:t>（4）采掘工作面作业规程及风量分配资料；</w:t>
            </w:r>
          </w:p>
          <w:p w14:paraId="5F793F4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kern w:val="0"/>
                <w:sz w:val="32"/>
                <w:szCs w:val="32"/>
              </w:rPr>
              <w:t>（5）实际生产能力和单班入井最多人数；</w:t>
            </w:r>
            <w:r>
              <w:rPr>
                <w:rFonts w:hint="eastAsia" w:ascii="仿宋_GB2312" w:hAnsi="仿宋_GB2312" w:eastAsia="仿宋_GB2312" w:cs="仿宋_GB2312"/>
                <w:color w:val="auto"/>
                <w:spacing w:val="-6"/>
                <w:kern w:val="0"/>
                <w:sz w:val="32"/>
                <w:szCs w:val="32"/>
              </w:rPr>
              <w:br w:type="textWrapping"/>
            </w:r>
            <w:r>
              <w:rPr>
                <w:rFonts w:hint="eastAsia" w:ascii="仿宋_GB2312" w:hAnsi="仿宋_GB2312" w:eastAsia="仿宋_GB2312" w:cs="仿宋_GB2312"/>
                <w:color w:val="auto"/>
                <w:spacing w:val="-6"/>
                <w:kern w:val="0"/>
                <w:sz w:val="32"/>
                <w:szCs w:val="32"/>
              </w:rPr>
              <w:t>（6）采掘工作面民爆物品实际使用量资料；</w:t>
            </w:r>
          </w:p>
          <w:p w14:paraId="1203D7DF">
            <w:pPr>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（7）现场实测采掘工作面进回风风量资料；</w:t>
            </w:r>
          </w:p>
          <w:p w14:paraId="2BD1A9E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pacing w:val="-6"/>
                <w:kern w:val="0"/>
                <w:sz w:val="32"/>
                <w:szCs w:val="32"/>
              </w:rPr>
              <w:t>（8）相关部门和责任人责任落实资料；</w:t>
            </w:r>
            <w:r>
              <w:rPr>
                <w:rFonts w:hint="eastAsia" w:ascii="仿宋_GB2312" w:hAnsi="仿宋_GB2312" w:eastAsia="仿宋_GB2312" w:cs="仿宋_GB2312"/>
                <w:color w:val="auto"/>
                <w:spacing w:val="-6"/>
                <w:kern w:val="0"/>
                <w:sz w:val="32"/>
                <w:szCs w:val="32"/>
              </w:rPr>
              <w:br w:type="textWrapping"/>
            </w:r>
            <w:r>
              <w:rPr>
                <w:rFonts w:hint="eastAsia" w:ascii="仿宋_GB2312" w:hAnsi="仿宋_GB2312" w:eastAsia="仿宋_GB2312" w:cs="仿宋_GB2312"/>
                <w:color w:val="auto"/>
                <w:spacing w:val="-6"/>
                <w:kern w:val="0"/>
                <w:sz w:val="32"/>
                <w:szCs w:val="32"/>
              </w:rPr>
              <w:t>（9）现场图片或影像资料；</w:t>
            </w:r>
            <w:r>
              <w:rPr>
                <w:rFonts w:hint="eastAsia" w:ascii="仿宋_GB2312" w:hAnsi="仿宋_GB2312" w:eastAsia="仿宋_GB2312" w:cs="仿宋_GB2312"/>
                <w:color w:val="auto"/>
                <w:spacing w:val="-6"/>
                <w:kern w:val="0"/>
                <w:sz w:val="32"/>
                <w:szCs w:val="32"/>
              </w:rPr>
              <w:br w:type="textWrapping"/>
            </w:r>
            <w:r>
              <w:rPr>
                <w:rFonts w:hint="eastAsia" w:ascii="仿宋_GB2312" w:hAnsi="仿宋_GB2312" w:eastAsia="仿宋_GB2312" w:cs="仿宋_GB2312"/>
                <w:color w:val="auto"/>
                <w:kern w:val="0"/>
                <w:sz w:val="32"/>
                <w:szCs w:val="32"/>
              </w:rPr>
              <w:t>（10）《现场检查记录》《责令限期整改指令书》等相关执法文书；</w:t>
            </w:r>
          </w:p>
          <w:p w14:paraId="433F9A67">
            <w:pPr>
              <w:widowControl/>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kern w:val="0"/>
                <w:sz w:val="32"/>
                <w:szCs w:val="32"/>
              </w:rPr>
              <w:t>（11）其他相关证据。</w:t>
            </w:r>
          </w:p>
        </w:tc>
        <w:tc>
          <w:tcPr>
            <w:tcW w:w="3899" w:type="dxa"/>
            <w:tcBorders>
              <w:top w:val="single" w:color="auto" w:sz="6" w:space="0"/>
              <w:left w:val="nil"/>
              <w:bottom w:val="single" w:color="auto" w:sz="4" w:space="0"/>
              <w:right w:val="single" w:color="auto" w:sz="4" w:space="0"/>
            </w:tcBorders>
            <w:vAlign w:val="center"/>
          </w:tcPr>
          <w:p w14:paraId="7E082344">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52A67FDE">
            <w:pPr>
              <w:widowControl/>
              <w:jc w:val="center"/>
              <w:rPr>
                <w:rFonts w:hint="eastAsia" w:ascii="仿宋_GB2312" w:hAnsi="仿宋_GB2312" w:eastAsia="仿宋_GB2312" w:cs="仿宋_GB2312"/>
                <w:b/>
                <w:bCs/>
                <w:color w:val="auto"/>
                <w:kern w:val="0"/>
                <w:sz w:val="32"/>
                <w:szCs w:val="32"/>
              </w:rPr>
            </w:pPr>
          </w:p>
          <w:p w14:paraId="3222ACC8">
            <w:pPr>
              <w:widowControl/>
              <w:jc w:val="center"/>
              <w:rPr>
                <w:rFonts w:hint="eastAsia" w:ascii="仿宋_GB2312" w:hAnsi="仿宋_GB2312" w:eastAsia="仿宋_GB2312" w:cs="仿宋_GB2312"/>
                <w:b/>
                <w:bCs/>
                <w:color w:val="auto"/>
                <w:kern w:val="0"/>
                <w:sz w:val="32"/>
                <w:szCs w:val="32"/>
              </w:rPr>
            </w:pPr>
          </w:p>
        </w:tc>
      </w:tr>
      <w:tr w14:paraId="77FE1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continue"/>
            <w:tcBorders>
              <w:left w:val="single" w:color="auto" w:sz="6" w:space="0"/>
              <w:bottom w:val="single" w:color="auto" w:sz="6" w:space="0"/>
              <w:right w:val="single" w:color="auto" w:sz="6" w:space="0"/>
            </w:tcBorders>
            <w:vAlign w:val="center"/>
          </w:tcPr>
          <w:p w14:paraId="17786535">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left w:val="nil"/>
              <w:bottom w:val="single" w:color="auto" w:sz="6" w:space="0"/>
              <w:right w:val="single" w:color="auto" w:sz="4" w:space="0"/>
            </w:tcBorders>
            <w:vAlign w:val="center"/>
          </w:tcPr>
          <w:p w14:paraId="47E9866B">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6" w:space="0"/>
              <w:right w:val="single" w:color="auto" w:sz="6" w:space="0"/>
            </w:tcBorders>
            <w:vAlign w:val="center"/>
          </w:tcPr>
          <w:p w14:paraId="22153840">
            <w:pPr>
              <w:widowControl/>
              <w:rPr>
                <w:rFonts w:hint="eastAsia" w:ascii="仿宋_GB2312" w:hAnsi="仿宋_GB2312" w:eastAsia="仿宋_GB2312" w:cs="仿宋_GB2312"/>
                <w:color w:val="auto"/>
                <w:kern w:val="0"/>
                <w:sz w:val="32"/>
                <w:szCs w:val="32"/>
              </w:rPr>
            </w:pPr>
          </w:p>
          <w:p w14:paraId="2DB7D8E7">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13.3采区进（回）风巷、分区通风</w:t>
            </w:r>
            <w:r>
              <w:rPr>
                <w:rFonts w:hint="eastAsia" w:ascii="仿宋_GB2312" w:hAnsi="仿宋_GB2312" w:eastAsia="仿宋_GB2312" w:cs="仿宋_GB2312"/>
                <w:color w:val="auto"/>
                <w:sz w:val="32"/>
                <w:szCs w:val="32"/>
              </w:rPr>
              <w:t>（重大生产安全事故隐患）</w:t>
            </w:r>
          </w:p>
        </w:tc>
        <w:tc>
          <w:tcPr>
            <w:tcW w:w="3899" w:type="dxa"/>
            <w:tcBorders>
              <w:top w:val="single" w:color="auto" w:sz="6" w:space="0"/>
              <w:left w:val="nil"/>
              <w:bottom w:val="single" w:color="auto" w:sz="6" w:space="0"/>
              <w:right w:val="single" w:color="auto" w:sz="6" w:space="0"/>
            </w:tcBorders>
            <w:vAlign w:val="center"/>
          </w:tcPr>
          <w:p w14:paraId="5B1E2714">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《国务院关于预防煤矿生产安全事故的特别规定》第八条第二款第（五）项</w:t>
            </w:r>
            <w:r>
              <w:rPr>
                <w:rFonts w:hint="eastAsia" w:ascii="仿宋_GB2312" w:hAnsi="仿宋_GB2312" w:eastAsia="仿宋_GB2312" w:cs="仿宋_GB2312"/>
                <w:color w:val="auto"/>
                <w:kern w:val="0"/>
                <w:sz w:val="32"/>
                <w:szCs w:val="32"/>
              </w:rPr>
              <w:t>煤矿有下列重大安全生产隐患和行为的，应当立即停止生产，排除隐患：</w:t>
            </w:r>
          </w:p>
          <w:p w14:paraId="3BCB6E90">
            <w:pPr>
              <w:widowControl/>
              <w:ind w:firstLine="64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（五）通风系统不完善、不可靠的；</w:t>
            </w:r>
          </w:p>
          <w:p w14:paraId="282A9659">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《煤矿重大事故隐患判定标准》第八条第五、六、七项</w:t>
            </w:r>
            <w:r>
              <w:rPr>
                <w:rFonts w:hint="eastAsia" w:ascii="仿宋_GB2312" w:hAnsi="仿宋_GB2312" w:eastAsia="仿宋_GB2312" w:cs="仿宋_GB2312"/>
                <w:color w:val="auto"/>
                <w:sz w:val="32"/>
                <w:szCs w:val="32"/>
              </w:rPr>
              <w:t>“通风系统不完善、不可靠”重大事故隐患，是指有下列情形之一的：</w:t>
            </w:r>
          </w:p>
          <w:p w14:paraId="352D5316">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（五）高瓦斯、煤与瓦斯突出矿井的任一采（盘）区，开采容易自燃煤层、低瓦斯矿井开采煤层群和分层开采采用联合布置的采（盘）区，未设置专用回风巷，或者突出煤层工作面没有独立的回风系统的；</w:t>
            </w:r>
          </w:p>
          <w:p w14:paraId="560640F8">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（六）进、回风井之间和主要进、回风巷之间联络巷中的风墙、风门不符合《煤矿安全规程》规定，造成风流短路的；</w:t>
            </w:r>
          </w:p>
          <w:p w14:paraId="66DD9D2D">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（七）采区进、回风巷未贯穿整个采区，或者虽贯穿整个采区但一段进风、一段回风，或者采用倾斜长壁布置，大巷未超前至少2个区段构成通风系统即开掘其他巷道的；</w:t>
            </w:r>
          </w:p>
          <w:p w14:paraId="173ADC47">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《煤矿安全规程》第一百四十九条</w:t>
            </w:r>
            <w:r>
              <w:rPr>
                <w:rFonts w:hint="eastAsia" w:ascii="仿宋_GB2312" w:hAnsi="仿宋_GB2312" w:eastAsia="仿宋_GB2312" w:cs="仿宋_GB2312"/>
                <w:color w:val="auto"/>
                <w:kern w:val="0"/>
                <w:sz w:val="32"/>
                <w:szCs w:val="32"/>
              </w:rPr>
              <w:t>生产水平和采（盘）区必须实行分区通风。</w:t>
            </w:r>
          </w:p>
          <w:p w14:paraId="0987C5BF">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准备采区，必须在采区构成通风系统后，方可开掘其他巷道；采用倾斜长壁布置的，大巷必须至少超前2个区段，并构成通风系统后，方可开掘其他巷道。采煤工作面必须在采（盘）区构成完整的通风、排水系统后，方可回采。</w:t>
            </w:r>
          </w:p>
          <w:p w14:paraId="2C36099E">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高瓦斯、突出矿井的每个采（盘）区和开采容易自燃煤层的采（盘）区，必须设置至少1条专用回风巷；低瓦斯矿井开采煤层群和分层开采采用联合布置的采（盘）区，必须设置1条专用回风巷。</w:t>
            </w:r>
          </w:p>
          <w:p w14:paraId="339097F4">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采区进、回风巷必须贯穿整个采区，严禁一段为进风巷、一段为回风巷。</w:t>
            </w:r>
          </w:p>
        </w:tc>
        <w:tc>
          <w:tcPr>
            <w:tcW w:w="3899" w:type="dxa"/>
            <w:tcBorders>
              <w:top w:val="single" w:color="auto" w:sz="4" w:space="0"/>
              <w:left w:val="nil"/>
              <w:bottom w:val="single" w:color="auto" w:sz="6" w:space="0"/>
              <w:right w:val="single" w:color="auto" w:sz="6" w:space="0"/>
            </w:tcBorders>
            <w:vAlign w:val="center"/>
          </w:tcPr>
          <w:p w14:paraId="120195E7">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（3）设计资料及安全评价报告；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（4）采掘工程平面图和通风系统图；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（5）现场检查采区进回风巷设置及进回风风流方向；</w:t>
            </w:r>
          </w:p>
          <w:p w14:paraId="4ED61752">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（6）相关部门和责任人责任落实资料；</w:t>
            </w:r>
          </w:p>
          <w:p w14:paraId="6ED9C67B">
            <w:pPr>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kern w:val="0"/>
                <w:sz w:val="32"/>
                <w:szCs w:val="32"/>
              </w:rPr>
              <w:t>（7）现场图片或影像资料；</w:t>
            </w:r>
          </w:p>
          <w:p w14:paraId="26D4E47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3C5E35F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tcBorders>
              <w:top w:val="single" w:color="auto" w:sz="4" w:space="0"/>
              <w:left w:val="nil"/>
              <w:bottom w:val="single" w:color="auto" w:sz="6" w:space="0"/>
              <w:right w:val="single" w:color="auto" w:sz="4" w:space="0"/>
            </w:tcBorders>
          </w:tcPr>
          <w:p w14:paraId="03F45E9A">
            <w:pPr>
              <w:widowControl/>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16482CC5">
            <w:pPr>
              <w:widowControl/>
              <w:jc w:val="center"/>
              <w:rPr>
                <w:rFonts w:hint="eastAsia" w:ascii="仿宋_GB2312" w:hAnsi="仿宋_GB2312" w:eastAsia="仿宋_GB2312" w:cs="仿宋_GB2312"/>
                <w:b/>
                <w:bCs/>
                <w:color w:val="auto"/>
                <w:kern w:val="0"/>
                <w:sz w:val="32"/>
                <w:szCs w:val="32"/>
              </w:rPr>
            </w:pPr>
          </w:p>
        </w:tc>
      </w:tr>
      <w:tr w14:paraId="5F0C6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44" w:hRule="atLeast"/>
          <w:jc w:val="center"/>
        </w:trPr>
        <w:tc>
          <w:tcPr>
            <w:tcW w:w="624" w:type="dxa"/>
            <w:tcBorders>
              <w:top w:val="single" w:color="auto" w:sz="6" w:space="0"/>
              <w:left w:val="single" w:color="auto" w:sz="6" w:space="0"/>
              <w:bottom w:val="single" w:color="auto" w:sz="6" w:space="0"/>
              <w:right w:val="single" w:color="auto" w:sz="6" w:space="0"/>
            </w:tcBorders>
            <w:vAlign w:val="center"/>
          </w:tcPr>
          <w:p w14:paraId="35DB192B">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6" w:space="0"/>
              <w:left w:val="nil"/>
              <w:bottom w:val="single" w:color="auto" w:sz="6" w:space="0"/>
              <w:right w:val="single" w:color="auto" w:sz="4" w:space="0"/>
            </w:tcBorders>
            <w:vAlign w:val="center"/>
          </w:tcPr>
          <w:p w14:paraId="6FB4AD58">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6" w:space="0"/>
              <w:left w:val="single" w:color="auto" w:sz="4" w:space="0"/>
              <w:bottom w:val="single" w:color="auto" w:sz="6" w:space="0"/>
              <w:right w:val="single" w:color="auto" w:sz="6" w:space="0"/>
            </w:tcBorders>
            <w:shd w:val="clear" w:color="auto" w:fill="FFFFFF" w:themeFill="background1"/>
            <w:vAlign w:val="center"/>
          </w:tcPr>
          <w:p w14:paraId="3DABAB07">
            <w:pPr>
              <w:widowControl/>
              <w:rPr>
                <w:rFonts w:hint="eastAsia" w:ascii="仿宋_GB2312" w:hAnsi="仿宋_GB2312" w:eastAsia="仿宋_GB2312" w:cs="仿宋_GB2312"/>
                <w:color w:val="auto"/>
                <w:kern w:val="0"/>
                <w:sz w:val="32"/>
                <w:szCs w:val="32"/>
              </w:rPr>
            </w:pPr>
          </w:p>
          <w:p w14:paraId="36D1BD58">
            <w:pPr>
              <w:widowControl/>
              <w:rPr>
                <w:rFonts w:hint="eastAsia" w:ascii="仿宋_GB2312" w:hAnsi="仿宋_GB2312" w:eastAsia="仿宋_GB2312" w:cs="仿宋_GB2312"/>
                <w:color w:val="auto"/>
                <w:kern w:val="0"/>
                <w:sz w:val="32"/>
                <w:szCs w:val="32"/>
              </w:rPr>
            </w:pPr>
          </w:p>
          <w:p w14:paraId="3616DF64">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13.4矿井测风</w:t>
            </w:r>
          </w:p>
        </w:tc>
        <w:tc>
          <w:tcPr>
            <w:tcW w:w="3899" w:type="dxa"/>
            <w:tcBorders>
              <w:top w:val="single" w:color="auto" w:sz="6" w:space="0"/>
              <w:left w:val="nil"/>
              <w:bottom w:val="single" w:color="auto" w:sz="6" w:space="0"/>
              <w:right w:val="single" w:color="auto" w:sz="6" w:space="0"/>
            </w:tcBorders>
            <w:shd w:val="clear" w:color="auto" w:fill="FFFFFF" w:themeFill="background1"/>
            <w:vAlign w:val="center"/>
          </w:tcPr>
          <w:p w14:paraId="28C055EC">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《四川省安全生产条例》第四条第二款</w:t>
            </w:r>
            <w:r>
              <w:rPr>
                <w:rFonts w:hint="eastAsia" w:ascii="仿宋_GB2312" w:hAnsi="仿宋_GB2312" w:eastAsia="仿宋_GB2312" w:cs="仿宋_GB2312"/>
                <w:color w:val="auto"/>
                <w:kern w:val="0"/>
                <w:sz w:val="32"/>
                <w:szCs w:val="32"/>
              </w:rPr>
              <w:t>生产经营单位及其从业人员必须遵守安全生产法律、法规、规章、标准、规范、作业规程以及安全技术措施等相关规定。</w:t>
            </w:r>
          </w:p>
          <w:p w14:paraId="17DB8D18">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《煤矿安全规程》第一百四十条第一款</w:t>
            </w:r>
            <w:r>
              <w:rPr>
                <w:rFonts w:hint="eastAsia" w:ascii="仿宋_GB2312" w:hAnsi="仿宋_GB2312" w:eastAsia="仿宋_GB2312" w:cs="仿宋_GB2312"/>
                <w:color w:val="auto"/>
                <w:kern w:val="0"/>
                <w:sz w:val="32"/>
                <w:szCs w:val="32"/>
              </w:rPr>
              <w:t>矿井必须建立测风制度,每10天至少进行1次全面测风.对采掘工作面和其他用风地点,应当根据实际需要随时测风,每次测风结果应当记录并写在测风地点的记录牌上。</w:t>
            </w:r>
          </w:p>
          <w:p w14:paraId="061E0C76">
            <w:pPr>
              <w:pStyle w:val="2"/>
              <w:ind w:firstLine="360"/>
              <w:rPr>
                <w:rFonts w:hint="eastAsia" w:ascii="仿宋_GB2312" w:hAnsi="仿宋_GB2312" w:eastAsia="仿宋_GB2312" w:cs="仿宋_GB2312"/>
                <w:color w:val="auto"/>
                <w:sz w:val="32"/>
                <w:szCs w:val="32"/>
              </w:rPr>
            </w:pPr>
          </w:p>
        </w:tc>
        <w:tc>
          <w:tcPr>
            <w:tcW w:w="3899" w:type="dxa"/>
            <w:tcBorders>
              <w:top w:val="single" w:color="auto" w:sz="6" w:space="0"/>
              <w:left w:val="nil"/>
              <w:bottom w:val="single" w:color="auto" w:sz="6" w:space="0"/>
              <w:right w:val="single" w:color="auto" w:sz="6" w:space="0"/>
            </w:tcBorders>
            <w:shd w:val="clear" w:color="auto" w:fill="FFFFFF" w:themeFill="background1"/>
            <w:vAlign w:val="center"/>
          </w:tcPr>
          <w:p w14:paraId="3FEFEFC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（3）测风制度；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（4）测风记录（报表）；</w:t>
            </w:r>
          </w:p>
          <w:p w14:paraId="549B665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（5）作业场所有毒有害物质浓度记录；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（6）采掘作业规程；</w:t>
            </w:r>
          </w:p>
          <w:p w14:paraId="52BB758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（7）现场检查掘进工作面出风口距迎头距离、测风牌板、有毒有害物质的浓度资料；</w:t>
            </w:r>
          </w:p>
          <w:p w14:paraId="2C68FE65">
            <w:pPr>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kern w:val="0"/>
                <w:sz w:val="32"/>
                <w:szCs w:val="32"/>
              </w:rPr>
              <w:t>（8）图片或影像资料；</w:t>
            </w:r>
          </w:p>
          <w:p w14:paraId="046BC69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5B5B4B5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tcBorders>
              <w:top w:val="single" w:color="auto" w:sz="6" w:space="0"/>
              <w:left w:val="nil"/>
              <w:bottom w:val="single" w:color="auto" w:sz="6" w:space="0"/>
              <w:right w:val="single" w:color="auto" w:sz="4" w:space="0"/>
            </w:tcBorders>
          </w:tcPr>
          <w:p w14:paraId="4DE2D1AF">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48" w:type="dxa"/>
            <w:tcBorders>
              <w:top w:val="single" w:color="auto" w:sz="6" w:space="0"/>
              <w:left w:val="nil"/>
              <w:bottom w:val="single" w:color="auto" w:sz="6" w:space="0"/>
              <w:right w:val="single" w:color="auto" w:sz="6" w:space="0"/>
            </w:tcBorders>
          </w:tcPr>
          <w:p w14:paraId="22E51EB1">
            <w:pPr>
              <w:widowControl/>
              <w:jc w:val="center"/>
              <w:rPr>
                <w:rFonts w:hint="eastAsia" w:ascii="仿宋_GB2312" w:hAnsi="仿宋_GB2312" w:eastAsia="仿宋_GB2312" w:cs="仿宋_GB2312"/>
                <w:b/>
                <w:bCs/>
                <w:color w:val="auto"/>
                <w:kern w:val="0"/>
                <w:sz w:val="32"/>
                <w:szCs w:val="32"/>
              </w:rPr>
            </w:pPr>
          </w:p>
        </w:tc>
      </w:tr>
      <w:tr w14:paraId="15A90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00" w:hRule="atLeast"/>
          <w:jc w:val="center"/>
        </w:trPr>
        <w:tc>
          <w:tcPr>
            <w:tcW w:w="624" w:type="dxa"/>
            <w:tcBorders>
              <w:top w:val="single" w:color="auto" w:sz="6" w:space="0"/>
              <w:left w:val="single" w:color="auto" w:sz="6" w:space="0"/>
              <w:right w:val="single" w:color="auto" w:sz="6" w:space="0"/>
            </w:tcBorders>
            <w:vAlign w:val="center"/>
          </w:tcPr>
          <w:p w14:paraId="79CE989B">
            <w:pPr>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13</w:t>
            </w:r>
          </w:p>
        </w:tc>
        <w:tc>
          <w:tcPr>
            <w:tcW w:w="948" w:type="dxa"/>
            <w:tcBorders>
              <w:top w:val="single" w:color="auto" w:sz="6" w:space="0"/>
              <w:left w:val="nil"/>
              <w:right w:val="single" w:color="auto" w:sz="4" w:space="0"/>
            </w:tcBorders>
            <w:vAlign w:val="center"/>
          </w:tcPr>
          <w:p w14:paraId="4AB1D3A9">
            <w:pPr>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Cs/>
                <w:color w:val="auto"/>
                <w:kern w:val="0"/>
                <w:sz w:val="32"/>
                <w:szCs w:val="32"/>
              </w:rPr>
              <w:t>通风安全管理</w:t>
            </w:r>
          </w:p>
        </w:tc>
        <w:tc>
          <w:tcPr>
            <w:tcW w:w="948" w:type="dxa"/>
            <w:tcBorders>
              <w:top w:val="single" w:color="auto" w:sz="6" w:space="0"/>
              <w:left w:val="single" w:color="auto" w:sz="4" w:space="0"/>
              <w:bottom w:val="single" w:color="auto" w:sz="6" w:space="0"/>
              <w:right w:val="single" w:color="auto" w:sz="6" w:space="0"/>
            </w:tcBorders>
            <w:vAlign w:val="center"/>
          </w:tcPr>
          <w:p w14:paraId="03A9C2FC">
            <w:pPr>
              <w:widowControl/>
              <w:jc w:val="left"/>
              <w:rPr>
                <w:rFonts w:hint="eastAsia" w:ascii="仿宋_GB2312" w:hAnsi="仿宋_GB2312" w:eastAsia="仿宋_GB2312" w:cs="仿宋_GB2312"/>
                <w:color w:val="auto"/>
                <w:kern w:val="0"/>
                <w:sz w:val="32"/>
                <w:szCs w:val="32"/>
              </w:rPr>
            </w:pPr>
          </w:p>
          <w:p w14:paraId="5883C592">
            <w:pPr>
              <w:widowControl/>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13.5密闭管理</w:t>
            </w:r>
          </w:p>
        </w:tc>
        <w:tc>
          <w:tcPr>
            <w:tcW w:w="3899" w:type="dxa"/>
            <w:tcBorders>
              <w:top w:val="single" w:color="auto" w:sz="6" w:space="0"/>
              <w:left w:val="nil"/>
              <w:bottom w:val="single" w:color="auto" w:sz="6" w:space="0"/>
              <w:right w:val="single" w:color="auto" w:sz="6" w:space="0"/>
            </w:tcBorders>
            <w:vAlign w:val="center"/>
          </w:tcPr>
          <w:p w14:paraId="19D3C6F4">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《四川省安全生产条例》第四条第二款</w:t>
            </w:r>
            <w:r>
              <w:rPr>
                <w:rFonts w:hint="eastAsia" w:ascii="仿宋_GB2312" w:hAnsi="仿宋_GB2312" w:eastAsia="仿宋_GB2312" w:cs="仿宋_GB2312"/>
                <w:color w:val="auto"/>
                <w:kern w:val="0"/>
                <w:sz w:val="32"/>
                <w:szCs w:val="32"/>
              </w:rPr>
              <w:t>生产经营单位及其从业人员必须遵守安全生产法律、法规、规章、标准、规范、作业规程以及安全技术措施等相关规定。</w:t>
            </w:r>
          </w:p>
          <w:p w14:paraId="142AF701">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《煤矿安全规程》第二百七十八条</w:t>
            </w:r>
            <w:r>
              <w:rPr>
                <w:rFonts w:hint="eastAsia" w:ascii="仿宋_GB2312" w:hAnsi="仿宋_GB2312" w:eastAsia="仿宋_GB2312" w:cs="仿宋_GB2312"/>
                <w:color w:val="auto"/>
                <w:kern w:val="0"/>
                <w:sz w:val="32"/>
                <w:szCs w:val="32"/>
              </w:rPr>
              <w:t>永久性密闭墙的管理应当遵守下列规定:</w:t>
            </w:r>
          </w:p>
          <w:p w14:paraId="09F919FE">
            <w:pPr>
              <w:widowControl/>
              <w:ind w:firstLine="64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（一）每个密闭墙附近必须设置栅栏、警标，禁止人员入内，并悬挂说明牌。</w:t>
            </w:r>
          </w:p>
          <w:p w14:paraId="58B596B0">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（二）定期测定和分析密闭墙内的气体成分和空气温度。</w:t>
            </w:r>
          </w:p>
          <w:p w14:paraId="60A2D6B2">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（三）定期检查密闭墙外的空气温度、瓦斯浓度，密闭墙内外空气压差以及密闭墙墙体。发现封闭不严、有其他缺陷或者火区有异常变化时，必须采取措施及时处理。</w:t>
            </w:r>
          </w:p>
          <w:p w14:paraId="3033B1BD">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（四）所有测定和检查结果，必须记入防火记录簿。</w:t>
            </w:r>
          </w:p>
          <w:p w14:paraId="5906F0B9">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（五）矿井做大幅度风量调整时，应当测定密闭墙内的气体成分和空气温度。</w:t>
            </w:r>
          </w:p>
          <w:p w14:paraId="07DE41E8">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（六）井下所有永久性密闭墙都应当编号，并在火区位置关系图中注明。</w:t>
            </w:r>
          </w:p>
          <w:p w14:paraId="53A13F18">
            <w:pPr>
              <w:widowControl/>
              <w:ind w:firstLine="64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密闭墙的质量标准由煤矿企业统一制定。</w:t>
            </w:r>
          </w:p>
        </w:tc>
        <w:tc>
          <w:tcPr>
            <w:tcW w:w="3899" w:type="dxa"/>
            <w:tcBorders>
              <w:top w:val="single" w:color="auto" w:sz="6" w:space="0"/>
              <w:left w:val="nil"/>
              <w:bottom w:val="single" w:color="auto" w:sz="6" w:space="0"/>
              <w:right w:val="single" w:color="auto" w:sz="6" w:space="0"/>
            </w:tcBorders>
            <w:vAlign w:val="center"/>
          </w:tcPr>
          <w:p w14:paraId="6BE847F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7E3EFE0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（3）密闭管理图纸；</w:t>
            </w:r>
          </w:p>
          <w:p w14:paraId="7203580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（4）密闭检查记录；</w:t>
            </w:r>
          </w:p>
          <w:p w14:paraId="36B4E2C3">
            <w:pPr>
              <w:widowControl/>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kern w:val="0"/>
                <w:sz w:val="32"/>
                <w:szCs w:val="32"/>
              </w:rPr>
              <w:t>（5）密闭管理台账；</w:t>
            </w:r>
          </w:p>
          <w:p w14:paraId="7376824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（6）现场图片或影像资料；</w:t>
            </w:r>
          </w:p>
          <w:p w14:paraId="11D0B18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35A782CF">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tcBorders>
              <w:top w:val="single" w:color="auto" w:sz="6" w:space="0"/>
              <w:left w:val="nil"/>
              <w:bottom w:val="single" w:color="auto" w:sz="6" w:space="0"/>
              <w:right w:val="single" w:color="auto" w:sz="4" w:space="0"/>
            </w:tcBorders>
          </w:tcPr>
          <w:p w14:paraId="4CC1B631">
            <w:pPr>
              <w:widowControl/>
              <w:ind w:firstLine="643" w:firstLineChars="200"/>
              <w:rPr>
                <w:rFonts w:hint="eastAsia" w:ascii="仿宋_GB2312" w:hAnsi="仿宋_GB2312" w:eastAsia="仿宋_GB2312" w:cs="仿宋_GB2312"/>
                <w:b/>
                <w:bCs/>
                <w:color w:val="auto"/>
                <w:kern w:val="0"/>
                <w:sz w:val="32"/>
                <w:szCs w:val="32"/>
              </w:rPr>
            </w:pPr>
          </w:p>
          <w:p w14:paraId="255B0EE2">
            <w:pPr>
              <w:widowControl/>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48" w:type="dxa"/>
            <w:tcBorders>
              <w:top w:val="single" w:color="auto" w:sz="6" w:space="0"/>
              <w:left w:val="nil"/>
              <w:bottom w:val="single" w:color="auto" w:sz="6" w:space="0"/>
              <w:right w:val="single" w:color="auto" w:sz="6" w:space="0"/>
            </w:tcBorders>
          </w:tcPr>
          <w:p w14:paraId="0127AD6D">
            <w:pPr>
              <w:widowControl/>
              <w:jc w:val="center"/>
              <w:rPr>
                <w:rFonts w:hint="eastAsia" w:ascii="仿宋_GB2312" w:hAnsi="仿宋_GB2312" w:eastAsia="仿宋_GB2312" w:cs="仿宋_GB2312"/>
                <w:b/>
                <w:bCs/>
                <w:color w:val="auto"/>
                <w:kern w:val="0"/>
                <w:sz w:val="32"/>
                <w:szCs w:val="32"/>
              </w:rPr>
            </w:pPr>
          </w:p>
        </w:tc>
      </w:tr>
      <w:tr w14:paraId="3FA837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tcBorders>
              <w:top w:val="single" w:color="auto" w:sz="6" w:space="0"/>
              <w:left w:val="single" w:color="auto" w:sz="6" w:space="0"/>
              <w:bottom w:val="single" w:color="auto" w:sz="6" w:space="0"/>
              <w:right w:val="single" w:color="auto" w:sz="6" w:space="0"/>
            </w:tcBorders>
            <w:noWrap/>
            <w:vAlign w:val="center"/>
          </w:tcPr>
          <w:p w14:paraId="2B6BBBE1">
            <w:pPr>
              <w:widowControl/>
              <w:jc w:val="center"/>
              <w:rPr>
                <w:rFonts w:hint="eastAsia" w:ascii="仿宋_GB2312" w:hAnsi="仿宋_GB2312" w:eastAsia="仿宋_GB2312" w:cs="仿宋_GB2312"/>
                <w:bCs/>
                <w:color w:val="auto"/>
                <w:kern w:val="0"/>
                <w:sz w:val="32"/>
                <w:szCs w:val="32"/>
              </w:rPr>
            </w:pPr>
          </w:p>
        </w:tc>
        <w:tc>
          <w:tcPr>
            <w:tcW w:w="948" w:type="dxa"/>
            <w:tcBorders>
              <w:top w:val="single" w:color="auto" w:sz="6" w:space="0"/>
              <w:left w:val="nil"/>
              <w:bottom w:val="single" w:color="auto" w:sz="6" w:space="0"/>
              <w:right w:val="single" w:color="auto" w:sz="4" w:space="0"/>
            </w:tcBorders>
            <w:vAlign w:val="center"/>
          </w:tcPr>
          <w:p w14:paraId="13BA608C">
            <w:pPr>
              <w:widowControl/>
              <w:jc w:val="center"/>
              <w:rPr>
                <w:rFonts w:hint="eastAsia" w:ascii="仿宋_GB2312" w:hAnsi="仿宋_GB2312" w:eastAsia="仿宋_GB2312" w:cs="仿宋_GB2312"/>
                <w:bCs/>
                <w:color w:val="auto"/>
                <w:kern w:val="0"/>
                <w:sz w:val="32"/>
                <w:szCs w:val="32"/>
              </w:rPr>
            </w:pPr>
          </w:p>
        </w:tc>
        <w:tc>
          <w:tcPr>
            <w:tcW w:w="948" w:type="dxa"/>
            <w:tcBorders>
              <w:top w:val="single" w:color="auto" w:sz="6" w:space="0"/>
              <w:left w:val="single" w:color="auto" w:sz="4" w:space="0"/>
              <w:bottom w:val="single" w:color="auto" w:sz="6" w:space="0"/>
              <w:right w:val="single" w:color="auto" w:sz="6" w:space="0"/>
            </w:tcBorders>
            <w:vAlign w:val="center"/>
          </w:tcPr>
          <w:p w14:paraId="2F9EE222">
            <w:pPr>
              <w:widowControl/>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3BAB0908">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《中华人民共和国安全生产法》第三十六条第三款</w:t>
            </w:r>
            <w:r>
              <w:rPr>
                <w:rFonts w:hint="eastAsia" w:ascii="仿宋_GB2312" w:hAnsi="仿宋_GB2312" w:eastAsia="仿宋_GB2312" w:cs="仿宋_GB2312"/>
                <w:color w:val="auto"/>
                <w:sz w:val="32"/>
                <w:szCs w:val="32"/>
              </w:rPr>
              <w:t>生产经营单位不得关闭、破坏直接关系生产安全的监控、报警、防护、救生设备、设施，或者篡改、隐瞒、销毁其相关数据、信息。</w:t>
            </w:r>
          </w:p>
        </w:tc>
        <w:tc>
          <w:tcPr>
            <w:tcW w:w="3899" w:type="dxa"/>
            <w:tcBorders>
              <w:top w:val="single" w:color="auto" w:sz="6" w:space="0"/>
              <w:left w:val="nil"/>
              <w:bottom w:val="single" w:color="auto" w:sz="6" w:space="0"/>
              <w:right w:val="single" w:color="auto" w:sz="6" w:space="0"/>
            </w:tcBorders>
            <w:vAlign w:val="center"/>
          </w:tcPr>
          <w:p w14:paraId="4DB7F1A6">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（1）企业营业执照和有关证照（安全生产许可证等）；</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（2）单位负责人等相关人员的身份证明、任职文件及其询问笔录；</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（3）设计资料及安全评价报告；</w:t>
            </w:r>
          </w:p>
          <w:p w14:paraId="5922BC4F">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（4）监控系统布置图；</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（5）监控设备安设、检修、运行记录或资料；</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（6）相关部门和责任人责任落实资料；</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（7）现场图片或影像资料；</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（8）《现场检查记录》《责令限期整改指令书》等相关执法文书；</w:t>
            </w:r>
          </w:p>
          <w:p w14:paraId="6B0BFC64">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（9）其他相关证据。</w:t>
            </w:r>
          </w:p>
        </w:tc>
        <w:tc>
          <w:tcPr>
            <w:tcW w:w="3899" w:type="dxa"/>
            <w:tcBorders>
              <w:top w:val="single" w:color="auto" w:sz="6" w:space="0"/>
              <w:left w:val="nil"/>
              <w:bottom w:val="single" w:color="auto" w:sz="6" w:space="0"/>
              <w:right w:val="single" w:color="auto" w:sz="4" w:space="0"/>
            </w:tcBorders>
          </w:tcPr>
          <w:p w14:paraId="3F051910">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《中华人民共和国安全生产法》第九十九条第四项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DE6B5D7">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（四）关闭、破坏直接关系生产安全的监控、报警、防护、救生设备、设施，或者篡改、隐瞒、销毁其相关数据、信息的；</w:t>
            </w:r>
          </w:p>
          <w:p w14:paraId="0800E8DE">
            <w:pPr>
              <w:widowControl/>
              <w:ind w:firstLine="640" w:firstLineChars="200"/>
              <w:jc w:val="left"/>
              <w:rPr>
                <w:rFonts w:hint="eastAsia" w:ascii="仿宋_GB2312" w:hAnsi="仿宋_GB2312" w:eastAsia="仿宋_GB2312" w:cs="仿宋_GB2312"/>
                <w:color w:val="auto"/>
                <w:kern w:val="0"/>
                <w:sz w:val="32"/>
                <w:szCs w:val="32"/>
              </w:rPr>
            </w:pPr>
          </w:p>
        </w:tc>
        <w:tc>
          <w:tcPr>
            <w:tcW w:w="948" w:type="dxa"/>
            <w:tcBorders>
              <w:top w:val="single" w:color="auto" w:sz="6" w:space="0"/>
              <w:left w:val="nil"/>
              <w:bottom w:val="single" w:color="auto" w:sz="6" w:space="0"/>
              <w:right w:val="single" w:color="auto" w:sz="6" w:space="0"/>
            </w:tcBorders>
          </w:tcPr>
          <w:p w14:paraId="567E1B76">
            <w:pPr>
              <w:widowControl/>
              <w:jc w:val="center"/>
              <w:rPr>
                <w:rFonts w:hint="eastAsia" w:ascii="仿宋_GB2312" w:hAnsi="仿宋_GB2312" w:eastAsia="仿宋_GB2312" w:cs="仿宋_GB2312"/>
                <w:b/>
                <w:bCs/>
                <w:color w:val="auto"/>
                <w:kern w:val="0"/>
                <w:sz w:val="32"/>
                <w:szCs w:val="32"/>
              </w:rPr>
            </w:pPr>
          </w:p>
        </w:tc>
      </w:tr>
      <w:tr w14:paraId="0D3E1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14:paraId="36ED8B31">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14</w:t>
            </w:r>
          </w:p>
        </w:tc>
        <w:tc>
          <w:tcPr>
            <w:tcW w:w="948" w:type="dxa"/>
            <w:vMerge w:val="restart"/>
            <w:tcBorders>
              <w:top w:val="single" w:color="auto" w:sz="6" w:space="0"/>
              <w:left w:val="nil"/>
              <w:bottom w:val="single" w:color="auto" w:sz="6" w:space="0"/>
              <w:right w:val="single" w:color="auto" w:sz="4" w:space="0"/>
            </w:tcBorders>
            <w:vAlign w:val="center"/>
          </w:tcPr>
          <w:p w14:paraId="3E4C4C28">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监测监控</w:t>
            </w:r>
          </w:p>
        </w:tc>
        <w:tc>
          <w:tcPr>
            <w:tcW w:w="948" w:type="dxa"/>
            <w:tcBorders>
              <w:top w:val="single" w:color="auto" w:sz="6" w:space="0"/>
              <w:left w:val="single" w:color="auto" w:sz="4" w:space="0"/>
              <w:bottom w:val="single" w:color="auto" w:sz="6" w:space="0"/>
              <w:right w:val="single" w:color="auto" w:sz="6" w:space="0"/>
            </w:tcBorders>
            <w:vAlign w:val="center"/>
          </w:tcPr>
          <w:p w14:paraId="4A1E257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14.1甲烷风电闭锁装置或者甲烷断电仪和风电闭锁装置（重大生产安全事故隐患）</w:t>
            </w:r>
          </w:p>
        </w:tc>
        <w:tc>
          <w:tcPr>
            <w:tcW w:w="3899" w:type="dxa"/>
            <w:tcBorders>
              <w:top w:val="single" w:color="auto" w:sz="6" w:space="0"/>
              <w:left w:val="nil"/>
              <w:bottom w:val="single" w:color="auto" w:sz="6" w:space="0"/>
              <w:right w:val="single" w:color="auto" w:sz="6" w:space="0"/>
            </w:tcBorders>
            <w:vAlign w:val="center"/>
          </w:tcPr>
          <w:p w14:paraId="162A93E2">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《国务院关于预防煤矿生产安全事故的特别规定》第八条第二款第（五）项</w:t>
            </w:r>
            <w:r>
              <w:rPr>
                <w:rFonts w:hint="eastAsia" w:ascii="仿宋_GB2312" w:hAnsi="仿宋_GB2312" w:eastAsia="仿宋_GB2312" w:cs="仿宋_GB2312"/>
                <w:color w:val="auto"/>
                <w:kern w:val="0"/>
                <w:sz w:val="32"/>
                <w:szCs w:val="32"/>
              </w:rPr>
              <w:t>煤矿有下列重大安全生产隐患和行为的，应当立即停止生产，排除隐患：</w:t>
            </w:r>
          </w:p>
          <w:p w14:paraId="46A0A520">
            <w:pPr>
              <w:widowControl/>
              <w:ind w:firstLine="64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（五）通风系统不完善、不可靠的；</w:t>
            </w:r>
          </w:p>
          <w:p w14:paraId="794DC84F">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《煤矿重大事故隐患判定标准》第八条第（八）项</w:t>
            </w:r>
            <w:r>
              <w:rPr>
                <w:rFonts w:hint="eastAsia" w:ascii="仿宋_GB2312" w:hAnsi="仿宋_GB2312" w:eastAsia="仿宋_GB2312" w:cs="仿宋_GB2312"/>
                <w:color w:val="auto"/>
                <w:kern w:val="0"/>
                <w:sz w:val="32"/>
                <w:szCs w:val="32"/>
              </w:rPr>
              <w:t>“通风系统不完善、不可靠”重大事故隐患，是指有下列情形之一的：</w:t>
            </w:r>
          </w:p>
          <w:p w14:paraId="2B82D484">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（八）煤巷、半煤岩巷和有瓦斯涌出的岩巷掘进未按照国家规定装备甲烷电、风电闭锁装置或者有关装置不能正常使用的；</w:t>
            </w:r>
          </w:p>
        </w:tc>
        <w:tc>
          <w:tcPr>
            <w:tcW w:w="3899" w:type="dxa"/>
            <w:tcBorders>
              <w:top w:val="single" w:color="auto" w:sz="6" w:space="0"/>
              <w:left w:val="nil"/>
              <w:bottom w:val="single" w:color="auto" w:sz="6" w:space="0"/>
              <w:right w:val="single" w:color="auto" w:sz="6" w:space="0"/>
            </w:tcBorders>
            <w:vAlign w:val="center"/>
          </w:tcPr>
          <w:p w14:paraId="6DDD603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（3）设计资料及安全评价报告；</w:t>
            </w:r>
          </w:p>
          <w:p w14:paraId="2E868B8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（4）监控系统布置图及监控记录；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（5）结合现场查掘进工作面甲烷风电闭锁装置或者甲烷断电仪和风电闭锁装置安设、检修、运行记录或资料；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（6）相关部门和责任人责任落实资料；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（7）现场图片或影像资料；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（8）《现场检查记录》《责令限期整改指令书》等相关执法文书；</w:t>
            </w:r>
          </w:p>
          <w:p w14:paraId="134C00F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tcBorders>
              <w:top w:val="single" w:color="auto" w:sz="6" w:space="0"/>
              <w:left w:val="nil"/>
              <w:bottom w:val="single" w:color="auto" w:sz="6" w:space="0"/>
              <w:right w:val="single" w:color="auto" w:sz="4" w:space="0"/>
            </w:tcBorders>
          </w:tcPr>
          <w:p w14:paraId="08ED1D66">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14:paraId="34906174">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2BF74C24">
            <w:pPr>
              <w:widowControl/>
              <w:jc w:val="center"/>
              <w:rPr>
                <w:rFonts w:hint="eastAsia" w:ascii="仿宋_GB2312" w:hAnsi="仿宋_GB2312" w:eastAsia="仿宋_GB2312" w:cs="仿宋_GB2312"/>
                <w:b/>
                <w:bCs/>
                <w:color w:val="auto"/>
                <w:kern w:val="0"/>
                <w:sz w:val="32"/>
                <w:szCs w:val="32"/>
              </w:rPr>
            </w:pPr>
          </w:p>
        </w:tc>
      </w:tr>
      <w:tr w14:paraId="660A8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03A5603F">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07CD2A20">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6" w:space="0"/>
              <w:left w:val="single" w:color="auto" w:sz="4" w:space="0"/>
              <w:bottom w:val="single" w:color="auto" w:sz="6" w:space="0"/>
              <w:right w:val="single" w:color="auto" w:sz="6" w:space="0"/>
            </w:tcBorders>
            <w:vAlign w:val="center"/>
          </w:tcPr>
          <w:p w14:paraId="6DCA11F1">
            <w:pPr>
              <w:widowControl/>
              <w:rPr>
                <w:rFonts w:hint="eastAsia" w:ascii="仿宋_GB2312" w:hAnsi="仿宋_GB2312" w:eastAsia="仿宋_GB2312" w:cs="仿宋_GB2312"/>
                <w:color w:val="auto"/>
                <w:kern w:val="0"/>
                <w:sz w:val="32"/>
                <w:szCs w:val="32"/>
              </w:rPr>
            </w:pPr>
          </w:p>
          <w:p w14:paraId="313AB7E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14.2监控设备调校</w:t>
            </w:r>
          </w:p>
        </w:tc>
        <w:tc>
          <w:tcPr>
            <w:tcW w:w="3899" w:type="dxa"/>
            <w:tcBorders>
              <w:top w:val="single" w:color="auto" w:sz="6" w:space="0"/>
              <w:left w:val="nil"/>
              <w:bottom w:val="single" w:color="auto" w:sz="6" w:space="0"/>
              <w:right w:val="single" w:color="auto" w:sz="6" w:space="0"/>
            </w:tcBorders>
            <w:vAlign w:val="center"/>
          </w:tcPr>
          <w:p w14:paraId="38AD213B">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 第三十六条第一款、第二款</w:t>
            </w:r>
            <w:r>
              <w:rPr>
                <w:rFonts w:hint="eastAsia" w:ascii="仿宋_GB2312" w:hAnsi="仿宋_GB2312" w:eastAsia="仿宋_GB2312" w:cs="仿宋_GB2312"/>
                <w:color w:val="auto"/>
                <w:sz w:val="32"/>
                <w:szCs w:val="32"/>
              </w:rPr>
              <w:t xml:space="preserve"> 安全设备的设计、制造、安装、使用、检测、维修、改造和报废，应当符合国家标准或者行业标准。</w:t>
            </w:r>
          </w:p>
          <w:p w14:paraId="267F6956">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生产经营单位必须对安全设备进行经常性维护、保养，并定期检测，保证正常运转。维护、保养、检测应当作好记录，并由有关人员签字。</w:t>
            </w:r>
          </w:p>
          <w:p w14:paraId="759DD72B">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《煤矿安全规程》第四百九十二条</w:t>
            </w:r>
            <w:r>
              <w:rPr>
                <w:rFonts w:hint="eastAsia" w:ascii="仿宋_GB2312" w:hAnsi="仿宋_GB2312" w:eastAsia="仿宋_GB2312" w:cs="仿宋_GB2312"/>
                <w:color w:val="auto"/>
                <w:kern w:val="0"/>
                <w:sz w:val="32"/>
                <w:szCs w:val="32"/>
              </w:rPr>
              <w:t xml:space="preserve">  安全监控设备必须定期调校、测试，每月至少1次。</w:t>
            </w:r>
          </w:p>
          <w:p w14:paraId="286A1DDC">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采用载体催化元件的甲烷传感器必须使用校准气样和空气气样在设备设置地点调校，便携式甲烷检测报警仪在仪器维修室调校，每15天至少1次。甲烷电闭锁和风电闭锁功能每15天至少测试1次。可能造成局部通风机停电的，每半年测试1次。</w:t>
            </w:r>
          </w:p>
          <w:p w14:paraId="5F2D4A98">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安全监控设备发生故障时，必须及时处理，在故障处理期间必须采用人工监测等安全措施，并填写故障记录</w:t>
            </w:r>
          </w:p>
        </w:tc>
        <w:tc>
          <w:tcPr>
            <w:tcW w:w="3899" w:type="dxa"/>
            <w:tcBorders>
              <w:top w:val="single" w:color="auto" w:sz="6" w:space="0"/>
              <w:left w:val="nil"/>
              <w:bottom w:val="single" w:color="auto" w:sz="6" w:space="0"/>
              <w:right w:val="single" w:color="auto" w:sz="6" w:space="0"/>
            </w:tcBorders>
            <w:vAlign w:val="center"/>
          </w:tcPr>
          <w:p w14:paraId="1A0C027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（3）监控系统保养、调校记录；</w:t>
            </w:r>
          </w:p>
          <w:p w14:paraId="0643C56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（4）监控系统布置图及监控记录；</w:t>
            </w:r>
          </w:p>
          <w:p w14:paraId="52F961F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6F66A7B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5FD7FEB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tc>
        <w:tc>
          <w:tcPr>
            <w:tcW w:w="3899" w:type="dxa"/>
            <w:tcBorders>
              <w:top w:val="single" w:color="auto" w:sz="6" w:space="0"/>
              <w:left w:val="nil"/>
              <w:bottom w:val="single" w:color="auto" w:sz="6" w:space="0"/>
              <w:right w:val="single" w:color="auto" w:sz="4" w:space="0"/>
            </w:tcBorders>
          </w:tcPr>
          <w:p w14:paraId="0FA98A3D">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  第九十九条第二款、第三款</w:t>
            </w:r>
            <w:r>
              <w:rPr>
                <w:rFonts w:hint="eastAsia" w:ascii="仿宋_GB2312" w:hAnsi="仿宋_GB2312" w:eastAsia="仿宋_GB2312" w:cs="仿宋_GB2312"/>
                <w:color w:val="auto"/>
                <w:sz w:val="32"/>
                <w:szCs w:val="32"/>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817B675">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（二）安全设备的安装、使用、检测、改造和报废不符合国家标准或者行业标准的；</w:t>
            </w:r>
          </w:p>
          <w:p w14:paraId="4FAAE2E0">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（三）未对安全设备进行经常性维护、保养和定期检测的；</w:t>
            </w:r>
          </w:p>
          <w:p w14:paraId="7F418F19">
            <w:pPr>
              <w:widowControl/>
              <w:ind w:firstLine="640" w:firstLineChars="200"/>
              <w:jc w:val="left"/>
              <w:rPr>
                <w:rFonts w:hint="eastAsia" w:ascii="仿宋_GB2312" w:hAnsi="仿宋_GB2312" w:eastAsia="仿宋_GB2312" w:cs="仿宋_GB2312"/>
                <w:color w:val="auto"/>
                <w:kern w:val="0"/>
                <w:sz w:val="32"/>
                <w:szCs w:val="32"/>
              </w:rPr>
            </w:pPr>
          </w:p>
        </w:tc>
        <w:tc>
          <w:tcPr>
            <w:tcW w:w="948" w:type="dxa"/>
            <w:tcBorders>
              <w:top w:val="single" w:color="auto" w:sz="6" w:space="0"/>
              <w:left w:val="nil"/>
              <w:bottom w:val="single" w:color="auto" w:sz="6" w:space="0"/>
              <w:right w:val="single" w:color="auto" w:sz="6" w:space="0"/>
            </w:tcBorders>
          </w:tcPr>
          <w:p w14:paraId="46017444">
            <w:pPr>
              <w:widowControl/>
              <w:jc w:val="center"/>
              <w:rPr>
                <w:rFonts w:hint="eastAsia" w:ascii="仿宋_GB2312" w:hAnsi="仿宋_GB2312" w:eastAsia="仿宋_GB2312" w:cs="仿宋_GB2312"/>
                <w:b/>
                <w:bCs/>
                <w:color w:val="auto"/>
                <w:kern w:val="0"/>
                <w:sz w:val="32"/>
                <w:szCs w:val="32"/>
              </w:rPr>
            </w:pPr>
          </w:p>
        </w:tc>
      </w:tr>
      <w:tr w14:paraId="24DD4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14:paraId="03D9C0BC">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15</w:t>
            </w:r>
          </w:p>
        </w:tc>
        <w:tc>
          <w:tcPr>
            <w:tcW w:w="948" w:type="dxa"/>
            <w:vMerge w:val="restart"/>
            <w:tcBorders>
              <w:top w:val="single" w:color="auto" w:sz="6" w:space="0"/>
              <w:left w:val="nil"/>
              <w:bottom w:val="single" w:color="auto" w:sz="6" w:space="0"/>
              <w:right w:val="single" w:color="auto" w:sz="4" w:space="0"/>
            </w:tcBorders>
            <w:vAlign w:val="center"/>
          </w:tcPr>
          <w:p w14:paraId="55D77CBA">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开拓开采</w:t>
            </w:r>
          </w:p>
        </w:tc>
        <w:tc>
          <w:tcPr>
            <w:tcW w:w="948" w:type="dxa"/>
            <w:tcBorders>
              <w:top w:val="single" w:color="auto" w:sz="4" w:space="0"/>
              <w:left w:val="single" w:color="auto" w:sz="4" w:space="0"/>
              <w:bottom w:val="single" w:color="auto" w:sz="4" w:space="0"/>
              <w:right w:val="single" w:color="auto" w:sz="6" w:space="0"/>
            </w:tcBorders>
            <w:vAlign w:val="center"/>
          </w:tcPr>
          <w:p w14:paraId="7F3466D4">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15.1“三下”开采</w:t>
            </w:r>
          </w:p>
        </w:tc>
        <w:tc>
          <w:tcPr>
            <w:tcW w:w="3899" w:type="dxa"/>
            <w:tcBorders>
              <w:top w:val="single" w:color="auto" w:sz="6" w:space="0"/>
              <w:left w:val="nil"/>
              <w:bottom w:val="single" w:color="auto" w:sz="6" w:space="0"/>
              <w:right w:val="single" w:color="auto" w:sz="6" w:space="0"/>
            </w:tcBorders>
            <w:vAlign w:val="center"/>
          </w:tcPr>
          <w:p w14:paraId="59686C07">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《矿山安全法实施条例》第十九条</w:t>
            </w:r>
            <w:r>
              <w:rPr>
                <w:rFonts w:hint="eastAsia" w:ascii="仿宋_GB2312" w:hAnsi="仿宋_GB2312" w:eastAsia="仿宋_GB2312" w:cs="仿宋_GB2312"/>
                <w:color w:val="auto"/>
                <w:kern w:val="0"/>
                <w:sz w:val="32"/>
                <w:szCs w:val="32"/>
              </w:rPr>
              <w:t>在下列条件下从事矿山开采，应当编制专门设计文件，并报管理矿山企业的主管部门批准：</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（一）有瓦斯突出的；</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（二）有冲击地压的；</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（三）在需要保护的建筑物、构筑物和铁路下面开采的；</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（四）在水体下面开采的；</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（五）在地温异常或者有热水涌出的地区开采的。</w:t>
            </w:r>
          </w:p>
        </w:tc>
        <w:tc>
          <w:tcPr>
            <w:tcW w:w="3899" w:type="dxa"/>
            <w:tcBorders>
              <w:top w:val="single" w:color="auto" w:sz="6" w:space="0"/>
              <w:left w:val="nil"/>
              <w:bottom w:val="single" w:color="auto" w:sz="6" w:space="0"/>
              <w:right w:val="single" w:color="auto" w:sz="6" w:space="0"/>
            </w:tcBorders>
            <w:vAlign w:val="center"/>
          </w:tcPr>
          <w:p w14:paraId="2FE97FB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（3）“三下”采掘作业专门设计文件；</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（4）作业规程和防治措施；</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（5）主管部门批准文件；</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（6）企业相关部门及有关责任人员和主要负责人责任落实资料；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（7）现场图片或影像资料；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（8）《现场检查记录》《责令限期整改指令书》等相关执法文书；</w:t>
            </w:r>
          </w:p>
          <w:p w14:paraId="0D48FBD1">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tcBorders>
              <w:top w:val="single" w:color="auto" w:sz="6" w:space="0"/>
              <w:left w:val="nil"/>
              <w:bottom w:val="single" w:color="auto" w:sz="6" w:space="0"/>
              <w:right w:val="single" w:color="auto" w:sz="4" w:space="0"/>
            </w:tcBorders>
            <w:vAlign w:val="center"/>
          </w:tcPr>
          <w:p w14:paraId="00D15BEF">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《矿山安全法实施条例》第五十四条</w:t>
            </w:r>
            <w:r>
              <w:rPr>
                <w:rFonts w:hint="eastAsia" w:ascii="仿宋_GB2312" w:hAnsi="仿宋_GB2312" w:eastAsia="仿宋_GB2312" w:cs="仿宋_GB2312"/>
                <w:color w:val="auto"/>
                <w:kern w:val="0"/>
                <w:sz w:val="32"/>
                <w:szCs w:val="32"/>
              </w:rPr>
              <w:t>违反本条例第十五条、第十六条、第十七条、第十八条、第十九条、第二十条、第二十一条、第二十二条、第二十三条、第二十五条规定的，由劳动行政主管部门责令改正，可以处2万元以下的罚款。</w:t>
            </w:r>
          </w:p>
        </w:tc>
        <w:tc>
          <w:tcPr>
            <w:tcW w:w="948" w:type="dxa"/>
            <w:tcBorders>
              <w:top w:val="single" w:color="auto" w:sz="6" w:space="0"/>
              <w:left w:val="nil"/>
              <w:bottom w:val="single" w:color="auto" w:sz="6" w:space="0"/>
              <w:right w:val="single" w:color="auto" w:sz="6" w:space="0"/>
            </w:tcBorders>
          </w:tcPr>
          <w:p w14:paraId="6CD6C18A">
            <w:pPr>
              <w:widowControl/>
              <w:jc w:val="center"/>
              <w:rPr>
                <w:rFonts w:hint="eastAsia" w:ascii="仿宋_GB2312" w:hAnsi="仿宋_GB2312" w:eastAsia="仿宋_GB2312" w:cs="仿宋_GB2312"/>
                <w:b/>
                <w:bCs/>
                <w:color w:val="auto"/>
                <w:kern w:val="0"/>
                <w:sz w:val="32"/>
                <w:szCs w:val="32"/>
              </w:rPr>
            </w:pPr>
          </w:p>
        </w:tc>
      </w:tr>
      <w:tr w14:paraId="15F56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608F8CF8">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1D2A6E22">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6" w:space="0"/>
              <w:right w:val="single" w:color="auto" w:sz="6" w:space="0"/>
            </w:tcBorders>
            <w:vAlign w:val="center"/>
          </w:tcPr>
          <w:p w14:paraId="3ACAFED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15.2超能力、超强度或者超定员组织生产</w:t>
            </w:r>
            <w:r>
              <w:rPr>
                <w:rFonts w:hint="eastAsia" w:ascii="仿宋_GB2312" w:hAnsi="仿宋_GB2312" w:eastAsia="仿宋_GB2312" w:cs="仿宋_GB2312"/>
                <w:color w:val="auto"/>
                <w:sz w:val="32"/>
                <w:szCs w:val="32"/>
              </w:rPr>
              <w:t>（重大事故隐患）</w:t>
            </w:r>
          </w:p>
        </w:tc>
        <w:tc>
          <w:tcPr>
            <w:tcW w:w="3899" w:type="dxa"/>
            <w:tcBorders>
              <w:top w:val="single" w:color="auto" w:sz="6" w:space="0"/>
              <w:left w:val="nil"/>
              <w:bottom w:val="single" w:color="auto" w:sz="6" w:space="0"/>
              <w:right w:val="single" w:color="auto" w:sz="6" w:space="0"/>
            </w:tcBorders>
            <w:vAlign w:val="center"/>
          </w:tcPr>
          <w:p w14:paraId="502ED95A">
            <w:pPr>
              <w:widowControl/>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《国务院关于预防煤矿生产安全事故的特别规定》第八条第二款第（一）项</w:t>
            </w:r>
            <w:r>
              <w:rPr>
                <w:rFonts w:hint="eastAsia" w:ascii="仿宋_GB2312" w:hAnsi="仿宋_GB2312" w:eastAsia="仿宋_GB2312" w:cs="仿宋_GB2312"/>
                <w:color w:val="auto"/>
                <w:kern w:val="0"/>
                <w:sz w:val="32"/>
                <w:szCs w:val="32"/>
              </w:rPr>
              <w:t>煤矿有下列重大安全生产隐患和行为的，应当立即停止生产，排除隐患：（一）超能力、超强度或者超定员组织生产的；</w:t>
            </w:r>
          </w:p>
          <w:p w14:paraId="1146E371">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《煤矿重大事故隐患判定标准》第四条</w:t>
            </w:r>
            <w:r>
              <w:rPr>
                <w:rFonts w:hint="eastAsia" w:ascii="仿宋_GB2312" w:hAnsi="仿宋_GB2312" w:eastAsia="仿宋_GB2312" w:cs="仿宋_GB2312"/>
                <w:color w:val="auto"/>
                <w:sz w:val="32"/>
                <w:szCs w:val="32"/>
              </w:rPr>
              <w:t>“超能力、超强度或者超定员组织生产”重大事故隐患，是指有下列情形之一的：</w:t>
            </w:r>
          </w:p>
          <w:p w14:paraId="7CFFAD8E">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（一）煤矿全年原煤产量超过核定（设计）生产能力幅度在10%以上，或者月原煤产量大于核定（设计）生产能力的10%的；</w:t>
            </w:r>
          </w:p>
          <w:p w14:paraId="46C1E704">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（二）煤矿或其上级公司超过煤矿核定（设计）生产能力下达生产计划或者经营指标的；</w:t>
            </w:r>
          </w:p>
          <w:p w14:paraId="13600CB4">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（三）煤矿开拓、准备、回采煤量可采期小于国家规定的最短时间，未主动采取限产或者停产措施，仍然组织生产的（衰老煤矿和地方人民政府计划停产关闭煤矿除外）；</w:t>
            </w:r>
          </w:p>
          <w:p w14:paraId="71025F9C">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 煤矿井下同时生产的水平超过2个，或者一个采（盘）区内同时作业的采煤、煤（半煤岩）巷掘进工作面个数超过《煤矿安全规程》规定的；</w:t>
            </w:r>
          </w:p>
          <w:p w14:paraId="52AFD862">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（五）瓦斯抽采不达标组织生产的；</w:t>
            </w:r>
          </w:p>
          <w:p w14:paraId="443CFE6D">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（六）煤矿未制定或者未严格执行井下劳动定员制度，或者采掘作业地点单班作业人数超过国家有关限员规定20%以上的。</w:t>
            </w:r>
          </w:p>
          <w:p w14:paraId="09D3D56F">
            <w:pPr>
              <w:widowControl/>
              <w:snapToGrid w:val="0"/>
              <w:ind w:firstLine="643" w:firstLineChars="200"/>
              <w:rPr>
                <w:rFonts w:hint="eastAsia" w:ascii="仿宋_GB2312" w:hAnsi="仿宋_GB2312" w:eastAsia="仿宋_GB2312" w:cs="仿宋_GB2312"/>
                <w:b/>
                <w:bCs/>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0F3D5664">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53DC7DC0">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（3）矿井采区设计；</w:t>
            </w:r>
          </w:p>
          <w:p w14:paraId="4733634F">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（4）采掘工作面作业规程；</w:t>
            </w:r>
          </w:p>
          <w:p w14:paraId="6442E08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（5）采掘工程平面图、通风系统图；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（6）现场图片或影像资料；</w:t>
            </w:r>
          </w:p>
          <w:p w14:paraId="406E779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6FBBFBB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tcBorders>
              <w:top w:val="single" w:color="auto" w:sz="6" w:space="0"/>
              <w:left w:val="nil"/>
              <w:bottom w:val="single" w:color="auto" w:sz="6" w:space="0"/>
              <w:right w:val="single" w:color="auto" w:sz="4" w:space="0"/>
            </w:tcBorders>
            <w:vAlign w:val="center"/>
          </w:tcPr>
          <w:p w14:paraId="36B8D9D1">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3400A7DE">
            <w:pPr>
              <w:widowControl/>
              <w:jc w:val="center"/>
              <w:rPr>
                <w:rFonts w:hint="eastAsia" w:ascii="仿宋_GB2312" w:hAnsi="仿宋_GB2312" w:eastAsia="仿宋_GB2312" w:cs="仿宋_GB2312"/>
                <w:b/>
                <w:bCs/>
                <w:color w:val="auto"/>
                <w:kern w:val="0"/>
                <w:sz w:val="32"/>
                <w:szCs w:val="32"/>
              </w:rPr>
            </w:pPr>
          </w:p>
        </w:tc>
      </w:tr>
      <w:tr w14:paraId="620A0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761B19B6">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617A59F2">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6" w:space="0"/>
              <w:right w:val="single" w:color="auto" w:sz="6" w:space="0"/>
            </w:tcBorders>
            <w:vAlign w:val="center"/>
          </w:tcPr>
          <w:p w14:paraId="630F4725">
            <w:pPr>
              <w:widowControl/>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15.3采区布置</w:t>
            </w:r>
          </w:p>
        </w:tc>
        <w:tc>
          <w:tcPr>
            <w:tcW w:w="3899" w:type="dxa"/>
            <w:tcBorders>
              <w:top w:val="single" w:color="auto" w:sz="6" w:space="0"/>
              <w:left w:val="nil"/>
              <w:bottom w:val="single" w:color="auto" w:sz="6" w:space="0"/>
              <w:right w:val="single" w:color="auto" w:sz="6" w:space="0"/>
            </w:tcBorders>
            <w:vAlign w:val="center"/>
          </w:tcPr>
          <w:p w14:paraId="4051D877">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《四川省安全生产条例》第四条第二款</w:t>
            </w:r>
            <w:r>
              <w:rPr>
                <w:rFonts w:hint="eastAsia" w:ascii="仿宋_GB2312" w:hAnsi="仿宋_GB2312" w:eastAsia="仿宋_GB2312" w:cs="仿宋_GB2312"/>
                <w:color w:val="auto"/>
                <w:kern w:val="0"/>
                <w:sz w:val="32"/>
                <w:szCs w:val="32"/>
              </w:rPr>
              <w:t>生产经营单位及其从业人员必须遵守安全生产法律、法规、规章、标准、规范、作业规程以及安全技术措施等相关规定。</w:t>
            </w:r>
          </w:p>
          <w:p w14:paraId="324A18F5">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《煤矿安全规程》第九十五条</w:t>
            </w:r>
            <w:r>
              <w:rPr>
                <w:rFonts w:hint="eastAsia" w:ascii="仿宋_GB2312" w:hAnsi="仿宋_GB2312" w:eastAsia="仿宋_GB2312" w:cs="仿宋_GB2312"/>
                <w:color w:val="auto"/>
                <w:kern w:val="0"/>
                <w:sz w:val="32"/>
                <w:szCs w:val="32"/>
              </w:rPr>
              <w:t>采（盘）区开采前必须按照生产布局和资源回收合理的要求编制采（盘）区设计，并严格按照采（盘）区设计组织施工，情况发生变化时及时修改设计。</w:t>
            </w:r>
          </w:p>
          <w:p w14:paraId="12277306">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个采（盘）区内同一煤层的一翼最多只能布置１个采煤工作面和２个煤（半煤岩）巷掘进工作面同时作业。采空区内不得遗留未经设计确定的煤柱。一个采（盘）区内同一煤层双翼开采或者多煤层开采的，该采（盘）区最多只能布置２个采煤工作面和４个煤（半煤岩）巷掘进工作面同时作业。采掘过程中严禁任意扩大和缩小设计确定的煤柱。</w:t>
            </w:r>
          </w:p>
          <w:p w14:paraId="4377764D">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严禁任意变更设计确定的工业场地、矿界、防水和井巷等的安全煤柱。</w:t>
            </w:r>
          </w:p>
          <w:p w14:paraId="51889135">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严禁在高速铁路下开采安全煤柱。</w:t>
            </w:r>
          </w:p>
          <w:p w14:paraId="63C26904">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下山采区未形成完整的通风、排水等生产系统前，严禁掘进回采巷道。</w:t>
            </w:r>
          </w:p>
        </w:tc>
        <w:tc>
          <w:tcPr>
            <w:tcW w:w="3899" w:type="dxa"/>
            <w:tcBorders>
              <w:top w:val="single" w:color="auto" w:sz="6" w:space="0"/>
              <w:left w:val="nil"/>
              <w:bottom w:val="single" w:color="auto" w:sz="6" w:space="0"/>
              <w:right w:val="single" w:color="auto" w:sz="6" w:space="0"/>
            </w:tcBorders>
            <w:vAlign w:val="center"/>
          </w:tcPr>
          <w:p w14:paraId="0189B7DB">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3EBFF67D">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（3）矿井采区设计；</w:t>
            </w:r>
          </w:p>
          <w:p w14:paraId="15F1CBA6">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（4）采掘工作面作业规程；</w:t>
            </w:r>
          </w:p>
          <w:p w14:paraId="3000E0CF">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（5）采掘工程平面图、通风系统图；</w:t>
            </w:r>
          </w:p>
          <w:p w14:paraId="36A146D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（6）现场图片或影像资料；</w:t>
            </w:r>
          </w:p>
          <w:p w14:paraId="6FE929F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4170AB3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tcBorders>
              <w:top w:val="single" w:color="auto" w:sz="6" w:space="0"/>
              <w:left w:val="nil"/>
              <w:bottom w:val="single" w:color="auto" w:sz="6" w:space="0"/>
              <w:right w:val="single" w:color="auto" w:sz="4" w:space="0"/>
            </w:tcBorders>
            <w:vAlign w:val="center"/>
          </w:tcPr>
          <w:p w14:paraId="78568A1D">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48" w:type="dxa"/>
            <w:tcBorders>
              <w:top w:val="single" w:color="auto" w:sz="6" w:space="0"/>
              <w:left w:val="nil"/>
              <w:bottom w:val="single" w:color="auto" w:sz="6" w:space="0"/>
              <w:right w:val="single" w:color="auto" w:sz="6" w:space="0"/>
            </w:tcBorders>
          </w:tcPr>
          <w:p w14:paraId="42AF8DDF">
            <w:pPr>
              <w:widowControl/>
              <w:jc w:val="center"/>
              <w:rPr>
                <w:rFonts w:hint="eastAsia" w:ascii="仿宋_GB2312" w:hAnsi="仿宋_GB2312" w:eastAsia="仿宋_GB2312" w:cs="仿宋_GB2312"/>
                <w:b/>
                <w:bCs/>
                <w:color w:val="auto"/>
                <w:kern w:val="0"/>
                <w:sz w:val="32"/>
                <w:szCs w:val="32"/>
              </w:rPr>
            </w:pPr>
          </w:p>
        </w:tc>
      </w:tr>
      <w:tr w14:paraId="61EAD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00EF0553">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5352C7B1">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single" w:color="auto" w:sz="4" w:space="0"/>
              <w:bottom w:val="single" w:color="auto" w:sz="6" w:space="0"/>
              <w:right w:val="single" w:color="auto" w:sz="6" w:space="0"/>
            </w:tcBorders>
            <w:vAlign w:val="center"/>
          </w:tcPr>
          <w:p w14:paraId="0A9F18B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15.4安全出口</w:t>
            </w:r>
          </w:p>
        </w:tc>
        <w:tc>
          <w:tcPr>
            <w:tcW w:w="3899" w:type="dxa"/>
            <w:tcBorders>
              <w:top w:val="single" w:color="auto" w:sz="6" w:space="0"/>
              <w:left w:val="nil"/>
              <w:bottom w:val="single" w:color="auto" w:sz="6" w:space="0"/>
              <w:right w:val="single" w:color="auto" w:sz="6" w:space="0"/>
            </w:tcBorders>
            <w:vAlign w:val="center"/>
          </w:tcPr>
          <w:p w14:paraId="080A0CC3">
            <w:pPr>
              <w:widowControl/>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第二十条</w:t>
            </w:r>
            <w:r>
              <w:rPr>
                <w:rFonts w:hint="eastAsia" w:ascii="仿宋_GB2312" w:hAnsi="仿宋_GB2312" w:eastAsia="仿宋_GB2312" w:cs="仿宋_GB2312"/>
                <w:color w:val="auto"/>
                <w:sz w:val="32"/>
                <w:szCs w:val="32"/>
              </w:rPr>
              <w:t>生产经营单位应当具备本法和有关法律、行政法规和国家标准或者行业标准规定的安全生产条件；不具备安全生产条件的，不得从事生产经营活动。</w:t>
            </w:r>
          </w:p>
          <w:p w14:paraId="49D59041">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《四川省安全生产条例》第四条第二款</w:t>
            </w:r>
            <w:r>
              <w:rPr>
                <w:rFonts w:hint="eastAsia" w:ascii="仿宋_GB2312" w:hAnsi="仿宋_GB2312" w:eastAsia="仿宋_GB2312" w:cs="仿宋_GB2312"/>
                <w:color w:val="auto"/>
                <w:kern w:val="0"/>
                <w:sz w:val="32"/>
                <w:szCs w:val="32"/>
              </w:rPr>
              <w:t>生产经营单位及其从业人员必须遵守安全生产法律、法规、规章、标准、规范、作业规程以及安全技术措施等相关规定。</w:t>
            </w:r>
          </w:p>
          <w:p w14:paraId="65971983">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《煤矿安全规程》第九十七条</w:t>
            </w:r>
            <w:r>
              <w:rPr>
                <w:rFonts w:hint="eastAsia" w:ascii="仿宋_GB2312" w:hAnsi="仿宋_GB2312" w:eastAsia="仿宋_GB2312" w:cs="仿宋_GB2312"/>
                <w:color w:val="auto"/>
                <w:kern w:val="0"/>
                <w:sz w:val="32"/>
                <w:szCs w:val="32"/>
              </w:rPr>
              <w:t>采煤工作面必须保持至少2个畅通的安全出口，一个通到进风巷道，另一个通到回风巷道。</w:t>
            </w:r>
          </w:p>
          <w:p w14:paraId="3879CAF5">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采煤工作面所有安全出口与巷道连接处超前压力影响范围内必须加强支护，且加强支护的巷道长度不得小于20m；综合机械化采煤工作面，此范围内的巷道高度不得低于1.8m，其他采煤工作面，此范围内的巷道高度不得低于1.6m。安全出口和与之相连接的巷道必须设专人维护，发生支架断梁折柱、巷道底鼓变形时，必须及时更换、清挖。</w:t>
            </w:r>
          </w:p>
          <w:p w14:paraId="236AAB98">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采煤工作面必须正规开采,严禁采用国家明令禁止的采煤方法。</w:t>
            </w:r>
          </w:p>
          <w:p w14:paraId="7899D8CB">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高瓦斯、突出、有容易自燃或者自燃煤层的矿井,不得采用前进式采煤方法。</w:t>
            </w:r>
          </w:p>
          <w:p w14:paraId="506E1436">
            <w:pPr>
              <w:widowControl/>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《煤矿安全规程》第一百二十五条</w:t>
            </w:r>
            <w:r>
              <w:rPr>
                <w:rFonts w:hint="eastAsia" w:ascii="仿宋_GB2312" w:hAnsi="仿宋_GB2312" w:eastAsia="仿宋_GB2312" w:cs="仿宋_GB2312"/>
                <w:color w:val="auto"/>
                <w:kern w:val="0"/>
                <w:sz w:val="32"/>
                <w:szCs w:val="32"/>
              </w:rPr>
              <w:t>矿井必须制定井巷维修制度，加强井巷维修，保证通风、运输畅通和行人安全。</w:t>
            </w:r>
          </w:p>
          <w:p w14:paraId="3584AA35">
            <w:pPr>
              <w:widowControl/>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《煤矿安全规程》第一百二十八条</w:t>
            </w:r>
            <w:r>
              <w:rPr>
                <w:rFonts w:hint="eastAsia" w:ascii="仿宋_GB2312" w:hAnsi="仿宋_GB2312" w:eastAsia="仿宋_GB2312" w:cs="仿宋_GB2312"/>
                <w:color w:val="auto"/>
                <w:kern w:val="0"/>
                <w:sz w:val="32"/>
                <w:szCs w:val="32"/>
              </w:rPr>
              <w:t>从报废的井巷内回收支架和装备时，必须制定安全措施。</w:t>
            </w:r>
          </w:p>
        </w:tc>
        <w:tc>
          <w:tcPr>
            <w:tcW w:w="3899" w:type="dxa"/>
            <w:tcBorders>
              <w:top w:val="single" w:color="auto" w:sz="6" w:space="0"/>
              <w:left w:val="nil"/>
              <w:bottom w:val="single" w:color="auto" w:sz="6" w:space="0"/>
              <w:right w:val="single" w:color="auto" w:sz="6" w:space="0"/>
            </w:tcBorders>
            <w:vAlign w:val="center"/>
          </w:tcPr>
          <w:p w14:paraId="5E16C2DD">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7DD293F1">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（3）工作面作业规程；</w:t>
            </w:r>
          </w:p>
          <w:p w14:paraId="1415321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（4）采掘工程平面图、通风系统图；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（5）现场图片或影像资料；</w:t>
            </w:r>
          </w:p>
          <w:p w14:paraId="12D2056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65CFA2C6">
            <w:pPr>
              <w:widowControl/>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（7）其他相关证据。</w:t>
            </w:r>
          </w:p>
        </w:tc>
        <w:tc>
          <w:tcPr>
            <w:tcW w:w="3899" w:type="dxa"/>
            <w:tcBorders>
              <w:top w:val="single" w:color="auto" w:sz="6" w:space="0"/>
              <w:left w:val="nil"/>
              <w:bottom w:val="single" w:color="auto" w:sz="6" w:space="0"/>
              <w:right w:val="single" w:color="auto" w:sz="4" w:space="0"/>
            </w:tcBorders>
          </w:tcPr>
          <w:p w14:paraId="150142D3">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第一百一十三条第二项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3F1A4B03">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（二）经停产停业整顿，仍不具备法律、行政法规和国家标准或者行业标准规定的安全生产条件的；</w:t>
            </w:r>
          </w:p>
          <w:p w14:paraId="282F29AC">
            <w:pPr>
              <w:widowControl/>
              <w:ind w:firstLine="640" w:firstLineChars="200"/>
              <w:jc w:val="left"/>
              <w:rPr>
                <w:rFonts w:hint="eastAsia" w:ascii="仿宋_GB2312" w:hAnsi="仿宋_GB2312" w:eastAsia="仿宋_GB2312" w:cs="仿宋_GB2312"/>
                <w:color w:val="auto"/>
                <w:kern w:val="0"/>
                <w:sz w:val="32"/>
                <w:szCs w:val="32"/>
              </w:rPr>
            </w:pPr>
          </w:p>
          <w:p w14:paraId="12611D55">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48" w:type="dxa"/>
            <w:tcBorders>
              <w:top w:val="single" w:color="auto" w:sz="6" w:space="0"/>
              <w:left w:val="nil"/>
              <w:bottom w:val="single" w:color="auto" w:sz="6" w:space="0"/>
              <w:right w:val="single" w:color="auto" w:sz="6" w:space="0"/>
            </w:tcBorders>
          </w:tcPr>
          <w:p w14:paraId="31874652">
            <w:pPr>
              <w:widowControl/>
              <w:jc w:val="center"/>
              <w:rPr>
                <w:rFonts w:hint="eastAsia" w:ascii="仿宋_GB2312" w:hAnsi="仿宋_GB2312" w:eastAsia="仿宋_GB2312" w:cs="仿宋_GB2312"/>
                <w:b/>
                <w:bCs/>
                <w:color w:val="auto"/>
                <w:kern w:val="0"/>
                <w:sz w:val="32"/>
                <w:szCs w:val="32"/>
              </w:rPr>
            </w:pPr>
          </w:p>
        </w:tc>
      </w:tr>
      <w:tr w14:paraId="36A1E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40"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04C201F9">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0899E68E">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single" w:color="auto" w:sz="4" w:space="0"/>
              <w:bottom w:val="single" w:color="auto" w:sz="4" w:space="0"/>
              <w:right w:val="single" w:color="auto" w:sz="6" w:space="0"/>
            </w:tcBorders>
            <w:vAlign w:val="center"/>
          </w:tcPr>
          <w:p w14:paraId="1884518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15.5井巷维修和报废</w:t>
            </w:r>
          </w:p>
          <w:p w14:paraId="26E3833C">
            <w:pPr>
              <w:widowControl/>
              <w:rPr>
                <w:rFonts w:hint="eastAsia" w:ascii="仿宋_GB2312" w:hAnsi="仿宋_GB2312" w:eastAsia="仿宋_GB2312" w:cs="仿宋_GB2312"/>
                <w:b/>
                <w:bCs/>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511C8D8D">
            <w:pPr>
              <w:widowControl/>
              <w:snapToGrid w:val="0"/>
              <w:ind w:firstLine="643" w:firstLineChars="200"/>
              <w:rPr>
                <w:rFonts w:hint="eastAsia" w:ascii="仿宋_GB2312" w:hAnsi="仿宋_GB2312" w:eastAsia="仿宋_GB2312" w:cs="仿宋_GB2312"/>
                <w:b/>
                <w:bCs/>
                <w:color w:val="auto"/>
                <w:kern w:val="0"/>
                <w:sz w:val="32"/>
                <w:szCs w:val="32"/>
              </w:rPr>
            </w:pPr>
          </w:p>
          <w:p w14:paraId="1FA86248">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《中华人民共和国安全生产法》第四十一条第一款</w:t>
            </w:r>
            <w:r>
              <w:rPr>
                <w:rFonts w:hint="eastAsia" w:ascii="仿宋_GB2312" w:hAnsi="仿宋_GB2312" w:eastAsia="仿宋_GB2312" w:cs="仿宋_GB2312"/>
                <w:color w:val="auto"/>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09CCF89A">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《四川省安全生产条例》第四条第二款</w:t>
            </w:r>
            <w:r>
              <w:rPr>
                <w:rFonts w:hint="eastAsia" w:ascii="仿宋_GB2312" w:hAnsi="仿宋_GB2312" w:eastAsia="仿宋_GB2312" w:cs="仿宋_GB2312"/>
                <w:color w:val="auto"/>
                <w:kern w:val="0"/>
                <w:sz w:val="32"/>
                <w:szCs w:val="32"/>
              </w:rPr>
              <w:t>生产经营单位及其从业人员必须遵守安全生产法律、法规、规章、标准、规范、作业规程以及安全技术措施等相关规定。</w:t>
            </w:r>
          </w:p>
          <w:p w14:paraId="6ABC4304">
            <w:pPr>
              <w:widowControl/>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《煤矿安全规程》第一百二十九条</w:t>
            </w:r>
            <w:r>
              <w:rPr>
                <w:rFonts w:hint="eastAsia" w:ascii="仿宋_GB2312" w:hAnsi="仿宋_GB2312" w:eastAsia="仿宋_GB2312" w:cs="仿宋_GB2312"/>
                <w:color w:val="auto"/>
                <w:kern w:val="0"/>
                <w:sz w:val="32"/>
                <w:szCs w:val="32"/>
              </w:rPr>
              <w:t xml:space="preserve">  报废的巷道必须封闭。报废的暗井和倾斜巷道下口的密闭墙必须留泄水孔。</w:t>
            </w:r>
          </w:p>
          <w:p w14:paraId="2C32ADE2">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《煤矿安全规程》第一百三十条</w:t>
            </w:r>
            <w:r>
              <w:rPr>
                <w:rFonts w:hint="eastAsia" w:ascii="仿宋_GB2312" w:hAnsi="仿宋_GB2312" w:eastAsia="仿宋_GB2312" w:cs="仿宋_GB2312"/>
                <w:color w:val="auto"/>
                <w:kern w:val="0"/>
                <w:sz w:val="32"/>
                <w:szCs w:val="32"/>
              </w:rPr>
              <w:t xml:space="preserve">  报废的井巷必须做好隐蔽工程记录，并在井上、下对照图上标明，归档备查。</w:t>
            </w:r>
          </w:p>
        </w:tc>
        <w:tc>
          <w:tcPr>
            <w:tcW w:w="3899" w:type="dxa"/>
            <w:tcBorders>
              <w:top w:val="single" w:color="auto" w:sz="6" w:space="0"/>
              <w:left w:val="nil"/>
              <w:bottom w:val="single" w:color="auto" w:sz="6" w:space="0"/>
              <w:right w:val="single" w:color="auto" w:sz="6" w:space="0"/>
            </w:tcBorders>
            <w:vAlign w:val="center"/>
          </w:tcPr>
          <w:p w14:paraId="401ABD7A">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1CF671F9">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（3）年度井巷维修计划；</w:t>
            </w:r>
          </w:p>
          <w:p w14:paraId="62E3FEAE">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（4）井巷维修记录；</w:t>
            </w:r>
          </w:p>
          <w:p w14:paraId="6EA3B1C0">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（5）井巷维修、报废回收装备安全技术措施；</w:t>
            </w:r>
          </w:p>
          <w:p w14:paraId="29842D68">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（6）矿井采掘工程平面图、井上、下对照图；</w:t>
            </w:r>
          </w:p>
          <w:p w14:paraId="2A412F0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（7）现场图片或影像资料；</w:t>
            </w:r>
          </w:p>
          <w:p w14:paraId="10FD13B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26278956">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tcBorders>
              <w:top w:val="single" w:color="auto" w:sz="6" w:space="0"/>
              <w:left w:val="nil"/>
              <w:bottom w:val="single" w:color="auto" w:sz="6" w:space="0"/>
              <w:right w:val="single" w:color="auto" w:sz="4" w:space="0"/>
            </w:tcBorders>
            <w:vAlign w:val="center"/>
          </w:tcPr>
          <w:p w14:paraId="1BC0A8DF">
            <w:pPr>
              <w:rPr>
                <w:rFonts w:hint="eastAsia" w:ascii="仿宋_GB2312" w:hAnsi="仿宋_GB2312" w:eastAsia="仿宋_GB2312" w:cs="仿宋_GB2312"/>
                <w:b/>
                <w:bCs/>
                <w:color w:val="auto"/>
                <w:kern w:val="0"/>
                <w:sz w:val="32"/>
                <w:szCs w:val="32"/>
              </w:rPr>
            </w:pPr>
          </w:p>
          <w:p w14:paraId="3D9783C6">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CCC79B5">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48" w:type="dxa"/>
            <w:tcBorders>
              <w:top w:val="single" w:color="auto" w:sz="6" w:space="0"/>
              <w:left w:val="nil"/>
              <w:bottom w:val="single" w:color="auto" w:sz="6" w:space="0"/>
              <w:right w:val="single" w:color="auto" w:sz="6" w:space="0"/>
            </w:tcBorders>
          </w:tcPr>
          <w:p w14:paraId="68492D3C">
            <w:pPr>
              <w:widowControl/>
              <w:jc w:val="center"/>
              <w:rPr>
                <w:rFonts w:hint="eastAsia" w:ascii="仿宋_GB2312" w:hAnsi="仿宋_GB2312" w:eastAsia="仿宋_GB2312" w:cs="仿宋_GB2312"/>
                <w:b/>
                <w:bCs/>
                <w:color w:val="auto"/>
                <w:kern w:val="0"/>
                <w:sz w:val="32"/>
                <w:szCs w:val="32"/>
              </w:rPr>
            </w:pPr>
          </w:p>
        </w:tc>
      </w:tr>
      <w:tr w14:paraId="27FD6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07"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1230660C">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45E03642">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3BA5B2F5">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15.6图纸作假隐瞒工作面</w:t>
            </w:r>
            <w:r>
              <w:rPr>
                <w:rFonts w:hint="eastAsia" w:ascii="仿宋_GB2312" w:hAnsi="仿宋_GB2312" w:eastAsia="仿宋_GB2312" w:cs="仿宋_GB2312"/>
                <w:color w:val="auto"/>
                <w:sz w:val="32"/>
                <w:szCs w:val="32"/>
              </w:rPr>
              <w:t>（重大事故隐患）</w:t>
            </w:r>
          </w:p>
        </w:tc>
        <w:tc>
          <w:tcPr>
            <w:tcW w:w="3899" w:type="dxa"/>
            <w:tcBorders>
              <w:top w:val="single" w:color="auto" w:sz="6" w:space="0"/>
              <w:left w:val="nil"/>
              <w:bottom w:val="single" w:color="auto" w:sz="6" w:space="0"/>
              <w:right w:val="single" w:color="auto" w:sz="6" w:space="0"/>
            </w:tcBorders>
            <w:vAlign w:val="center"/>
          </w:tcPr>
          <w:p w14:paraId="32403510">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rPr>
              <w:t>国务院关于预防煤矿生产安全事故的特别规定》第八条第二款第（十五）项</w:t>
            </w:r>
            <w:r>
              <w:rPr>
                <w:rFonts w:hint="eastAsia" w:ascii="仿宋_GB2312" w:hAnsi="仿宋_GB2312" w:eastAsia="仿宋_GB2312" w:cs="仿宋_GB2312"/>
                <w:color w:val="auto"/>
                <w:kern w:val="0"/>
                <w:sz w:val="32"/>
                <w:szCs w:val="32"/>
              </w:rPr>
              <w:t>煤矿有下列重大安全生产隐患和行为的，应当立即停止生产，排除隐患：（十五）有其他重大安全生产隐患的。</w:t>
            </w:r>
          </w:p>
          <w:p w14:paraId="375F2B89">
            <w:pPr>
              <w:widowControl/>
              <w:shd w:val="clear" w:color="auto" w:fill="FFFFFF"/>
              <w:spacing w:after="312"/>
              <w:ind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《煤矿重大事故隐患判定标准》第十八条第（五）项</w:t>
            </w:r>
            <w:r>
              <w:rPr>
                <w:rFonts w:hint="eastAsia" w:ascii="仿宋_GB2312" w:hAnsi="仿宋_GB2312" w:eastAsia="仿宋_GB2312" w:cs="仿宋_GB2312"/>
                <w:color w:val="auto"/>
                <w:sz w:val="32"/>
                <w:szCs w:val="32"/>
              </w:rPr>
              <w:t>图纸作假、隐瞒采掘工作面，提供虚假信息、隐瞒下井人数，或者矿长、总工程师（技术负责人）履行安全生产岗位责任制及管理制度时伪造记录，弄虚作假的；</w:t>
            </w:r>
          </w:p>
          <w:p w14:paraId="59F77873">
            <w:pPr>
              <w:widowControl/>
              <w:snapToGrid w:val="0"/>
              <w:ind w:firstLine="640" w:firstLineChars="200"/>
              <w:rPr>
                <w:rFonts w:hint="eastAsia" w:ascii="仿宋_GB2312" w:hAnsi="仿宋_GB2312" w:eastAsia="仿宋_GB2312" w:cs="仿宋_GB2312"/>
                <w:color w:val="auto"/>
                <w:kern w:val="0"/>
                <w:sz w:val="32"/>
                <w:szCs w:val="32"/>
              </w:rPr>
            </w:pPr>
          </w:p>
          <w:p w14:paraId="5C633970">
            <w:pPr>
              <w:widowControl/>
              <w:snapToGrid w:val="0"/>
              <w:ind w:firstLine="640" w:firstLineChars="200"/>
              <w:rPr>
                <w:rFonts w:hint="eastAsia" w:ascii="仿宋_GB2312" w:hAnsi="仿宋_GB2312" w:eastAsia="仿宋_GB2312" w:cs="仿宋_GB2312"/>
                <w:color w:val="auto"/>
                <w:kern w:val="0"/>
                <w:sz w:val="32"/>
                <w:szCs w:val="32"/>
              </w:rPr>
            </w:pPr>
          </w:p>
          <w:p w14:paraId="521EFE53">
            <w:pPr>
              <w:widowControl/>
              <w:ind w:firstLine="640" w:firstLineChars="200"/>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52DF0421">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32EBA20E">
            <w:pPr>
              <w:widowControl/>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（3）矿井采掘工程平面图、井上、下对照图；</w:t>
            </w:r>
          </w:p>
          <w:p w14:paraId="59517B9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（4）现场图片或影像资料；</w:t>
            </w:r>
          </w:p>
          <w:p w14:paraId="687E395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26E095F0">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（6）其他相关证据。</w:t>
            </w:r>
          </w:p>
        </w:tc>
        <w:tc>
          <w:tcPr>
            <w:tcW w:w="3899" w:type="dxa"/>
            <w:tcBorders>
              <w:top w:val="single" w:color="auto" w:sz="6" w:space="0"/>
              <w:left w:val="nil"/>
              <w:bottom w:val="single" w:color="auto" w:sz="6" w:space="0"/>
              <w:right w:val="single" w:color="auto" w:sz="4" w:space="0"/>
            </w:tcBorders>
          </w:tcPr>
          <w:p w14:paraId="3EAE5729">
            <w:pPr>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11CEA73C">
            <w:pPr>
              <w:widowControl/>
              <w:jc w:val="center"/>
              <w:rPr>
                <w:rFonts w:hint="eastAsia" w:ascii="仿宋_GB2312" w:hAnsi="仿宋_GB2312" w:eastAsia="仿宋_GB2312" w:cs="仿宋_GB2312"/>
                <w:b/>
                <w:bCs/>
                <w:color w:val="auto"/>
                <w:kern w:val="0"/>
                <w:sz w:val="32"/>
                <w:szCs w:val="32"/>
              </w:rPr>
            </w:pPr>
          </w:p>
        </w:tc>
      </w:tr>
      <w:tr w14:paraId="6958A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14:paraId="7F11DB91">
            <w:pPr>
              <w:widowControl/>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16</w:t>
            </w:r>
          </w:p>
        </w:tc>
        <w:tc>
          <w:tcPr>
            <w:tcW w:w="948" w:type="dxa"/>
            <w:vMerge w:val="restart"/>
            <w:tcBorders>
              <w:top w:val="single" w:color="auto" w:sz="6" w:space="0"/>
              <w:left w:val="nil"/>
              <w:bottom w:val="single" w:color="auto" w:sz="6" w:space="0"/>
              <w:right w:val="single" w:color="auto" w:sz="4" w:space="0"/>
            </w:tcBorders>
            <w:vAlign w:val="center"/>
          </w:tcPr>
          <w:p w14:paraId="06DF48ED">
            <w:pPr>
              <w:widowControl/>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防治水</w:t>
            </w:r>
          </w:p>
        </w:tc>
        <w:tc>
          <w:tcPr>
            <w:tcW w:w="948" w:type="dxa"/>
            <w:tcBorders>
              <w:top w:val="single" w:color="auto" w:sz="4" w:space="0"/>
              <w:left w:val="single" w:color="auto" w:sz="4" w:space="0"/>
              <w:bottom w:val="single" w:color="auto" w:sz="6" w:space="0"/>
              <w:right w:val="single" w:color="auto" w:sz="6" w:space="0"/>
            </w:tcBorders>
            <w:vAlign w:val="center"/>
          </w:tcPr>
          <w:p w14:paraId="798A5D4C">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16.1重大水患治理</w:t>
            </w:r>
            <w:r>
              <w:rPr>
                <w:rFonts w:hint="eastAsia" w:ascii="仿宋_GB2312" w:hAnsi="仿宋_GB2312" w:eastAsia="仿宋_GB2312" w:cs="仿宋_GB2312"/>
                <w:color w:val="auto"/>
                <w:sz w:val="32"/>
                <w:szCs w:val="32"/>
              </w:rPr>
              <w:t>（重大生产安全事故隐患）</w:t>
            </w:r>
          </w:p>
        </w:tc>
        <w:tc>
          <w:tcPr>
            <w:tcW w:w="3899" w:type="dxa"/>
            <w:tcBorders>
              <w:top w:val="single" w:color="auto" w:sz="6" w:space="0"/>
              <w:left w:val="nil"/>
              <w:bottom w:val="single" w:color="auto" w:sz="6" w:space="0"/>
              <w:right w:val="single" w:color="auto" w:sz="6" w:space="0"/>
            </w:tcBorders>
            <w:vAlign w:val="center"/>
          </w:tcPr>
          <w:p w14:paraId="535AA506">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《国务院关于预防煤矿生产安全事故的特别规定》第八条第二款第（六）项</w:t>
            </w:r>
            <w:r>
              <w:rPr>
                <w:rFonts w:hint="eastAsia" w:ascii="仿宋_GB2312" w:hAnsi="仿宋_GB2312" w:eastAsia="仿宋_GB2312" w:cs="仿宋_GB2312"/>
                <w:color w:val="auto"/>
                <w:kern w:val="0"/>
                <w:sz w:val="32"/>
                <w:szCs w:val="32"/>
              </w:rPr>
              <w:t>煤矿有下列重大安全生产隐患和行为的，应当立即停止生产，排除隐患：（六）有严重水患，未采取有效措施的；</w:t>
            </w:r>
          </w:p>
          <w:p w14:paraId="211D5E44">
            <w:pPr>
              <w:widowControl/>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《煤矿重大事故隐患判定标准》</w:t>
            </w:r>
            <w:r>
              <w:rPr>
                <w:rFonts w:hint="eastAsia" w:ascii="仿宋_GB2312" w:hAnsi="仿宋_GB2312" w:eastAsia="仿宋_GB2312" w:cs="仿宋_GB2312"/>
                <w:b/>
                <w:bCs/>
                <w:color w:val="auto"/>
                <w:sz w:val="32"/>
                <w:szCs w:val="32"/>
              </w:rPr>
              <w:t>第九条</w:t>
            </w:r>
            <w:r>
              <w:rPr>
                <w:rFonts w:hint="eastAsia" w:ascii="仿宋_GB2312" w:hAnsi="仿宋_GB2312" w:eastAsia="仿宋_GB2312" w:cs="仿宋_GB2312"/>
                <w:color w:val="auto"/>
                <w:sz w:val="32"/>
                <w:szCs w:val="32"/>
              </w:rPr>
              <w:t>“有严重水患，未采取有效措施”重大事故隐患，是指有下列情形之一的：</w:t>
            </w:r>
          </w:p>
          <w:p w14:paraId="1DF17818">
            <w:pPr>
              <w:widowControl/>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（一）未查明矿井水文地质条件和井田范围内采空区、废弃老窑积水等情况而组织生产建设的；</w:t>
            </w:r>
          </w:p>
          <w:p w14:paraId="5F9BD1C8">
            <w:pPr>
              <w:widowControl/>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（二）水文地质类型复杂、极复杂的矿井未设置专门的防治水机构、未配备专门的探放水作业队伍，或者未配齐专用探放水设备的；</w:t>
            </w:r>
          </w:p>
          <w:p w14:paraId="536AC31D">
            <w:pPr>
              <w:widowControl/>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（三）在需要探放水的区域进行采掘作业未按照国家规定进行探放水的；</w:t>
            </w:r>
          </w:p>
          <w:p w14:paraId="7F424090">
            <w:pPr>
              <w:widowControl/>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（四）未按照国家规定留设或者擅自开采（破坏）各种防隔水煤（岩）柱的；</w:t>
            </w:r>
          </w:p>
          <w:p w14:paraId="400DFF4C">
            <w:pPr>
              <w:widowControl/>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（五）有突（透、溃）水征兆未撤出井下所有受水患威胁地点人员的；</w:t>
            </w:r>
          </w:p>
          <w:p w14:paraId="515204F7">
            <w:pPr>
              <w:widowControl/>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（六）受地表水倒灌威胁的矿井在强降雨天气或其来水上游发生洪水期间未实施停产撤人的；</w:t>
            </w:r>
          </w:p>
          <w:p w14:paraId="27773A31">
            <w:pPr>
              <w:widowControl/>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（七）建设矿井进入三期工程前，未按照设计建成永久排水系统，或者生产矿井延深到设计水平时，未建成防、排水系统而违规开拓掘进的；</w:t>
            </w:r>
          </w:p>
          <w:p w14:paraId="0B3F604C">
            <w:pPr>
              <w:widowControl/>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（八）矿井主要排水系统水泵排水能力、管路和水仓容量不符合《煤矿安全规程》规定的；</w:t>
            </w:r>
          </w:p>
          <w:p w14:paraId="1031E56F">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（九）开采地表水体、老空水淹区域或者强含水层下急倾斜煤层，未按照国家规定消除水患威胁的。</w:t>
            </w:r>
          </w:p>
        </w:tc>
        <w:tc>
          <w:tcPr>
            <w:tcW w:w="3899" w:type="dxa"/>
            <w:tcBorders>
              <w:top w:val="single" w:color="auto" w:sz="6" w:space="0"/>
              <w:left w:val="nil"/>
              <w:bottom w:val="single" w:color="auto" w:sz="6" w:space="0"/>
              <w:right w:val="single" w:color="auto" w:sz="6" w:space="0"/>
            </w:tcBorders>
            <w:vAlign w:val="center"/>
          </w:tcPr>
          <w:p w14:paraId="363490B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（3）设计资料及安全评价报告；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（4）水文地质调查资料；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（5）防治水机构设置或人员配备文件；</w:t>
            </w:r>
          </w:p>
          <w:p w14:paraId="04B7A0F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（6）煤矿防治水设施和配备有关技术装备、仪器购买资料及相应的产品合格证明资料；</w:t>
            </w:r>
          </w:p>
          <w:p w14:paraId="11E4668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（7）装备、仪器检维修记录；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（8）采掘工作面作业规程；</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（9）探放水措施；</w:t>
            </w:r>
          </w:p>
          <w:p w14:paraId="67CFC2B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（10）采掘作探放水措施落实资料；</w:t>
            </w:r>
          </w:p>
          <w:p w14:paraId="5AE3E92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（11）采掘工程平面图和井上下对照图、矿井地质图和水文地质图；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（12）现场检查防隔水煤柱；</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（13）出现透水征兆工作安排记录（包括调度记录）；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（14）相关部门和有关责任人责任落实及履职情况；</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（15）现场图片或影像资料；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（16）《现场检查记录》《责令限期整改指令书》等相关执法文书；</w:t>
            </w:r>
          </w:p>
          <w:p w14:paraId="1165A831">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（17）其他相关证据。</w:t>
            </w:r>
          </w:p>
        </w:tc>
        <w:tc>
          <w:tcPr>
            <w:tcW w:w="3899" w:type="dxa"/>
            <w:tcBorders>
              <w:top w:val="single" w:color="auto" w:sz="6" w:space="0"/>
              <w:left w:val="nil"/>
              <w:bottom w:val="single" w:color="auto" w:sz="6" w:space="0"/>
              <w:right w:val="single" w:color="auto" w:sz="4" w:space="0"/>
            </w:tcBorders>
            <w:vAlign w:val="center"/>
          </w:tcPr>
          <w:p w14:paraId="753D13C4">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14:paraId="0A862B7B">
            <w:pPr>
              <w:widowControl/>
              <w:ind w:firstLine="64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4CF9D447">
            <w:pPr>
              <w:widowControl/>
              <w:jc w:val="center"/>
              <w:rPr>
                <w:rFonts w:hint="eastAsia" w:ascii="仿宋_GB2312" w:hAnsi="仿宋_GB2312" w:eastAsia="仿宋_GB2312" w:cs="仿宋_GB2312"/>
                <w:b/>
                <w:bCs/>
                <w:color w:val="auto"/>
                <w:kern w:val="0"/>
                <w:sz w:val="32"/>
                <w:szCs w:val="32"/>
              </w:rPr>
            </w:pPr>
          </w:p>
        </w:tc>
      </w:tr>
      <w:tr w14:paraId="5A28A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4"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18F2E331">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4D87C689">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6" w:space="0"/>
              <w:right w:val="single" w:color="auto" w:sz="6" w:space="0"/>
            </w:tcBorders>
            <w:vAlign w:val="center"/>
          </w:tcPr>
          <w:p w14:paraId="62161F78">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16.2排水设备要求</w:t>
            </w:r>
          </w:p>
        </w:tc>
        <w:tc>
          <w:tcPr>
            <w:tcW w:w="3899" w:type="dxa"/>
            <w:tcBorders>
              <w:top w:val="single" w:color="auto" w:sz="6" w:space="0"/>
              <w:left w:val="nil"/>
              <w:bottom w:val="single" w:color="auto" w:sz="6" w:space="0"/>
              <w:right w:val="single" w:color="auto" w:sz="6" w:space="0"/>
            </w:tcBorders>
            <w:vAlign w:val="center"/>
          </w:tcPr>
          <w:p w14:paraId="7F3745E0">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第四条第一款</w:t>
            </w:r>
            <w:r>
              <w:rPr>
                <w:rFonts w:hint="eastAsia" w:ascii="仿宋_GB2312" w:hAnsi="仿宋_GB2312" w:eastAsia="仿宋_GB2312" w:cs="仿宋_GB2312"/>
                <w:color w:val="auto"/>
                <w:kern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79D06E97">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第二十条 </w:t>
            </w:r>
            <w:r>
              <w:rPr>
                <w:rFonts w:hint="eastAsia" w:ascii="仿宋_GB2312" w:hAnsi="仿宋_GB2312" w:eastAsia="仿宋_GB2312" w:cs="仿宋_GB2312"/>
                <w:color w:val="auto"/>
                <w:kern w:val="0"/>
                <w:sz w:val="32"/>
                <w:szCs w:val="32"/>
              </w:rPr>
              <w:t> 生产经营单位应当具备本法和有关法律、行政法规和国家标准或者行业标准规定的安全生产条件；不具备安全生产条件的，不得从事生产经营活动。</w:t>
            </w:r>
          </w:p>
          <w:p w14:paraId="2A1A34F9">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《四川省安全生产条例》第四条第二款</w:t>
            </w:r>
            <w:r>
              <w:rPr>
                <w:rFonts w:hint="eastAsia" w:ascii="仿宋_GB2312" w:hAnsi="仿宋_GB2312" w:eastAsia="仿宋_GB2312" w:cs="仿宋_GB2312"/>
                <w:color w:val="auto"/>
                <w:kern w:val="0"/>
                <w:sz w:val="32"/>
                <w:szCs w:val="32"/>
              </w:rPr>
              <w:t>生产经营单位及其从业人员必须遵守安全生产法律、法规、规章、标准、规范、作业规程以及安全技术措施等相关规定。</w:t>
            </w:r>
          </w:p>
          <w:p w14:paraId="747AEA15">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《煤矿安全规程》第八十二条</w:t>
            </w:r>
            <w:r>
              <w:rPr>
                <w:rFonts w:hint="eastAsia" w:ascii="仿宋_GB2312" w:hAnsi="仿宋_GB2312" w:eastAsia="仿宋_GB2312" w:cs="仿宋_GB2312"/>
                <w:color w:val="auto"/>
                <w:kern w:val="0"/>
                <w:sz w:val="32"/>
                <w:szCs w:val="32"/>
              </w:rPr>
              <w:t>井筒开凿到底后,应当先施工永久排水系统,并在进入采区施工前完成.永久排水系统完成前,在井底附近必须设置临时排水系统,并符合下列要求:</w:t>
            </w:r>
          </w:p>
          <w:p w14:paraId="06D746B5">
            <w:pPr>
              <w:widowControl/>
              <w:ind w:firstLine="64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(一)当预计涌水量不大于50m4/h时,临时水仓容积应当大于4h正常涌水量;当预计涌水量大于50m4/h时,临时水仓容积应当大于8h正常涌水量.临时水仓应当定期清理。</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(二)井下工作水泵的排水能力应当能在20h内排出24h正常涌水量,井下备用水泵排水能力不小于工作水泵排水能力的70％。</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(三)临时排水管的型号应当与排水能力相匹配。</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(四)临时水泵及配电设备基础应当比巷道底板至少高300 mm,泵房断面应当满足设备布置需要。</w:t>
            </w:r>
          </w:p>
        </w:tc>
        <w:tc>
          <w:tcPr>
            <w:tcW w:w="3899" w:type="dxa"/>
            <w:tcBorders>
              <w:top w:val="single" w:color="auto" w:sz="6" w:space="0"/>
              <w:left w:val="nil"/>
              <w:bottom w:val="single" w:color="auto" w:sz="6" w:space="0"/>
              <w:right w:val="single" w:color="auto" w:sz="6" w:space="0"/>
            </w:tcBorders>
            <w:vAlign w:val="center"/>
          </w:tcPr>
          <w:p w14:paraId="203F4AB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p>
          <w:p w14:paraId="4DE0600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（2）单位负责人等相关人员的身份证明、任职文件及其询问笔录；</w:t>
            </w:r>
          </w:p>
          <w:p w14:paraId="7C64210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（3）水文地质资料；</w:t>
            </w:r>
          </w:p>
          <w:p w14:paraId="7A1ABED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（4）排水设计资料；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（5）矿井最大涌水实测资料；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（6）主排水泵和备用排水泵规格和型号；</w:t>
            </w:r>
          </w:p>
          <w:p w14:paraId="3F02DE5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（7）排水管线设置资料；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（8）现场检查核实资料；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（9）探放水措施；</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（10）探放水设备配备相关资料；</w:t>
            </w:r>
          </w:p>
          <w:p w14:paraId="2B01792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（11）现场图片或影像资料；</w:t>
            </w:r>
          </w:p>
          <w:p w14:paraId="1FDC683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（12）《现场检查记录》《责令限期整改指令书》等相关执法文书；</w:t>
            </w:r>
          </w:p>
          <w:p w14:paraId="43105491">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（13）其他相关证据。</w:t>
            </w:r>
          </w:p>
        </w:tc>
        <w:tc>
          <w:tcPr>
            <w:tcW w:w="3899" w:type="dxa"/>
            <w:tcBorders>
              <w:top w:val="single" w:color="auto" w:sz="6" w:space="0"/>
              <w:left w:val="nil"/>
              <w:bottom w:val="single" w:color="auto" w:sz="6" w:space="0"/>
              <w:right w:val="single" w:color="auto" w:sz="4" w:space="0"/>
            </w:tcBorders>
          </w:tcPr>
          <w:p w14:paraId="2F80E73A">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第一百零二条</w:t>
            </w:r>
            <w:r>
              <w:rPr>
                <w:rFonts w:hint="eastAsia" w:ascii="仿宋_GB2312" w:hAnsi="仿宋_GB2312" w:eastAsia="仿宋_GB2312" w:cs="仿宋_GB2312"/>
                <w:color w:val="auto"/>
                <w:kern w:val="0"/>
                <w:sz w:val="32"/>
                <w:szCs w:val="32"/>
              </w:rPr>
              <w:t xml:space="preserve">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2EC36253">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《中华人民共和国安全生产法》第一百一十三条</w:t>
            </w:r>
            <w:r>
              <w:rPr>
                <w:rFonts w:hint="eastAsia" w:ascii="仿宋_GB2312" w:hAnsi="仿宋_GB2312" w:eastAsia="仿宋_GB2312" w:cs="仿宋_GB2312"/>
                <w:color w:val="auto"/>
                <w:kern w:val="0"/>
                <w:sz w:val="32"/>
                <w:szCs w:val="32"/>
              </w:rPr>
              <w:t xml:space="preserve">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310C770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（一）存在重大事故隐患，一百八十日内三次或者一年内四次受到本法规定的行政处罚的；</w:t>
            </w:r>
          </w:p>
          <w:p w14:paraId="30BF334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（二）经停产停业整顿，仍不具备法律、行政法规和国家标准或者行业标准规定的安全生产条件的；</w:t>
            </w:r>
          </w:p>
          <w:p w14:paraId="1ADBBB7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（三）不具备法律、行政法规和国家标准或者行业标准规定的安全生产条件，导致发生重大、特别重大生产安全事故的；</w:t>
            </w:r>
          </w:p>
          <w:p w14:paraId="0544215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（四）拒不执行负有安全生产监督管理职责的部门作出的停产停业整顿决定的。</w:t>
            </w:r>
          </w:p>
          <w:p w14:paraId="26A9AE3C">
            <w:pPr>
              <w:ind w:firstLine="640" w:firstLineChars="200"/>
              <w:rPr>
                <w:rFonts w:hint="eastAsia" w:ascii="仿宋_GB2312" w:hAnsi="仿宋_GB2312" w:eastAsia="仿宋_GB2312" w:cs="仿宋_GB2312"/>
                <w:color w:val="auto"/>
                <w:sz w:val="32"/>
                <w:szCs w:val="32"/>
              </w:rPr>
            </w:pPr>
          </w:p>
          <w:p w14:paraId="2F878B54">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14:paraId="7CE26F82">
            <w:pPr>
              <w:widowControl/>
              <w:ind w:firstLine="643" w:firstLineChars="200"/>
              <w:jc w:val="left"/>
              <w:rPr>
                <w:rFonts w:hint="eastAsia" w:ascii="仿宋_GB2312" w:hAnsi="仿宋_GB2312" w:eastAsia="仿宋_GB2312" w:cs="仿宋_GB2312"/>
                <w:b/>
                <w:bCs/>
                <w:color w:val="auto"/>
                <w:kern w:val="0"/>
                <w:sz w:val="32"/>
                <w:szCs w:val="32"/>
              </w:rPr>
            </w:pPr>
          </w:p>
        </w:tc>
        <w:tc>
          <w:tcPr>
            <w:tcW w:w="948" w:type="dxa"/>
            <w:tcBorders>
              <w:top w:val="single" w:color="auto" w:sz="6" w:space="0"/>
              <w:left w:val="nil"/>
              <w:bottom w:val="single" w:color="auto" w:sz="6" w:space="0"/>
              <w:right w:val="single" w:color="auto" w:sz="6" w:space="0"/>
            </w:tcBorders>
          </w:tcPr>
          <w:p w14:paraId="75D68525">
            <w:pPr>
              <w:widowControl/>
              <w:jc w:val="center"/>
              <w:rPr>
                <w:rFonts w:hint="eastAsia" w:ascii="仿宋_GB2312" w:hAnsi="仿宋_GB2312" w:eastAsia="仿宋_GB2312" w:cs="仿宋_GB2312"/>
                <w:b/>
                <w:bCs/>
                <w:color w:val="auto"/>
                <w:kern w:val="0"/>
                <w:sz w:val="32"/>
                <w:szCs w:val="32"/>
              </w:rPr>
            </w:pPr>
          </w:p>
        </w:tc>
      </w:tr>
      <w:tr w14:paraId="461B8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14:paraId="32FC7E5E">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17</w:t>
            </w:r>
          </w:p>
        </w:tc>
        <w:tc>
          <w:tcPr>
            <w:tcW w:w="948" w:type="dxa"/>
            <w:vMerge w:val="restart"/>
            <w:tcBorders>
              <w:top w:val="single" w:color="auto" w:sz="6" w:space="0"/>
              <w:left w:val="nil"/>
              <w:bottom w:val="single" w:color="auto" w:sz="6" w:space="0"/>
              <w:right w:val="single" w:color="auto" w:sz="4" w:space="0"/>
            </w:tcBorders>
            <w:vAlign w:val="center"/>
          </w:tcPr>
          <w:p w14:paraId="03A849DE">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机电安全管理</w:t>
            </w:r>
          </w:p>
        </w:tc>
        <w:tc>
          <w:tcPr>
            <w:tcW w:w="948" w:type="dxa"/>
            <w:tcBorders>
              <w:top w:val="single" w:color="auto" w:sz="4" w:space="0"/>
              <w:left w:val="single" w:color="auto" w:sz="4" w:space="0"/>
              <w:bottom w:val="single" w:color="auto" w:sz="4" w:space="0"/>
              <w:right w:val="single" w:color="auto" w:sz="6" w:space="0"/>
            </w:tcBorders>
            <w:vAlign w:val="center"/>
          </w:tcPr>
          <w:p w14:paraId="7A1CE32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17.1机电设备及其防护装置、安全检测仪器检查、维修和建立技术档案</w:t>
            </w:r>
          </w:p>
        </w:tc>
        <w:tc>
          <w:tcPr>
            <w:tcW w:w="3899" w:type="dxa"/>
            <w:tcBorders>
              <w:top w:val="single" w:color="auto" w:sz="6" w:space="0"/>
              <w:left w:val="nil"/>
              <w:bottom w:val="single" w:color="auto" w:sz="6" w:space="0"/>
              <w:right w:val="single" w:color="auto" w:sz="6" w:space="0"/>
            </w:tcBorders>
            <w:vAlign w:val="center"/>
          </w:tcPr>
          <w:p w14:paraId="73A73C7D">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《矿山安全法实施条例》第十五条</w:t>
            </w:r>
            <w:r>
              <w:rPr>
                <w:rFonts w:hint="eastAsia" w:ascii="仿宋_GB2312" w:hAnsi="仿宋_GB2312" w:eastAsia="仿宋_GB2312" w:cs="仿宋_GB2312"/>
                <w:color w:val="auto"/>
                <w:kern w:val="0"/>
                <w:sz w:val="32"/>
                <w:szCs w:val="32"/>
              </w:rPr>
              <w:t>矿山企业应当对机电设备及其防护装置、安全检测仪器定期检查、维修，并建立技术档案，保证使用安全。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非负责设备运行的人员，不得操作设备。非值班电气人员，不得进行电气作业。操作电气设备的人员，应当有可靠的绝缘保护。检修电气设备时，不得带电作业。</w:t>
            </w:r>
          </w:p>
        </w:tc>
        <w:tc>
          <w:tcPr>
            <w:tcW w:w="3899" w:type="dxa"/>
            <w:tcBorders>
              <w:top w:val="single" w:color="auto" w:sz="6" w:space="0"/>
              <w:left w:val="nil"/>
              <w:bottom w:val="single" w:color="auto" w:sz="6" w:space="0"/>
              <w:right w:val="single" w:color="auto" w:sz="6" w:space="0"/>
            </w:tcBorders>
            <w:vAlign w:val="center"/>
          </w:tcPr>
          <w:p w14:paraId="6CEED22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（3）机电设备登记记录；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（4）机电设备防护装置安装资料；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（5）安全检测仪器登记记录；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（6）检查、维修记录；</w:t>
            </w:r>
          </w:p>
          <w:p w14:paraId="7106545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（7）机电设备及其防护装置、安全检测仪器技术档案资料；</w:t>
            </w:r>
          </w:p>
          <w:p w14:paraId="7EA530C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（8）机电设备操作人员资质及身份证；</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（9）劳动保护资料；</w:t>
            </w:r>
          </w:p>
          <w:p w14:paraId="5C88B22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（10）相关工作安排记录；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（11）现场检查核实资料；</w:t>
            </w:r>
          </w:p>
          <w:p w14:paraId="3E94C4E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（12）企业相关部门及有关责任人员责任落实资料；</w:t>
            </w:r>
          </w:p>
          <w:p w14:paraId="2682722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（13）现场图片或影像资料；</w:t>
            </w:r>
          </w:p>
          <w:p w14:paraId="2ADADDD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（14）《现场检查记录》《责令限期整改指令书》等相关执法文书；</w:t>
            </w:r>
          </w:p>
          <w:p w14:paraId="7E456A0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（15）其他相关证据。</w:t>
            </w:r>
          </w:p>
        </w:tc>
        <w:tc>
          <w:tcPr>
            <w:tcW w:w="3899" w:type="dxa"/>
            <w:tcBorders>
              <w:top w:val="single" w:color="auto" w:sz="6" w:space="0"/>
              <w:left w:val="nil"/>
              <w:bottom w:val="single" w:color="auto" w:sz="6" w:space="0"/>
              <w:right w:val="single" w:color="auto" w:sz="4" w:space="0"/>
            </w:tcBorders>
          </w:tcPr>
          <w:p w14:paraId="3E0CB731">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《矿山安全法实施条例》第五十四条</w:t>
            </w:r>
            <w:r>
              <w:rPr>
                <w:rFonts w:hint="eastAsia" w:ascii="仿宋_GB2312" w:hAnsi="仿宋_GB2312" w:eastAsia="仿宋_GB2312" w:cs="仿宋_GB2312"/>
                <w:color w:val="auto"/>
                <w:kern w:val="0"/>
                <w:sz w:val="32"/>
                <w:szCs w:val="32"/>
              </w:rPr>
              <w:t>违反本条例第十五条、第十六条、第十七条、第十八条、第十九条、第二十条、第二十一条、第二十二条、第二十三条、第二十五条规定的，由劳动行政主管部门责令改正，可以处2万元以下的罚款。</w:t>
            </w:r>
          </w:p>
        </w:tc>
        <w:tc>
          <w:tcPr>
            <w:tcW w:w="948" w:type="dxa"/>
            <w:tcBorders>
              <w:top w:val="single" w:color="auto" w:sz="6" w:space="0"/>
              <w:left w:val="nil"/>
              <w:bottom w:val="single" w:color="auto" w:sz="6" w:space="0"/>
              <w:right w:val="single" w:color="auto" w:sz="6" w:space="0"/>
            </w:tcBorders>
          </w:tcPr>
          <w:p w14:paraId="3556EAA8">
            <w:pPr>
              <w:widowControl/>
              <w:jc w:val="center"/>
              <w:rPr>
                <w:rFonts w:hint="eastAsia" w:ascii="仿宋_GB2312" w:hAnsi="仿宋_GB2312" w:eastAsia="仿宋_GB2312" w:cs="仿宋_GB2312"/>
                <w:b/>
                <w:bCs/>
                <w:color w:val="auto"/>
                <w:kern w:val="0"/>
                <w:sz w:val="32"/>
                <w:szCs w:val="32"/>
              </w:rPr>
            </w:pPr>
          </w:p>
        </w:tc>
      </w:tr>
      <w:tr w14:paraId="5C1408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7CFA3446">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4BBA5D67">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6CAFF0AA">
            <w:pPr>
              <w:widowControl/>
              <w:rPr>
                <w:rFonts w:hint="eastAsia" w:ascii="仿宋_GB2312" w:hAnsi="仿宋_GB2312" w:eastAsia="仿宋_GB2312" w:cs="仿宋_GB2312"/>
                <w:color w:val="auto"/>
                <w:kern w:val="0"/>
                <w:sz w:val="32"/>
                <w:szCs w:val="32"/>
              </w:rPr>
            </w:pPr>
          </w:p>
          <w:p w14:paraId="34EDF4B1">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17.2煤矿安全设备的安装、使用、检测、改造和报废</w:t>
            </w:r>
          </w:p>
        </w:tc>
        <w:tc>
          <w:tcPr>
            <w:tcW w:w="3899" w:type="dxa"/>
            <w:tcBorders>
              <w:top w:val="single" w:color="auto" w:sz="6" w:space="0"/>
              <w:left w:val="nil"/>
              <w:bottom w:val="single" w:color="auto" w:sz="6" w:space="0"/>
              <w:right w:val="single" w:color="auto" w:sz="6" w:space="0"/>
            </w:tcBorders>
            <w:vAlign w:val="center"/>
          </w:tcPr>
          <w:p w14:paraId="57343201">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 xml:space="preserve"> 安全设备的设计、制造、安装、使用、检测、维修、改造和报废，应当符合国家标准或者行业标准。</w:t>
            </w:r>
          </w:p>
        </w:tc>
        <w:tc>
          <w:tcPr>
            <w:tcW w:w="3899" w:type="dxa"/>
            <w:tcBorders>
              <w:top w:val="single" w:color="auto" w:sz="6" w:space="0"/>
              <w:left w:val="nil"/>
              <w:bottom w:val="single" w:color="auto" w:sz="6" w:space="0"/>
              <w:right w:val="single" w:color="auto" w:sz="6" w:space="0"/>
            </w:tcBorders>
            <w:vAlign w:val="center"/>
          </w:tcPr>
          <w:p w14:paraId="5B41A16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7754422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（3）购买合同；</w:t>
            </w:r>
          </w:p>
          <w:p w14:paraId="7F456C2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（4）合格证及使用说明；</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（5）安全设备登记表；</w:t>
            </w:r>
          </w:p>
          <w:p w14:paraId="693F724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（6）运行记录；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（7）操作规程；</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（8）设计、安装、检测、改造单位资质；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（9）操作人员资质；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（10）相关工作安排记录和现场检查资料；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（11）企业相关部门及有关责任人员和主要负责人责任落实资料；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（12）现场图片或影像资料；</w:t>
            </w:r>
          </w:p>
          <w:p w14:paraId="551FA01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（13）《现场检查记录》《责令限期整改指令书》等相关执法文书；</w:t>
            </w:r>
          </w:p>
          <w:p w14:paraId="3B69CDF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（14）其他相关证据。</w:t>
            </w:r>
          </w:p>
        </w:tc>
        <w:tc>
          <w:tcPr>
            <w:tcW w:w="3899" w:type="dxa"/>
            <w:tcBorders>
              <w:top w:val="single" w:color="auto" w:sz="6" w:space="0"/>
              <w:left w:val="nil"/>
              <w:bottom w:val="single" w:color="auto" w:sz="6" w:space="0"/>
              <w:right w:val="single" w:color="auto" w:sz="4" w:space="0"/>
            </w:tcBorders>
            <w:vAlign w:val="center"/>
          </w:tcPr>
          <w:p w14:paraId="0498D8D7">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w:t>
            </w:r>
            <w:r>
              <w:rPr>
                <w:rFonts w:hint="eastAsia" w:ascii="仿宋_GB2312" w:hAnsi="仿宋_GB2312" w:eastAsia="仿宋_GB2312" w:cs="仿宋_GB2312"/>
                <w:color w:val="auto"/>
                <w:kern w:val="0"/>
                <w:sz w:val="32"/>
                <w:szCs w:val="32"/>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06A857D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0AE81AF9">
            <w:pPr>
              <w:widowControl/>
              <w:ind w:firstLine="643" w:firstLineChars="200"/>
              <w:rPr>
                <w:rFonts w:hint="eastAsia" w:ascii="仿宋_GB2312" w:hAnsi="仿宋_GB2312" w:eastAsia="仿宋_GB2312" w:cs="仿宋_GB2312"/>
                <w:b/>
                <w:bCs/>
                <w:color w:val="auto"/>
                <w:kern w:val="0"/>
                <w:sz w:val="32"/>
                <w:szCs w:val="32"/>
              </w:rPr>
            </w:pPr>
          </w:p>
        </w:tc>
        <w:tc>
          <w:tcPr>
            <w:tcW w:w="948" w:type="dxa"/>
            <w:tcBorders>
              <w:top w:val="single" w:color="auto" w:sz="6" w:space="0"/>
              <w:left w:val="nil"/>
              <w:bottom w:val="single" w:color="auto" w:sz="6" w:space="0"/>
              <w:right w:val="single" w:color="auto" w:sz="6" w:space="0"/>
            </w:tcBorders>
          </w:tcPr>
          <w:p w14:paraId="36EA4A2A">
            <w:pPr>
              <w:widowControl/>
              <w:jc w:val="center"/>
              <w:rPr>
                <w:rFonts w:hint="eastAsia" w:ascii="仿宋_GB2312" w:hAnsi="仿宋_GB2312" w:eastAsia="仿宋_GB2312" w:cs="仿宋_GB2312"/>
                <w:b/>
                <w:bCs/>
                <w:color w:val="auto"/>
                <w:kern w:val="0"/>
                <w:sz w:val="32"/>
                <w:szCs w:val="32"/>
              </w:rPr>
            </w:pPr>
          </w:p>
        </w:tc>
      </w:tr>
      <w:tr w14:paraId="00746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2"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12325801">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11278188">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6" w:space="0"/>
              <w:right w:val="single" w:color="auto" w:sz="6" w:space="0"/>
            </w:tcBorders>
            <w:vAlign w:val="center"/>
          </w:tcPr>
          <w:p w14:paraId="3E717A13">
            <w:pPr>
              <w:widowControl/>
              <w:rPr>
                <w:rFonts w:hint="eastAsia" w:ascii="仿宋_GB2312" w:hAnsi="仿宋_GB2312" w:eastAsia="仿宋_GB2312" w:cs="仿宋_GB2312"/>
                <w:color w:val="auto"/>
                <w:kern w:val="0"/>
                <w:sz w:val="32"/>
                <w:szCs w:val="32"/>
              </w:rPr>
            </w:pPr>
          </w:p>
          <w:p w14:paraId="52CDE2A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17.3安全设备进行经常性维护、保养和定期检测</w:t>
            </w:r>
          </w:p>
        </w:tc>
        <w:tc>
          <w:tcPr>
            <w:tcW w:w="3899" w:type="dxa"/>
            <w:tcBorders>
              <w:top w:val="single" w:color="auto" w:sz="6" w:space="0"/>
              <w:left w:val="nil"/>
              <w:bottom w:val="single" w:color="auto" w:sz="6" w:space="0"/>
              <w:right w:val="single" w:color="auto" w:sz="6" w:space="0"/>
            </w:tcBorders>
            <w:vAlign w:val="center"/>
          </w:tcPr>
          <w:p w14:paraId="6AFC8A54">
            <w:pPr>
              <w:widowControl/>
              <w:ind w:firstLine="643" w:firstLineChars="200"/>
              <w:rPr>
                <w:rFonts w:hint="eastAsia" w:ascii="仿宋_GB2312" w:hAnsi="仿宋_GB2312" w:eastAsia="仿宋_GB2312" w:cs="仿宋_GB2312"/>
                <w:b/>
                <w:bCs/>
                <w:color w:val="auto"/>
                <w:kern w:val="0"/>
                <w:sz w:val="32"/>
                <w:szCs w:val="32"/>
              </w:rPr>
            </w:pPr>
          </w:p>
          <w:p w14:paraId="2D7EA754">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第三十六条第二款</w:t>
            </w: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tc>
        <w:tc>
          <w:tcPr>
            <w:tcW w:w="3899" w:type="dxa"/>
            <w:tcBorders>
              <w:top w:val="single" w:color="auto" w:sz="6" w:space="0"/>
              <w:left w:val="nil"/>
              <w:bottom w:val="single" w:color="auto" w:sz="6" w:space="0"/>
              <w:right w:val="single" w:color="auto" w:sz="6" w:space="0"/>
            </w:tcBorders>
            <w:vAlign w:val="center"/>
          </w:tcPr>
          <w:p w14:paraId="056474C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（3）安全设备维修保养制度；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（4）定期检测维修保养记录；</w:t>
            </w:r>
          </w:p>
          <w:p w14:paraId="6FB8CC2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（5）安全设备检测报告；</w:t>
            </w:r>
          </w:p>
          <w:p w14:paraId="0420AE4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（6）安全设备维修保养人员资质；</w:t>
            </w:r>
          </w:p>
          <w:p w14:paraId="2ED0DC3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（7）相关工作安排记录和现场检查资料；</w:t>
            </w:r>
          </w:p>
          <w:p w14:paraId="0164899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（8）企业相关部门及有关责任人员和主要负责人责任落实资料；</w:t>
            </w:r>
          </w:p>
          <w:p w14:paraId="069F0C0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（9）现场图片或影像资料；</w:t>
            </w:r>
          </w:p>
          <w:p w14:paraId="04FB0D8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（10）《现场检查记录》《责令限期整改指令书》等相关执法文书；</w:t>
            </w:r>
          </w:p>
          <w:p w14:paraId="32F235C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（11）其他相关证据。</w:t>
            </w:r>
          </w:p>
        </w:tc>
        <w:tc>
          <w:tcPr>
            <w:tcW w:w="3899" w:type="dxa"/>
            <w:tcBorders>
              <w:top w:val="single" w:color="auto" w:sz="6" w:space="0"/>
              <w:left w:val="nil"/>
              <w:bottom w:val="single" w:color="auto" w:sz="6" w:space="0"/>
              <w:right w:val="single" w:color="auto" w:sz="4" w:space="0"/>
            </w:tcBorders>
            <w:vAlign w:val="center"/>
          </w:tcPr>
          <w:p w14:paraId="4CE8CCFC">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第九十九条第三项</w:t>
            </w:r>
            <w:r>
              <w:rPr>
                <w:rFonts w:hint="eastAsia" w:ascii="仿宋_GB2312" w:hAnsi="仿宋_GB2312" w:eastAsia="仿宋_GB2312" w:cs="仿宋_GB2312"/>
                <w:color w:val="auto"/>
                <w:kern w:val="0"/>
                <w:sz w:val="32"/>
                <w:szCs w:val="32"/>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9E55E3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（三）未对安全设备进行经常性维护、保养和定期检测的；</w:t>
            </w:r>
          </w:p>
        </w:tc>
        <w:tc>
          <w:tcPr>
            <w:tcW w:w="948" w:type="dxa"/>
            <w:tcBorders>
              <w:top w:val="single" w:color="auto" w:sz="6" w:space="0"/>
              <w:left w:val="nil"/>
              <w:bottom w:val="single" w:color="auto" w:sz="6" w:space="0"/>
              <w:right w:val="single" w:color="auto" w:sz="6" w:space="0"/>
            </w:tcBorders>
          </w:tcPr>
          <w:p w14:paraId="7D2698A6">
            <w:pPr>
              <w:widowControl/>
              <w:jc w:val="center"/>
              <w:rPr>
                <w:rFonts w:hint="eastAsia" w:ascii="仿宋_GB2312" w:hAnsi="仿宋_GB2312" w:eastAsia="仿宋_GB2312" w:cs="仿宋_GB2312"/>
                <w:b/>
                <w:bCs/>
                <w:color w:val="auto"/>
                <w:kern w:val="0"/>
                <w:sz w:val="32"/>
                <w:szCs w:val="32"/>
              </w:rPr>
            </w:pPr>
          </w:p>
        </w:tc>
      </w:tr>
      <w:tr w14:paraId="7816B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5B614058">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490EE429">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631499D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17.4煤矿特种设备</w:t>
            </w:r>
          </w:p>
        </w:tc>
        <w:tc>
          <w:tcPr>
            <w:tcW w:w="3899" w:type="dxa"/>
            <w:tcBorders>
              <w:top w:val="single" w:color="auto" w:sz="6" w:space="0"/>
              <w:left w:val="nil"/>
              <w:bottom w:val="single" w:color="auto" w:sz="6" w:space="0"/>
              <w:right w:val="single" w:color="auto" w:sz="6" w:space="0"/>
            </w:tcBorders>
            <w:vAlign w:val="center"/>
          </w:tcPr>
          <w:p w14:paraId="14CCE577">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第三十七条 </w:t>
            </w:r>
            <w:r>
              <w:rPr>
                <w:rFonts w:hint="eastAsia" w:ascii="仿宋_GB2312" w:hAnsi="仿宋_GB2312" w:eastAsia="仿宋_GB2312" w:cs="仿宋_GB2312"/>
                <w:color w:val="auto"/>
                <w:kern w:val="0"/>
                <w:sz w:val="32"/>
                <w:szCs w:val="32"/>
              </w:rPr>
              <w:t xml:space="preserve">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48AD6933">
            <w:pPr>
              <w:widowControl/>
              <w:ind w:firstLine="640" w:firstLineChars="200"/>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1B7895E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301ACCE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（3）购买合同；</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（4）合格证及使用说明；</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（5）安全设备登记表；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（6）运行记录；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（7）操作规程；</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（8）检测机构专业资质；</w:t>
            </w:r>
          </w:p>
          <w:p w14:paraId="6032423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（9）安全使用证或者安全标志；</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（10）操作人员资质；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（11）违法行为图片或影像证据；</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（12）《现场检查记录》《责令限期整改指令书》等相关执法文书；</w:t>
            </w:r>
          </w:p>
          <w:p w14:paraId="0C40118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（13）其他相关证据。</w:t>
            </w:r>
          </w:p>
        </w:tc>
        <w:tc>
          <w:tcPr>
            <w:tcW w:w="3899" w:type="dxa"/>
            <w:tcBorders>
              <w:top w:val="single" w:color="auto" w:sz="6" w:space="0"/>
              <w:left w:val="nil"/>
              <w:bottom w:val="single" w:color="auto" w:sz="6" w:space="0"/>
              <w:right w:val="single" w:color="auto" w:sz="4" w:space="0"/>
            </w:tcBorders>
          </w:tcPr>
          <w:p w14:paraId="5E1C539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 第六项</w:t>
            </w:r>
            <w:r>
              <w:rPr>
                <w:rFonts w:hint="eastAsia" w:ascii="仿宋_GB2312" w:hAnsi="仿宋_GB2312" w:eastAsia="仿宋_GB2312" w:cs="仿宋_GB2312"/>
                <w:color w:val="auto"/>
                <w:kern w:val="0"/>
                <w:sz w:val="32"/>
                <w:szCs w:val="32"/>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D27195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（六）危险物品的容器、运输工具，以及涉及人身安全、危险性较大的海洋石油开采特种设备和矿山井下特种设备未经具有专业资质的机构检测、检验合格，取得安全使用证或者安全标志，投入使用的；</w:t>
            </w:r>
          </w:p>
          <w:p w14:paraId="4D856BFF">
            <w:pPr>
              <w:widowControl/>
              <w:ind w:firstLine="640" w:firstLineChars="200"/>
              <w:jc w:val="left"/>
              <w:rPr>
                <w:rFonts w:hint="eastAsia" w:ascii="仿宋_GB2312" w:hAnsi="仿宋_GB2312" w:eastAsia="仿宋_GB2312" w:cs="仿宋_GB2312"/>
                <w:color w:val="auto"/>
                <w:kern w:val="0"/>
                <w:sz w:val="32"/>
                <w:szCs w:val="32"/>
              </w:rPr>
            </w:pPr>
          </w:p>
        </w:tc>
        <w:tc>
          <w:tcPr>
            <w:tcW w:w="948" w:type="dxa"/>
            <w:tcBorders>
              <w:top w:val="single" w:color="auto" w:sz="6" w:space="0"/>
              <w:left w:val="nil"/>
              <w:bottom w:val="single" w:color="auto" w:sz="6" w:space="0"/>
              <w:right w:val="single" w:color="auto" w:sz="6" w:space="0"/>
            </w:tcBorders>
          </w:tcPr>
          <w:p w14:paraId="286B33D6">
            <w:pPr>
              <w:widowControl/>
              <w:jc w:val="center"/>
              <w:rPr>
                <w:rFonts w:hint="eastAsia" w:ascii="仿宋_GB2312" w:hAnsi="仿宋_GB2312" w:eastAsia="仿宋_GB2312" w:cs="仿宋_GB2312"/>
                <w:b/>
                <w:bCs/>
                <w:color w:val="auto"/>
                <w:kern w:val="0"/>
                <w:sz w:val="32"/>
                <w:szCs w:val="32"/>
              </w:rPr>
            </w:pPr>
          </w:p>
        </w:tc>
      </w:tr>
      <w:tr w14:paraId="799F1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14:paraId="065E41B7">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18</w:t>
            </w:r>
          </w:p>
        </w:tc>
        <w:tc>
          <w:tcPr>
            <w:tcW w:w="948" w:type="dxa"/>
            <w:vMerge w:val="restart"/>
            <w:tcBorders>
              <w:top w:val="single" w:color="auto" w:sz="6" w:space="0"/>
              <w:left w:val="nil"/>
              <w:bottom w:val="single" w:color="auto" w:sz="6" w:space="0"/>
              <w:right w:val="single" w:color="auto" w:sz="4" w:space="0"/>
            </w:tcBorders>
            <w:vAlign w:val="center"/>
          </w:tcPr>
          <w:p w14:paraId="323043B8">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提升运输安全</w:t>
            </w:r>
          </w:p>
        </w:tc>
        <w:tc>
          <w:tcPr>
            <w:tcW w:w="948" w:type="dxa"/>
            <w:tcBorders>
              <w:top w:val="single" w:color="auto" w:sz="4" w:space="0"/>
              <w:left w:val="single" w:color="auto" w:sz="4" w:space="0"/>
              <w:bottom w:val="single" w:color="auto" w:sz="4" w:space="0"/>
              <w:right w:val="single" w:color="auto" w:sz="6" w:space="0"/>
            </w:tcBorders>
            <w:vAlign w:val="center"/>
          </w:tcPr>
          <w:p w14:paraId="04FD4FB7">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18.1提升防跑车装置</w:t>
            </w:r>
          </w:p>
        </w:tc>
        <w:tc>
          <w:tcPr>
            <w:tcW w:w="3899" w:type="dxa"/>
            <w:tcBorders>
              <w:top w:val="single" w:color="auto" w:sz="6" w:space="0"/>
              <w:left w:val="nil"/>
              <w:bottom w:val="single" w:color="auto" w:sz="6" w:space="0"/>
              <w:right w:val="single" w:color="auto" w:sz="6" w:space="0"/>
            </w:tcBorders>
            <w:vAlign w:val="center"/>
          </w:tcPr>
          <w:p w14:paraId="048477C5">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第四条第一款</w:t>
            </w:r>
            <w:r>
              <w:rPr>
                <w:rFonts w:hint="eastAsia" w:ascii="仿宋_GB2312" w:hAnsi="仿宋_GB2312" w:eastAsia="仿宋_GB2312" w:cs="仿宋_GB2312"/>
                <w:color w:val="auto"/>
                <w:kern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62583011">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第二十条 </w:t>
            </w:r>
            <w:r>
              <w:rPr>
                <w:rFonts w:hint="eastAsia" w:ascii="仿宋_GB2312" w:hAnsi="仿宋_GB2312" w:eastAsia="仿宋_GB2312" w:cs="仿宋_GB2312"/>
                <w:color w:val="auto"/>
                <w:kern w:val="0"/>
                <w:sz w:val="32"/>
                <w:szCs w:val="32"/>
              </w:rPr>
              <w:t> 生产经营单位应当具备本法和有关法律、行政法规和国家标准或者行业标准规定的安全生产条件；不具备安全生产条件的，不得从事生产经营活动。</w:t>
            </w:r>
          </w:p>
          <w:p w14:paraId="090AFC50">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《四川省安全生产条例》第四条第二款</w:t>
            </w:r>
            <w:r>
              <w:rPr>
                <w:rFonts w:hint="eastAsia" w:ascii="仿宋_GB2312" w:hAnsi="仿宋_GB2312" w:eastAsia="仿宋_GB2312" w:cs="仿宋_GB2312"/>
                <w:color w:val="auto"/>
                <w:kern w:val="0"/>
                <w:sz w:val="32"/>
                <w:szCs w:val="32"/>
              </w:rPr>
              <w:t>生产经营单位及其从业人员必须遵守安全生产法律、法规、规章、标准、规范、作业规程以及安全技术措施等相关规定。</w:t>
            </w:r>
          </w:p>
          <w:p w14:paraId="242242CA">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《煤矿安全规程》第八十条</w:t>
            </w:r>
            <w:r>
              <w:rPr>
                <w:rFonts w:hint="eastAsia" w:ascii="仿宋_GB2312" w:hAnsi="仿宋_GB2312" w:eastAsia="仿宋_GB2312" w:cs="仿宋_GB2312"/>
                <w:color w:val="auto"/>
                <w:kern w:val="0"/>
                <w:sz w:val="32"/>
                <w:szCs w:val="32"/>
              </w:rPr>
              <w:t>开凿或者延深斜井、下山时,必须在斜井、下山的上口设置防止跑车装置,在掘进工作面的上方设置跑车防护装置,跑车防护装置与掘进工作面的距离必须在施工组织设计或者作业规程中明确。</w:t>
            </w:r>
          </w:p>
          <w:p w14:paraId="111246AD">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斜井(巷)施工期间兼作人行道时,必须每隔40m设置躲避硐.设有躲避硐的一侧必须有畅通的人行道.上下人员必须走人行道.人行道必须设红灯和语音提示装置。</w:t>
            </w:r>
          </w:p>
          <w:p w14:paraId="385339DF">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斜巷采用多级提升或者上山掘进提升时,在绞车上山方向必须设置挡车栏。</w:t>
            </w:r>
          </w:p>
        </w:tc>
        <w:tc>
          <w:tcPr>
            <w:tcW w:w="3899" w:type="dxa"/>
            <w:tcBorders>
              <w:top w:val="single" w:color="auto" w:sz="6" w:space="0"/>
              <w:left w:val="nil"/>
              <w:bottom w:val="single" w:color="auto" w:sz="6" w:space="0"/>
              <w:right w:val="single" w:color="auto" w:sz="6" w:space="0"/>
            </w:tcBorders>
            <w:vAlign w:val="center"/>
          </w:tcPr>
          <w:p w14:paraId="0798374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（3）专门人员岗位责任落实及现场安全管理资料；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（4）相关工作安排记录；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（5）企业相关部门及有关责任人员和主要负责人责任落实资料；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（6）现场图片或影像资料；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（7）《现场检查记录》《责令限期整改指令书》等相关执法文书；</w:t>
            </w:r>
          </w:p>
          <w:p w14:paraId="01CC7A5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p w14:paraId="18C8CBF7">
            <w:pPr>
              <w:widowControl/>
              <w:rPr>
                <w:rFonts w:hint="eastAsia" w:ascii="仿宋_GB2312" w:hAnsi="仿宋_GB2312" w:eastAsia="仿宋_GB2312" w:cs="仿宋_GB2312"/>
                <w:b/>
                <w:bCs/>
                <w:color w:val="auto"/>
                <w:kern w:val="0"/>
                <w:sz w:val="32"/>
                <w:szCs w:val="32"/>
              </w:rPr>
            </w:pPr>
          </w:p>
        </w:tc>
        <w:tc>
          <w:tcPr>
            <w:tcW w:w="3899" w:type="dxa"/>
            <w:tcBorders>
              <w:top w:val="single" w:color="auto" w:sz="6" w:space="0"/>
              <w:left w:val="nil"/>
              <w:bottom w:val="single" w:color="auto" w:sz="6" w:space="0"/>
              <w:right w:val="single" w:color="auto" w:sz="4" w:space="0"/>
            </w:tcBorders>
            <w:vAlign w:val="center"/>
          </w:tcPr>
          <w:p w14:paraId="0ED07A7E">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第一百零二条</w:t>
            </w:r>
            <w:r>
              <w:rPr>
                <w:rFonts w:hint="eastAsia" w:ascii="仿宋_GB2312" w:hAnsi="仿宋_GB2312" w:eastAsia="仿宋_GB2312" w:cs="仿宋_GB2312"/>
                <w:color w:val="auto"/>
                <w:kern w:val="0"/>
                <w:sz w:val="32"/>
                <w:szCs w:val="32"/>
              </w:rPr>
              <w:t xml:space="preserve">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BD425FF">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48" w:type="dxa"/>
            <w:tcBorders>
              <w:top w:val="single" w:color="auto" w:sz="6" w:space="0"/>
              <w:left w:val="nil"/>
              <w:bottom w:val="single" w:color="auto" w:sz="6" w:space="0"/>
              <w:right w:val="single" w:color="auto" w:sz="6" w:space="0"/>
            </w:tcBorders>
          </w:tcPr>
          <w:p w14:paraId="3514EA20">
            <w:pPr>
              <w:widowControl/>
              <w:jc w:val="center"/>
              <w:rPr>
                <w:rFonts w:hint="eastAsia" w:ascii="仿宋_GB2312" w:hAnsi="仿宋_GB2312" w:eastAsia="仿宋_GB2312" w:cs="仿宋_GB2312"/>
                <w:b/>
                <w:bCs/>
                <w:color w:val="auto"/>
                <w:kern w:val="0"/>
                <w:sz w:val="32"/>
                <w:szCs w:val="32"/>
              </w:rPr>
            </w:pPr>
          </w:p>
        </w:tc>
      </w:tr>
      <w:tr w14:paraId="73323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04CE123B">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6BEBFF21">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single" w:color="auto" w:sz="4" w:space="0"/>
              <w:bottom w:val="single" w:color="auto" w:sz="6" w:space="0"/>
              <w:right w:val="single" w:color="auto" w:sz="6" w:space="0"/>
            </w:tcBorders>
            <w:vAlign w:val="center"/>
          </w:tcPr>
          <w:p w14:paraId="08D2165D">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18.2立井提升</w:t>
            </w:r>
          </w:p>
        </w:tc>
        <w:tc>
          <w:tcPr>
            <w:tcW w:w="3899" w:type="dxa"/>
            <w:tcBorders>
              <w:top w:val="single" w:color="auto" w:sz="6" w:space="0"/>
              <w:left w:val="nil"/>
              <w:bottom w:val="single" w:color="auto" w:sz="6" w:space="0"/>
              <w:right w:val="single" w:color="auto" w:sz="6" w:space="0"/>
            </w:tcBorders>
            <w:vAlign w:val="center"/>
          </w:tcPr>
          <w:p w14:paraId="4525AE78">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第四条第一款</w:t>
            </w:r>
            <w:r>
              <w:rPr>
                <w:rFonts w:hint="eastAsia" w:ascii="仿宋_GB2312" w:hAnsi="仿宋_GB2312" w:eastAsia="仿宋_GB2312" w:cs="仿宋_GB2312"/>
                <w:color w:val="auto"/>
                <w:kern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5BEAFB1B">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《四川省安全生产条例》第四条第二款</w:t>
            </w:r>
            <w:r>
              <w:rPr>
                <w:rFonts w:hint="eastAsia" w:ascii="仿宋_GB2312" w:hAnsi="仿宋_GB2312" w:eastAsia="仿宋_GB2312" w:cs="仿宋_GB2312"/>
                <w:color w:val="auto"/>
                <w:kern w:val="0"/>
                <w:sz w:val="32"/>
                <w:szCs w:val="32"/>
              </w:rPr>
              <w:t>生产经营单位及其从业人员必须遵守安全生产法律、法规、规章、标准、规范、作业规程以及安全技术措施等相关规定。</w:t>
            </w:r>
          </w:p>
          <w:p w14:paraId="4B5429DA">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《煤矿安全规程》第三百九十三条</w:t>
            </w:r>
            <w:r>
              <w:rPr>
                <w:rFonts w:hint="eastAsia" w:ascii="仿宋_GB2312" w:hAnsi="仿宋_GB2312" w:eastAsia="仿宋_GB2312" w:cs="仿宋_GB2312"/>
                <w:color w:val="auto"/>
                <w:kern w:val="0"/>
                <w:sz w:val="32"/>
                <w:szCs w:val="32"/>
              </w:rPr>
              <w:t xml:space="preserve">  立井提升容器和载荷，必须符合下列要求:</w:t>
            </w:r>
          </w:p>
          <w:p w14:paraId="02B03AFA">
            <w:pPr>
              <w:widowControl/>
              <w:numPr>
                <w:ilvl w:val="0"/>
                <w:numId w:val="3"/>
              </w:num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立井中升降人员应当使用罐笼。在井筒内作业或者因其他原因，需要使用普通箕斗或者救急罐升降人员时，必须制定安全措施</w:t>
            </w:r>
          </w:p>
          <w:p w14:paraId="18D9844F">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（二）升降人员或者升降人员和物料的单绳提升罐笼必须装设可靠的防坠器。</w:t>
            </w:r>
          </w:p>
          <w:p w14:paraId="55EBFF5A">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（三）罐笼和箕斗的最大提升载荷和最大提升载荷差应当在井口公布，严禁超载和超最大载荷差运行。</w:t>
            </w:r>
          </w:p>
          <w:p w14:paraId="0144BDF5">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（四）箕斗提升必须采用定重装载。</w:t>
            </w:r>
          </w:p>
        </w:tc>
        <w:tc>
          <w:tcPr>
            <w:tcW w:w="3899" w:type="dxa"/>
            <w:tcBorders>
              <w:top w:val="single" w:color="auto" w:sz="6" w:space="0"/>
              <w:left w:val="nil"/>
              <w:bottom w:val="single" w:color="auto" w:sz="6" w:space="0"/>
              <w:right w:val="single" w:color="auto" w:sz="6" w:space="0"/>
            </w:tcBorders>
            <w:vAlign w:val="center"/>
          </w:tcPr>
          <w:p w14:paraId="0CAEB72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5699E42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（4）《现场检查记录》《责令限期整改指令书》等相关执法文书；</w:t>
            </w:r>
          </w:p>
          <w:p w14:paraId="7F3B309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（5）其他相关证据。</w:t>
            </w:r>
          </w:p>
          <w:p w14:paraId="5DB515F6">
            <w:pPr>
              <w:widowControl/>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4" w:space="0"/>
            </w:tcBorders>
          </w:tcPr>
          <w:p w14:paraId="50691E48">
            <w:pPr>
              <w:widowControl/>
              <w:ind w:firstLine="640" w:firstLineChars="200"/>
              <w:jc w:val="left"/>
              <w:rPr>
                <w:rFonts w:hint="eastAsia" w:ascii="仿宋_GB2312" w:hAnsi="仿宋_GB2312" w:eastAsia="仿宋_GB2312" w:cs="仿宋_GB2312"/>
                <w:color w:val="auto"/>
                <w:kern w:val="0"/>
                <w:sz w:val="32"/>
                <w:szCs w:val="32"/>
              </w:rPr>
            </w:pPr>
          </w:p>
          <w:p w14:paraId="4F009374">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第一百零二条</w:t>
            </w:r>
            <w:r>
              <w:rPr>
                <w:rFonts w:hint="eastAsia" w:ascii="仿宋_GB2312" w:hAnsi="仿宋_GB2312" w:eastAsia="仿宋_GB2312" w:cs="仿宋_GB2312"/>
                <w:color w:val="auto"/>
                <w:kern w:val="0"/>
                <w:sz w:val="32"/>
                <w:szCs w:val="32"/>
              </w:rPr>
              <w:t xml:space="preserve">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F9C982E">
            <w:pPr>
              <w:widowControl/>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48" w:type="dxa"/>
            <w:tcBorders>
              <w:top w:val="single" w:color="auto" w:sz="6" w:space="0"/>
              <w:left w:val="nil"/>
              <w:bottom w:val="single" w:color="auto" w:sz="6" w:space="0"/>
              <w:right w:val="single" w:color="auto" w:sz="6" w:space="0"/>
            </w:tcBorders>
          </w:tcPr>
          <w:p w14:paraId="4E90976A">
            <w:pPr>
              <w:widowControl/>
              <w:jc w:val="center"/>
              <w:rPr>
                <w:rFonts w:hint="eastAsia" w:ascii="仿宋_GB2312" w:hAnsi="仿宋_GB2312" w:eastAsia="仿宋_GB2312" w:cs="仿宋_GB2312"/>
                <w:b/>
                <w:bCs/>
                <w:color w:val="auto"/>
                <w:kern w:val="0"/>
                <w:sz w:val="32"/>
                <w:szCs w:val="32"/>
              </w:rPr>
            </w:pPr>
          </w:p>
        </w:tc>
      </w:tr>
      <w:tr w14:paraId="0807F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jc w:val="center"/>
        </w:trPr>
        <w:tc>
          <w:tcPr>
            <w:tcW w:w="624" w:type="dxa"/>
            <w:tcBorders>
              <w:top w:val="single" w:color="auto" w:sz="6" w:space="0"/>
              <w:left w:val="single" w:color="auto" w:sz="6" w:space="0"/>
              <w:bottom w:val="single" w:color="auto" w:sz="6" w:space="0"/>
              <w:right w:val="single" w:color="auto" w:sz="6" w:space="0"/>
            </w:tcBorders>
            <w:noWrap/>
            <w:vAlign w:val="center"/>
          </w:tcPr>
          <w:p w14:paraId="254922F3">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19</w:t>
            </w:r>
          </w:p>
        </w:tc>
        <w:tc>
          <w:tcPr>
            <w:tcW w:w="948" w:type="dxa"/>
            <w:tcBorders>
              <w:top w:val="single" w:color="auto" w:sz="6" w:space="0"/>
              <w:left w:val="nil"/>
              <w:bottom w:val="single" w:color="auto" w:sz="6" w:space="0"/>
              <w:right w:val="single" w:color="auto" w:sz="4" w:space="0"/>
            </w:tcBorders>
            <w:vAlign w:val="center"/>
          </w:tcPr>
          <w:p w14:paraId="1C2B93B5">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顶板管理</w:t>
            </w:r>
          </w:p>
        </w:tc>
        <w:tc>
          <w:tcPr>
            <w:tcW w:w="948" w:type="dxa"/>
            <w:tcBorders>
              <w:top w:val="single" w:color="auto" w:sz="4" w:space="0"/>
              <w:left w:val="single" w:color="auto" w:sz="4" w:space="0"/>
              <w:bottom w:val="single" w:color="auto" w:sz="6" w:space="0"/>
              <w:right w:val="single" w:color="auto" w:sz="6" w:space="0"/>
            </w:tcBorders>
            <w:vAlign w:val="center"/>
          </w:tcPr>
          <w:p w14:paraId="68DB9D1E">
            <w:pPr>
              <w:widowControl/>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顶帮管理</w:t>
            </w:r>
          </w:p>
        </w:tc>
        <w:tc>
          <w:tcPr>
            <w:tcW w:w="3899" w:type="dxa"/>
            <w:tcBorders>
              <w:top w:val="single" w:color="auto" w:sz="6" w:space="0"/>
              <w:left w:val="nil"/>
              <w:bottom w:val="single" w:color="auto" w:sz="6" w:space="0"/>
              <w:right w:val="single" w:color="auto" w:sz="6" w:space="0"/>
            </w:tcBorders>
            <w:vAlign w:val="center"/>
          </w:tcPr>
          <w:p w14:paraId="14201E7F">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《矿山安全法实施条例》第十七条第一款</w:t>
            </w:r>
            <w:r>
              <w:rPr>
                <w:rFonts w:hint="eastAsia" w:ascii="仿宋_GB2312" w:hAnsi="仿宋_GB2312" w:eastAsia="仿宋_GB2312" w:cs="仿宋_GB2312"/>
                <w:color w:val="auto"/>
                <w:kern w:val="0"/>
                <w:sz w:val="32"/>
                <w:szCs w:val="32"/>
              </w:rPr>
              <w:t>井下采掘作业，必须按照作业规程的规定管理顶帮。采掘作业通过地质破碎带或者其他顶帮破碎地点时，应当加强支护。</w:t>
            </w:r>
          </w:p>
          <w:p w14:paraId="57DB612C">
            <w:pPr>
              <w:widowControl/>
              <w:ind w:firstLine="640" w:firstLineChars="200"/>
              <w:rPr>
                <w:rFonts w:hint="eastAsia" w:ascii="仿宋_GB2312" w:hAnsi="仿宋_GB2312" w:eastAsia="仿宋_GB2312" w:cs="仿宋_GB2312"/>
                <w:color w:val="auto"/>
                <w:kern w:val="0"/>
                <w:sz w:val="32"/>
                <w:szCs w:val="32"/>
              </w:rPr>
            </w:pPr>
          </w:p>
          <w:p w14:paraId="7EFAF6EB">
            <w:pPr>
              <w:widowControl/>
              <w:ind w:firstLine="640" w:firstLineChars="200"/>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460A6C8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（3）采掘作业规程；</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（4）顶帮管理制度；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（5）现场核查资料；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（6）相关工作安排记录；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（7）企业相关部门及有关责任人员和主要负责人责任落实资料；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（8）现场图片或影像资料；</w:t>
            </w:r>
          </w:p>
          <w:p w14:paraId="67F2A77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5E5507E5">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tcBorders>
              <w:top w:val="single" w:color="auto" w:sz="6" w:space="0"/>
              <w:left w:val="nil"/>
              <w:bottom w:val="single" w:color="auto" w:sz="6" w:space="0"/>
              <w:right w:val="single" w:color="auto" w:sz="4" w:space="0"/>
            </w:tcBorders>
          </w:tcPr>
          <w:p w14:paraId="0AA9F4C0">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《矿山安全法实施条例》第五十四条</w:t>
            </w:r>
            <w:r>
              <w:rPr>
                <w:rFonts w:hint="eastAsia" w:ascii="仿宋_GB2312" w:hAnsi="仿宋_GB2312" w:eastAsia="仿宋_GB2312" w:cs="仿宋_GB2312"/>
                <w:color w:val="auto"/>
                <w:kern w:val="0"/>
                <w:sz w:val="32"/>
                <w:szCs w:val="32"/>
              </w:rPr>
              <w:t>违反本条例第十五条、第十六条、第十七条、第十八条、第十九条、第二十条、第二十一条、第二十二条、第二十三条、第二十五条规定的，由劳动行政主管部门责令改正，可以处2万元以下的罚款。</w:t>
            </w:r>
          </w:p>
        </w:tc>
        <w:tc>
          <w:tcPr>
            <w:tcW w:w="948" w:type="dxa"/>
            <w:tcBorders>
              <w:top w:val="single" w:color="auto" w:sz="6" w:space="0"/>
              <w:left w:val="nil"/>
              <w:bottom w:val="single" w:color="auto" w:sz="6" w:space="0"/>
              <w:right w:val="single" w:color="auto" w:sz="6" w:space="0"/>
            </w:tcBorders>
          </w:tcPr>
          <w:p w14:paraId="2EAA425E">
            <w:pPr>
              <w:widowControl/>
              <w:jc w:val="center"/>
              <w:rPr>
                <w:rFonts w:hint="eastAsia" w:ascii="仿宋_GB2312" w:hAnsi="仿宋_GB2312" w:eastAsia="仿宋_GB2312" w:cs="仿宋_GB2312"/>
                <w:b/>
                <w:bCs/>
                <w:color w:val="auto"/>
                <w:kern w:val="0"/>
                <w:sz w:val="32"/>
                <w:szCs w:val="32"/>
              </w:rPr>
            </w:pPr>
          </w:p>
          <w:p w14:paraId="4B0E7C61">
            <w:pPr>
              <w:widowControl/>
              <w:jc w:val="center"/>
              <w:rPr>
                <w:rFonts w:hint="eastAsia" w:ascii="仿宋_GB2312" w:hAnsi="仿宋_GB2312" w:eastAsia="仿宋_GB2312" w:cs="仿宋_GB2312"/>
                <w:b/>
                <w:bCs/>
                <w:color w:val="auto"/>
                <w:kern w:val="0"/>
                <w:sz w:val="32"/>
                <w:szCs w:val="32"/>
              </w:rPr>
            </w:pPr>
          </w:p>
        </w:tc>
      </w:tr>
      <w:tr w14:paraId="7F8D2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4" w:hRule="atLeast"/>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14:paraId="0D4B61D3">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20</w:t>
            </w:r>
          </w:p>
        </w:tc>
        <w:tc>
          <w:tcPr>
            <w:tcW w:w="948" w:type="dxa"/>
            <w:vMerge w:val="restart"/>
            <w:tcBorders>
              <w:top w:val="single" w:color="auto" w:sz="6" w:space="0"/>
              <w:left w:val="nil"/>
              <w:bottom w:val="single" w:color="auto" w:sz="6" w:space="0"/>
              <w:right w:val="single" w:color="auto" w:sz="4" w:space="0"/>
            </w:tcBorders>
            <w:vAlign w:val="center"/>
          </w:tcPr>
          <w:p w14:paraId="5DD86577">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防灭火</w:t>
            </w:r>
          </w:p>
        </w:tc>
        <w:tc>
          <w:tcPr>
            <w:tcW w:w="948" w:type="dxa"/>
            <w:tcBorders>
              <w:top w:val="single" w:color="auto" w:sz="4" w:space="0"/>
              <w:left w:val="single" w:color="auto" w:sz="4" w:space="0"/>
              <w:bottom w:val="single" w:color="auto" w:sz="6" w:space="0"/>
              <w:right w:val="single" w:color="auto" w:sz="6" w:space="0"/>
            </w:tcBorders>
            <w:vAlign w:val="center"/>
          </w:tcPr>
          <w:p w14:paraId="442A8B54">
            <w:pPr>
              <w:widowControl/>
              <w:rPr>
                <w:rFonts w:hint="eastAsia" w:ascii="仿宋_GB2312" w:hAnsi="仿宋_GB2312" w:eastAsia="仿宋_GB2312" w:cs="仿宋_GB2312"/>
                <w:color w:val="auto"/>
                <w:kern w:val="0"/>
                <w:sz w:val="32"/>
                <w:szCs w:val="32"/>
              </w:rPr>
            </w:pPr>
          </w:p>
          <w:p w14:paraId="72D0D23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20.1防灭火重大隐患治理（重大生产安全事故隐患）</w:t>
            </w:r>
          </w:p>
        </w:tc>
        <w:tc>
          <w:tcPr>
            <w:tcW w:w="3899" w:type="dxa"/>
            <w:tcBorders>
              <w:top w:val="single" w:color="auto" w:sz="6" w:space="0"/>
              <w:left w:val="nil"/>
              <w:bottom w:val="single" w:color="auto" w:sz="6" w:space="0"/>
              <w:right w:val="single" w:color="auto" w:sz="6" w:space="0"/>
            </w:tcBorders>
            <w:vAlign w:val="center"/>
          </w:tcPr>
          <w:p w14:paraId="76D49BA4">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《国务院关于预防煤矿生产安全事故的特别规定》第八条第二款第（九）项</w:t>
            </w:r>
            <w:r>
              <w:rPr>
                <w:rFonts w:hint="eastAsia" w:ascii="仿宋_GB2312" w:hAnsi="仿宋_GB2312" w:eastAsia="仿宋_GB2312" w:cs="仿宋_GB2312"/>
                <w:color w:val="auto"/>
                <w:kern w:val="0"/>
                <w:sz w:val="32"/>
                <w:szCs w:val="32"/>
              </w:rPr>
              <w:t>煤矿有下列重大安全生产隐患和行为的，应当立即停止生产，排除隐患：（九）自然发火严重，未采取有效措施的；</w:t>
            </w:r>
          </w:p>
          <w:p w14:paraId="2DFD862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《煤矿重大事故隐患判定标准》第十二条</w:t>
            </w:r>
            <w:r>
              <w:rPr>
                <w:rFonts w:hint="eastAsia" w:ascii="仿宋_GB2312" w:hAnsi="仿宋_GB2312" w:eastAsia="仿宋_GB2312" w:cs="仿宋_GB2312"/>
                <w:color w:val="auto"/>
                <w:kern w:val="0"/>
                <w:sz w:val="32"/>
                <w:szCs w:val="32"/>
                <w:shd w:val="clear" w:color="auto" w:fill="FFFFFF"/>
              </w:rPr>
              <w:t>  </w:t>
            </w:r>
            <w:r>
              <w:rPr>
                <w:rFonts w:hint="eastAsia" w:ascii="仿宋_GB2312" w:hAnsi="仿宋_GB2312" w:eastAsia="仿宋_GB2312" w:cs="仿宋_GB2312"/>
                <w:color w:val="auto"/>
                <w:kern w:val="0"/>
                <w:sz w:val="32"/>
                <w:szCs w:val="32"/>
              </w:rPr>
              <w:t>“自然发火严重，未采取有效措施”重大事故隐患，是指有下列情形之一的：</w:t>
            </w:r>
          </w:p>
          <w:p w14:paraId="7352214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（一）开采容易自燃和自燃煤层的矿井，未编制防灭火专项设计或者未采取综合防灭火措施的；</w:t>
            </w:r>
          </w:p>
          <w:p w14:paraId="2BE84B9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（二）高瓦斯矿井采用放顶煤采煤法不能有效防治煤层自然发火的；</w:t>
            </w:r>
          </w:p>
          <w:p w14:paraId="17C65B6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（三）有自然发火征兆没有采取相应的安全防范措施继续生产建设的；</w:t>
            </w:r>
          </w:p>
          <w:p w14:paraId="0C02613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（四）违反《煤矿安全规程》规定启封火区的。</w:t>
            </w:r>
          </w:p>
          <w:p w14:paraId="7B73EDD6">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《煤矿安全规程》第二百六十条</w:t>
            </w:r>
            <w:r>
              <w:rPr>
                <w:rFonts w:hint="eastAsia" w:ascii="仿宋_GB2312" w:hAnsi="仿宋_GB2312" w:eastAsia="仿宋_GB2312" w:cs="仿宋_GB2312"/>
                <w:color w:val="auto"/>
                <w:kern w:val="0"/>
                <w:sz w:val="32"/>
                <w:szCs w:val="32"/>
              </w:rPr>
              <w:t xml:space="preserve">  煤的自燃倾向性分为容易自燃、自燃、不易自燃3类。</w:t>
            </w:r>
          </w:p>
          <w:p w14:paraId="62CAE7A4">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新设计矿井应当将所有煤层的自燃倾向性鉴定结果报省级煤炭行业管理部门及省级煤矿安全监察机构。</w:t>
            </w:r>
          </w:p>
          <w:p w14:paraId="5E1F975A">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生产矿井延深新水平时，必须对所有煤层的自燃倾向性进行鉴定。</w:t>
            </w:r>
          </w:p>
          <w:p w14:paraId="0FAF9929">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开采容易自燃和自燃煤层的矿井，必须编制矿井防灭火专项设计，采取综合预防煤层自然发火的措施。</w:t>
            </w:r>
          </w:p>
        </w:tc>
        <w:tc>
          <w:tcPr>
            <w:tcW w:w="3899" w:type="dxa"/>
            <w:tcBorders>
              <w:top w:val="single" w:color="auto" w:sz="6" w:space="0"/>
              <w:left w:val="nil"/>
              <w:bottom w:val="single" w:color="auto" w:sz="6" w:space="0"/>
              <w:right w:val="single" w:color="auto" w:sz="6" w:space="0"/>
            </w:tcBorders>
            <w:vAlign w:val="center"/>
          </w:tcPr>
          <w:p w14:paraId="7A7A754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（3）设计资料及安全评价报告；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（4）查自然发火预测预报制度；</w:t>
            </w:r>
          </w:p>
          <w:p w14:paraId="4AF14DD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（5）查巷道布置图和采掘工程平面图；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（6）开采设计和作业规程；</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（7）防治煤层自然发火安全技术措施及落实资料；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（8）现场检查采区专用回风巷；</w:t>
            </w:r>
          </w:p>
          <w:p w14:paraId="7F2F45C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（9）现场检查生产组织安排落实资料；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（10）相关工作记录；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（11）相关机构和有关人员责任落实资料；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（12）现场图片或影像资料；</w:t>
            </w:r>
          </w:p>
          <w:p w14:paraId="0BD7B8C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（13）《现场检查记录》《责令限期整改指令书》等相关执法文书；</w:t>
            </w:r>
          </w:p>
          <w:p w14:paraId="19B7F0F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（14）其他相关证据。</w:t>
            </w:r>
          </w:p>
        </w:tc>
        <w:tc>
          <w:tcPr>
            <w:tcW w:w="3899" w:type="dxa"/>
            <w:tcBorders>
              <w:top w:val="single" w:color="auto" w:sz="6" w:space="0"/>
              <w:left w:val="nil"/>
              <w:bottom w:val="single" w:color="auto" w:sz="6" w:space="0"/>
              <w:right w:val="single" w:color="auto" w:sz="4" w:space="0"/>
            </w:tcBorders>
            <w:vAlign w:val="center"/>
          </w:tcPr>
          <w:p w14:paraId="768FBCF7">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07235363">
            <w:pPr>
              <w:widowControl/>
              <w:jc w:val="center"/>
              <w:rPr>
                <w:rFonts w:hint="eastAsia" w:ascii="仿宋_GB2312" w:hAnsi="仿宋_GB2312" w:eastAsia="仿宋_GB2312" w:cs="仿宋_GB2312"/>
                <w:b/>
                <w:bCs/>
                <w:color w:val="auto"/>
                <w:kern w:val="0"/>
                <w:sz w:val="32"/>
                <w:szCs w:val="32"/>
              </w:rPr>
            </w:pPr>
          </w:p>
        </w:tc>
      </w:tr>
      <w:tr w14:paraId="7F303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57DA0150">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13DDAABF">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711810FA">
            <w:pPr>
              <w:widowControl/>
              <w:rPr>
                <w:rFonts w:hint="eastAsia" w:ascii="仿宋_GB2312" w:hAnsi="仿宋_GB2312" w:eastAsia="仿宋_GB2312" w:cs="仿宋_GB2312"/>
                <w:color w:val="auto"/>
                <w:kern w:val="0"/>
                <w:sz w:val="32"/>
                <w:szCs w:val="32"/>
              </w:rPr>
            </w:pPr>
          </w:p>
          <w:p w14:paraId="774B090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20.2专用回风巷（开采容易自然煤层必须设置至少1条专用回风巷）</w:t>
            </w:r>
          </w:p>
        </w:tc>
        <w:tc>
          <w:tcPr>
            <w:tcW w:w="3899" w:type="dxa"/>
            <w:tcBorders>
              <w:top w:val="single" w:color="auto" w:sz="6" w:space="0"/>
              <w:left w:val="nil"/>
              <w:bottom w:val="single" w:color="auto" w:sz="6" w:space="0"/>
              <w:right w:val="single" w:color="auto" w:sz="6" w:space="0"/>
            </w:tcBorders>
            <w:vAlign w:val="center"/>
          </w:tcPr>
          <w:p w14:paraId="59559257">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第四条第一款</w:t>
            </w:r>
            <w:r>
              <w:rPr>
                <w:rFonts w:hint="eastAsia" w:ascii="仿宋_GB2312" w:hAnsi="仿宋_GB2312" w:eastAsia="仿宋_GB2312" w:cs="仿宋_GB2312"/>
                <w:color w:val="auto"/>
                <w:kern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4CABCAE4">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第二十条</w:t>
            </w:r>
            <w:r>
              <w:rPr>
                <w:rFonts w:hint="eastAsia" w:ascii="仿宋_GB2312" w:hAnsi="仿宋_GB2312" w:eastAsia="仿宋_GB2312" w:cs="仿宋_GB2312"/>
                <w:color w:val="auto"/>
                <w:kern w:val="0"/>
                <w:sz w:val="32"/>
                <w:szCs w:val="32"/>
              </w:rPr>
              <w:t>生产经营单位应当具备本法和有关法律、行政法规和国家标准或者行业标准规定的安全生产条件；不具备安全生产条件的，不得从事生产经营活动。</w:t>
            </w:r>
          </w:p>
          <w:p w14:paraId="439E57C5">
            <w:pPr>
              <w:widowControl/>
              <w:ind w:firstLine="640" w:firstLineChars="200"/>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56DC7B8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7159F81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（3）巷道布置图和采掘工程平面图；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（4）开采设计和作业规程；</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（5）防治煤层自然发火安全技术措施及落实资料；</w:t>
            </w:r>
          </w:p>
          <w:p w14:paraId="57B0009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（6）现场检查采区专用回风巷；</w:t>
            </w:r>
          </w:p>
          <w:p w14:paraId="19EAEB2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（7）现场图片或影像资料；</w:t>
            </w:r>
          </w:p>
          <w:p w14:paraId="6D0BF21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0D74ECE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tcBorders>
              <w:top w:val="single" w:color="auto" w:sz="6" w:space="0"/>
              <w:left w:val="nil"/>
              <w:bottom w:val="single" w:color="auto" w:sz="6" w:space="0"/>
              <w:right w:val="single" w:color="auto" w:sz="4" w:space="0"/>
            </w:tcBorders>
          </w:tcPr>
          <w:p w14:paraId="21952EE5">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第一百零二条</w:t>
            </w:r>
            <w:r>
              <w:rPr>
                <w:rFonts w:hint="eastAsia" w:ascii="仿宋_GB2312" w:hAnsi="仿宋_GB2312" w:eastAsia="仿宋_GB2312" w:cs="仿宋_GB2312"/>
                <w:color w:val="auto"/>
                <w:kern w:val="0"/>
                <w:sz w:val="32"/>
                <w:szCs w:val="32"/>
              </w:rPr>
              <w:t xml:space="preserve">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0FA1DA87">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《中华人民共和国安全生产法》第一百一十三条</w:t>
            </w:r>
            <w:r>
              <w:rPr>
                <w:rFonts w:hint="eastAsia" w:ascii="仿宋_GB2312" w:hAnsi="仿宋_GB2312" w:eastAsia="仿宋_GB2312" w:cs="仿宋_GB2312"/>
                <w:color w:val="auto"/>
                <w:kern w:val="0"/>
                <w:sz w:val="32"/>
                <w:szCs w:val="32"/>
              </w:rPr>
              <w:t xml:space="preserve">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535300B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（一）存在重大事故隐患，一百八十日内三次或者一年内四次受到本法规定的行政处罚的；</w:t>
            </w:r>
          </w:p>
          <w:p w14:paraId="24A044B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（二）经停产停业整顿，仍不具备法律、行政法规和国家标准或者行业标准规定的安全生产条件的；</w:t>
            </w:r>
          </w:p>
          <w:p w14:paraId="136AF11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（三）不具备法律、行政法规和国家标准或者行业标准规定的安全生产条件，导致发生重大、特别重大生产安全事故的；</w:t>
            </w:r>
          </w:p>
          <w:p w14:paraId="7C0DEC1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（四）拒不执行负有安全生产监督管理职责的部门作出的停产停业整顿决定的。</w:t>
            </w:r>
          </w:p>
          <w:p w14:paraId="6B9E77E5">
            <w:pPr>
              <w:widowControl/>
              <w:ind w:firstLine="643" w:firstLineChars="200"/>
              <w:jc w:val="left"/>
              <w:rPr>
                <w:rFonts w:hint="eastAsia" w:ascii="仿宋_GB2312" w:hAnsi="仿宋_GB2312" w:eastAsia="仿宋_GB2312" w:cs="仿宋_GB2312"/>
                <w:b/>
                <w:bCs/>
                <w:color w:val="auto"/>
                <w:kern w:val="0"/>
                <w:sz w:val="32"/>
                <w:szCs w:val="32"/>
              </w:rPr>
            </w:pPr>
          </w:p>
        </w:tc>
        <w:tc>
          <w:tcPr>
            <w:tcW w:w="948" w:type="dxa"/>
            <w:tcBorders>
              <w:top w:val="single" w:color="auto" w:sz="6" w:space="0"/>
              <w:left w:val="nil"/>
              <w:bottom w:val="single" w:color="auto" w:sz="6" w:space="0"/>
              <w:right w:val="single" w:color="auto" w:sz="6" w:space="0"/>
            </w:tcBorders>
          </w:tcPr>
          <w:p w14:paraId="45665C24">
            <w:pPr>
              <w:widowControl/>
              <w:jc w:val="center"/>
              <w:rPr>
                <w:rFonts w:hint="eastAsia" w:ascii="仿宋_GB2312" w:hAnsi="仿宋_GB2312" w:eastAsia="仿宋_GB2312" w:cs="仿宋_GB2312"/>
                <w:b/>
                <w:bCs/>
                <w:color w:val="auto"/>
                <w:kern w:val="0"/>
                <w:sz w:val="32"/>
                <w:szCs w:val="32"/>
              </w:rPr>
            </w:pPr>
          </w:p>
        </w:tc>
      </w:tr>
      <w:tr w14:paraId="16D1C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28" w:hRule="atLeast"/>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4052E953">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7CBF575D">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6" w:space="0"/>
              <w:left w:val="single" w:color="auto" w:sz="4" w:space="0"/>
              <w:bottom w:val="single" w:color="auto" w:sz="6" w:space="0"/>
              <w:right w:val="single" w:color="auto" w:sz="6" w:space="0"/>
            </w:tcBorders>
            <w:vAlign w:val="center"/>
          </w:tcPr>
          <w:p w14:paraId="4D56FCE5">
            <w:pPr>
              <w:widowControl/>
              <w:rPr>
                <w:rFonts w:hint="eastAsia" w:ascii="仿宋_GB2312" w:hAnsi="仿宋_GB2312" w:eastAsia="仿宋_GB2312" w:cs="仿宋_GB2312"/>
                <w:color w:val="auto"/>
                <w:kern w:val="0"/>
                <w:sz w:val="32"/>
                <w:szCs w:val="32"/>
              </w:rPr>
            </w:pPr>
          </w:p>
          <w:p w14:paraId="34306C68">
            <w:pPr>
              <w:widowControl/>
              <w:rPr>
                <w:rFonts w:hint="eastAsia" w:ascii="仿宋_GB2312" w:hAnsi="仿宋_GB2312" w:eastAsia="仿宋_GB2312" w:cs="仿宋_GB2312"/>
                <w:color w:val="auto"/>
                <w:kern w:val="0"/>
                <w:sz w:val="32"/>
                <w:szCs w:val="32"/>
              </w:rPr>
            </w:pPr>
          </w:p>
          <w:p w14:paraId="67D67FA0">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20.3防火门</w:t>
            </w:r>
          </w:p>
        </w:tc>
        <w:tc>
          <w:tcPr>
            <w:tcW w:w="3899" w:type="dxa"/>
            <w:tcBorders>
              <w:top w:val="single" w:color="auto" w:sz="6" w:space="0"/>
              <w:left w:val="nil"/>
              <w:bottom w:val="single" w:color="auto" w:sz="6" w:space="0"/>
              <w:right w:val="single" w:color="auto" w:sz="6" w:space="0"/>
            </w:tcBorders>
            <w:vAlign w:val="center"/>
          </w:tcPr>
          <w:p w14:paraId="28457666">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第四条第一款</w:t>
            </w:r>
            <w:r>
              <w:rPr>
                <w:rFonts w:hint="eastAsia" w:ascii="仿宋_GB2312" w:hAnsi="仿宋_GB2312" w:eastAsia="仿宋_GB2312" w:cs="仿宋_GB2312"/>
                <w:color w:val="auto"/>
                <w:kern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51330A1D">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《煤矿安全规程》第一百四十九条第三款</w:t>
            </w:r>
            <w:r>
              <w:rPr>
                <w:rFonts w:hint="eastAsia" w:ascii="仿宋_GB2312" w:hAnsi="仿宋_GB2312" w:eastAsia="仿宋_GB2312" w:cs="仿宋_GB2312"/>
                <w:color w:val="auto"/>
                <w:kern w:val="0"/>
                <w:sz w:val="32"/>
                <w:szCs w:val="32"/>
              </w:rPr>
              <w:t>高瓦斯、突出矿井的每个采（盘）区和开采容易自燃煤层的采（盘）区，必须设置至少1条专用回风巷；</w:t>
            </w:r>
          </w:p>
          <w:p w14:paraId="6ADCBAA8">
            <w:pPr>
              <w:widowControl/>
              <w:ind w:firstLine="64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低瓦斯矿井开采煤层群和分层开采采用联合布置的采（盘）区，必须设置1条专用回风巷。</w:t>
            </w:r>
          </w:p>
          <w:p w14:paraId="1DED6340">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《煤矿安全规程》第二百七十三条</w:t>
            </w:r>
            <w:r>
              <w:rPr>
                <w:rFonts w:hint="eastAsia" w:ascii="仿宋_GB2312" w:hAnsi="仿宋_GB2312" w:eastAsia="仿宋_GB2312" w:cs="仿宋_GB2312"/>
                <w:color w:val="auto"/>
                <w:kern w:val="0"/>
                <w:sz w:val="32"/>
                <w:szCs w:val="32"/>
              </w:rPr>
              <w:t xml:space="preserve">  开采容易自燃和自燃煤层时，在采（盘）区开采设计中，必须预先选定构筑防火门的位置。当采煤工作面通风系统形成后，必须按设计构筑防火门墙，并储备足够数量的封闭防火门的材料。</w:t>
            </w:r>
          </w:p>
        </w:tc>
        <w:tc>
          <w:tcPr>
            <w:tcW w:w="3899" w:type="dxa"/>
            <w:tcBorders>
              <w:top w:val="single" w:color="auto" w:sz="6" w:space="0"/>
              <w:left w:val="nil"/>
              <w:bottom w:val="single" w:color="auto" w:sz="6" w:space="0"/>
              <w:right w:val="single" w:color="auto" w:sz="6" w:space="0"/>
            </w:tcBorders>
            <w:vAlign w:val="center"/>
          </w:tcPr>
          <w:p w14:paraId="3BFFB10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（3）采区设计；</w:t>
            </w:r>
          </w:p>
          <w:p w14:paraId="007CE12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（4）巷道布置图和采掘工程平面图；</w:t>
            </w:r>
          </w:p>
          <w:p w14:paraId="10EF976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（5）防火门构筑台账；</w:t>
            </w:r>
          </w:p>
          <w:p w14:paraId="2146FF3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（6）现场图片或影像资料；</w:t>
            </w:r>
          </w:p>
          <w:p w14:paraId="36E36DD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7ED2806A">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tcBorders>
              <w:top w:val="single" w:color="auto" w:sz="6" w:space="0"/>
              <w:left w:val="nil"/>
              <w:bottom w:val="single" w:color="auto" w:sz="6" w:space="0"/>
              <w:right w:val="single" w:color="auto" w:sz="4" w:space="0"/>
            </w:tcBorders>
          </w:tcPr>
          <w:p w14:paraId="4AF1B861">
            <w:pPr>
              <w:widowControl/>
              <w:ind w:firstLine="640" w:firstLineChars="200"/>
              <w:jc w:val="left"/>
              <w:rPr>
                <w:rFonts w:hint="eastAsia" w:ascii="仿宋_GB2312" w:hAnsi="仿宋_GB2312" w:eastAsia="仿宋_GB2312" w:cs="仿宋_GB2312"/>
                <w:color w:val="auto"/>
                <w:kern w:val="0"/>
                <w:sz w:val="32"/>
                <w:szCs w:val="32"/>
              </w:rPr>
            </w:pPr>
          </w:p>
          <w:p w14:paraId="03B0BF47">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第一百零二条</w:t>
            </w:r>
            <w:r>
              <w:rPr>
                <w:rFonts w:hint="eastAsia" w:ascii="仿宋_GB2312" w:hAnsi="仿宋_GB2312" w:eastAsia="仿宋_GB2312" w:cs="仿宋_GB2312"/>
                <w:color w:val="auto"/>
                <w:kern w:val="0"/>
                <w:sz w:val="32"/>
                <w:szCs w:val="32"/>
              </w:rPr>
              <w:t xml:space="preserve">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0B558391">
            <w:pPr>
              <w:widowControl/>
              <w:ind w:firstLine="643" w:firstLineChars="200"/>
              <w:jc w:val="left"/>
              <w:rPr>
                <w:rFonts w:hint="eastAsia" w:ascii="仿宋_GB2312" w:hAnsi="仿宋_GB2312" w:eastAsia="仿宋_GB2312" w:cs="仿宋_GB2312"/>
                <w:b/>
                <w:bCs/>
                <w:color w:val="auto"/>
                <w:kern w:val="0"/>
                <w:sz w:val="32"/>
                <w:szCs w:val="32"/>
              </w:rPr>
            </w:pPr>
          </w:p>
        </w:tc>
        <w:tc>
          <w:tcPr>
            <w:tcW w:w="948" w:type="dxa"/>
            <w:tcBorders>
              <w:top w:val="single" w:color="auto" w:sz="6" w:space="0"/>
              <w:left w:val="nil"/>
              <w:bottom w:val="single" w:color="auto" w:sz="6" w:space="0"/>
              <w:right w:val="single" w:color="auto" w:sz="6" w:space="0"/>
            </w:tcBorders>
          </w:tcPr>
          <w:p w14:paraId="43F6EFE5">
            <w:pPr>
              <w:widowControl/>
              <w:jc w:val="center"/>
              <w:rPr>
                <w:rFonts w:hint="eastAsia" w:ascii="仿宋_GB2312" w:hAnsi="仿宋_GB2312" w:eastAsia="仿宋_GB2312" w:cs="仿宋_GB2312"/>
                <w:b/>
                <w:bCs/>
                <w:color w:val="auto"/>
                <w:kern w:val="0"/>
                <w:sz w:val="32"/>
                <w:szCs w:val="32"/>
              </w:rPr>
            </w:pPr>
          </w:p>
          <w:p w14:paraId="5983343D">
            <w:pPr>
              <w:widowControl/>
              <w:jc w:val="center"/>
              <w:rPr>
                <w:rFonts w:hint="eastAsia" w:ascii="仿宋_GB2312" w:hAnsi="仿宋_GB2312" w:eastAsia="仿宋_GB2312" w:cs="仿宋_GB2312"/>
                <w:b/>
                <w:bCs/>
                <w:color w:val="auto"/>
                <w:kern w:val="0"/>
                <w:sz w:val="32"/>
                <w:szCs w:val="32"/>
              </w:rPr>
            </w:pPr>
          </w:p>
          <w:p w14:paraId="705D42D3">
            <w:pPr>
              <w:widowControl/>
              <w:jc w:val="center"/>
              <w:rPr>
                <w:rFonts w:hint="eastAsia" w:ascii="仿宋_GB2312" w:hAnsi="仿宋_GB2312" w:eastAsia="仿宋_GB2312" w:cs="仿宋_GB2312"/>
                <w:b/>
                <w:bCs/>
                <w:color w:val="auto"/>
                <w:kern w:val="0"/>
                <w:sz w:val="32"/>
                <w:szCs w:val="32"/>
              </w:rPr>
            </w:pPr>
          </w:p>
          <w:p w14:paraId="7B31DAD2">
            <w:pPr>
              <w:widowControl/>
              <w:jc w:val="center"/>
              <w:rPr>
                <w:rFonts w:hint="eastAsia" w:ascii="仿宋_GB2312" w:hAnsi="仿宋_GB2312" w:eastAsia="仿宋_GB2312" w:cs="仿宋_GB2312"/>
                <w:b/>
                <w:bCs/>
                <w:color w:val="auto"/>
                <w:kern w:val="0"/>
                <w:sz w:val="32"/>
                <w:szCs w:val="32"/>
              </w:rPr>
            </w:pPr>
          </w:p>
          <w:p w14:paraId="40FA0394">
            <w:pPr>
              <w:widowControl/>
              <w:jc w:val="center"/>
              <w:rPr>
                <w:rFonts w:hint="eastAsia" w:ascii="仿宋_GB2312" w:hAnsi="仿宋_GB2312" w:eastAsia="仿宋_GB2312" w:cs="仿宋_GB2312"/>
                <w:b/>
                <w:bCs/>
                <w:color w:val="auto"/>
                <w:kern w:val="0"/>
                <w:sz w:val="32"/>
                <w:szCs w:val="32"/>
              </w:rPr>
            </w:pPr>
          </w:p>
          <w:p w14:paraId="0D92AFCE">
            <w:pPr>
              <w:widowControl/>
              <w:jc w:val="center"/>
              <w:rPr>
                <w:rFonts w:hint="eastAsia" w:ascii="仿宋_GB2312" w:hAnsi="仿宋_GB2312" w:eastAsia="仿宋_GB2312" w:cs="仿宋_GB2312"/>
                <w:b/>
                <w:bCs/>
                <w:color w:val="auto"/>
                <w:kern w:val="0"/>
                <w:sz w:val="32"/>
                <w:szCs w:val="32"/>
              </w:rPr>
            </w:pPr>
          </w:p>
          <w:p w14:paraId="464D73F9">
            <w:pPr>
              <w:widowControl/>
              <w:jc w:val="center"/>
              <w:rPr>
                <w:rFonts w:hint="eastAsia" w:ascii="仿宋_GB2312" w:hAnsi="仿宋_GB2312" w:eastAsia="仿宋_GB2312" w:cs="仿宋_GB2312"/>
                <w:b/>
                <w:bCs/>
                <w:color w:val="auto"/>
                <w:kern w:val="0"/>
                <w:sz w:val="32"/>
                <w:szCs w:val="32"/>
              </w:rPr>
            </w:pPr>
          </w:p>
          <w:p w14:paraId="21BA5DCA">
            <w:pPr>
              <w:widowControl/>
              <w:jc w:val="center"/>
              <w:rPr>
                <w:rFonts w:hint="eastAsia" w:ascii="仿宋_GB2312" w:hAnsi="仿宋_GB2312" w:eastAsia="仿宋_GB2312" w:cs="仿宋_GB2312"/>
                <w:b/>
                <w:bCs/>
                <w:color w:val="auto"/>
                <w:kern w:val="0"/>
                <w:sz w:val="32"/>
                <w:szCs w:val="32"/>
              </w:rPr>
            </w:pPr>
          </w:p>
          <w:p w14:paraId="569BF678">
            <w:pPr>
              <w:widowControl/>
              <w:jc w:val="center"/>
              <w:rPr>
                <w:rFonts w:hint="eastAsia" w:ascii="仿宋_GB2312" w:hAnsi="仿宋_GB2312" w:eastAsia="仿宋_GB2312" w:cs="仿宋_GB2312"/>
                <w:b/>
                <w:bCs/>
                <w:color w:val="auto"/>
                <w:kern w:val="0"/>
                <w:sz w:val="32"/>
                <w:szCs w:val="32"/>
              </w:rPr>
            </w:pPr>
          </w:p>
        </w:tc>
      </w:tr>
      <w:tr w14:paraId="52CA69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08293698">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2A62F740">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6" w:space="0"/>
              <w:left w:val="single" w:color="auto" w:sz="4" w:space="0"/>
              <w:bottom w:val="single" w:color="auto" w:sz="6" w:space="0"/>
              <w:right w:val="single" w:color="auto" w:sz="6" w:space="0"/>
            </w:tcBorders>
            <w:vAlign w:val="center"/>
          </w:tcPr>
          <w:p w14:paraId="3FBB6EA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20.4采空区自然发火管理</w:t>
            </w:r>
          </w:p>
        </w:tc>
        <w:tc>
          <w:tcPr>
            <w:tcW w:w="3899" w:type="dxa"/>
            <w:tcBorders>
              <w:top w:val="single" w:color="auto" w:sz="6" w:space="0"/>
              <w:left w:val="nil"/>
              <w:bottom w:val="single" w:color="auto" w:sz="6" w:space="0"/>
              <w:right w:val="single" w:color="auto" w:sz="6" w:space="0"/>
            </w:tcBorders>
            <w:vAlign w:val="center"/>
          </w:tcPr>
          <w:p w14:paraId="1920AD0C">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第四条第一款</w:t>
            </w:r>
            <w:r>
              <w:rPr>
                <w:rFonts w:hint="eastAsia" w:ascii="仿宋_GB2312" w:hAnsi="仿宋_GB2312" w:eastAsia="仿宋_GB2312" w:cs="仿宋_GB2312"/>
                <w:color w:val="auto"/>
                <w:kern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350F6AAA">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《煤矿安全规程》第二百七十四条</w:t>
            </w:r>
            <w:r>
              <w:rPr>
                <w:rFonts w:hint="eastAsia" w:ascii="仿宋_GB2312" w:hAnsi="仿宋_GB2312" w:eastAsia="仿宋_GB2312" w:cs="仿宋_GB2312"/>
                <w:color w:val="auto"/>
                <w:kern w:val="0"/>
                <w:sz w:val="32"/>
                <w:szCs w:val="32"/>
              </w:rPr>
              <w:t xml:space="preserve">  矿井必须制定防止采空区自然发火的封闭及管理专项措施。采煤工作面回采结束后，必须在45天内进行永久性封闭，每周1次抽取封闭采空区气样进行分析，并建立台账。</w:t>
            </w:r>
          </w:p>
          <w:p w14:paraId="5983C56E">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开采自燃和容易自燃煤层，应当及时构筑各类密闭并保证质量。</w:t>
            </w:r>
          </w:p>
          <w:p w14:paraId="44852FFE">
            <w:pPr>
              <w:widowControl/>
              <w:ind w:firstLine="64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与封闭采空区连通的各类废弃钻孔必须永久封闭</w:t>
            </w:r>
          </w:p>
        </w:tc>
        <w:tc>
          <w:tcPr>
            <w:tcW w:w="3899" w:type="dxa"/>
            <w:tcBorders>
              <w:top w:val="single" w:color="auto" w:sz="6" w:space="0"/>
              <w:left w:val="nil"/>
              <w:bottom w:val="single" w:color="auto" w:sz="6" w:space="0"/>
              <w:right w:val="single" w:color="auto" w:sz="6" w:space="0"/>
            </w:tcBorders>
            <w:vAlign w:val="center"/>
          </w:tcPr>
          <w:p w14:paraId="3B36614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（3）采煤工作面作业规程；</w:t>
            </w:r>
          </w:p>
          <w:p w14:paraId="38E2930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（4）采掘计划；</w:t>
            </w:r>
          </w:p>
          <w:p w14:paraId="2CF529D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（5）采空区气样分析台账；</w:t>
            </w:r>
          </w:p>
          <w:p w14:paraId="792C07A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（6）钻孔台账；</w:t>
            </w:r>
          </w:p>
          <w:p w14:paraId="2C143A8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（7）采空区自然发火的封闭及管理专项措施；</w:t>
            </w:r>
          </w:p>
          <w:p w14:paraId="2890FA6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（8）现场图片或影像资料；</w:t>
            </w:r>
          </w:p>
          <w:p w14:paraId="73030EB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1F9FAC45">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tcBorders>
              <w:top w:val="single" w:color="auto" w:sz="6" w:space="0"/>
              <w:left w:val="nil"/>
              <w:bottom w:val="single" w:color="auto" w:sz="6" w:space="0"/>
              <w:right w:val="single" w:color="auto" w:sz="4" w:space="0"/>
            </w:tcBorders>
            <w:vAlign w:val="center"/>
          </w:tcPr>
          <w:p w14:paraId="6D7574B6">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第一百零二条</w:t>
            </w:r>
            <w:r>
              <w:rPr>
                <w:rFonts w:hint="eastAsia" w:ascii="仿宋_GB2312" w:hAnsi="仿宋_GB2312" w:eastAsia="仿宋_GB2312" w:cs="仿宋_GB2312"/>
                <w:color w:val="auto"/>
                <w:kern w:val="0"/>
                <w:sz w:val="32"/>
                <w:szCs w:val="32"/>
              </w:rPr>
              <w:t xml:space="preserve">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971BA09">
            <w:pPr>
              <w:widowControl/>
              <w:ind w:firstLine="643" w:firstLineChars="200"/>
              <w:rPr>
                <w:rFonts w:hint="eastAsia" w:ascii="仿宋_GB2312" w:hAnsi="仿宋_GB2312" w:eastAsia="仿宋_GB2312" w:cs="仿宋_GB2312"/>
                <w:b/>
                <w:bCs/>
                <w:color w:val="auto"/>
                <w:kern w:val="0"/>
                <w:sz w:val="32"/>
                <w:szCs w:val="32"/>
              </w:rPr>
            </w:pPr>
          </w:p>
        </w:tc>
        <w:tc>
          <w:tcPr>
            <w:tcW w:w="948" w:type="dxa"/>
            <w:tcBorders>
              <w:top w:val="single" w:color="auto" w:sz="6" w:space="0"/>
              <w:left w:val="nil"/>
              <w:bottom w:val="single" w:color="auto" w:sz="6" w:space="0"/>
              <w:right w:val="single" w:color="auto" w:sz="6" w:space="0"/>
            </w:tcBorders>
          </w:tcPr>
          <w:p w14:paraId="507AD043">
            <w:pPr>
              <w:widowControl/>
              <w:jc w:val="center"/>
              <w:rPr>
                <w:rFonts w:hint="eastAsia" w:ascii="仿宋_GB2312" w:hAnsi="仿宋_GB2312" w:eastAsia="仿宋_GB2312" w:cs="仿宋_GB2312"/>
                <w:b/>
                <w:bCs/>
                <w:color w:val="auto"/>
                <w:kern w:val="0"/>
                <w:sz w:val="32"/>
                <w:szCs w:val="32"/>
              </w:rPr>
            </w:pPr>
          </w:p>
        </w:tc>
      </w:tr>
      <w:tr w14:paraId="1164D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66" w:hRule="atLeast"/>
          <w:jc w:val="center"/>
        </w:trPr>
        <w:tc>
          <w:tcPr>
            <w:tcW w:w="624" w:type="dxa"/>
            <w:tcBorders>
              <w:top w:val="single" w:color="auto" w:sz="6" w:space="0"/>
              <w:left w:val="single" w:color="auto" w:sz="6" w:space="0"/>
              <w:bottom w:val="single" w:color="auto" w:sz="6" w:space="0"/>
              <w:right w:val="single" w:color="auto" w:sz="6" w:space="0"/>
            </w:tcBorders>
            <w:noWrap/>
            <w:vAlign w:val="center"/>
          </w:tcPr>
          <w:p w14:paraId="775FD8E9">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21</w:t>
            </w:r>
          </w:p>
        </w:tc>
        <w:tc>
          <w:tcPr>
            <w:tcW w:w="948" w:type="dxa"/>
            <w:tcBorders>
              <w:top w:val="single" w:color="auto" w:sz="6" w:space="0"/>
              <w:left w:val="nil"/>
              <w:bottom w:val="single" w:color="auto" w:sz="6" w:space="0"/>
              <w:right w:val="single" w:color="auto" w:sz="4" w:space="0"/>
            </w:tcBorders>
            <w:vAlign w:val="center"/>
          </w:tcPr>
          <w:p w14:paraId="341E03D4">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煤与瓦斯突出管理</w:t>
            </w:r>
          </w:p>
        </w:tc>
        <w:tc>
          <w:tcPr>
            <w:tcW w:w="948" w:type="dxa"/>
            <w:tcBorders>
              <w:top w:val="single" w:color="auto" w:sz="4" w:space="0"/>
              <w:left w:val="single" w:color="auto" w:sz="4" w:space="0"/>
              <w:bottom w:val="single" w:color="auto" w:sz="6" w:space="0"/>
              <w:right w:val="single" w:color="auto" w:sz="6" w:space="0"/>
            </w:tcBorders>
            <w:vAlign w:val="center"/>
          </w:tcPr>
          <w:p w14:paraId="226470D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煤与瓦斯突出重大隐患治理（重大生产安全事故隐患）</w:t>
            </w:r>
          </w:p>
        </w:tc>
        <w:tc>
          <w:tcPr>
            <w:tcW w:w="3899" w:type="dxa"/>
            <w:tcBorders>
              <w:top w:val="single" w:color="auto" w:sz="6" w:space="0"/>
              <w:left w:val="nil"/>
              <w:bottom w:val="single" w:color="auto" w:sz="6" w:space="0"/>
              <w:right w:val="single" w:color="auto" w:sz="6" w:space="0"/>
            </w:tcBorders>
            <w:vAlign w:val="center"/>
          </w:tcPr>
          <w:p w14:paraId="2FCBE492">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《国务院关于预防煤矿生产安全事故的特别规定》第八条第二款第（三）项</w:t>
            </w:r>
            <w:r>
              <w:rPr>
                <w:rFonts w:hint="eastAsia" w:ascii="仿宋_GB2312" w:hAnsi="仿宋_GB2312" w:eastAsia="仿宋_GB2312" w:cs="仿宋_GB2312"/>
                <w:color w:val="auto"/>
                <w:kern w:val="0"/>
                <w:sz w:val="32"/>
                <w:szCs w:val="32"/>
              </w:rPr>
              <w:t>煤矿有下列重大安全生产隐患和行为的，应当立即停止生产，排除隐患：（三）煤与瓦斯突出矿井，未依照规定实施防突出措施的；</w:t>
            </w:r>
          </w:p>
          <w:p w14:paraId="0233DC60">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《煤矿重大事故隐患判定标准》第六条</w:t>
            </w:r>
            <w:r>
              <w:rPr>
                <w:rFonts w:hint="eastAsia" w:ascii="仿宋_GB2312" w:hAnsi="仿宋_GB2312" w:eastAsia="仿宋_GB2312" w:cs="仿宋_GB2312"/>
                <w:color w:val="auto"/>
                <w:kern w:val="0"/>
                <w:sz w:val="32"/>
                <w:szCs w:val="32"/>
                <w:shd w:val="clear" w:color="auto" w:fill="FFFFFF"/>
              </w:rPr>
              <w:t> </w:t>
            </w:r>
            <w:r>
              <w:rPr>
                <w:rFonts w:hint="eastAsia" w:ascii="仿宋_GB2312" w:hAnsi="仿宋_GB2312" w:eastAsia="仿宋_GB2312" w:cs="仿宋_GB2312"/>
                <w:color w:val="auto"/>
                <w:kern w:val="0"/>
                <w:sz w:val="32"/>
                <w:szCs w:val="32"/>
              </w:rPr>
              <w:t>“煤与瓦斯突出矿井，未依照规定实施防突出措施”重大事故隐患，是指有下列情形之一的：</w:t>
            </w:r>
          </w:p>
          <w:p w14:paraId="1B8D7F3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（一）未设立防突机构并配备相应专业人员的；</w:t>
            </w:r>
          </w:p>
          <w:p w14:paraId="6F9318D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（二）未建立地面永久瓦斯抽采系统或者系统不能正常运行的；</w:t>
            </w:r>
          </w:p>
          <w:p w14:paraId="53C57D9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（三）未按照国家规定进行区域或者工作面突出危险性预测的（直接认定为突出危险区域或者突出危险工作面的除外）；</w:t>
            </w:r>
          </w:p>
          <w:p w14:paraId="06A198C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（四）未按照国家规定采取防治突出措施的；</w:t>
            </w:r>
          </w:p>
          <w:p w14:paraId="7860069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（五）未按照国家规定进行防突措施效果检验和验证，或者防突措施效果检验和验证不达标仍然组织生产建设，或者防突措施效果检验和验证数据造假的；</w:t>
            </w:r>
          </w:p>
          <w:p w14:paraId="20AB593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（六）未按照国家规定采取安全防护措施的；</w:t>
            </w:r>
          </w:p>
          <w:p w14:paraId="15D27A3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（七）使用架线式电机车的。</w:t>
            </w:r>
          </w:p>
          <w:p w14:paraId="12391C3C">
            <w:pPr>
              <w:widowControl/>
              <w:ind w:firstLine="643" w:firstLineChars="200"/>
              <w:rPr>
                <w:rFonts w:hint="eastAsia" w:ascii="仿宋_GB2312" w:hAnsi="仿宋_GB2312" w:eastAsia="仿宋_GB2312" w:cs="仿宋_GB2312"/>
                <w:b/>
                <w:bCs/>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043104A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（3）相关设计及安全评价资料；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（4）防突措施的制定、审签记录等；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（5）区域突出危险性预测报告；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（6）有关危险性预测资料；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（7）结合企业实际，检查区域性防治措施和局部性防治措施落实资料或记录；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（8）效果检验安排实施资料；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（9）效果检验报告单；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（10）矿井防治突出装备和仪器购买资料及相应的产品合格证明资料；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（11）防治突出装备和仪器检测、使用、维修、保养相关记录；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（12）采区专用回风巷设置情况；</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（13）相关部门和责任人责任落实情况；</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（14）现场图片或影像资料；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（15）《现场检查记录》《责令限期整改指令书》等相关执法文书；</w:t>
            </w:r>
          </w:p>
          <w:p w14:paraId="004256C0">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（16）其他相关证据。</w:t>
            </w:r>
          </w:p>
        </w:tc>
        <w:tc>
          <w:tcPr>
            <w:tcW w:w="3899" w:type="dxa"/>
            <w:tcBorders>
              <w:top w:val="single" w:color="auto" w:sz="6" w:space="0"/>
              <w:left w:val="nil"/>
              <w:bottom w:val="single" w:color="auto" w:sz="6" w:space="0"/>
              <w:right w:val="single" w:color="auto" w:sz="4" w:space="0"/>
            </w:tcBorders>
          </w:tcPr>
          <w:p w14:paraId="43A88C6B">
            <w:pPr>
              <w:widowControl/>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04ED3F48">
            <w:pPr>
              <w:widowControl/>
              <w:rPr>
                <w:rFonts w:hint="eastAsia" w:ascii="仿宋_GB2312" w:hAnsi="仿宋_GB2312" w:eastAsia="仿宋_GB2312" w:cs="仿宋_GB2312"/>
                <w:b/>
                <w:bCs/>
                <w:color w:val="auto"/>
                <w:kern w:val="0"/>
                <w:sz w:val="32"/>
                <w:szCs w:val="32"/>
              </w:rPr>
            </w:pPr>
          </w:p>
        </w:tc>
      </w:tr>
      <w:tr w14:paraId="24469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60" w:hRule="atLeast"/>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14:paraId="40825840">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22</w:t>
            </w:r>
          </w:p>
        </w:tc>
        <w:tc>
          <w:tcPr>
            <w:tcW w:w="948" w:type="dxa"/>
            <w:vMerge w:val="restart"/>
            <w:tcBorders>
              <w:top w:val="single" w:color="auto" w:sz="6" w:space="0"/>
              <w:left w:val="nil"/>
              <w:bottom w:val="single" w:color="auto" w:sz="6" w:space="0"/>
              <w:right w:val="single" w:color="auto" w:sz="4" w:space="0"/>
            </w:tcBorders>
            <w:vAlign w:val="center"/>
          </w:tcPr>
          <w:p w14:paraId="77EB493B">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防尘管理</w:t>
            </w:r>
          </w:p>
        </w:tc>
        <w:tc>
          <w:tcPr>
            <w:tcW w:w="948" w:type="dxa"/>
            <w:tcBorders>
              <w:top w:val="single" w:color="auto" w:sz="4" w:space="0"/>
              <w:left w:val="single" w:color="auto" w:sz="4" w:space="0"/>
              <w:bottom w:val="single" w:color="auto" w:sz="6" w:space="0"/>
              <w:right w:val="single" w:color="auto" w:sz="6" w:space="0"/>
            </w:tcBorders>
            <w:vAlign w:val="center"/>
          </w:tcPr>
          <w:p w14:paraId="6DEF5BD4">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22.1防尘管路系统</w:t>
            </w:r>
          </w:p>
        </w:tc>
        <w:tc>
          <w:tcPr>
            <w:tcW w:w="3899" w:type="dxa"/>
            <w:tcBorders>
              <w:top w:val="single" w:color="auto" w:sz="6" w:space="0"/>
              <w:left w:val="nil"/>
              <w:bottom w:val="single" w:color="auto" w:sz="6" w:space="0"/>
              <w:right w:val="single" w:color="auto" w:sz="6" w:space="0"/>
            </w:tcBorders>
            <w:vAlign w:val="center"/>
          </w:tcPr>
          <w:p w14:paraId="0AF924D5">
            <w:pPr>
              <w:widowControl/>
              <w:snapToGrid w:val="0"/>
              <w:ind w:firstLine="643" w:firstLineChars="200"/>
              <w:rPr>
                <w:rFonts w:hint="eastAsia" w:ascii="仿宋_GB2312" w:hAnsi="仿宋_GB2312" w:eastAsia="仿宋_GB2312" w:cs="仿宋_GB2312"/>
                <w:b/>
                <w:bCs/>
                <w:color w:val="auto"/>
                <w:kern w:val="0"/>
                <w:sz w:val="32"/>
                <w:szCs w:val="32"/>
              </w:rPr>
            </w:pPr>
          </w:p>
          <w:p w14:paraId="446224FE">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第四条第一款</w:t>
            </w:r>
            <w:r>
              <w:rPr>
                <w:rFonts w:hint="eastAsia" w:ascii="仿宋_GB2312" w:hAnsi="仿宋_GB2312" w:eastAsia="仿宋_GB2312" w:cs="仿宋_GB2312"/>
                <w:color w:val="auto"/>
                <w:kern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4A8DA3E4">
            <w:pPr>
              <w:widowControl/>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《煤矿安全规程》第六百四十四条</w:t>
            </w:r>
            <w:r>
              <w:rPr>
                <w:rFonts w:hint="eastAsia" w:ascii="仿宋_GB2312" w:hAnsi="仿宋_GB2312" w:eastAsia="仿宋_GB2312" w:cs="仿宋_GB2312"/>
                <w:color w:val="auto"/>
                <w:kern w:val="0"/>
                <w:sz w:val="32"/>
                <w:szCs w:val="32"/>
              </w:rPr>
              <w:t xml:space="preserve">  矿井必须建立消防防尘供水系统，并遵守下列规定:</w:t>
            </w:r>
          </w:p>
          <w:p w14:paraId="57C91070">
            <w:pPr>
              <w:widowControl/>
              <w:numPr>
                <w:ilvl w:val="0"/>
                <w:numId w:val="4"/>
              </w:numPr>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应当在地面建永久性消防防尘储水池，储水池必须经常保持不少于200m3的水量。备用水池贮水量不得小于储水池的一半。</w:t>
            </w:r>
          </w:p>
          <w:p w14:paraId="18375532">
            <w:pPr>
              <w:pStyle w:val="7"/>
              <w:numPr>
                <w:ilvl w:val="0"/>
                <w:numId w:val="4"/>
              </w:numPr>
              <w:snapToGrid w:val="0"/>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防尘用水水质悬浮物的含量不得超过30mg/L，粒径不大于0.3mm，水的pH 值在6～9范围内，水的碳酸盐硬度不超过3mmol/L。</w:t>
            </w:r>
          </w:p>
          <w:p w14:paraId="19DEF0F8">
            <w:pPr>
              <w:pStyle w:val="7"/>
              <w:numPr>
                <w:ilvl w:val="0"/>
                <w:numId w:val="4"/>
              </w:numPr>
              <w:snapToGrid w:val="0"/>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没有防尘供水管路的采掘工作面不得生产。主要运输巷、带式输送机斜井与平巷、上山与下山、采区运输巷与回风巷、采煤工作面运输巷与回风巷、掘进巷道、煤仓放煤口、溜煤眼放煤口、卸载点等地点必须敷设防尘供水管路，并安设支管和阀门。防尘用水应当过滤。水采矿井不受此限。</w:t>
            </w:r>
          </w:p>
          <w:p w14:paraId="70B65BBD">
            <w:pPr>
              <w:pStyle w:val="7"/>
              <w:snapToGrid w:val="0"/>
              <w:jc w:val="both"/>
              <w:rPr>
                <w:rFonts w:hint="eastAsia" w:ascii="仿宋_GB2312" w:hAnsi="仿宋_GB2312" w:eastAsia="仿宋_GB2312" w:cs="仿宋_GB2312"/>
                <w:color w:val="auto"/>
                <w:sz w:val="32"/>
                <w:szCs w:val="32"/>
              </w:rPr>
            </w:pPr>
          </w:p>
        </w:tc>
        <w:tc>
          <w:tcPr>
            <w:tcW w:w="3899" w:type="dxa"/>
            <w:tcBorders>
              <w:top w:val="single" w:color="auto" w:sz="6" w:space="0"/>
              <w:left w:val="nil"/>
              <w:bottom w:val="single" w:color="auto" w:sz="6" w:space="0"/>
              <w:right w:val="single" w:color="auto" w:sz="6" w:space="0"/>
            </w:tcBorders>
            <w:vAlign w:val="center"/>
          </w:tcPr>
          <w:p w14:paraId="1A4D4AF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（3）防尘管理制度；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（4）防尘设计资料；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（5）现场检查核实资料；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（6）相关工作安排记录；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（7）企业相关部门及有关责任人员和主要负责人责任落实资料；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（9）《现场检查记录》《责令限期整改指令书》等相关执法文书；</w:t>
            </w:r>
          </w:p>
          <w:p w14:paraId="35E7D742">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tcBorders>
              <w:top w:val="single" w:color="auto" w:sz="6" w:space="0"/>
              <w:left w:val="nil"/>
              <w:bottom w:val="single" w:color="auto" w:sz="6" w:space="0"/>
              <w:right w:val="single" w:color="auto" w:sz="4" w:space="0"/>
            </w:tcBorders>
          </w:tcPr>
          <w:p w14:paraId="60D7A57E">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第一百零二条</w:t>
            </w:r>
            <w:r>
              <w:rPr>
                <w:rFonts w:hint="eastAsia" w:ascii="仿宋_GB2312" w:hAnsi="仿宋_GB2312" w:eastAsia="仿宋_GB2312" w:cs="仿宋_GB2312"/>
                <w:color w:val="auto"/>
                <w:kern w:val="0"/>
                <w:sz w:val="32"/>
                <w:szCs w:val="32"/>
              </w:rPr>
              <w:t xml:space="preserve">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6D51654">
            <w:pPr>
              <w:widowControl/>
              <w:rPr>
                <w:rFonts w:hint="eastAsia" w:ascii="仿宋_GB2312" w:hAnsi="仿宋_GB2312" w:eastAsia="仿宋_GB2312" w:cs="仿宋_GB2312"/>
                <w:color w:val="auto"/>
                <w:kern w:val="0"/>
                <w:sz w:val="32"/>
                <w:szCs w:val="32"/>
              </w:rPr>
            </w:pPr>
          </w:p>
          <w:p w14:paraId="4F47690A">
            <w:pPr>
              <w:widowControl/>
              <w:ind w:firstLine="643" w:firstLineChars="200"/>
              <w:jc w:val="left"/>
              <w:rPr>
                <w:rFonts w:hint="eastAsia" w:ascii="仿宋_GB2312" w:hAnsi="仿宋_GB2312" w:eastAsia="仿宋_GB2312" w:cs="仿宋_GB2312"/>
                <w:b/>
                <w:bCs/>
                <w:color w:val="auto"/>
                <w:kern w:val="0"/>
                <w:sz w:val="32"/>
                <w:szCs w:val="32"/>
              </w:rPr>
            </w:pPr>
          </w:p>
        </w:tc>
        <w:tc>
          <w:tcPr>
            <w:tcW w:w="948" w:type="dxa"/>
            <w:tcBorders>
              <w:top w:val="single" w:color="auto" w:sz="6" w:space="0"/>
              <w:left w:val="nil"/>
              <w:bottom w:val="single" w:color="auto" w:sz="6" w:space="0"/>
              <w:right w:val="single" w:color="auto" w:sz="6" w:space="0"/>
            </w:tcBorders>
          </w:tcPr>
          <w:p w14:paraId="4BF56E9F">
            <w:pPr>
              <w:widowControl/>
              <w:jc w:val="center"/>
              <w:rPr>
                <w:rFonts w:hint="eastAsia" w:ascii="仿宋_GB2312" w:hAnsi="仿宋_GB2312" w:eastAsia="仿宋_GB2312" w:cs="仿宋_GB2312"/>
                <w:b/>
                <w:bCs/>
                <w:color w:val="auto"/>
                <w:kern w:val="0"/>
                <w:sz w:val="32"/>
                <w:szCs w:val="32"/>
              </w:rPr>
            </w:pPr>
          </w:p>
        </w:tc>
      </w:tr>
      <w:tr w14:paraId="1071E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4E0FCF4E">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28BFFE85">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6" w:space="0"/>
              <w:left w:val="single" w:color="auto" w:sz="4" w:space="0"/>
              <w:bottom w:val="single" w:color="auto" w:sz="6" w:space="0"/>
              <w:right w:val="single" w:color="auto" w:sz="6" w:space="0"/>
            </w:tcBorders>
            <w:vAlign w:val="center"/>
          </w:tcPr>
          <w:p w14:paraId="390AD809">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22.2掘进防尘</w:t>
            </w:r>
          </w:p>
        </w:tc>
        <w:tc>
          <w:tcPr>
            <w:tcW w:w="3899" w:type="dxa"/>
            <w:tcBorders>
              <w:top w:val="single" w:color="auto" w:sz="6" w:space="0"/>
              <w:left w:val="nil"/>
              <w:bottom w:val="single" w:color="auto" w:sz="6" w:space="0"/>
              <w:right w:val="single" w:color="auto" w:sz="6" w:space="0"/>
            </w:tcBorders>
            <w:vAlign w:val="center"/>
          </w:tcPr>
          <w:p w14:paraId="42DC0777">
            <w:pPr>
              <w:widowControl/>
              <w:ind w:left="210" w:leftChars="100"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第四条第一款</w:t>
            </w:r>
            <w:r>
              <w:rPr>
                <w:rFonts w:hint="eastAsia" w:ascii="仿宋_GB2312" w:hAnsi="仿宋_GB2312" w:eastAsia="仿宋_GB2312" w:cs="仿宋_GB2312"/>
                <w:color w:val="auto"/>
                <w:kern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7595E168">
            <w:pPr>
              <w:widowControl/>
              <w:ind w:left="210" w:leftChars="100" w:firstLine="60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spacing w:val="-10"/>
                <w:kern w:val="0"/>
                <w:sz w:val="32"/>
                <w:szCs w:val="32"/>
              </w:rPr>
              <w:t>《</w:t>
            </w:r>
            <w:r>
              <w:rPr>
                <w:rFonts w:hint="eastAsia" w:ascii="仿宋_GB2312" w:hAnsi="仿宋_GB2312" w:eastAsia="仿宋_GB2312" w:cs="仿宋_GB2312"/>
                <w:b/>
                <w:bCs/>
                <w:color w:val="auto"/>
                <w:kern w:val="0"/>
                <w:sz w:val="32"/>
                <w:szCs w:val="32"/>
              </w:rPr>
              <w:t>煤矿安全规程》第六百四十九条</w:t>
            </w:r>
            <w:r>
              <w:rPr>
                <w:rFonts w:hint="eastAsia" w:ascii="仿宋_GB2312" w:hAnsi="仿宋_GB2312" w:eastAsia="仿宋_GB2312" w:cs="仿宋_GB2312"/>
                <w:color w:val="auto"/>
                <w:kern w:val="0"/>
                <w:sz w:val="32"/>
                <w:szCs w:val="32"/>
              </w:rPr>
              <w:t xml:space="preserve">  井工煤矿掘进井巷和硐室时，必须采取湿式钻眼、冲洗井壁巷帮、水炮泥、爆破喷雾、装岩（煤）洒水和净化风流等综合防尘措施。</w:t>
            </w:r>
          </w:p>
        </w:tc>
        <w:tc>
          <w:tcPr>
            <w:tcW w:w="3899" w:type="dxa"/>
            <w:tcBorders>
              <w:top w:val="single" w:color="auto" w:sz="6" w:space="0"/>
              <w:left w:val="nil"/>
              <w:bottom w:val="single" w:color="auto" w:sz="6" w:space="0"/>
              <w:right w:val="single" w:color="auto" w:sz="6" w:space="0"/>
            </w:tcBorders>
            <w:vAlign w:val="center"/>
          </w:tcPr>
          <w:p w14:paraId="3CA8B205">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（3）防尘管理制度；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（4）防尘设计资料；</w:t>
            </w:r>
          </w:p>
          <w:p w14:paraId="60B5354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（5）掘进工作面作业规程；</w:t>
            </w:r>
          </w:p>
          <w:p w14:paraId="3AD7587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（6）现场图片或影像资料；</w:t>
            </w:r>
          </w:p>
          <w:p w14:paraId="130944D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7B92E9E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tcBorders>
              <w:top w:val="single" w:color="auto" w:sz="6" w:space="0"/>
              <w:left w:val="nil"/>
              <w:bottom w:val="single" w:color="auto" w:sz="6" w:space="0"/>
              <w:right w:val="single" w:color="auto" w:sz="4" w:space="0"/>
            </w:tcBorders>
          </w:tcPr>
          <w:p w14:paraId="1EC15440">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第一百零二条</w:t>
            </w:r>
            <w:r>
              <w:rPr>
                <w:rFonts w:hint="eastAsia" w:ascii="仿宋_GB2312" w:hAnsi="仿宋_GB2312" w:eastAsia="仿宋_GB2312" w:cs="仿宋_GB2312"/>
                <w:color w:val="auto"/>
                <w:kern w:val="0"/>
                <w:sz w:val="32"/>
                <w:szCs w:val="32"/>
              </w:rPr>
              <w:t xml:space="preserve">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0B331F20">
            <w:pPr>
              <w:widowControl/>
              <w:ind w:firstLine="643" w:firstLineChars="200"/>
              <w:jc w:val="left"/>
              <w:rPr>
                <w:rFonts w:hint="eastAsia" w:ascii="仿宋_GB2312" w:hAnsi="仿宋_GB2312" w:eastAsia="仿宋_GB2312" w:cs="仿宋_GB2312"/>
                <w:b/>
                <w:bCs/>
                <w:color w:val="auto"/>
                <w:kern w:val="0"/>
                <w:sz w:val="32"/>
                <w:szCs w:val="32"/>
              </w:rPr>
            </w:pPr>
          </w:p>
        </w:tc>
        <w:tc>
          <w:tcPr>
            <w:tcW w:w="948" w:type="dxa"/>
            <w:tcBorders>
              <w:top w:val="single" w:color="auto" w:sz="6" w:space="0"/>
              <w:left w:val="nil"/>
              <w:bottom w:val="single" w:color="auto" w:sz="6" w:space="0"/>
              <w:right w:val="single" w:color="auto" w:sz="6" w:space="0"/>
            </w:tcBorders>
          </w:tcPr>
          <w:p w14:paraId="0C30954E">
            <w:pPr>
              <w:widowControl/>
              <w:jc w:val="center"/>
              <w:rPr>
                <w:rFonts w:hint="eastAsia" w:ascii="仿宋_GB2312" w:hAnsi="仿宋_GB2312" w:eastAsia="仿宋_GB2312" w:cs="仿宋_GB2312"/>
                <w:b/>
                <w:bCs/>
                <w:color w:val="auto"/>
                <w:kern w:val="0"/>
                <w:sz w:val="32"/>
                <w:szCs w:val="32"/>
              </w:rPr>
            </w:pPr>
          </w:p>
        </w:tc>
      </w:tr>
      <w:tr w14:paraId="29D3C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5DB1FD8A">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2C5C3C8D">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6" w:space="0"/>
              <w:left w:val="single" w:color="auto" w:sz="4" w:space="0"/>
              <w:bottom w:val="single" w:color="auto" w:sz="6" w:space="0"/>
              <w:right w:val="single" w:color="auto" w:sz="6" w:space="0"/>
            </w:tcBorders>
            <w:vAlign w:val="center"/>
          </w:tcPr>
          <w:p w14:paraId="07FD103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22.3喷雾装置安设</w:t>
            </w:r>
          </w:p>
        </w:tc>
        <w:tc>
          <w:tcPr>
            <w:tcW w:w="3899" w:type="dxa"/>
            <w:tcBorders>
              <w:top w:val="single" w:color="auto" w:sz="6" w:space="0"/>
              <w:left w:val="nil"/>
              <w:bottom w:val="single" w:color="auto" w:sz="6" w:space="0"/>
              <w:right w:val="single" w:color="auto" w:sz="6" w:space="0"/>
            </w:tcBorders>
            <w:vAlign w:val="center"/>
          </w:tcPr>
          <w:p w14:paraId="42FE61AC">
            <w:pPr>
              <w:widowControl/>
              <w:ind w:left="210" w:leftChars="100"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第四条第一款</w:t>
            </w:r>
            <w:r>
              <w:rPr>
                <w:rFonts w:hint="eastAsia" w:ascii="仿宋_GB2312" w:hAnsi="仿宋_GB2312" w:eastAsia="仿宋_GB2312" w:cs="仿宋_GB2312"/>
                <w:color w:val="auto"/>
                <w:kern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121E3B87">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《煤矿安全规程》第六百五十二条</w:t>
            </w:r>
            <w:r>
              <w:rPr>
                <w:rFonts w:hint="eastAsia" w:ascii="仿宋_GB2312" w:hAnsi="仿宋_GB2312" w:eastAsia="仿宋_GB2312" w:cs="仿宋_GB2312"/>
                <w:color w:val="auto"/>
                <w:kern w:val="0"/>
                <w:sz w:val="32"/>
                <w:szCs w:val="32"/>
              </w:rPr>
              <w:t xml:space="preserve">  井下煤仓（溜煤眼）放煤口、输送机转载点和卸载点，以及地面筛分厂、破碎车间、带式输送机走廊、转载点等地点，必须安设喷雾装置或者除尘器，作业时进行喷雾降尘或者用除尘器除尘。</w:t>
            </w:r>
          </w:p>
        </w:tc>
        <w:tc>
          <w:tcPr>
            <w:tcW w:w="3899" w:type="dxa"/>
            <w:tcBorders>
              <w:top w:val="single" w:color="auto" w:sz="6" w:space="0"/>
              <w:left w:val="nil"/>
              <w:bottom w:val="single" w:color="auto" w:sz="6" w:space="0"/>
              <w:right w:val="single" w:color="auto" w:sz="6" w:space="0"/>
            </w:tcBorders>
            <w:vAlign w:val="center"/>
          </w:tcPr>
          <w:p w14:paraId="6AA0C54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（3）防尘管理制度；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（4）防尘设计资料；</w:t>
            </w:r>
          </w:p>
          <w:p w14:paraId="58CFB47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7A88C11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51E8EE1D">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（7）其他相关证据。</w:t>
            </w:r>
          </w:p>
        </w:tc>
        <w:tc>
          <w:tcPr>
            <w:tcW w:w="3899" w:type="dxa"/>
            <w:vMerge w:val="restart"/>
            <w:tcBorders>
              <w:top w:val="single" w:color="auto" w:sz="6" w:space="0"/>
              <w:left w:val="nil"/>
              <w:bottom w:val="single" w:color="auto" w:sz="6" w:space="0"/>
              <w:right w:val="single" w:color="auto" w:sz="4" w:space="0"/>
            </w:tcBorders>
          </w:tcPr>
          <w:p w14:paraId="64561644">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第一百零二条</w:t>
            </w:r>
            <w:r>
              <w:rPr>
                <w:rFonts w:hint="eastAsia" w:ascii="仿宋_GB2312" w:hAnsi="仿宋_GB2312" w:eastAsia="仿宋_GB2312" w:cs="仿宋_GB2312"/>
                <w:color w:val="auto"/>
                <w:kern w:val="0"/>
                <w:sz w:val="32"/>
                <w:szCs w:val="32"/>
              </w:rPr>
              <w:t xml:space="preserve">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39A2D55">
            <w:pPr>
              <w:widowControl/>
              <w:ind w:firstLine="643" w:firstLineChars="200"/>
              <w:jc w:val="center"/>
              <w:rPr>
                <w:rFonts w:hint="eastAsia" w:ascii="仿宋_GB2312" w:hAnsi="仿宋_GB2312" w:eastAsia="仿宋_GB2312" w:cs="仿宋_GB2312"/>
                <w:b/>
                <w:bCs/>
                <w:color w:val="auto"/>
                <w:kern w:val="0"/>
                <w:sz w:val="32"/>
                <w:szCs w:val="32"/>
              </w:rPr>
            </w:pPr>
          </w:p>
        </w:tc>
        <w:tc>
          <w:tcPr>
            <w:tcW w:w="948" w:type="dxa"/>
            <w:tcBorders>
              <w:top w:val="single" w:color="auto" w:sz="6" w:space="0"/>
              <w:left w:val="nil"/>
              <w:bottom w:val="single" w:color="auto" w:sz="6" w:space="0"/>
              <w:right w:val="single" w:color="auto" w:sz="6" w:space="0"/>
            </w:tcBorders>
          </w:tcPr>
          <w:p w14:paraId="2F450004">
            <w:pPr>
              <w:widowControl/>
              <w:jc w:val="center"/>
              <w:rPr>
                <w:rFonts w:hint="eastAsia" w:ascii="仿宋_GB2312" w:hAnsi="仿宋_GB2312" w:eastAsia="仿宋_GB2312" w:cs="仿宋_GB2312"/>
                <w:b/>
                <w:bCs/>
                <w:color w:val="auto"/>
                <w:kern w:val="0"/>
                <w:sz w:val="32"/>
                <w:szCs w:val="32"/>
              </w:rPr>
            </w:pPr>
          </w:p>
        </w:tc>
      </w:tr>
      <w:tr w14:paraId="512E1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09E32442">
            <w:pPr>
              <w:widowControl/>
              <w:jc w:val="left"/>
              <w:rPr>
                <w:rFonts w:hint="eastAsia" w:ascii="仿宋_GB2312" w:hAnsi="仿宋_GB2312" w:eastAsia="仿宋_GB2312" w:cs="仿宋_GB2312"/>
                <w:b/>
                <w:bCs/>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31F6D5AF">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410BBADC">
            <w:pPr>
              <w:widowControl/>
              <w:rPr>
                <w:rFonts w:hint="eastAsia" w:ascii="仿宋_GB2312" w:hAnsi="仿宋_GB2312" w:eastAsia="仿宋_GB2312" w:cs="仿宋_GB2312"/>
                <w:color w:val="auto"/>
                <w:kern w:val="0"/>
                <w:sz w:val="32"/>
                <w:szCs w:val="32"/>
              </w:rPr>
            </w:pPr>
          </w:p>
          <w:p w14:paraId="4AD6D52D">
            <w:pPr>
              <w:widowControl/>
              <w:rPr>
                <w:rFonts w:hint="eastAsia" w:ascii="仿宋_GB2312" w:hAnsi="仿宋_GB2312" w:eastAsia="仿宋_GB2312" w:cs="仿宋_GB2312"/>
                <w:color w:val="auto"/>
                <w:kern w:val="0"/>
                <w:sz w:val="32"/>
                <w:szCs w:val="32"/>
              </w:rPr>
            </w:pPr>
          </w:p>
          <w:p w14:paraId="6A37B4C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22.4预防和隔绝煤尘爆炸</w:t>
            </w:r>
          </w:p>
        </w:tc>
        <w:tc>
          <w:tcPr>
            <w:tcW w:w="3899" w:type="dxa"/>
            <w:tcBorders>
              <w:top w:val="single" w:color="auto" w:sz="6" w:space="0"/>
              <w:left w:val="nil"/>
              <w:bottom w:val="single" w:color="auto" w:sz="6" w:space="0"/>
              <w:right w:val="single" w:color="auto" w:sz="6" w:space="0"/>
            </w:tcBorders>
            <w:vAlign w:val="center"/>
          </w:tcPr>
          <w:p w14:paraId="7065DDB4">
            <w:pPr>
              <w:widowControl/>
              <w:ind w:left="210" w:leftChars="100"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第四条第一款</w:t>
            </w:r>
            <w:r>
              <w:rPr>
                <w:rFonts w:hint="eastAsia" w:ascii="仿宋_GB2312" w:hAnsi="仿宋_GB2312" w:eastAsia="仿宋_GB2312" w:cs="仿宋_GB2312"/>
                <w:color w:val="auto"/>
                <w:kern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72E9EFBC">
            <w:pPr>
              <w:widowControl/>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《四川省安全生产条例》第四条第二款</w:t>
            </w:r>
            <w:r>
              <w:rPr>
                <w:rFonts w:hint="eastAsia" w:ascii="仿宋_GB2312" w:hAnsi="仿宋_GB2312" w:eastAsia="仿宋_GB2312" w:cs="仿宋_GB2312"/>
                <w:color w:val="auto"/>
                <w:kern w:val="0"/>
                <w:sz w:val="32"/>
                <w:szCs w:val="32"/>
              </w:rPr>
              <w:t>生产经营单位及其从业人员必须遵守安全生产法律、法规、规章、标准、规范、作业规程以及安全技术措施等相关规定。</w:t>
            </w:r>
          </w:p>
          <w:p w14:paraId="0C439C01">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《煤矿井下粉尘综合防治技术规范》（AQ 1020-2006）第6.3 条</w:t>
            </w:r>
            <w:r>
              <w:rPr>
                <w:rFonts w:hint="eastAsia" w:ascii="仿宋_GB2312" w:hAnsi="仿宋_GB2312" w:eastAsia="仿宋_GB2312" w:cs="仿宋_GB2312"/>
                <w:color w:val="auto"/>
                <w:kern w:val="0"/>
                <w:sz w:val="32"/>
                <w:szCs w:val="32"/>
              </w:rPr>
              <w:t>开采有煤尘爆炸危险煤层的矿井，必须有预防和隔绝煤尘爆炸的措施。矿井的两翼、相邻的采区、相邻的煤层、相邻的采煤工作面间，煤层掘进巷道同与其相连的巷道间，煤仓同与其相连通的巷道间，采用独立通风并有煤尘爆炸危险的其他地点同与其相连通的巷道间，必须用水棚或岩粉棚隔开。</w:t>
            </w:r>
          </w:p>
          <w:p w14:paraId="1F0D2EAC">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必须及时清除巷道中的浮煤，清扫或冲洗沉积煤尘，每年应至少进行1次对主要进风大巷刷浆。</w:t>
            </w:r>
          </w:p>
        </w:tc>
        <w:tc>
          <w:tcPr>
            <w:tcW w:w="3899" w:type="dxa"/>
            <w:tcBorders>
              <w:top w:val="single" w:color="auto" w:sz="6" w:space="0"/>
              <w:left w:val="nil"/>
              <w:bottom w:val="single" w:color="auto" w:sz="6" w:space="0"/>
              <w:right w:val="single" w:color="auto" w:sz="6" w:space="0"/>
            </w:tcBorders>
            <w:vAlign w:val="center"/>
          </w:tcPr>
          <w:p w14:paraId="0A5FA51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2448296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（3）煤尘爆炸性鉴定资料；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（4）防尘管理制度；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（5）防尘设计资料；</w:t>
            </w:r>
          </w:p>
          <w:p w14:paraId="36167A6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（6）清扫或冲洗沉积煤尘记录；</w:t>
            </w:r>
          </w:p>
          <w:p w14:paraId="39EFE30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（7）矿井采掘工程平面图；</w:t>
            </w:r>
          </w:p>
          <w:p w14:paraId="1AFE128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（8）现场图片或影像资料；</w:t>
            </w:r>
          </w:p>
          <w:p w14:paraId="2DA2084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1A341BF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vMerge w:val="continue"/>
            <w:tcBorders>
              <w:top w:val="single" w:color="auto" w:sz="6" w:space="0"/>
              <w:left w:val="nil"/>
              <w:bottom w:val="single" w:color="auto" w:sz="6" w:space="0"/>
              <w:right w:val="single" w:color="auto" w:sz="4" w:space="0"/>
            </w:tcBorders>
            <w:vAlign w:val="center"/>
          </w:tcPr>
          <w:p w14:paraId="75B262A3">
            <w:pPr>
              <w:widowControl/>
              <w:jc w:val="left"/>
              <w:rPr>
                <w:rFonts w:hint="eastAsia" w:ascii="仿宋_GB2312" w:hAnsi="仿宋_GB2312" w:eastAsia="仿宋_GB2312" w:cs="仿宋_GB2312"/>
                <w:b/>
                <w:bCs/>
                <w:color w:val="auto"/>
                <w:kern w:val="0"/>
                <w:sz w:val="32"/>
                <w:szCs w:val="32"/>
              </w:rPr>
            </w:pPr>
          </w:p>
        </w:tc>
        <w:tc>
          <w:tcPr>
            <w:tcW w:w="948" w:type="dxa"/>
            <w:tcBorders>
              <w:top w:val="single" w:color="auto" w:sz="6" w:space="0"/>
              <w:left w:val="nil"/>
              <w:bottom w:val="single" w:color="auto" w:sz="6" w:space="0"/>
              <w:right w:val="single" w:color="auto" w:sz="6" w:space="0"/>
            </w:tcBorders>
          </w:tcPr>
          <w:p w14:paraId="0B6EAA33">
            <w:pPr>
              <w:widowControl/>
              <w:jc w:val="center"/>
              <w:rPr>
                <w:rFonts w:hint="eastAsia" w:ascii="仿宋_GB2312" w:hAnsi="仿宋_GB2312" w:eastAsia="仿宋_GB2312" w:cs="仿宋_GB2312"/>
                <w:b/>
                <w:bCs/>
                <w:color w:val="auto"/>
                <w:kern w:val="0"/>
                <w:sz w:val="32"/>
                <w:szCs w:val="32"/>
              </w:rPr>
            </w:pPr>
          </w:p>
        </w:tc>
      </w:tr>
      <w:tr w14:paraId="643B9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98" w:hRule="atLeast"/>
          <w:jc w:val="center"/>
        </w:trPr>
        <w:tc>
          <w:tcPr>
            <w:tcW w:w="624" w:type="dxa"/>
            <w:tcBorders>
              <w:top w:val="single" w:color="auto" w:sz="6" w:space="0"/>
              <w:left w:val="single" w:color="auto" w:sz="6" w:space="0"/>
              <w:bottom w:val="single" w:color="auto" w:sz="6" w:space="0"/>
              <w:right w:val="single" w:color="auto" w:sz="6" w:space="0"/>
            </w:tcBorders>
            <w:noWrap/>
            <w:vAlign w:val="center"/>
          </w:tcPr>
          <w:p w14:paraId="3B7E2658">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23</w:t>
            </w:r>
          </w:p>
        </w:tc>
        <w:tc>
          <w:tcPr>
            <w:tcW w:w="948" w:type="dxa"/>
            <w:tcBorders>
              <w:top w:val="single" w:color="auto" w:sz="6" w:space="0"/>
              <w:left w:val="nil"/>
              <w:bottom w:val="single" w:color="auto" w:sz="6" w:space="0"/>
              <w:right w:val="single" w:color="auto" w:sz="4" w:space="0"/>
            </w:tcBorders>
            <w:vAlign w:val="center"/>
          </w:tcPr>
          <w:p w14:paraId="45357517">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淘汰设备、工艺管理</w:t>
            </w:r>
          </w:p>
        </w:tc>
        <w:tc>
          <w:tcPr>
            <w:tcW w:w="948" w:type="dxa"/>
            <w:tcBorders>
              <w:top w:val="single" w:color="auto" w:sz="4" w:space="0"/>
              <w:left w:val="single" w:color="auto" w:sz="4" w:space="0"/>
              <w:bottom w:val="single" w:color="auto" w:sz="6" w:space="0"/>
              <w:right w:val="single" w:color="auto" w:sz="6" w:space="0"/>
            </w:tcBorders>
            <w:vAlign w:val="center"/>
          </w:tcPr>
          <w:p w14:paraId="1BC6BABA">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spacing w:val="-6"/>
                <w:kern w:val="0"/>
                <w:sz w:val="32"/>
                <w:szCs w:val="32"/>
              </w:rPr>
              <w:t>淘汰设备、工</w:t>
            </w:r>
            <w:r>
              <w:rPr>
                <w:rFonts w:hint="eastAsia" w:ascii="仿宋_GB2312" w:hAnsi="仿宋_GB2312" w:eastAsia="仿宋_GB2312" w:cs="仿宋_GB2312"/>
                <w:color w:val="auto"/>
                <w:kern w:val="0"/>
                <w:sz w:val="32"/>
                <w:szCs w:val="32"/>
              </w:rPr>
              <w:t>艺类重大隐患防治（重大生产安全事故隐患）</w:t>
            </w:r>
          </w:p>
        </w:tc>
        <w:tc>
          <w:tcPr>
            <w:tcW w:w="3899" w:type="dxa"/>
            <w:tcBorders>
              <w:top w:val="single" w:color="auto" w:sz="6" w:space="0"/>
              <w:left w:val="nil"/>
              <w:bottom w:val="single" w:color="auto" w:sz="6" w:space="0"/>
              <w:right w:val="single" w:color="auto" w:sz="6" w:space="0"/>
            </w:tcBorders>
            <w:vAlign w:val="center"/>
          </w:tcPr>
          <w:p w14:paraId="2C3ED818">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第三十八条</w:t>
            </w:r>
            <w:r>
              <w:rPr>
                <w:rFonts w:hint="eastAsia" w:ascii="仿宋_GB2312" w:hAnsi="仿宋_GB2312" w:eastAsia="仿宋_GB2312" w:cs="仿宋_GB2312"/>
                <w:color w:val="auto"/>
                <w:kern w:val="0"/>
                <w:sz w:val="32"/>
                <w:szCs w:val="32"/>
              </w:rPr>
              <w:t xml:space="preserve"> 国家对严重危及生产安全的工艺、设备实行淘汰制度，具体目录由国务院应急管理部门会同国务院有关部门制定并公布。法律、行政法规对目录的制定另有规定的，适用其规定。</w:t>
            </w:r>
          </w:p>
          <w:p w14:paraId="248E396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省、自治区、直辖市人民政府可以根据本地区实际情况制定并公布具体目录，对前款规定以外的危及生产安全的工艺、设备予以淘汰。</w:t>
            </w:r>
          </w:p>
          <w:p w14:paraId="4D8DED0D">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生产经营单位不得使用应当淘汰的危及生产安全的工艺、设备。</w:t>
            </w:r>
          </w:p>
          <w:p w14:paraId="2BD14DA9">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《国务院关于预防煤矿生产安全事故的特别规定》第八条第二款第（十）项</w:t>
            </w:r>
            <w:r>
              <w:rPr>
                <w:rFonts w:hint="eastAsia" w:ascii="仿宋_GB2312" w:hAnsi="仿宋_GB2312" w:eastAsia="仿宋_GB2312" w:cs="仿宋_GB2312"/>
                <w:color w:val="auto"/>
                <w:kern w:val="0"/>
                <w:sz w:val="32"/>
                <w:szCs w:val="32"/>
              </w:rPr>
              <w:t>煤矿有下列重大安全生产隐患和行为的，应当立即停止生产，排除隐患：（十）使用明令禁止使用或者淘汰的设备、工艺的；</w:t>
            </w:r>
          </w:p>
          <w:p w14:paraId="7358D5E2">
            <w:pPr>
              <w:tabs>
                <w:tab w:val="left" w:pos="1026"/>
              </w:tabs>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《煤矿重大事故隐患判定标准》第十三条</w:t>
            </w:r>
            <w:r>
              <w:rPr>
                <w:rFonts w:hint="eastAsia" w:ascii="仿宋_GB2312" w:hAnsi="仿宋_GB2312" w:eastAsia="仿宋_GB2312" w:cs="仿宋_GB2312"/>
                <w:color w:val="auto"/>
                <w:kern w:val="0"/>
                <w:sz w:val="32"/>
                <w:szCs w:val="32"/>
              </w:rPr>
              <w:t>“使用明令禁止使用或者淘汰的设备、工艺”重大事故隐患，是指有下列情形之一的：</w:t>
            </w:r>
          </w:p>
          <w:p w14:paraId="059C6BF3">
            <w:pPr>
              <w:tabs>
                <w:tab w:val="left" w:pos="1026"/>
              </w:tabs>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（一）使用被列入国家禁止井工煤矿使用的设备及工艺目录的产品或者工艺的；</w:t>
            </w:r>
          </w:p>
          <w:p w14:paraId="0D03B484">
            <w:pPr>
              <w:tabs>
                <w:tab w:val="left" w:pos="1026"/>
              </w:tabs>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（二）井下电气设备、电缆未取得煤矿矿用产品安全标志的；</w:t>
            </w:r>
          </w:p>
          <w:p w14:paraId="0A059D78">
            <w:pPr>
              <w:tabs>
                <w:tab w:val="left" w:pos="1026"/>
              </w:tabs>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（三）井下电气设备选型与矿井瓦斯等级不符，或者采（盘）区内防爆型电气设备存在失爆，或者井下使用非防爆无轨胶轮车的；</w:t>
            </w:r>
          </w:p>
          <w:p w14:paraId="2D093DCA">
            <w:pPr>
              <w:tabs>
                <w:tab w:val="left" w:pos="1026"/>
              </w:tabs>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（四）未按照矿井瓦斯等级选用相应的煤矿许用炸药和雷管、未使用专用发爆器，或者裸露爆破的；</w:t>
            </w:r>
          </w:p>
          <w:p w14:paraId="51875273">
            <w:pPr>
              <w:tabs>
                <w:tab w:val="left" w:pos="1026"/>
              </w:tabs>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（五）采煤工作面不能保证2个畅通的安全出口的；</w:t>
            </w:r>
          </w:p>
          <w:p w14:paraId="2B1A8DAE">
            <w:pPr>
              <w:tabs>
                <w:tab w:val="left" w:pos="1026"/>
              </w:tabs>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（六）高瓦斯矿井、煤与瓦斯突出矿井、开采容易自燃和自燃煤层（薄煤层除外）矿井，采煤工作面采用前进式采煤方法的。</w:t>
            </w:r>
          </w:p>
        </w:tc>
        <w:tc>
          <w:tcPr>
            <w:tcW w:w="3899" w:type="dxa"/>
            <w:tcBorders>
              <w:top w:val="single" w:color="auto" w:sz="6" w:space="0"/>
              <w:left w:val="nil"/>
              <w:bottom w:val="single" w:color="auto" w:sz="6" w:space="0"/>
              <w:right w:val="single" w:color="auto" w:sz="6" w:space="0"/>
            </w:tcBorders>
            <w:vAlign w:val="center"/>
          </w:tcPr>
          <w:p w14:paraId="3395C74A">
            <w:pPr>
              <w:tabs>
                <w:tab w:val="left" w:pos="1026"/>
              </w:tabs>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（3）设计资料及安全评价报告；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（4）井下运输系统图；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（5）煤矿机电设备和工艺台账（或清单）；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（6）机电设备和工艺的使用资料或记录；</w:t>
            </w:r>
          </w:p>
          <w:p w14:paraId="1FC0484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（7）现场图片或影像资料；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（8）《现场检查记录》《责令限期整改指令书》等相关执法文书；</w:t>
            </w:r>
          </w:p>
          <w:p w14:paraId="5D204BB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tcBorders>
              <w:top w:val="single" w:color="auto" w:sz="6" w:space="0"/>
              <w:left w:val="nil"/>
              <w:bottom w:val="single" w:color="auto" w:sz="6" w:space="0"/>
              <w:right w:val="single" w:color="auto" w:sz="4" w:space="0"/>
            </w:tcBorders>
          </w:tcPr>
          <w:p w14:paraId="76EBD304">
            <w:pPr>
              <w:tabs>
                <w:tab w:val="left" w:pos="1026"/>
              </w:tabs>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CDADECA">
            <w:pPr>
              <w:tabs>
                <w:tab w:val="left" w:pos="1026"/>
              </w:tabs>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（七）使用应当淘汰的危及生产安全的工艺、设备的；</w:t>
            </w:r>
          </w:p>
          <w:p w14:paraId="6157599D">
            <w:pPr>
              <w:widowControl/>
              <w:ind w:firstLine="643" w:firstLineChars="200"/>
              <w:jc w:val="left"/>
              <w:rPr>
                <w:rFonts w:hint="eastAsia" w:ascii="仿宋_GB2312" w:hAnsi="仿宋_GB2312" w:eastAsia="仿宋_GB2312" w:cs="仿宋_GB2312"/>
                <w:b/>
                <w:bCs/>
                <w:color w:val="auto"/>
                <w:kern w:val="0"/>
                <w:sz w:val="32"/>
                <w:szCs w:val="32"/>
              </w:rPr>
            </w:pPr>
          </w:p>
          <w:p w14:paraId="425EAF08">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14:paraId="42E72A8F">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3A0AA509">
            <w:pPr>
              <w:widowControl/>
              <w:jc w:val="center"/>
              <w:rPr>
                <w:rFonts w:hint="eastAsia" w:ascii="仿宋_GB2312" w:hAnsi="仿宋_GB2312" w:eastAsia="仿宋_GB2312" w:cs="仿宋_GB2312"/>
                <w:b/>
                <w:bCs/>
                <w:color w:val="auto"/>
                <w:kern w:val="0"/>
                <w:sz w:val="32"/>
                <w:szCs w:val="32"/>
              </w:rPr>
            </w:pPr>
          </w:p>
        </w:tc>
      </w:tr>
      <w:tr w14:paraId="25D5C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tcBorders>
              <w:top w:val="single" w:color="auto" w:sz="6" w:space="0"/>
              <w:left w:val="single" w:color="auto" w:sz="6" w:space="0"/>
              <w:bottom w:val="single" w:color="auto" w:sz="6" w:space="0"/>
              <w:right w:val="single" w:color="auto" w:sz="6" w:space="0"/>
            </w:tcBorders>
            <w:noWrap/>
            <w:vAlign w:val="center"/>
          </w:tcPr>
          <w:p w14:paraId="4F1CC552">
            <w:pPr>
              <w:widowControl/>
              <w:ind w:firstLine="320" w:firstLineChars="100"/>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24</w:t>
            </w:r>
          </w:p>
        </w:tc>
        <w:tc>
          <w:tcPr>
            <w:tcW w:w="948" w:type="dxa"/>
            <w:tcBorders>
              <w:top w:val="single" w:color="auto" w:sz="6" w:space="0"/>
              <w:left w:val="nil"/>
              <w:bottom w:val="single" w:color="auto" w:sz="6" w:space="0"/>
              <w:right w:val="single" w:color="auto" w:sz="4" w:space="0"/>
            </w:tcBorders>
            <w:vAlign w:val="center"/>
          </w:tcPr>
          <w:p w14:paraId="1037FEAD">
            <w:pPr>
              <w:widowControl/>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冲击地压管理</w:t>
            </w:r>
          </w:p>
        </w:tc>
        <w:tc>
          <w:tcPr>
            <w:tcW w:w="948" w:type="dxa"/>
            <w:tcBorders>
              <w:top w:val="single" w:color="auto" w:sz="4" w:space="0"/>
              <w:left w:val="single" w:color="auto" w:sz="4" w:space="0"/>
              <w:bottom w:val="single" w:color="auto" w:sz="6" w:space="0"/>
              <w:right w:val="single" w:color="auto" w:sz="6" w:space="0"/>
            </w:tcBorders>
            <w:vAlign w:val="center"/>
          </w:tcPr>
          <w:p w14:paraId="46FC525F">
            <w:pPr>
              <w:widowControl/>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冲击地压类重大隐患防治（重大生产安全事故隐患）</w:t>
            </w:r>
          </w:p>
        </w:tc>
        <w:tc>
          <w:tcPr>
            <w:tcW w:w="3899" w:type="dxa"/>
            <w:tcBorders>
              <w:top w:val="single" w:color="auto" w:sz="6" w:space="0"/>
              <w:left w:val="nil"/>
              <w:bottom w:val="single" w:color="auto" w:sz="6" w:space="0"/>
              <w:right w:val="single" w:color="auto" w:sz="6" w:space="0"/>
            </w:tcBorders>
            <w:vAlign w:val="center"/>
          </w:tcPr>
          <w:p w14:paraId="05A216C6">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《国务院关于预防煤矿生产安全事故的特别规定》第八条第二款第（八）项</w:t>
            </w:r>
            <w:r>
              <w:rPr>
                <w:rFonts w:hint="eastAsia" w:ascii="仿宋_GB2312" w:hAnsi="仿宋_GB2312" w:eastAsia="仿宋_GB2312" w:cs="仿宋_GB2312"/>
                <w:color w:val="auto"/>
                <w:kern w:val="0"/>
                <w:sz w:val="32"/>
                <w:szCs w:val="32"/>
              </w:rPr>
              <w:t>煤矿有下列重大安全生产隐患和行为的，应当立即停止生产，排除隐患：（八）有冲击地压危险，未采取有效措施的；</w:t>
            </w:r>
          </w:p>
          <w:p w14:paraId="53AE75D6">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《煤矿重大事故隐患判定标准》第十一条</w:t>
            </w:r>
            <w:r>
              <w:rPr>
                <w:rFonts w:hint="eastAsia" w:ascii="仿宋_GB2312" w:hAnsi="仿宋_GB2312" w:eastAsia="仿宋_GB2312" w:cs="仿宋_GB2312"/>
                <w:color w:val="auto"/>
                <w:kern w:val="0"/>
                <w:sz w:val="32"/>
                <w:szCs w:val="32"/>
              </w:rPr>
              <w:t>“有冲击地压危险，未采取有效措施”重大事故隐患，是指有下列情形之一的：</w:t>
            </w:r>
          </w:p>
          <w:p w14:paraId="118F7423">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（一）未按照国家规定进行煤层（岩层）冲击倾向性鉴定，或者开采有冲击倾向性煤层未进行冲击危险性评价，或者开采冲击地压煤层，未进行采区、采掘工作面冲击危险性评价的；</w:t>
            </w:r>
          </w:p>
          <w:p w14:paraId="1AE37F8C">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（二）有冲击地压危险的矿井未设置专门的防冲机构、未配备专业人员或者未编制专门设计的；</w:t>
            </w:r>
          </w:p>
          <w:p w14:paraId="2E17A5B8">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（三）未进行冲击地压危险性预测，或者未进行防冲措施效果检验以及防冲措施效果检验不达标仍组织生产建设的；</w:t>
            </w:r>
          </w:p>
          <w:p w14:paraId="4DCFA7B2">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（四）开采冲击地压煤层时，违规开采孤岛煤柱，采掘工作面位置、间距不符合国家规定，或者开采顺序不合理、采掘速度不符合国家规定、违反国家规定布置巷道或者留设煤（岩）柱造成应力集中的；</w:t>
            </w:r>
          </w:p>
          <w:p w14:paraId="2279654C">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（五）未制定或者未严格执行冲击地压危险区域人员准入制度的。</w:t>
            </w:r>
          </w:p>
          <w:p w14:paraId="6F908359">
            <w:pPr>
              <w:widowControl/>
              <w:ind w:firstLine="640" w:firstLineChars="200"/>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35F1320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（3）设计资料及安全评价报告；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（4）配备相应专业人员的文件资料；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（5）冲击地压专门设计；</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（6）冲击地压工作制度；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（7）冲击地压预测预报资料；</w:t>
            </w:r>
          </w:p>
          <w:p w14:paraId="44AB858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（8）冲击地压防治措施；</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（9）相关工作记录；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（10）相关机构和有关人员责任落实资料；</w:t>
            </w:r>
          </w:p>
          <w:p w14:paraId="52C348D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（11）现场图片或影像资料；</w:t>
            </w:r>
          </w:p>
          <w:p w14:paraId="4F90BE9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（12）《现场检查记录》《责令限期整改指令书》等相关执法文书；</w:t>
            </w:r>
          </w:p>
          <w:p w14:paraId="5F97453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（13）其他相关证据。</w:t>
            </w:r>
          </w:p>
        </w:tc>
        <w:tc>
          <w:tcPr>
            <w:tcW w:w="3899" w:type="dxa"/>
            <w:tcBorders>
              <w:top w:val="single" w:color="auto" w:sz="6" w:space="0"/>
              <w:left w:val="nil"/>
              <w:bottom w:val="single" w:color="auto" w:sz="6" w:space="0"/>
              <w:right w:val="single" w:color="auto" w:sz="4" w:space="0"/>
            </w:tcBorders>
          </w:tcPr>
          <w:p w14:paraId="31EE7A33">
            <w:pPr>
              <w:widowControl/>
              <w:ind w:firstLine="643"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《国务院关于预防煤矿生产安全事故的特别规定》第十条</w:t>
            </w:r>
            <w:r>
              <w:rPr>
                <w:rFonts w:hint="eastAsia" w:ascii="仿宋_GB2312" w:hAnsi="仿宋_GB2312" w:eastAsia="仿宋_GB2312" w:cs="仿宋_GB2312"/>
                <w:color w:val="auto"/>
                <w:kern w:val="0"/>
                <w:sz w:val="32"/>
                <w:szCs w:val="32"/>
              </w:rPr>
              <w:t>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w:t>
            </w:r>
          </w:p>
          <w:p w14:paraId="3B111B5E">
            <w:pPr>
              <w:widowControl/>
              <w:ind w:firstLine="640" w:firstLineChars="20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948" w:type="dxa"/>
            <w:tcBorders>
              <w:top w:val="single" w:color="auto" w:sz="6" w:space="0"/>
              <w:left w:val="nil"/>
              <w:bottom w:val="single" w:color="auto" w:sz="6" w:space="0"/>
              <w:right w:val="single" w:color="auto" w:sz="6" w:space="0"/>
            </w:tcBorders>
          </w:tcPr>
          <w:p w14:paraId="5EA2F5E4">
            <w:pPr>
              <w:widowControl/>
              <w:jc w:val="center"/>
              <w:rPr>
                <w:rFonts w:hint="eastAsia" w:ascii="仿宋_GB2312" w:hAnsi="仿宋_GB2312" w:eastAsia="仿宋_GB2312" w:cs="仿宋_GB2312"/>
                <w:b/>
                <w:bCs/>
                <w:color w:val="auto"/>
                <w:kern w:val="0"/>
                <w:sz w:val="32"/>
                <w:szCs w:val="32"/>
              </w:rPr>
            </w:pPr>
          </w:p>
        </w:tc>
      </w:tr>
      <w:tr w14:paraId="6FDA2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restart"/>
            <w:tcBorders>
              <w:top w:val="single" w:color="auto" w:sz="6" w:space="0"/>
              <w:left w:val="single" w:color="auto" w:sz="6" w:space="0"/>
              <w:bottom w:val="single" w:color="auto" w:sz="6" w:space="0"/>
              <w:right w:val="single" w:color="auto" w:sz="6" w:space="0"/>
            </w:tcBorders>
            <w:noWrap/>
            <w:vAlign w:val="center"/>
          </w:tcPr>
          <w:p w14:paraId="43B5B137">
            <w:pPr>
              <w:widowControl/>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25</w:t>
            </w:r>
          </w:p>
        </w:tc>
        <w:tc>
          <w:tcPr>
            <w:tcW w:w="948" w:type="dxa"/>
            <w:vMerge w:val="restart"/>
            <w:tcBorders>
              <w:top w:val="single" w:color="auto" w:sz="6" w:space="0"/>
              <w:left w:val="nil"/>
              <w:bottom w:val="single" w:color="auto" w:sz="6" w:space="0"/>
              <w:right w:val="single" w:color="auto" w:sz="4" w:space="0"/>
            </w:tcBorders>
            <w:vAlign w:val="center"/>
          </w:tcPr>
          <w:p w14:paraId="246E19F3">
            <w:pPr>
              <w:widowControl/>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地面设备设施安全</w:t>
            </w:r>
          </w:p>
        </w:tc>
        <w:tc>
          <w:tcPr>
            <w:tcW w:w="948" w:type="dxa"/>
            <w:tcBorders>
              <w:top w:val="single" w:color="auto" w:sz="4" w:space="0"/>
              <w:left w:val="single" w:color="auto" w:sz="4" w:space="0"/>
              <w:bottom w:val="single" w:color="auto" w:sz="6" w:space="0"/>
              <w:right w:val="single" w:color="auto" w:sz="6" w:space="0"/>
            </w:tcBorders>
            <w:vAlign w:val="center"/>
          </w:tcPr>
          <w:p w14:paraId="03917B6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25.1地面风机房管理</w:t>
            </w:r>
          </w:p>
        </w:tc>
        <w:tc>
          <w:tcPr>
            <w:tcW w:w="3899" w:type="dxa"/>
            <w:tcBorders>
              <w:top w:val="single" w:color="auto" w:sz="6" w:space="0"/>
              <w:left w:val="nil"/>
              <w:bottom w:val="single" w:color="auto" w:sz="6" w:space="0"/>
              <w:right w:val="single" w:color="auto" w:sz="6" w:space="0"/>
            </w:tcBorders>
            <w:vAlign w:val="center"/>
          </w:tcPr>
          <w:p w14:paraId="721B3DDC">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第四条第一款</w:t>
            </w:r>
            <w:r>
              <w:rPr>
                <w:rFonts w:hint="eastAsia" w:ascii="仿宋_GB2312" w:hAnsi="仿宋_GB2312" w:eastAsia="仿宋_GB2312" w:cs="仿宋_GB2312"/>
                <w:color w:val="auto"/>
                <w:kern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0A922AAD">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第二十条</w:t>
            </w:r>
            <w:r>
              <w:rPr>
                <w:rFonts w:hint="eastAsia" w:ascii="仿宋_GB2312" w:hAnsi="仿宋_GB2312" w:eastAsia="仿宋_GB2312" w:cs="仿宋_GB2312"/>
                <w:color w:val="auto"/>
                <w:kern w:val="0"/>
                <w:sz w:val="32"/>
                <w:szCs w:val="32"/>
              </w:rPr>
              <w:t>生产经营单位应当具备本法和有关法律、行政法规和国家标准或者行业标准规定的安全生产条件；不具备安全生产条件的，不得从事生产经营活动。</w:t>
            </w:r>
          </w:p>
          <w:p w14:paraId="6A19DF65">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《煤矿安全规程》第一百六十条</w:t>
            </w:r>
            <w:r>
              <w:rPr>
                <w:rFonts w:hint="eastAsia" w:ascii="仿宋_GB2312" w:hAnsi="仿宋_GB2312" w:eastAsia="仿宋_GB2312" w:cs="仿宋_GB2312"/>
                <w:color w:val="auto"/>
                <w:kern w:val="0"/>
                <w:sz w:val="32"/>
                <w:szCs w:val="32"/>
              </w:rPr>
              <w:t xml:space="preserve">  严禁主要通风机房兼作他用。主要通风机房内必须安装水柱计（压力表）、电流表、电压表、轴承温度计等仪表，还必须有直通矿调度室的电话，并有反风操作系统图、司机岗位责任制和操作规程。主要通风机的运转应当由专职司机负责，司机应当每小时将通风机运转情况记入运转记录簿内；发现异常，立即报告。实现主要通风机集中监控、图像监视的主要通风机房可不设专职司机，但必须实行巡检制度。</w:t>
            </w:r>
          </w:p>
        </w:tc>
        <w:tc>
          <w:tcPr>
            <w:tcW w:w="3899" w:type="dxa"/>
            <w:tcBorders>
              <w:top w:val="single" w:color="auto" w:sz="6" w:space="0"/>
              <w:left w:val="nil"/>
              <w:bottom w:val="single" w:color="auto" w:sz="6" w:space="0"/>
              <w:right w:val="single" w:color="auto" w:sz="6" w:space="0"/>
            </w:tcBorders>
            <w:vAlign w:val="center"/>
          </w:tcPr>
          <w:p w14:paraId="77DEA6E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69F8466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（3）现场检查图片或影像资料；</w:t>
            </w:r>
          </w:p>
          <w:p w14:paraId="5C0A693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25496A5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（5）其他相关证据。</w:t>
            </w:r>
          </w:p>
        </w:tc>
        <w:tc>
          <w:tcPr>
            <w:tcW w:w="3899" w:type="dxa"/>
            <w:tcBorders>
              <w:top w:val="single" w:color="auto" w:sz="6" w:space="0"/>
              <w:left w:val="nil"/>
              <w:bottom w:val="single" w:color="auto" w:sz="6" w:space="0"/>
              <w:right w:val="single" w:color="auto" w:sz="4" w:space="0"/>
            </w:tcBorders>
          </w:tcPr>
          <w:p w14:paraId="6DB0AB5C">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第一百零二条</w:t>
            </w:r>
            <w:r>
              <w:rPr>
                <w:rFonts w:hint="eastAsia" w:ascii="仿宋_GB2312" w:hAnsi="仿宋_GB2312" w:eastAsia="仿宋_GB2312" w:cs="仿宋_GB2312"/>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BE0A271">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《中华人民共和国安全生产法》第一百一十三条</w:t>
            </w:r>
            <w:r>
              <w:rPr>
                <w:rFonts w:hint="eastAsia" w:ascii="仿宋_GB2312" w:hAnsi="仿宋_GB2312" w:eastAsia="仿宋_GB2312" w:cs="仿宋_GB2312"/>
                <w:color w:val="auto"/>
                <w:kern w:val="0"/>
                <w:sz w:val="32"/>
                <w:szCs w:val="32"/>
              </w:rPr>
              <w:t>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p w14:paraId="64688D4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（一）存在重大事故隐患，一百八十日内三次或者一年内四次受到本法规定的行政处罚的；</w:t>
            </w:r>
          </w:p>
          <w:p w14:paraId="700AA97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（二）经停产停业整顿，仍不具备法律、行政法规和国家标准或者行业标准规定的安全生产条件的；</w:t>
            </w:r>
          </w:p>
          <w:p w14:paraId="495C6E7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（三）不具备法律、行政法规和国家标准或者行业标准规定的安全生产条件，导致发生重大、特别重大生产安全事故的；</w:t>
            </w:r>
          </w:p>
          <w:p w14:paraId="20849C95">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（四）拒不执行负有安全生产监督管理职责的部门作出的停产停业整顿决定的。</w:t>
            </w:r>
          </w:p>
          <w:p w14:paraId="3BC0807B">
            <w:pPr>
              <w:widowControl/>
              <w:ind w:firstLine="643" w:firstLineChars="200"/>
              <w:jc w:val="left"/>
              <w:rPr>
                <w:rFonts w:hint="eastAsia" w:ascii="仿宋_GB2312" w:hAnsi="仿宋_GB2312" w:eastAsia="仿宋_GB2312" w:cs="仿宋_GB2312"/>
                <w:b/>
                <w:bCs/>
                <w:color w:val="auto"/>
                <w:kern w:val="0"/>
                <w:sz w:val="32"/>
                <w:szCs w:val="32"/>
              </w:rPr>
            </w:pPr>
          </w:p>
        </w:tc>
        <w:tc>
          <w:tcPr>
            <w:tcW w:w="948" w:type="dxa"/>
            <w:tcBorders>
              <w:top w:val="single" w:color="auto" w:sz="6" w:space="0"/>
              <w:left w:val="nil"/>
              <w:bottom w:val="single" w:color="auto" w:sz="6" w:space="0"/>
              <w:right w:val="single" w:color="auto" w:sz="6" w:space="0"/>
            </w:tcBorders>
          </w:tcPr>
          <w:p w14:paraId="1D012D3F">
            <w:pPr>
              <w:widowControl/>
              <w:jc w:val="center"/>
              <w:rPr>
                <w:rFonts w:hint="eastAsia" w:ascii="仿宋_GB2312" w:hAnsi="仿宋_GB2312" w:eastAsia="仿宋_GB2312" w:cs="仿宋_GB2312"/>
                <w:b/>
                <w:bCs/>
                <w:color w:val="auto"/>
                <w:kern w:val="0"/>
                <w:sz w:val="32"/>
                <w:szCs w:val="32"/>
              </w:rPr>
            </w:pPr>
          </w:p>
        </w:tc>
      </w:tr>
      <w:tr w14:paraId="09FEA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21BF60F5">
            <w:pPr>
              <w:widowControl/>
              <w:jc w:val="left"/>
              <w:rPr>
                <w:rFonts w:hint="eastAsia" w:ascii="仿宋_GB2312" w:hAnsi="仿宋_GB2312" w:eastAsia="仿宋_GB2312" w:cs="仿宋_GB2312"/>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6052C1BE">
            <w:pPr>
              <w:widowControl/>
              <w:jc w:val="left"/>
              <w:rPr>
                <w:rFonts w:hint="eastAsia" w:ascii="仿宋_GB2312" w:hAnsi="仿宋_GB2312" w:eastAsia="仿宋_GB2312" w:cs="仿宋_GB2312"/>
                <w:color w:val="auto"/>
                <w:kern w:val="0"/>
                <w:sz w:val="32"/>
                <w:szCs w:val="32"/>
              </w:rPr>
            </w:pPr>
          </w:p>
        </w:tc>
        <w:tc>
          <w:tcPr>
            <w:tcW w:w="948" w:type="dxa"/>
            <w:tcBorders>
              <w:top w:val="single" w:color="auto" w:sz="4" w:space="0"/>
              <w:left w:val="single" w:color="auto" w:sz="4" w:space="0"/>
              <w:bottom w:val="single" w:color="auto" w:sz="4" w:space="0"/>
              <w:right w:val="single" w:color="auto" w:sz="6" w:space="0"/>
            </w:tcBorders>
            <w:vAlign w:val="center"/>
          </w:tcPr>
          <w:p w14:paraId="46508BF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25.2地面炸药库房管理</w:t>
            </w:r>
          </w:p>
        </w:tc>
        <w:tc>
          <w:tcPr>
            <w:tcW w:w="3899" w:type="dxa"/>
            <w:tcBorders>
              <w:top w:val="single" w:color="auto" w:sz="6" w:space="0"/>
              <w:left w:val="nil"/>
              <w:bottom w:val="single" w:color="auto" w:sz="6" w:space="0"/>
              <w:right w:val="single" w:color="auto" w:sz="6" w:space="0"/>
            </w:tcBorders>
            <w:vAlign w:val="center"/>
          </w:tcPr>
          <w:p w14:paraId="113BFE39">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第四条第一款</w:t>
            </w:r>
            <w:r>
              <w:rPr>
                <w:rFonts w:hint="eastAsia" w:ascii="仿宋_GB2312" w:hAnsi="仿宋_GB2312" w:eastAsia="仿宋_GB2312" w:cs="仿宋_GB2312"/>
                <w:color w:val="auto"/>
                <w:kern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78872FDB">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《煤矿安全规程》第三百二十六条第二款</w:t>
            </w:r>
            <w:r>
              <w:rPr>
                <w:rFonts w:hint="eastAsia" w:ascii="仿宋_GB2312" w:hAnsi="仿宋_GB2312" w:eastAsia="仿宋_GB2312" w:cs="仿宋_GB2312"/>
                <w:color w:val="auto"/>
                <w:kern w:val="0"/>
                <w:sz w:val="32"/>
                <w:szCs w:val="32"/>
              </w:rPr>
              <w:t>井上、下接触爆炸物品的人员，必须穿棉布或者抗静电衣服。</w:t>
            </w:r>
          </w:p>
          <w:p w14:paraId="11D59205">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《煤矿安全规程》第三百二十七条</w:t>
            </w:r>
            <w:r>
              <w:rPr>
                <w:rFonts w:hint="eastAsia" w:ascii="仿宋_GB2312" w:hAnsi="仿宋_GB2312" w:eastAsia="仿宋_GB2312" w:cs="仿宋_GB2312"/>
                <w:color w:val="auto"/>
                <w:kern w:val="0"/>
                <w:sz w:val="32"/>
                <w:szCs w:val="32"/>
              </w:rPr>
              <w:t xml:space="preserve">  建有爆炸物品制造厂的矿区总库，所有库房贮存各种炸药的总容量不得超过该厂1个月生产量，雷管的总容量不得超过3个月生产量。没有爆炸物品制造厂的矿区总库，所有库房贮存各种炸药的总容量不得超过由该库所供应的矿井2个月的计划需要量，雷管的总容量不得超过6个月的计划需要量。单个库房的最大容量:炸药不得超过200t，雷管不得超过500万发。</w:t>
            </w:r>
          </w:p>
          <w:p w14:paraId="1C77CF0A">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地面分库所有库房贮存爆炸物品的总容量:炸药不得超过75t，雷管不得超过25万发。单个库房的炸药最大容量不得超过25t。地面分库贮存各种爆炸物品的数量，不得超过由该库所供应矿井3个月的计划需要量。</w:t>
            </w:r>
          </w:p>
        </w:tc>
        <w:tc>
          <w:tcPr>
            <w:tcW w:w="3899" w:type="dxa"/>
            <w:tcBorders>
              <w:top w:val="single" w:color="auto" w:sz="6" w:space="0"/>
              <w:left w:val="nil"/>
              <w:bottom w:val="single" w:color="auto" w:sz="6" w:space="0"/>
              <w:right w:val="single" w:color="auto" w:sz="6" w:space="0"/>
            </w:tcBorders>
            <w:vAlign w:val="center"/>
          </w:tcPr>
          <w:p w14:paraId="58A4449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5143078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（3）现场检查图片或影像资料；</w:t>
            </w:r>
          </w:p>
          <w:p w14:paraId="1E19BEE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（4）炸药房管理相关规定；</w:t>
            </w:r>
          </w:p>
          <w:p w14:paraId="2F96207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62680E8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（6）其他相关证据。</w:t>
            </w:r>
          </w:p>
        </w:tc>
        <w:tc>
          <w:tcPr>
            <w:tcW w:w="3899" w:type="dxa"/>
            <w:tcBorders>
              <w:top w:val="single" w:color="auto" w:sz="6" w:space="0"/>
              <w:left w:val="nil"/>
              <w:bottom w:val="single" w:color="auto" w:sz="6" w:space="0"/>
              <w:right w:val="single" w:color="auto" w:sz="4" w:space="0"/>
            </w:tcBorders>
          </w:tcPr>
          <w:p w14:paraId="6AFF3D14">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第一百零二条</w:t>
            </w:r>
            <w:r>
              <w:rPr>
                <w:rFonts w:hint="eastAsia" w:ascii="仿宋_GB2312" w:hAnsi="仿宋_GB2312" w:eastAsia="仿宋_GB2312" w:cs="仿宋_GB2312"/>
                <w:color w:val="auto"/>
                <w:kern w:val="0"/>
                <w:sz w:val="32"/>
                <w:szCs w:val="32"/>
              </w:rPr>
              <w:t xml:space="preserve">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68649C6C">
            <w:pPr>
              <w:widowControl/>
              <w:ind w:firstLine="640" w:firstLineChars="200"/>
              <w:jc w:val="left"/>
              <w:rPr>
                <w:rFonts w:hint="eastAsia" w:ascii="仿宋_GB2312" w:hAnsi="仿宋_GB2312" w:eastAsia="仿宋_GB2312" w:cs="仿宋_GB2312"/>
                <w:color w:val="auto"/>
                <w:kern w:val="0"/>
                <w:sz w:val="32"/>
                <w:szCs w:val="32"/>
              </w:rPr>
            </w:pPr>
          </w:p>
        </w:tc>
        <w:tc>
          <w:tcPr>
            <w:tcW w:w="948" w:type="dxa"/>
            <w:tcBorders>
              <w:top w:val="single" w:color="auto" w:sz="6" w:space="0"/>
              <w:left w:val="nil"/>
              <w:bottom w:val="single" w:color="auto" w:sz="6" w:space="0"/>
              <w:right w:val="single" w:color="auto" w:sz="6" w:space="0"/>
            </w:tcBorders>
          </w:tcPr>
          <w:p w14:paraId="146D5795">
            <w:pPr>
              <w:widowControl/>
              <w:jc w:val="left"/>
              <w:rPr>
                <w:rFonts w:hint="eastAsia" w:ascii="仿宋_GB2312" w:hAnsi="仿宋_GB2312" w:eastAsia="仿宋_GB2312" w:cs="仿宋_GB2312"/>
                <w:color w:val="auto"/>
                <w:kern w:val="0"/>
                <w:sz w:val="32"/>
                <w:szCs w:val="32"/>
              </w:rPr>
            </w:pPr>
          </w:p>
        </w:tc>
      </w:tr>
      <w:tr w14:paraId="493BF1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6A4506A9">
            <w:pPr>
              <w:widowControl/>
              <w:jc w:val="left"/>
              <w:rPr>
                <w:rFonts w:hint="eastAsia" w:ascii="仿宋_GB2312" w:hAnsi="仿宋_GB2312" w:eastAsia="仿宋_GB2312" w:cs="仿宋_GB2312"/>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7E2D0009">
            <w:pPr>
              <w:widowControl/>
              <w:jc w:val="left"/>
              <w:rPr>
                <w:rFonts w:hint="eastAsia" w:ascii="仿宋_GB2312" w:hAnsi="仿宋_GB2312" w:eastAsia="仿宋_GB2312" w:cs="仿宋_GB2312"/>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7B3053E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25.3调度、监控室管理</w:t>
            </w:r>
          </w:p>
        </w:tc>
        <w:tc>
          <w:tcPr>
            <w:tcW w:w="3899" w:type="dxa"/>
            <w:tcBorders>
              <w:top w:val="single" w:color="auto" w:sz="6" w:space="0"/>
              <w:left w:val="nil"/>
              <w:bottom w:val="single" w:color="auto" w:sz="6" w:space="0"/>
              <w:right w:val="single" w:color="auto" w:sz="6" w:space="0"/>
            </w:tcBorders>
            <w:vAlign w:val="center"/>
          </w:tcPr>
          <w:p w14:paraId="2FDDE9C5">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第四条第一款</w:t>
            </w:r>
            <w:r>
              <w:rPr>
                <w:rFonts w:hint="eastAsia" w:ascii="仿宋_GB2312" w:hAnsi="仿宋_GB2312" w:eastAsia="仿宋_GB2312" w:cs="仿宋_GB2312"/>
                <w:color w:val="auto"/>
                <w:kern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2CC89167">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《煤矿安全规程》第四百九十四条</w:t>
            </w:r>
            <w:r>
              <w:rPr>
                <w:rFonts w:hint="eastAsia" w:ascii="仿宋_GB2312" w:hAnsi="仿宋_GB2312" w:eastAsia="仿宋_GB2312" w:cs="仿宋_GB2312"/>
                <w:color w:val="auto"/>
                <w:kern w:val="0"/>
                <w:sz w:val="32"/>
                <w:szCs w:val="32"/>
              </w:rPr>
              <w:t xml:space="preserve">  矿调度室值班人员应当监视监控信息，填写运行日志，打印安全监控日报表，并报矿总工程师和矿长审阅。系统发出报警、断电、馈电异常等信息时，应当采取措施，及时处理，并立即向值班矿领导汇报；处理过程和结果应当记录备案。</w:t>
            </w:r>
          </w:p>
          <w:p w14:paraId="6F28DB9D">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《煤矿安全规程》第四百九十五条</w:t>
            </w:r>
            <w:r>
              <w:rPr>
                <w:rFonts w:hint="eastAsia" w:ascii="仿宋_GB2312" w:hAnsi="仿宋_GB2312" w:eastAsia="仿宋_GB2312" w:cs="仿宋_GB2312"/>
                <w:color w:val="auto"/>
                <w:kern w:val="0"/>
                <w:sz w:val="32"/>
                <w:szCs w:val="32"/>
              </w:rPr>
              <w:t xml:space="preserve">  安全监控系统必须具备实时上传监控数据的功能。</w:t>
            </w:r>
          </w:p>
          <w:p w14:paraId="2EA9A2DA">
            <w:pPr>
              <w:widowControl/>
              <w:ind w:firstLine="640" w:firstLineChars="200"/>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6" w:space="0"/>
            </w:tcBorders>
            <w:vAlign w:val="center"/>
          </w:tcPr>
          <w:p w14:paraId="5C160A1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3AB47E2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（3）现场检查图片或影像资料；</w:t>
            </w:r>
          </w:p>
          <w:p w14:paraId="6FEEB3F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（4）监控室管理相关规定；</w:t>
            </w:r>
          </w:p>
          <w:p w14:paraId="3ADB483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（5）监控、调度记录；</w:t>
            </w:r>
          </w:p>
          <w:p w14:paraId="089D21E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6E24D9C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tc>
        <w:tc>
          <w:tcPr>
            <w:tcW w:w="3899" w:type="dxa"/>
            <w:tcBorders>
              <w:top w:val="single" w:color="auto" w:sz="6" w:space="0"/>
              <w:left w:val="nil"/>
              <w:bottom w:val="single" w:color="auto" w:sz="6" w:space="0"/>
              <w:right w:val="single" w:color="auto" w:sz="4" w:space="0"/>
            </w:tcBorders>
          </w:tcPr>
          <w:p w14:paraId="1740CF31">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第一百零二条</w:t>
            </w:r>
            <w:r>
              <w:rPr>
                <w:rFonts w:hint="eastAsia" w:ascii="仿宋_GB2312" w:hAnsi="仿宋_GB2312" w:eastAsia="仿宋_GB2312" w:cs="仿宋_GB2312"/>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D107495">
            <w:pPr>
              <w:widowControl/>
              <w:ind w:firstLine="640" w:firstLineChars="200"/>
              <w:jc w:val="left"/>
              <w:rPr>
                <w:rFonts w:hint="eastAsia" w:ascii="仿宋_GB2312" w:hAnsi="仿宋_GB2312" w:eastAsia="仿宋_GB2312" w:cs="仿宋_GB2312"/>
                <w:color w:val="auto"/>
                <w:kern w:val="0"/>
                <w:sz w:val="32"/>
                <w:szCs w:val="32"/>
              </w:rPr>
            </w:pPr>
          </w:p>
        </w:tc>
        <w:tc>
          <w:tcPr>
            <w:tcW w:w="948" w:type="dxa"/>
            <w:tcBorders>
              <w:top w:val="single" w:color="auto" w:sz="6" w:space="0"/>
              <w:left w:val="nil"/>
              <w:bottom w:val="single" w:color="auto" w:sz="6" w:space="0"/>
              <w:right w:val="single" w:color="auto" w:sz="6" w:space="0"/>
            </w:tcBorders>
          </w:tcPr>
          <w:p w14:paraId="5B12CCBC">
            <w:pPr>
              <w:widowControl/>
              <w:jc w:val="left"/>
              <w:rPr>
                <w:rFonts w:hint="eastAsia" w:ascii="仿宋_GB2312" w:hAnsi="仿宋_GB2312" w:eastAsia="仿宋_GB2312" w:cs="仿宋_GB2312"/>
                <w:color w:val="auto"/>
                <w:kern w:val="0"/>
                <w:sz w:val="32"/>
                <w:szCs w:val="32"/>
              </w:rPr>
            </w:pPr>
          </w:p>
        </w:tc>
      </w:tr>
      <w:tr w14:paraId="138E7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24" w:type="dxa"/>
            <w:vMerge w:val="continue"/>
            <w:tcBorders>
              <w:top w:val="single" w:color="auto" w:sz="6" w:space="0"/>
              <w:left w:val="single" w:color="auto" w:sz="6" w:space="0"/>
              <w:bottom w:val="single" w:color="auto" w:sz="6" w:space="0"/>
              <w:right w:val="single" w:color="auto" w:sz="6" w:space="0"/>
            </w:tcBorders>
            <w:vAlign w:val="center"/>
          </w:tcPr>
          <w:p w14:paraId="1DC62893">
            <w:pPr>
              <w:widowControl/>
              <w:jc w:val="left"/>
              <w:rPr>
                <w:rFonts w:hint="eastAsia" w:ascii="仿宋_GB2312" w:hAnsi="仿宋_GB2312" w:eastAsia="仿宋_GB2312" w:cs="仿宋_GB2312"/>
                <w:color w:val="auto"/>
                <w:kern w:val="0"/>
                <w:sz w:val="32"/>
                <w:szCs w:val="32"/>
              </w:rPr>
            </w:pPr>
          </w:p>
        </w:tc>
        <w:tc>
          <w:tcPr>
            <w:tcW w:w="948" w:type="dxa"/>
            <w:vMerge w:val="continue"/>
            <w:tcBorders>
              <w:top w:val="single" w:color="auto" w:sz="6" w:space="0"/>
              <w:left w:val="nil"/>
              <w:bottom w:val="single" w:color="auto" w:sz="6" w:space="0"/>
              <w:right w:val="single" w:color="auto" w:sz="4" w:space="0"/>
            </w:tcBorders>
            <w:vAlign w:val="center"/>
          </w:tcPr>
          <w:p w14:paraId="0519378C">
            <w:pPr>
              <w:widowControl/>
              <w:jc w:val="left"/>
              <w:rPr>
                <w:rFonts w:hint="eastAsia" w:ascii="仿宋_GB2312" w:hAnsi="仿宋_GB2312" w:eastAsia="仿宋_GB2312" w:cs="仿宋_GB2312"/>
                <w:color w:val="auto"/>
                <w:kern w:val="0"/>
                <w:sz w:val="32"/>
                <w:szCs w:val="32"/>
              </w:rPr>
            </w:pPr>
          </w:p>
        </w:tc>
        <w:tc>
          <w:tcPr>
            <w:tcW w:w="948" w:type="dxa"/>
            <w:tcBorders>
              <w:top w:val="single" w:color="auto" w:sz="4" w:space="0"/>
              <w:left w:val="nil"/>
              <w:bottom w:val="single" w:color="auto" w:sz="4" w:space="0"/>
              <w:right w:val="single" w:color="auto" w:sz="6" w:space="0"/>
            </w:tcBorders>
            <w:vAlign w:val="center"/>
          </w:tcPr>
          <w:p w14:paraId="7E1EBA3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25.4机修房、绞车房</w:t>
            </w:r>
          </w:p>
        </w:tc>
        <w:tc>
          <w:tcPr>
            <w:tcW w:w="3899" w:type="dxa"/>
            <w:tcBorders>
              <w:top w:val="single" w:color="auto" w:sz="6" w:space="0"/>
              <w:left w:val="nil"/>
              <w:bottom w:val="single" w:color="auto" w:sz="6" w:space="0"/>
              <w:right w:val="single" w:color="auto" w:sz="6" w:space="0"/>
            </w:tcBorders>
            <w:vAlign w:val="center"/>
          </w:tcPr>
          <w:p w14:paraId="396B2888">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第四条第一款</w:t>
            </w:r>
            <w:r>
              <w:rPr>
                <w:rFonts w:hint="eastAsia" w:ascii="仿宋_GB2312" w:hAnsi="仿宋_GB2312" w:eastAsia="仿宋_GB2312" w:cs="仿宋_GB2312"/>
                <w:color w:val="auto"/>
                <w:kern w:val="0"/>
                <w:sz w:val="32"/>
                <w:szCs w:val="32"/>
              </w:rPr>
              <w:t>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48310A57">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《煤矿安全规程》</w:t>
            </w:r>
          </w:p>
        </w:tc>
        <w:tc>
          <w:tcPr>
            <w:tcW w:w="3899" w:type="dxa"/>
            <w:tcBorders>
              <w:top w:val="single" w:color="auto" w:sz="6" w:space="0"/>
              <w:left w:val="nil"/>
              <w:bottom w:val="single" w:color="auto" w:sz="6" w:space="0"/>
              <w:right w:val="single" w:color="auto" w:sz="6" w:space="0"/>
            </w:tcBorders>
            <w:vAlign w:val="center"/>
          </w:tcPr>
          <w:p w14:paraId="5F2ECA6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（1）企业营业执照和有关证照（安全生产许可证等）；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（2）单位负责人等相关人员的身份证明、任职文件及其询问笔录；</w:t>
            </w:r>
          </w:p>
          <w:p w14:paraId="123C5DA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（3）现场检查图片或影像资料；</w:t>
            </w:r>
          </w:p>
          <w:p w14:paraId="52C1A03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5845495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（5）其他相关证据。</w:t>
            </w:r>
          </w:p>
          <w:p w14:paraId="05D1F212">
            <w:pPr>
              <w:widowControl/>
              <w:rPr>
                <w:rFonts w:hint="eastAsia" w:ascii="仿宋_GB2312" w:hAnsi="仿宋_GB2312" w:eastAsia="仿宋_GB2312" w:cs="仿宋_GB2312"/>
                <w:color w:val="auto"/>
                <w:kern w:val="0"/>
                <w:sz w:val="32"/>
                <w:szCs w:val="32"/>
              </w:rPr>
            </w:pPr>
          </w:p>
        </w:tc>
        <w:tc>
          <w:tcPr>
            <w:tcW w:w="3899" w:type="dxa"/>
            <w:tcBorders>
              <w:top w:val="single" w:color="auto" w:sz="6" w:space="0"/>
              <w:left w:val="nil"/>
              <w:bottom w:val="single" w:color="auto" w:sz="6" w:space="0"/>
              <w:right w:val="single" w:color="auto" w:sz="4" w:space="0"/>
            </w:tcBorders>
          </w:tcPr>
          <w:p w14:paraId="4F3F1AAF">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第一百零二条</w:t>
            </w:r>
            <w:r>
              <w:rPr>
                <w:rFonts w:hint="eastAsia" w:ascii="仿宋_GB2312" w:hAnsi="仿宋_GB2312" w:eastAsia="仿宋_GB2312" w:cs="仿宋_GB2312"/>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6915B481">
            <w:pPr>
              <w:widowControl/>
              <w:ind w:firstLine="640" w:firstLineChars="200"/>
              <w:jc w:val="left"/>
              <w:rPr>
                <w:rFonts w:hint="eastAsia" w:ascii="仿宋_GB2312" w:hAnsi="仿宋_GB2312" w:eastAsia="仿宋_GB2312" w:cs="仿宋_GB2312"/>
                <w:color w:val="auto"/>
                <w:kern w:val="0"/>
                <w:sz w:val="32"/>
                <w:szCs w:val="32"/>
              </w:rPr>
            </w:pPr>
          </w:p>
        </w:tc>
        <w:tc>
          <w:tcPr>
            <w:tcW w:w="948" w:type="dxa"/>
            <w:tcBorders>
              <w:top w:val="single" w:color="auto" w:sz="6" w:space="0"/>
              <w:left w:val="nil"/>
              <w:bottom w:val="single" w:color="auto" w:sz="6" w:space="0"/>
              <w:right w:val="single" w:color="auto" w:sz="6" w:space="0"/>
            </w:tcBorders>
          </w:tcPr>
          <w:p w14:paraId="191633F7">
            <w:pPr>
              <w:widowControl/>
              <w:jc w:val="left"/>
              <w:rPr>
                <w:rFonts w:hint="eastAsia" w:ascii="仿宋_GB2312" w:hAnsi="仿宋_GB2312" w:eastAsia="仿宋_GB2312" w:cs="仿宋_GB2312"/>
                <w:color w:val="auto"/>
                <w:kern w:val="0"/>
                <w:sz w:val="32"/>
                <w:szCs w:val="32"/>
              </w:rPr>
            </w:pPr>
          </w:p>
        </w:tc>
      </w:tr>
      <w:tr w14:paraId="46C87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1" w:hRule="atLeast"/>
          <w:jc w:val="center"/>
        </w:trPr>
        <w:tc>
          <w:tcPr>
            <w:tcW w:w="15165" w:type="dxa"/>
            <w:gridSpan w:val="7"/>
            <w:tcBorders>
              <w:top w:val="single" w:color="auto" w:sz="6" w:space="0"/>
              <w:left w:val="single" w:color="auto" w:sz="6" w:space="0"/>
              <w:bottom w:val="single" w:color="auto" w:sz="6" w:space="0"/>
              <w:right w:val="single" w:color="auto" w:sz="6" w:space="0"/>
            </w:tcBorders>
            <w:noWrap/>
          </w:tcPr>
          <w:p w14:paraId="234D30B0">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说明：1、根据本清单提供的证照及资料有原件的，应核实原件后留存复印件；无原件的提供复印件。所有复印件资料均应加盖企业公章。证照及资料有正副本的，均核验留存复印件。</w:t>
            </w:r>
          </w:p>
          <w:p w14:paraId="3217E041">
            <w:pPr>
              <w:widowControl/>
              <w:ind w:firstLine="960" w:firstLineChars="3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2、其他相关证据：能够证明企业违法违规行为的其他相关资料。</w:t>
            </w:r>
          </w:p>
        </w:tc>
      </w:tr>
    </w:tbl>
    <w:p w14:paraId="765CC429">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bookmarkEnd w:id="2"/>
    <w:bookmarkEnd w:id="3"/>
    <w:bookmarkEnd w:id="4"/>
    <w:p w14:paraId="0EA1C7E2">
      <w:pPr>
        <w:pStyle w:val="3"/>
        <w:spacing w:line="240" w:lineRule="auto"/>
        <w:jc w:val="center"/>
        <w:rPr>
          <w:rFonts w:hint="eastAsia" w:ascii="仿宋_GB2312" w:hAnsi="仿宋_GB2312" w:eastAsia="仿宋_GB2312" w:cs="仿宋_GB2312"/>
          <w:color w:val="auto"/>
          <w:sz w:val="32"/>
          <w:szCs w:val="32"/>
        </w:rPr>
      </w:pPr>
      <w:bookmarkStart w:id="5" w:name="_Toc18330"/>
      <w:r>
        <w:rPr>
          <w:rFonts w:hint="eastAsia" w:ascii="仿宋_GB2312" w:hAnsi="仿宋_GB2312" w:eastAsia="仿宋_GB2312" w:cs="仿宋_GB2312"/>
          <w:color w:val="auto"/>
          <w:sz w:val="32"/>
          <w:szCs w:val="32"/>
        </w:rPr>
        <w:t>危险化学品生产经营企业检查清单</w:t>
      </w:r>
      <w:bookmarkEnd w:id="5"/>
    </w:p>
    <w:tbl>
      <w:tblPr>
        <w:tblStyle w:val="8"/>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7"/>
        <w:gridCol w:w="950"/>
        <w:gridCol w:w="1132"/>
        <w:gridCol w:w="3717"/>
        <w:gridCol w:w="3899"/>
        <w:gridCol w:w="3899"/>
        <w:gridCol w:w="951"/>
      </w:tblGrid>
      <w:tr w14:paraId="48C7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34" w:hRule="atLeast"/>
          <w:tblHeader/>
          <w:jc w:val="center"/>
        </w:trPr>
        <w:tc>
          <w:tcPr>
            <w:tcW w:w="617" w:type="dxa"/>
            <w:vAlign w:val="center"/>
          </w:tcPr>
          <w:p w14:paraId="5A443F31">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序号</w:t>
            </w:r>
          </w:p>
        </w:tc>
        <w:tc>
          <w:tcPr>
            <w:tcW w:w="950" w:type="dxa"/>
            <w:vAlign w:val="center"/>
          </w:tcPr>
          <w:p w14:paraId="02B8BB09">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检查事项</w:t>
            </w:r>
          </w:p>
        </w:tc>
        <w:tc>
          <w:tcPr>
            <w:tcW w:w="1132" w:type="dxa"/>
            <w:vAlign w:val="center"/>
          </w:tcPr>
          <w:p w14:paraId="2CEE62E3">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检查内容</w:t>
            </w:r>
          </w:p>
        </w:tc>
        <w:tc>
          <w:tcPr>
            <w:tcW w:w="3717" w:type="dxa"/>
            <w:vAlign w:val="center"/>
          </w:tcPr>
          <w:p w14:paraId="5B2A3CC0">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检查依据</w:t>
            </w:r>
          </w:p>
        </w:tc>
        <w:tc>
          <w:tcPr>
            <w:tcW w:w="3899" w:type="dxa"/>
            <w:vAlign w:val="center"/>
          </w:tcPr>
          <w:p w14:paraId="5DFDFC5B">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主要证据</w:t>
            </w:r>
          </w:p>
        </w:tc>
        <w:tc>
          <w:tcPr>
            <w:tcW w:w="3899" w:type="dxa"/>
            <w:vAlign w:val="center"/>
          </w:tcPr>
          <w:p w14:paraId="3C426B58">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法律责任（罚则）</w:t>
            </w:r>
          </w:p>
        </w:tc>
        <w:tc>
          <w:tcPr>
            <w:tcW w:w="951" w:type="dxa"/>
            <w:vAlign w:val="center"/>
          </w:tcPr>
          <w:p w14:paraId="1AC7376D">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检查结果</w:t>
            </w:r>
          </w:p>
        </w:tc>
      </w:tr>
      <w:tr w14:paraId="70E3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70" w:hRule="atLeast"/>
          <w:jc w:val="center"/>
        </w:trPr>
        <w:tc>
          <w:tcPr>
            <w:tcW w:w="617" w:type="dxa"/>
            <w:vMerge w:val="restart"/>
            <w:vAlign w:val="center"/>
          </w:tcPr>
          <w:p w14:paraId="6B61879C">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p>
        </w:tc>
        <w:tc>
          <w:tcPr>
            <w:tcW w:w="950" w:type="dxa"/>
            <w:vMerge w:val="restart"/>
            <w:vAlign w:val="center"/>
          </w:tcPr>
          <w:p w14:paraId="3D5254A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危险化学品安全生产许可证情况</w:t>
            </w:r>
          </w:p>
        </w:tc>
        <w:tc>
          <w:tcPr>
            <w:tcW w:w="1132" w:type="dxa"/>
            <w:vAlign w:val="center"/>
          </w:tcPr>
          <w:p w14:paraId="21F3ADF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1.1安全生产许可证取得</w:t>
            </w:r>
          </w:p>
        </w:tc>
        <w:tc>
          <w:tcPr>
            <w:tcW w:w="3717" w:type="dxa"/>
            <w:vAlign w:val="center"/>
          </w:tcPr>
          <w:p w14:paraId="1B24B34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《安全生产许可证条例》第二条</w:t>
            </w:r>
            <w:r>
              <w:rPr>
                <w:rFonts w:hint="eastAsia" w:ascii="仿宋_GB2312" w:hAnsi="仿宋_GB2312" w:eastAsia="仿宋_GB2312" w:cs="仿宋_GB2312"/>
                <w:color w:val="auto"/>
                <w:kern w:val="0"/>
                <w:sz w:val="32"/>
                <w:szCs w:val="32"/>
              </w:rPr>
              <w:t>国家对矿山企业、建筑施工企业和危险化学品、烟花爆竹、民用爆炸物品生产企业（以下统称企业）实行安全生产许可制度。企业未取得安全生产许可证的，不得从事生产活动。</w:t>
            </w:r>
          </w:p>
          <w:p w14:paraId="2D13CFD6">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《危险化学品安全管理条例》第十四条第一款</w:t>
            </w:r>
            <w:r>
              <w:rPr>
                <w:rFonts w:hint="eastAsia" w:ascii="仿宋_GB2312" w:hAnsi="仿宋_GB2312" w:eastAsia="仿宋_GB2312" w:cs="仿宋_GB2312"/>
                <w:color w:val="auto"/>
                <w:sz w:val="32"/>
                <w:szCs w:val="32"/>
              </w:rPr>
              <w:t>危险化学品生产企业进行生产前，应当依照《安全生产许可证条例》的规定，取得危险化学品安全生产许可证。</w:t>
            </w:r>
          </w:p>
          <w:p w14:paraId="3E04FB1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《危险化学品生产企业安全生产许可证实施办法》第二条</w:t>
            </w:r>
            <w:r>
              <w:rPr>
                <w:rFonts w:hint="eastAsia" w:ascii="仿宋_GB2312" w:hAnsi="仿宋_GB2312" w:eastAsia="仿宋_GB2312" w:cs="仿宋_GB2312"/>
                <w:color w:val="auto"/>
                <w:kern w:val="0"/>
                <w:sz w:val="32"/>
                <w:szCs w:val="32"/>
              </w:rPr>
              <w:t>本办法所称危险化学品生产企业（以下简称企业），是指依法设立且取得工商营业执照或者工商核准文件从事生产最终产品或者中间产品列入《危险化学品目录》的企业。</w:t>
            </w:r>
          </w:p>
          <w:p w14:paraId="566FD86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《危险化学品生产企业安全生产许可证实施办法》第三条</w:t>
            </w:r>
            <w:r>
              <w:rPr>
                <w:rFonts w:hint="eastAsia" w:ascii="仿宋_GB2312" w:hAnsi="仿宋_GB2312" w:eastAsia="仿宋_GB2312" w:cs="仿宋_GB2312"/>
                <w:color w:val="auto"/>
                <w:kern w:val="0"/>
                <w:sz w:val="32"/>
                <w:szCs w:val="32"/>
              </w:rPr>
              <w:t>企业应当依照本办法的规定取得危险化学品安全生产许可证（以下简称安全生产许可证）。未取得安全生产许可证的企业，不得从事危险化学品的生产活动。</w:t>
            </w:r>
          </w:p>
        </w:tc>
        <w:tc>
          <w:tcPr>
            <w:tcW w:w="3899" w:type="dxa"/>
          </w:tcPr>
          <w:p w14:paraId="56F04AE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（1）生产企业营业执照；</w:t>
            </w:r>
          </w:p>
          <w:p w14:paraId="76C7885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（2）安全生产许可证；</w:t>
            </w:r>
          </w:p>
          <w:p w14:paraId="60A70C3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（3）营业执照、安全生产许可证主要负责人身份证；</w:t>
            </w:r>
          </w:p>
          <w:p w14:paraId="2E1B0EA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（4）主要负责人任职及职责分工文件；</w:t>
            </w:r>
          </w:p>
          <w:p w14:paraId="265375B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（5）生产最终产品或中间产品是危险化学品的证据（生产原材料、生产工艺、产品名称、安全技术说明书等）；</w:t>
            </w:r>
          </w:p>
          <w:p w14:paraId="14ED9DE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（6）生产经营相关记录（生产记录、生产产品及原料储存、销售记录等）；</w:t>
            </w:r>
          </w:p>
          <w:p w14:paraId="14851A2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（7）向发证机关查询新办安全生产许可证情况资料（申请资料、安全评价报告等）；</w:t>
            </w:r>
          </w:p>
          <w:p w14:paraId="2FAC6EE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（8）《现场检查记录》《现场处理措施决定书》《查封扣押决定书》等相关执法文书；</w:t>
            </w:r>
          </w:p>
          <w:p w14:paraId="67DAE13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（9）《询问笔录》；</w:t>
            </w:r>
          </w:p>
          <w:p w14:paraId="489A201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（10）主要负责人为委托授权的，收集委托授权书、委托事项；</w:t>
            </w:r>
          </w:p>
          <w:p w14:paraId="266F2F3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（11）销售合同及相关账务资料；</w:t>
            </w:r>
          </w:p>
          <w:p w14:paraId="2EB598C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（12）其他相关证据。</w:t>
            </w:r>
          </w:p>
        </w:tc>
        <w:tc>
          <w:tcPr>
            <w:tcW w:w="3899" w:type="dxa"/>
            <w:vAlign w:val="center"/>
          </w:tcPr>
          <w:p w14:paraId="646C1AF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《安全生产许可证条例》第十九条</w:t>
            </w:r>
            <w:r>
              <w:rPr>
                <w:rFonts w:hint="eastAsia" w:ascii="仿宋_GB2312" w:hAnsi="仿宋_GB2312" w:eastAsia="仿宋_GB2312" w:cs="仿宋_GB2312"/>
                <w:color w:val="auto"/>
                <w:kern w:val="0"/>
                <w:sz w:val="32"/>
                <w:szCs w:val="32"/>
              </w:rPr>
              <w:t>违反本条例规定，未取得安全生产许可证擅自进行生产的，责令停止生产，没收违法所得，并处10万元以上50万元以下的罚款；造成重大事故或者其他严重后果，构成犯罪的，依法追究刑事责任。</w:t>
            </w:r>
          </w:p>
          <w:p w14:paraId="7F68F42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《危险化学品生产企业安全生产许可证实施办法》第四十五条</w:t>
            </w:r>
            <w:r>
              <w:rPr>
                <w:rFonts w:hint="eastAsia" w:ascii="仿宋_GB2312" w:hAnsi="仿宋_GB2312" w:eastAsia="仿宋_GB2312" w:cs="仿宋_GB2312"/>
                <w:color w:val="auto"/>
                <w:kern w:val="0"/>
                <w:sz w:val="32"/>
                <w:szCs w:val="32"/>
              </w:rPr>
              <w:t xml:space="preserve">  企业有下列情形之一的，责令停止生产危险化学品，没收违法所得，并处10万元以上50万元以下的罚款；构成犯罪的，依法追究刑事责任：</w:t>
            </w:r>
          </w:p>
          <w:p w14:paraId="32C03DF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（一）未取得安全生产许可证，擅自进行危险化学品生产的；......</w:t>
            </w:r>
          </w:p>
        </w:tc>
        <w:tc>
          <w:tcPr>
            <w:tcW w:w="951" w:type="dxa"/>
            <w:vAlign w:val="center"/>
          </w:tcPr>
          <w:p w14:paraId="70C1C1EF">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4025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33" w:hRule="atLeast"/>
          <w:jc w:val="center"/>
        </w:trPr>
        <w:tc>
          <w:tcPr>
            <w:tcW w:w="617" w:type="dxa"/>
            <w:vMerge w:val="continue"/>
            <w:vAlign w:val="center"/>
          </w:tcPr>
          <w:p w14:paraId="1F6A7A20">
            <w:pPr>
              <w:adjustRightInd w:val="0"/>
              <w:snapToGrid w:val="0"/>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24238850">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7C04921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 安全生产许可证延期</w:t>
            </w:r>
          </w:p>
        </w:tc>
        <w:tc>
          <w:tcPr>
            <w:tcW w:w="3717" w:type="dxa"/>
            <w:vAlign w:val="center"/>
          </w:tcPr>
          <w:p w14:paraId="1BC6D5D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《安全生产许可证条例》第九条第一款</w:t>
            </w:r>
            <w:r>
              <w:rPr>
                <w:rFonts w:hint="eastAsia" w:ascii="仿宋_GB2312" w:hAnsi="仿宋_GB2312" w:eastAsia="仿宋_GB2312" w:cs="仿宋_GB2312"/>
                <w:color w:val="auto"/>
                <w:kern w:val="0"/>
                <w:sz w:val="32"/>
                <w:szCs w:val="32"/>
              </w:rPr>
              <w:t>安全生产许可证的有效期为3年。安全生产许可证有效期满需要延期的，企业应当于期满前3个月向原安全生产许可证颁发管理机关办理延期手续。</w:t>
            </w:r>
          </w:p>
          <w:p w14:paraId="5D9DA6D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《危险化学品生产企业安全生产许可证实施办法》第三十三条第一款</w:t>
            </w:r>
            <w:r>
              <w:rPr>
                <w:rFonts w:hint="eastAsia" w:ascii="仿宋_GB2312" w:hAnsi="仿宋_GB2312" w:eastAsia="仿宋_GB2312" w:cs="仿宋_GB2312"/>
                <w:color w:val="auto"/>
                <w:kern w:val="0"/>
                <w:sz w:val="32"/>
                <w:szCs w:val="32"/>
              </w:rPr>
              <w:t xml:space="preserve">  安全生产许可证有效期为3年。企业安全生产许可证有效期届满后继续生产危险化学品的，应当在安全生产许可证有效期届满前3个月提出延期申请，并提交延期申请书和本办法第二十五条规定的申请文件、资料。</w:t>
            </w:r>
          </w:p>
        </w:tc>
        <w:tc>
          <w:tcPr>
            <w:tcW w:w="3899" w:type="dxa"/>
          </w:tcPr>
          <w:p w14:paraId="048B57C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（1）生产企业营业执照；</w:t>
            </w:r>
          </w:p>
          <w:p w14:paraId="45F0290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（2）安全生产许可证；</w:t>
            </w:r>
          </w:p>
          <w:p w14:paraId="07B63A4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（3）向发证机关查询安全生产许可证延期情况资料（申请资料、安全评价报告等）；</w:t>
            </w:r>
          </w:p>
          <w:p w14:paraId="2AB93B3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（4）《现场检查记录》《责令限期整改指令书》《现场处理措施决定书》《查封扣押决定书》等相关执法文书；</w:t>
            </w:r>
          </w:p>
          <w:p w14:paraId="010B7CB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color w:val="auto"/>
                <w:sz w:val="32"/>
                <w:szCs w:val="32"/>
              </w:rPr>
              <w:t>企业相关人员任职文件、身份证明及其询问笔录；</w:t>
            </w:r>
          </w:p>
          <w:p w14:paraId="5324FBA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（6）销售合同及相关账务资料；</w:t>
            </w:r>
          </w:p>
          <w:p w14:paraId="6ACD081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p w14:paraId="71AA9A03">
            <w:pPr>
              <w:widowControl/>
              <w:adjustRightInd w:val="0"/>
              <w:snapToGrid w:val="0"/>
              <w:rPr>
                <w:rFonts w:hint="eastAsia" w:ascii="仿宋_GB2312" w:hAnsi="仿宋_GB2312" w:eastAsia="仿宋_GB2312" w:cs="仿宋_GB2312"/>
                <w:color w:val="auto"/>
                <w:sz w:val="32"/>
                <w:szCs w:val="32"/>
              </w:rPr>
            </w:pPr>
          </w:p>
        </w:tc>
        <w:tc>
          <w:tcPr>
            <w:tcW w:w="3899" w:type="dxa"/>
            <w:vAlign w:val="center"/>
          </w:tcPr>
          <w:p w14:paraId="0C47E50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《安全生产许可证条例》第二十条</w:t>
            </w:r>
            <w:r>
              <w:rPr>
                <w:rFonts w:hint="eastAsia" w:ascii="仿宋_GB2312" w:hAnsi="仿宋_GB2312" w:eastAsia="仿宋_GB2312" w:cs="仿宋_GB2312"/>
                <w:color w:val="auto"/>
                <w:kern w:val="0"/>
                <w:sz w:val="32"/>
                <w:szCs w:val="32"/>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14:paraId="720438B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《危险化学品生产企业安全生产许可证实施办法》第四十六条</w:t>
            </w:r>
            <w:r>
              <w:rPr>
                <w:rFonts w:hint="eastAsia" w:ascii="仿宋_GB2312" w:hAnsi="仿宋_GB2312" w:eastAsia="仿宋_GB2312" w:cs="仿宋_GB2312"/>
                <w:color w:val="auto"/>
                <w:kern w:val="0"/>
                <w:sz w:val="32"/>
                <w:szCs w:val="32"/>
              </w:rPr>
              <w:t>企业在安全生产许可证有效期届满未办理延期手续，继续进行生产的，责令停止生产，限期补办延期手续，没收违法所得，并处5万元以上10万元以下的罚款；逾期仍不办理延期手续，继续进行生产的，依照本办法第四十五条的规定进行处罚。</w:t>
            </w:r>
          </w:p>
        </w:tc>
        <w:tc>
          <w:tcPr>
            <w:tcW w:w="951" w:type="dxa"/>
            <w:vAlign w:val="center"/>
          </w:tcPr>
          <w:p w14:paraId="0AA80AE8">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56E9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311" w:hRule="atLeast"/>
          <w:jc w:val="center"/>
        </w:trPr>
        <w:tc>
          <w:tcPr>
            <w:tcW w:w="617" w:type="dxa"/>
            <w:vMerge w:val="continue"/>
            <w:vAlign w:val="center"/>
          </w:tcPr>
          <w:p w14:paraId="562A4DC9">
            <w:pPr>
              <w:adjustRightInd w:val="0"/>
              <w:snapToGrid w:val="0"/>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2FBAF62F">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088A8E8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1.3安全生产许可证变更</w:t>
            </w:r>
          </w:p>
        </w:tc>
        <w:tc>
          <w:tcPr>
            <w:tcW w:w="3717" w:type="dxa"/>
            <w:vAlign w:val="center"/>
          </w:tcPr>
          <w:p w14:paraId="741BEF2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《危险化学品生产企业安全生产许可证实施办法》第三十条</w:t>
            </w:r>
            <w:r>
              <w:rPr>
                <w:rFonts w:hint="eastAsia" w:ascii="仿宋_GB2312" w:hAnsi="仿宋_GB2312" w:eastAsia="仿宋_GB2312" w:cs="仿宋_GB2312"/>
                <w:color w:val="auto"/>
                <w:kern w:val="0"/>
                <w:sz w:val="32"/>
                <w:szCs w:val="32"/>
              </w:rPr>
              <w:t>企业在安全生产许可证有效期内变更主要负责人、企业名称或者注册地址的，应当自工商营业执照或者隶属关系变更之日起10个工作日内向实施机关提出变更申请......。</w:t>
            </w:r>
          </w:p>
          <w:p w14:paraId="479B780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《危险化学品生产企业安全生产许可证实施办法》第三十一条</w:t>
            </w:r>
            <w:r>
              <w:rPr>
                <w:rFonts w:hint="eastAsia" w:ascii="仿宋_GB2312" w:hAnsi="仿宋_GB2312" w:eastAsia="仿宋_GB2312" w:cs="仿宋_GB2312"/>
                <w:color w:val="auto"/>
                <w:kern w:val="0"/>
                <w:sz w:val="32"/>
                <w:szCs w:val="32"/>
              </w:rPr>
              <w:t>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w:t>
            </w:r>
          </w:p>
          <w:p w14:paraId="44DA89C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《危险化学品生产企业安全生产许可证实施办法》第三十二条</w:t>
            </w:r>
            <w:r>
              <w:rPr>
                <w:rFonts w:hint="eastAsia" w:ascii="仿宋_GB2312" w:hAnsi="仿宋_GB2312" w:eastAsia="仿宋_GB2312" w:cs="仿宋_GB2312"/>
                <w:color w:val="auto"/>
                <w:kern w:val="0"/>
                <w:sz w:val="32"/>
                <w:szCs w:val="32"/>
              </w:rPr>
              <w:t>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w:t>
            </w:r>
          </w:p>
        </w:tc>
        <w:tc>
          <w:tcPr>
            <w:tcW w:w="3899" w:type="dxa"/>
          </w:tcPr>
          <w:p w14:paraId="1B9C1FF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（1）变更前、后企业营业执照；</w:t>
            </w:r>
          </w:p>
          <w:p w14:paraId="2398B0A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（2）变更前、后安全生产许可证；</w:t>
            </w:r>
          </w:p>
          <w:p w14:paraId="496E7B4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（3）营业执照、安全生产许可证主要负责人身份证；</w:t>
            </w:r>
          </w:p>
          <w:p w14:paraId="55854FE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（4）主要负责人任职及职责分工文件；</w:t>
            </w:r>
          </w:p>
          <w:p w14:paraId="190C2F7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安全生产知识和管理能力培训合格证明文件；</w:t>
            </w:r>
          </w:p>
          <w:p w14:paraId="6DF614F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（5）主要负责人为委托授权的，收集委托授权书、委托事项；</w:t>
            </w:r>
          </w:p>
          <w:p w14:paraId="0DCE0E3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（6）企业原生产装置新增产品或者改变工艺技术经审查、批准相关文件资料；</w:t>
            </w:r>
          </w:p>
          <w:p w14:paraId="203E3BF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（7）企业原生产装置新增产品或者改变工艺技术专项安全评价报告；</w:t>
            </w:r>
          </w:p>
          <w:p w14:paraId="1D0A854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（8）危险化学品建设项目（新建、改建、扩建）安全设施竣工验收报告等相关文件、资料；</w:t>
            </w:r>
          </w:p>
          <w:p w14:paraId="74E5757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（9）向发证机关查询安全生产许可证变更事项内容及相关资料；</w:t>
            </w:r>
          </w:p>
          <w:p w14:paraId="64F626C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（10）《现场检查记录》《责令限期整改指令书》《现场处理措施决定书》《查封扣押决定书》等相关执法文书；</w:t>
            </w:r>
          </w:p>
          <w:p w14:paraId="15FDA27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（11）销售合同及相关账务资料；</w:t>
            </w:r>
          </w:p>
          <w:p w14:paraId="475A78B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（12）《询问笔录》；</w:t>
            </w:r>
          </w:p>
          <w:p w14:paraId="4D6EDEA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（13）其他相关证据。</w:t>
            </w:r>
          </w:p>
        </w:tc>
        <w:tc>
          <w:tcPr>
            <w:tcW w:w="3899" w:type="dxa"/>
            <w:vAlign w:val="center"/>
          </w:tcPr>
          <w:p w14:paraId="747CAD7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《危险化学品生产企业安全生产许可证实施办法》第四十七条</w:t>
            </w:r>
            <w:r>
              <w:rPr>
                <w:rFonts w:hint="eastAsia" w:ascii="仿宋_GB2312" w:hAnsi="仿宋_GB2312" w:eastAsia="仿宋_GB2312" w:cs="仿宋_GB2312"/>
                <w:color w:val="auto"/>
                <w:kern w:val="0"/>
                <w:sz w:val="32"/>
                <w:szCs w:val="32"/>
              </w:rPr>
              <w:t>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p w14:paraId="59F3D25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《危险化学品生产企业安全生产许可证实施办法》第四十八条</w:t>
            </w:r>
            <w:r>
              <w:rPr>
                <w:rFonts w:hint="eastAsia" w:ascii="仿宋_GB2312" w:hAnsi="仿宋_GB2312" w:eastAsia="仿宋_GB2312" w:cs="仿宋_GB2312"/>
                <w:color w:val="auto"/>
                <w:kern w:val="0"/>
                <w:sz w:val="32"/>
                <w:szCs w:val="32"/>
              </w:rPr>
              <w:t>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w:t>
            </w:r>
          </w:p>
        </w:tc>
        <w:tc>
          <w:tcPr>
            <w:tcW w:w="951" w:type="dxa"/>
            <w:vAlign w:val="center"/>
          </w:tcPr>
          <w:p w14:paraId="6730FC36">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6828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68" w:hRule="atLeast"/>
          <w:jc w:val="center"/>
        </w:trPr>
        <w:tc>
          <w:tcPr>
            <w:tcW w:w="617" w:type="dxa"/>
            <w:vMerge w:val="continue"/>
            <w:vAlign w:val="center"/>
          </w:tcPr>
          <w:p w14:paraId="6856C1EB">
            <w:pPr>
              <w:widowControl/>
              <w:adjustRightInd w:val="0"/>
              <w:snapToGrid w:val="0"/>
              <w:jc w:val="center"/>
              <w:rPr>
                <w:rFonts w:hint="eastAsia" w:ascii="仿宋_GB2312" w:hAnsi="仿宋_GB2312" w:eastAsia="仿宋_GB2312" w:cs="仿宋_GB2312"/>
                <w:color w:val="auto"/>
                <w:kern w:val="0"/>
                <w:sz w:val="32"/>
                <w:szCs w:val="32"/>
              </w:rPr>
            </w:pPr>
          </w:p>
        </w:tc>
        <w:tc>
          <w:tcPr>
            <w:tcW w:w="950" w:type="dxa"/>
            <w:vMerge w:val="continue"/>
            <w:vAlign w:val="center"/>
          </w:tcPr>
          <w:p w14:paraId="0CCB0E3F">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657526D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 转让、冒用安全生产许可证或者使用伪造的安全生产许可证</w:t>
            </w:r>
          </w:p>
        </w:tc>
        <w:tc>
          <w:tcPr>
            <w:tcW w:w="3717" w:type="dxa"/>
            <w:vAlign w:val="center"/>
          </w:tcPr>
          <w:p w14:paraId="005B1AE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《安全生产许可证条例》第十三条</w:t>
            </w:r>
            <w:r>
              <w:rPr>
                <w:rFonts w:hint="eastAsia" w:ascii="仿宋_GB2312" w:hAnsi="仿宋_GB2312" w:eastAsia="仿宋_GB2312" w:cs="仿宋_GB2312"/>
                <w:color w:val="auto"/>
                <w:kern w:val="0"/>
                <w:sz w:val="32"/>
                <w:szCs w:val="32"/>
              </w:rPr>
              <w:t>企业不得转让、冒用安全生产许可证或者使用伪造的安全生产许可证。</w:t>
            </w:r>
          </w:p>
          <w:p w14:paraId="29E9520E">
            <w:pPr>
              <w:widowControl/>
              <w:adjustRightInd w:val="0"/>
              <w:snapToGrid w:val="0"/>
              <w:ind w:firstLine="640" w:firstLineChars="200"/>
              <w:rPr>
                <w:rFonts w:hint="eastAsia" w:ascii="仿宋_GB2312" w:hAnsi="仿宋_GB2312" w:eastAsia="仿宋_GB2312" w:cs="仿宋_GB2312"/>
                <w:color w:val="auto"/>
                <w:kern w:val="0"/>
                <w:sz w:val="32"/>
                <w:szCs w:val="32"/>
              </w:rPr>
            </w:pPr>
          </w:p>
          <w:p w14:paraId="3E3D5FE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《危险化学品生产企业安全生产许可证实施办法》第三十六条</w:t>
            </w:r>
            <w:r>
              <w:rPr>
                <w:rFonts w:hint="eastAsia" w:ascii="仿宋_GB2312" w:hAnsi="仿宋_GB2312" w:eastAsia="仿宋_GB2312" w:cs="仿宋_GB2312"/>
                <w:color w:val="auto"/>
                <w:kern w:val="0"/>
                <w:sz w:val="32"/>
                <w:szCs w:val="32"/>
              </w:rPr>
              <w:t xml:space="preserve">  企业不得出租、出借、买卖或者以其他形式转让其取得的安全生产许可证，或者冒用他人取得的安全生产许可证、使用伪造的安全生产许可证。</w:t>
            </w:r>
          </w:p>
          <w:p w14:paraId="71A19251">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tcPr>
          <w:p w14:paraId="6B67CA5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025811D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（2）安全生产许可证；</w:t>
            </w:r>
          </w:p>
          <w:p w14:paraId="541E1625">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（3）营业执照、安全生产许可证主要负责人身份证；</w:t>
            </w:r>
          </w:p>
          <w:p w14:paraId="5B9D7ABB">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（4）发证机关查询安全生产许可证有关情况资料；</w:t>
            </w:r>
          </w:p>
          <w:p w14:paraId="05B95291">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（5）转让合同（或协议）；</w:t>
            </w:r>
          </w:p>
          <w:p w14:paraId="214DCE5B">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（6）《现场检查记录》《现场处理措施决定书》《查封扣押决定书》等相关执法文书；</w:t>
            </w:r>
          </w:p>
          <w:p w14:paraId="6EE50CFE">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（7）《询问笔录》；</w:t>
            </w:r>
          </w:p>
          <w:p w14:paraId="515FC9C8">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（8）销售合同及相关账务资料；</w:t>
            </w:r>
          </w:p>
          <w:p w14:paraId="78B45063">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vAlign w:val="center"/>
          </w:tcPr>
          <w:p w14:paraId="52697C1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《安全生产许可证条例》第二十一条</w:t>
            </w:r>
            <w:r>
              <w:rPr>
                <w:rFonts w:hint="eastAsia" w:ascii="仿宋_GB2312" w:hAnsi="仿宋_GB2312" w:eastAsia="仿宋_GB2312" w:cs="仿宋_GB2312"/>
                <w:color w:val="auto"/>
                <w:kern w:val="0"/>
                <w:sz w:val="32"/>
                <w:szCs w:val="32"/>
              </w:rPr>
              <w:t>违反本条例规定，转让安全生产许可证的，没收违法所得，处10万元以上50万元以下的罚款，并吊销其安全生产许可证；构成犯罪的，依法追究刑事责任；接受转让的，依照本条例第十九条的规定处罚。</w:t>
            </w:r>
          </w:p>
          <w:p w14:paraId="34C4C5F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冒用安全生产许可证或者使用伪造的安全生产许可证的，依照本条例第十九条的规定处罚。</w:t>
            </w:r>
          </w:p>
          <w:p w14:paraId="3579EE1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《危险化学品生产企业安全生产许可证实施办法》第四十四条</w:t>
            </w:r>
            <w:r>
              <w:rPr>
                <w:rFonts w:hint="eastAsia" w:ascii="仿宋_GB2312" w:hAnsi="仿宋_GB2312" w:eastAsia="仿宋_GB2312" w:cs="仿宋_GB2312"/>
                <w:color w:val="auto"/>
                <w:kern w:val="0"/>
                <w:sz w:val="32"/>
                <w:szCs w:val="32"/>
              </w:rPr>
              <w:t xml:space="preserve">  企业出租、出借或者以其他形式转让安全生产许可证的，没收违法所得，处10万元以上50万元以下的罚款，并吊销安全生产许可证；构成犯罪的，依法追究刑事责任。</w:t>
            </w:r>
          </w:p>
          <w:p w14:paraId="2576D97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《危险化学品生产企业安全生产许可证实施办法》第四十五条</w:t>
            </w:r>
            <w:r>
              <w:rPr>
                <w:rFonts w:hint="eastAsia" w:ascii="仿宋_GB2312" w:hAnsi="仿宋_GB2312" w:eastAsia="仿宋_GB2312" w:cs="仿宋_GB2312"/>
                <w:color w:val="auto"/>
                <w:kern w:val="0"/>
                <w:sz w:val="32"/>
                <w:szCs w:val="32"/>
              </w:rPr>
              <w:t xml:space="preserve">  企业有下列情形之一的，责令停止生产危险化学品，没收违法所得，并处10万元以上50万元以下的罚款；构成犯罪的，依法追究刑事责任：（一）未取得安全生产许可证，擅自进行危险化学品生产的；（二）接受转让的安全生产许可证的；（三）冒用或者使用伪造的安全生产许可证的。</w:t>
            </w:r>
          </w:p>
        </w:tc>
        <w:tc>
          <w:tcPr>
            <w:tcW w:w="951" w:type="dxa"/>
            <w:vAlign w:val="center"/>
          </w:tcPr>
          <w:p w14:paraId="585EC856">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4C18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07" w:hRule="atLeast"/>
          <w:jc w:val="center"/>
        </w:trPr>
        <w:tc>
          <w:tcPr>
            <w:tcW w:w="617" w:type="dxa"/>
            <w:vMerge w:val="restart"/>
            <w:vAlign w:val="center"/>
          </w:tcPr>
          <w:p w14:paraId="0930D43D">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950" w:type="dxa"/>
            <w:vMerge w:val="restart"/>
            <w:vAlign w:val="center"/>
          </w:tcPr>
          <w:p w14:paraId="10108EF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危险化学品经营许可证情况</w:t>
            </w:r>
          </w:p>
        </w:tc>
        <w:tc>
          <w:tcPr>
            <w:tcW w:w="1132" w:type="dxa"/>
            <w:vAlign w:val="center"/>
          </w:tcPr>
          <w:p w14:paraId="38037D5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2.1 经营许可证取得</w:t>
            </w:r>
          </w:p>
        </w:tc>
        <w:tc>
          <w:tcPr>
            <w:tcW w:w="3717" w:type="dxa"/>
            <w:vAlign w:val="center"/>
          </w:tcPr>
          <w:p w14:paraId="0F2A459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 xml:space="preserve">《危险化学品安全管理条例》第三十三条  </w:t>
            </w:r>
            <w:r>
              <w:rPr>
                <w:rFonts w:hint="eastAsia" w:ascii="仿宋_GB2312" w:hAnsi="仿宋_GB2312" w:eastAsia="仿宋_GB2312" w:cs="仿宋_GB2312"/>
                <w:color w:val="auto"/>
                <w:kern w:val="0"/>
                <w:sz w:val="32"/>
                <w:szCs w:val="32"/>
              </w:rPr>
              <w:t>国家对危险化学品经营（包括仓储经营，下同）实行许可制度。未经许可，任何单位和个人不得经营危险化学品。</w:t>
            </w:r>
          </w:p>
          <w:p w14:paraId="07E0C37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依法设立的危险化学品生产企业在其厂区范围内销售本企业生产的危险化学品，不需要取得危险化学品经营许可。</w:t>
            </w:r>
          </w:p>
          <w:p w14:paraId="35CC58E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依照《中华人民共和国港口法》的规定取得港口经营许可证的港口经营人，在港区内从事危险化学品仓储经营，不需要取得危险化学品经营许可。</w:t>
            </w:r>
          </w:p>
          <w:p w14:paraId="47EFD8C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《危险化学品经营许可证管理办法》第二条  </w:t>
            </w:r>
            <w:r>
              <w:rPr>
                <w:rFonts w:hint="eastAsia" w:ascii="仿宋_GB2312" w:hAnsi="仿宋_GB2312" w:eastAsia="仿宋_GB2312" w:cs="仿宋_GB2312"/>
                <w:color w:val="auto"/>
                <w:kern w:val="0"/>
                <w:sz w:val="32"/>
                <w:szCs w:val="32"/>
              </w:rPr>
              <w:t>在中华人民共和国境内从事列入《危险化学品目录》的危险化学品的经营（包括仓储经营）活动，适用本办法。</w:t>
            </w:r>
          </w:p>
          <w:p w14:paraId="6E77E4B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民用爆炸物品、放射性物品、核能物质和城镇燃气的经营活动，不适用本办法。</w:t>
            </w:r>
          </w:p>
          <w:p w14:paraId="6EDFBDF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《危险化学品经营许可证管理办法》第三条  </w:t>
            </w:r>
            <w:r>
              <w:rPr>
                <w:rFonts w:hint="eastAsia" w:ascii="仿宋_GB2312" w:hAnsi="仿宋_GB2312" w:eastAsia="仿宋_GB2312" w:cs="仿宋_GB2312"/>
                <w:color w:val="auto"/>
                <w:kern w:val="0"/>
                <w:sz w:val="32"/>
                <w:szCs w:val="32"/>
              </w:rPr>
              <w:t>国家对危险化学品经营实行许可制度。经营危险化学品的企业，应当依照本办法取得危险化学品经营许可证（以下简称经营许可证）。未取得经营许可证，任何单位和个人不得经营危险化学品。</w:t>
            </w:r>
          </w:p>
          <w:p w14:paraId="75496AB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从事下列危险化学品经营活动，不需要取得经营许可证：</w:t>
            </w:r>
          </w:p>
          <w:p w14:paraId="251D9F3D">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（一）依法取得危险化学品安全生产许可证的危险化学品生产企业在其厂区范围内销售本企业生产的危险化学品的；</w:t>
            </w:r>
          </w:p>
          <w:p w14:paraId="78C75D7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（二）依法取得港口经营许可证的港口经营人在港区内从事危险化学品仓储经营的。</w:t>
            </w:r>
          </w:p>
        </w:tc>
        <w:tc>
          <w:tcPr>
            <w:tcW w:w="3899" w:type="dxa"/>
          </w:tcPr>
          <w:p w14:paraId="58ED5F0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7D3016D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（2）经营许可证；</w:t>
            </w:r>
          </w:p>
          <w:p w14:paraId="3B7510A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（3）主要负责人身份证；</w:t>
            </w:r>
          </w:p>
          <w:p w14:paraId="7512B82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（4）主要负责人安全生产知识和管理能力考核合格证；</w:t>
            </w:r>
          </w:p>
          <w:p w14:paraId="27914B0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（5）《现场检查记录》《现场处理措施决定书》《查封扣押决定书》等相关执法文书；</w:t>
            </w:r>
          </w:p>
          <w:p w14:paraId="22929E2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（6）《询问笔录》；</w:t>
            </w:r>
          </w:p>
          <w:p w14:paraId="47B72A5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（7）发证机关查询经营许可证办理事项内容相关资料；</w:t>
            </w:r>
          </w:p>
          <w:p w14:paraId="5D64428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（8）主要负责人为委托授权的，收集委托授权书、委托事项；</w:t>
            </w:r>
          </w:p>
          <w:p w14:paraId="77A3735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（9）销售合同及相关账务资料；</w:t>
            </w:r>
          </w:p>
          <w:p w14:paraId="4EB8FC9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vAlign w:val="center"/>
          </w:tcPr>
          <w:p w14:paraId="5383546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《危险化学品安全管理条例》第七十七条第三款</w:t>
            </w:r>
            <w:r>
              <w:rPr>
                <w:rFonts w:hint="eastAsia" w:ascii="仿宋_GB2312" w:hAnsi="仿宋_GB2312" w:eastAsia="仿宋_GB2312" w:cs="仿宋_GB2312"/>
                <w:color w:val="auto"/>
                <w:kern w:val="0"/>
                <w:sz w:val="32"/>
                <w:szCs w:val="32"/>
              </w:rPr>
              <w:t xml:space="preserve">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14:paraId="1E887B7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《危险化学品经营许可证管理办法》第二十九条</w:t>
            </w:r>
            <w:r>
              <w:rPr>
                <w:rFonts w:hint="eastAsia" w:ascii="仿宋_GB2312" w:hAnsi="仿宋_GB2312" w:eastAsia="仿宋_GB2312" w:cs="仿宋_GB2312"/>
                <w:color w:val="auto"/>
                <w:kern w:val="0"/>
                <w:sz w:val="32"/>
                <w:szCs w:val="32"/>
              </w:rPr>
              <w:t xml:space="preserve">  未取得经营许可证从事危险化学品经营的，依照《中华人民共和国安全生产法》  有关未经依法批准擅自生产、经营、储存危险物品的法律责任条款并处罚款；构成犯罪的，依法追究刑事责任。</w:t>
            </w:r>
          </w:p>
          <w:p w14:paraId="56FD782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企业在经营许可证有效期届满后，仍然从事危险化学品经营的，依照前款规定给予处罚。</w:t>
            </w:r>
          </w:p>
        </w:tc>
        <w:tc>
          <w:tcPr>
            <w:tcW w:w="951" w:type="dxa"/>
            <w:vAlign w:val="center"/>
          </w:tcPr>
          <w:p w14:paraId="16D90B81">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7B51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Merge w:val="continue"/>
            <w:vAlign w:val="center"/>
          </w:tcPr>
          <w:p w14:paraId="1E7D5018">
            <w:pPr>
              <w:jc w:val="center"/>
              <w:rPr>
                <w:rFonts w:hint="eastAsia" w:ascii="仿宋_GB2312" w:hAnsi="仿宋_GB2312" w:eastAsia="仿宋_GB2312" w:cs="仿宋_GB2312"/>
                <w:color w:val="auto"/>
                <w:sz w:val="32"/>
                <w:szCs w:val="32"/>
              </w:rPr>
            </w:pPr>
          </w:p>
        </w:tc>
        <w:tc>
          <w:tcPr>
            <w:tcW w:w="950" w:type="dxa"/>
            <w:vMerge w:val="continue"/>
            <w:vAlign w:val="center"/>
          </w:tcPr>
          <w:p w14:paraId="20F4A1D1">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1ACD23E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2.2 经营许可证延期</w:t>
            </w:r>
          </w:p>
        </w:tc>
        <w:tc>
          <w:tcPr>
            <w:tcW w:w="3717" w:type="dxa"/>
            <w:vAlign w:val="center"/>
          </w:tcPr>
          <w:p w14:paraId="7EFCFF6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《危险化学品经营许可证管理办法》第十八条</w:t>
            </w:r>
            <w:r>
              <w:rPr>
                <w:rFonts w:hint="eastAsia" w:ascii="仿宋_GB2312" w:hAnsi="仿宋_GB2312" w:eastAsia="仿宋_GB2312" w:cs="仿宋_GB2312"/>
                <w:color w:val="auto"/>
                <w:kern w:val="0"/>
                <w:sz w:val="32"/>
                <w:szCs w:val="32"/>
              </w:rPr>
              <w:t>经营许可证的有效期为3年。有效期满后，企业需要继续从事危险化学品经营活动的，应当在经营许可证有效期满3个月前，向本办法第五条规定的发证机关提出经营许可证的延期申请，......。</w:t>
            </w:r>
          </w:p>
          <w:p w14:paraId="24DEBA6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企业提出经营许可证延期申请时，可以同时提出变更申请，并向发证机关提交相关文件、资料。</w:t>
            </w:r>
          </w:p>
        </w:tc>
        <w:tc>
          <w:tcPr>
            <w:tcW w:w="3899" w:type="dxa"/>
          </w:tcPr>
          <w:p w14:paraId="1E10D46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134335E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（2）经营许可证；</w:t>
            </w:r>
          </w:p>
          <w:p w14:paraId="5A47DB3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（3）《现场检查记录》《现场处理措施决定书》《查封扣押决定书》等相关执法文书；</w:t>
            </w:r>
          </w:p>
          <w:p w14:paraId="383C199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color w:val="auto"/>
                <w:sz w:val="32"/>
                <w:szCs w:val="32"/>
              </w:rPr>
              <w:t>企业相关人员任职文件、身份证明及其询问笔录</w:t>
            </w:r>
            <w:r>
              <w:rPr>
                <w:rFonts w:hint="eastAsia" w:ascii="仿宋_GB2312" w:hAnsi="仿宋_GB2312" w:eastAsia="仿宋_GB2312" w:cs="仿宋_GB2312"/>
                <w:color w:val="auto"/>
                <w:kern w:val="0"/>
                <w:sz w:val="32"/>
                <w:szCs w:val="32"/>
              </w:rPr>
              <w:t>；</w:t>
            </w:r>
          </w:p>
          <w:p w14:paraId="60C1B43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（5）发证机关查询经营许可证延期事项内容相关资料；</w:t>
            </w:r>
          </w:p>
          <w:p w14:paraId="2221BBD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（6）销售合同及相关账务资料；</w:t>
            </w:r>
          </w:p>
          <w:p w14:paraId="58B47DF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tc>
        <w:tc>
          <w:tcPr>
            <w:tcW w:w="3899" w:type="dxa"/>
            <w:vAlign w:val="center"/>
          </w:tcPr>
          <w:p w14:paraId="5A358CB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《危险化学品安全管理条例》第七十七条第三款</w:t>
            </w:r>
            <w:r>
              <w:rPr>
                <w:rFonts w:hint="eastAsia" w:ascii="仿宋_GB2312" w:hAnsi="仿宋_GB2312" w:eastAsia="仿宋_GB2312" w:cs="仿宋_GB2312"/>
                <w:color w:val="auto"/>
                <w:kern w:val="0"/>
                <w:sz w:val="32"/>
                <w:szCs w:val="32"/>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14:paraId="4344B58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《危险化学品经营许可证管理办法》第二十九条</w:t>
            </w:r>
            <w:r>
              <w:rPr>
                <w:rFonts w:hint="eastAsia" w:ascii="仿宋_GB2312" w:hAnsi="仿宋_GB2312" w:eastAsia="仿宋_GB2312" w:cs="仿宋_GB2312"/>
                <w:color w:val="auto"/>
                <w:kern w:val="0"/>
                <w:sz w:val="32"/>
                <w:szCs w:val="32"/>
              </w:rPr>
              <w:t xml:space="preserve">  未取得经营许可证从事危险化学品经营的，依照《中华人民共和国安全生产法》  有关未经依法批准擅自生产、经营、储存危险物品的法律责任条款并处罚款；构成犯罪的，依法追究刑事责任。</w:t>
            </w:r>
          </w:p>
          <w:p w14:paraId="0ADA6CB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企业在经营许可证有效期届满后，仍然从事危险化学品经营的，依照前款规定给予处罚。</w:t>
            </w:r>
          </w:p>
        </w:tc>
        <w:tc>
          <w:tcPr>
            <w:tcW w:w="951" w:type="dxa"/>
            <w:vAlign w:val="center"/>
          </w:tcPr>
          <w:p w14:paraId="5752B2D4">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3D2E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73" w:hRule="atLeast"/>
          <w:jc w:val="center"/>
        </w:trPr>
        <w:tc>
          <w:tcPr>
            <w:tcW w:w="617" w:type="dxa"/>
            <w:vMerge w:val="continue"/>
            <w:vAlign w:val="center"/>
          </w:tcPr>
          <w:p w14:paraId="7BF9EA25">
            <w:pPr>
              <w:jc w:val="center"/>
              <w:rPr>
                <w:rFonts w:hint="eastAsia" w:ascii="仿宋_GB2312" w:hAnsi="仿宋_GB2312" w:eastAsia="仿宋_GB2312" w:cs="仿宋_GB2312"/>
                <w:color w:val="auto"/>
                <w:sz w:val="32"/>
                <w:szCs w:val="32"/>
              </w:rPr>
            </w:pPr>
          </w:p>
        </w:tc>
        <w:tc>
          <w:tcPr>
            <w:tcW w:w="950" w:type="dxa"/>
            <w:vMerge w:val="continue"/>
            <w:vAlign w:val="center"/>
          </w:tcPr>
          <w:p w14:paraId="495A34A5">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486D7F7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2.3 经营许可证变更</w:t>
            </w:r>
          </w:p>
        </w:tc>
        <w:tc>
          <w:tcPr>
            <w:tcW w:w="3717" w:type="dxa"/>
            <w:vAlign w:val="center"/>
          </w:tcPr>
          <w:p w14:paraId="75741F8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《危险化学品经营许可证管理办法》第十四条</w:t>
            </w:r>
            <w:r>
              <w:rPr>
                <w:rFonts w:hint="eastAsia" w:ascii="仿宋_GB2312" w:hAnsi="仿宋_GB2312" w:eastAsia="仿宋_GB2312" w:cs="仿宋_GB2312"/>
                <w:color w:val="auto"/>
                <w:kern w:val="0"/>
                <w:sz w:val="32"/>
                <w:szCs w:val="32"/>
              </w:rPr>
              <w:t>已经取得经营许可证的企业变更企业名称、主要负责人、注册地址或者危险化学品储存设施及其监控措施的，应当自变更之日起20个工作日内，向本办法第五条规定的发证机关提出书面变更申请，......。</w:t>
            </w:r>
          </w:p>
          <w:p w14:paraId="2DF9406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《危险化学品经营许可证管理办法》第十六条</w:t>
            </w:r>
            <w:r>
              <w:rPr>
                <w:rFonts w:hint="eastAsia" w:ascii="仿宋_GB2312" w:hAnsi="仿宋_GB2312" w:eastAsia="仿宋_GB2312" w:cs="仿宋_GB2312"/>
                <w:color w:val="auto"/>
                <w:kern w:val="0"/>
                <w:sz w:val="32"/>
                <w:szCs w:val="32"/>
              </w:rPr>
              <w:t>已经取得经营许可证的企业有新建、改建、扩建危险化学品储存设施建设项目的，应当自建设项目安全设施竣工验收合格之日起20个工作日内，向本办法第五条规定的发证机关提出变更申请，并提交危险化学品建设项目安全设施竣工验收报告等相关文件、资料。发证机关应当按照本办法第十条、第十五条的规定进行审查，办理变更手续。</w:t>
            </w:r>
          </w:p>
        </w:tc>
        <w:tc>
          <w:tcPr>
            <w:tcW w:w="3899" w:type="dxa"/>
          </w:tcPr>
          <w:p w14:paraId="66D080E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198A66F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（2）经营许可证；</w:t>
            </w:r>
          </w:p>
          <w:p w14:paraId="0C8EF13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（3）营业执照、经营许可证主要负责人身份证；</w:t>
            </w:r>
          </w:p>
          <w:p w14:paraId="5DB6CFC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（4）主要负责人任职及职责分工文件；</w:t>
            </w:r>
          </w:p>
          <w:p w14:paraId="3D92D89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安全生产知识和管理能力培训合格证明文件；</w:t>
            </w:r>
          </w:p>
          <w:p w14:paraId="3CA2E3B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（5）主要负责人为委托授权的，收集委托授权书、委托事项；</w:t>
            </w:r>
          </w:p>
          <w:p w14:paraId="52B8DF2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（6）危险化学品建设项目（新建、改建、扩建）安全设施竣工验收报告等相关文件、资料；</w:t>
            </w:r>
          </w:p>
          <w:p w14:paraId="1D6AC9F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（7）发证机关查询经营许可证变更事项内容相关资料；</w:t>
            </w:r>
          </w:p>
          <w:p w14:paraId="25EC7BF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6A47975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（9）《询问笔录》；</w:t>
            </w:r>
          </w:p>
          <w:p w14:paraId="67CA5EA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vAlign w:val="center"/>
          </w:tcPr>
          <w:p w14:paraId="7ABB62C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《危险化学品经营许可证管理办法》第三十三条</w:t>
            </w:r>
            <w:r>
              <w:rPr>
                <w:rFonts w:hint="eastAsia" w:ascii="仿宋_GB2312" w:hAnsi="仿宋_GB2312" w:eastAsia="仿宋_GB2312" w:cs="仿宋_GB2312"/>
                <w:color w:val="auto"/>
                <w:kern w:val="0"/>
                <w:sz w:val="32"/>
                <w:szCs w:val="32"/>
              </w:rPr>
              <w:t>已经取得经营许可证的企业出现本办法第十四条、第十六条规定的情形之一，未依照本办法的规定申请变更的，责令限期改正，处1万元以下的罚款；逾期仍不申请变更的，处1万元以上3万元以下的罚款。</w:t>
            </w:r>
          </w:p>
        </w:tc>
        <w:tc>
          <w:tcPr>
            <w:tcW w:w="951" w:type="dxa"/>
            <w:vAlign w:val="center"/>
          </w:tcPr>
          <w:p w14:paraId="62069FA8">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7993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21" w:hRule="atLeast"/>
          <w:jc w:val="center"/>
        </w:trPr>
        <w:tc>
          <w:tcPr>
            <w:tcW w:w="617" w:type="dxa"/>
            <w:vMerge w:val="continue"/>
            <w:vAlign w:val="center"/>
          </w:tcPr>
          <w:p w14:paraId="5B0F14DA">
            <w:pPr>
              <w:jc w:val="center"/>
              <w:rPr>
                <w:rFonts w:hint="eastAsia" w:ascii="仿宋_GB2312" w:hAnsi="仿宋_GB2312" w:eastAsia="仿宋_GB2312" w:cs="仿宋_GB2312"/>
                <w:color w:val="auto"/>
                <w:sz w:val="32"/>
                <w:szCs w:val="32"/>
              </w:rPr>
            </w:pPr>
          </w:p>
        </w:tc>
        <w:tc>
          <w:tcPr>
            <w:tcW w:w="950" w:type="dxa"/>
            <w:vMerge w:val="continue"/>
            <w:vAlign w:val="center"/>
          </w:tcPr>
          <w:p w14:paraId="3A348A34">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3C8AED6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2.4 伪造、变造或者出租、出借、转让经营许可证，或者使用伪造、变造的经营许可证</w:t>
            </w:r>
          </w:p>
        </w:tc>
        <w:tc>
          <w:tcPr>
            <w:tcW w:w="3717" w:type="dxa"/>
            <w:vAlign w:val="center"/>
          </w:tcPr>
          <w:p w14:paraId="20B0409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《危险化学品经营许可证管理办法》第二十一条</w:t>
            </w:r>
            <w:r>
              <w:rPr>
                <w:rFonts w:hint="eastAsia" w:ascii="仿宋_GB2312" w:hAnsi="仿宋_GB2312" w:eastAsia="仿宋_GB2312" w:cs="仿宋_GB2312"/>
                <w:color w:val="auto"/>
                <w:kern w:val="0"/>
                <w:sz w:val="32"/>
                <w:szCs w:val="32"/>
              </w:rPr>
              <w:t>任何单位和个人不得伪造、变造经营许可证，或者出租、出借、转让其取得的经营许可证，或者使用伪造、变造的经营许可证。</w:t>
            </w:r>
          </w:p>
        </w:tc>
        <w:tc>
          <w:tcPr>
            <w:tcW w:w="3899" w:type="dxa"/>
          </w:tcPr>
          <w:p w14:paraId="3862A71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3F2D717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（2）经营许可证；</w:t>
            </w:r>
          </w:p>
          <w:p w14:paraId="46663C8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（3）发证机关查询登记情况资料；</w:t>
            </w:r>
          </w:p>
          <w:p w14:paraId="11E7937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（4）转让合同（或协议）；</w:t>
            </w:r>
          </w:p>
          <w:p w14:paraId="7A3D7F8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（5）《现场检查记录》《查封扣押决定书》等相关执法文书；</w:t>
            </w:r>
          </w:p>
          <w:p w14:paraId="43EB5FC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color w:val="auto"/>
                <w:sz w:val="32"/>
                <w:szCs w:val="32"/>
              </w:rPr>
              <w:t>企业相关人员任职文件、身份证明及其询问笔录</w:t>
            </w:r>
            <w:r>
              <w:rPr>
                <w:rFonts w:hint="eastAsia" w:ascii="仿宋_GB2312" w:hAnsi="仿宋_GB2312" w:eastAsia="仿宋_GB2312" w:cs="仿宋_GB2312"/>
                <w:color w:val="auto"/>
                <w:kern w:val="0"/>
                <w:sz w:val="32"/>
                <w:szCs w:val="32"/>
              </w:rPr>
              <w:t>；</w:t>
            </w:r>
          </w:p>
          <w:p w14:paraId="4E9CE5B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（7）证人证言；</w:t>
            </w:r>
          </w:p>
          <w:p w14:paraId="34CD83D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vAlign w:val="center"/>
          </w:tcPr>
          <w:p w14:paraId="36312D1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《危险化学品经营许可证管理办法》第三十一条</w:t>
            </w:r>
            <w:r>
              <w:rPr>
                <w:rFonts w:hint="eastAsia" w:ascii="仿宋_GB2312" w:hAnsi="仿宋_GB2312" w:eastAsia="仿宋_GB2312" w:cs="仿宋_GB2312"/>
                <w:color w:val="auto"/>
                <w:kern w:val="0"/>
                <w:sz w:val="32"/>
                <w:szCs w:val="32"/>
              </w:rPr>
              <w:t>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tc>
        <w:tc>
          <w:tcPr>
            <w:tcW w:w="951" w:type="dxa"/>
            <w:vAlign w:val="center"/>
          </w:tcPr>
          <w:p w14:paraId="640D5AFC">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4FAA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72" w:hRule="atLeast"/>
          <w:jc w:val="center"/>
        </w:trPr>
        <w:tc>
          <w:tcPr>
            <w:tcW w:w="617" w:type="dxa"/>
            <w:vMerge w:val="restart"/>
            <w:vAlign w:val="center"/>
          </w:tcPr>
          <w:p w14:paraId="459A0A64">
            <w:pPr>
              <w:rPr>
                <w:rFonts w:hint="eastAsia" w:ascii="仿宋_GB2312" w:hAnsi="仿宋_GB2312" w:eastAsia="仿宋_GB2312" w:cs="仿宋_GB2312"/>
                <w:color w:val="auto"/>
                <w:kern w:val="0"/>
                <w:sz w:val="32"/>
                <w:szCs w:val="32"/>
              </w:rPr>
            </w:pPr>
          </w:p>
          <w:p w14:paraId="00118ED0">
            <w:pPr>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p>
        </w:tc>
        <w:tc>
          <w:tcPr>
            <w:tcW w:w="950" w:type="dxa"/>
            <w:vMerge w:val="restart"/>
            <w:vAlign w:val="center"/>
          </w:tcPr>
          <w:p w14:paraId="5BA99CA3">
            <w:pPr>
              <w:widowControl/>
              <w:adjustRightInd w:val="0"/>
              <w:snapToGrid w:val="0"/>
              <w:rPr>
                <w:rFonts w:hint="eastAsia" w:ascii="仿宋_GB2312" w:hAnsi="仿宋_GB2312" w:eastAsia="仿宋_GB2312" w:cs="仿宋_GB2312"/>
                <w:color w:val="auto"/>
                <w:kern w:val="0"/>
                <w:sz w:val="32"/>
                <w:szCs w:val="32"/>
              </w:rPr>
            </w:pPr>
          </w:p>
          <w:p w14:paraId="42E995C8">
            <w:pPr>
              <w:pStyle w:val="2"/>
              <w:ind w:firstLine="360"/>
              <w:rPr>
                <w:rFonts w:hint="eastAsia" w:ascii="仿宋_GB2312" w:hAnsi="仿宋_GB2312" w:eastAsia="仿宋_GB2312" w:cs="仿宋_GB2312"/>
                <w:color w:val="auto"/>
                <w:sz w:val="32"/>
                <w:szCs w:val="32"/>
              </w:rPr>
            </w:pPr>
          </w:p>
          <w:p w14:paraId="7298EF4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人员管理情况</w:t>
            </w:r>
          </w:p>
        </w:tc>
        <w:tc>
          <w:tcPr>
            <w:tcW w:w="1132" w:type="dxa"/>
            <w:vAlign w:val="center"/>
          </w:tcPr>
          <w:p w14:paraId="3EF9192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3.1 生产经营单位设置安全生产管理机构、配备专职安全管理人员情况</w:t>
            </w:r>
          </w:p>
        </w:tc>
        <w:tc>
          <w:tcPr>
            <w:tcW w:w="3717" w:type="dxa"/>
            <w:vAlign w:val="center"/>
          </w:tcPr>
          <w:p w14:paraId="024DDBCC">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第二十四条第一款</w:t>
            </w:r>
            <w:r>
              <w:rPr>
                <w:rFonts w:hint="eastAsia" w:ascii="仿宋_GB2312" w:hAnsi="仿宋_GB2312" w:eastAsia="仿宋_GB2312" w:cs="仿宋_GB2312"/>
                <w:color w:val="auto"/>
                <w:kern w:val="0"/>
                <w:sz w:val="32"/>
                <w:szCs w:val="32"/>
              </w:rPr>
              <w:t>矿山、金属冶炼、建筑施工、运输单位和危险物品的生产、经营、储存、装卸单位，应当设置安全生产管理机构或者配备专职安全生产管理人员。</w:t>
            </w:r>
          </w:p>
          <w:p w14:paraId="01BB7775">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《中华人民共和国安全生产法》第二十七条第三款</w:t>
            </w:r>
            <w:r>
              <w:rPr>
                <w:rFonts w:hint="eastAsia" w:ascii="仿宋_GB2312" w:hAnsi="仿宋_GB2312" w:eastAsia="仿宋_GB2312" w:cs="仿宋_GB2312"/>
                <w:color w:val="auto"/>
                <w:kern w:val="0"/>
                <w:sz w:val="32"/>
                <w:szCs w:val="32"/>
              </w:rPr>
              <w:t xml:space="preserve"> 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p w14:paraId="2B77A8FE">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《危险化学品生产企业安全生产许可证实施办法》第十二条</w:t>
            </w:r>
            <w:r>
              <w:rPr>
                <w:rFonts w:hint="eastAsia" w:ascii="仿宋_GB2312" w:hAnsi="仿宋_GB2312" w:eastAsia="仿宋_GB2312" w:cs="仿宋_GB2312"/>
                <w:color w:val="auto"/>
                <w:kern w:val="0"/>
                <w:sz w:val="32"/>
                <w:szCs w:val="32"/>
              </w:rPr>
              <w:t xml:space="preserve">  企业应当依法设置安全生产管理机构，配备专职安全生产管理人员。配备的专职安全生产管理人员必须能够满足安全生产的需要。</w:t>
            </w:r>
          </w:p>
          <w:p w14:paraId="7E337E3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《国家安全监管总局、工业和信息化部关于危险化学品企业贯彻落实&lt;国务院关于进一步加强企业安全生产工作的通知&gt;的实施意见》（安监总管三[2010]186号）第一条第3款</w:t>
            </w:r>
            <w:r>
              <w:rPr>
                <w:rFonts w:hint="eastAsia" w:ascii="仿宋_GB2312" w:hAnsi="仿宋_GB2312" w:eastAsia="仿宋_GB2312" w:cs="仿宋_GB2312"/>
                <w:color w:val="auto"/>
                <w:kern w:val="0"/>
                <w:sz w:val="32"/>
                <w:szCs w:val="32"/>
              </w:rPr>
              <w:t>......专职安全生产管理人员不少于企业员工总数的2%（不足50人的企业至少配备1人）......。</w:t>
            </w:r>
          </w:p>
          <w:p w14:paraId="28DF3F7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《危险化学品生产企业安全生产许可证实施办法》第十六条</w:t>
            </w:r>
            <w:r>
              <w:rPr>
                <w:rFonts w:hint="eastAsia" w:ascii="仿宋_GB2312" w:hAnsi="仿宋_GB2312" w:eastAsia="仿宋_GB2312" w:cs="仿宋_GB2312"/>
                <w:color w:val="auto"/>
                <w:kern w:val="0"/>
                <w:sz w:val="32"/>
                <w:szCs w:val="32"/>
              </w:rPr>
              <w:t>企业主要负责人、分管安全负责人和安全生产管理人员必须具备与其从事的生产经营活动相适应的安全生产知识和管理能力，依法参加安全生产培训，并经考核合格，取得安全合格证书。</w:t>
            </w:r>
          </w:p>
          <w:p w14:paraId="350C086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企业分管安全负责人、分管生产负责人、分管技术负责人应当具有一定的化工专业知识或者相应的专业学历，专职安全生产管理人员应当具备国民教育化工化学类（或安全工程）中等职业教育以上学历或者化工化学类中级以上专业技术职称。</w:t>
            </w:r>
          </w:p>
          <w:p w14:paraId="5BD9D47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企业应当有危险物品安全类注册安全工程师从事安全生产管理工作。......</w:t>
            </w:r>
          </w:p>
          <w:p w14:paraId="0C1899F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《注册安全工程师管理规定》第六条  </w:t>
            </w:r>
            <w:r>
              <w:rPr>
                <w:rFonts w:hint="eastAsia" w:ascii="仿宋_GB2312" w:hAnsi="仿宋_GB2312" w:eastAsia="仿宋_GB2312" w:cs="仿宋_GB2312"/>
                <w:color w:val="auto"/>
                <w:kern w:val="0"/>
                <w:sz w:val="32"/>
                <w:szCs w:val="32"/>
              </w:rPr>
              <w:t>从业人员300人以上的煤矿、非煤矿矿山、建筑施工单位和危险物品生产、经营单位，应当按照不少于安全生产管理人员15%的比例配备注册安全工程师；安全生产管理人员在7人以下的，至少配备1名。</w:t>
            </w:r>
          </w:p>
          <w:p w14:paraId="2F12A01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前款规定以外的其他生产经营单位，应当配备注册安全工程师或者委托安全生产中介机构选派注册安全工程师提供安全生产服务。......</w:t>
            </w:r>
          </w:p>
          <w:p w14:paraId="5C3467C1">
            <w:pPr>
              <w:widowControl/>
              <w:shd w:val="clear" w:color="auto" w:fill="FFFFFF"/>
              <w:spacing w:after="155" w:line="249" w:lineRule="atLeast"/>
              <w:ind w:firstLine="48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《注册安全工程师分类管理办法》第十二条</w:t>
            </w:r>
            <w:r>
              <w:rPr>
                <w:rFonts w:hint="eastAsia" w:ascii="仿宋_GB2312" w:hAnsi="仿宋_GB2312" w:eastAsia="仿宋_GB2312" w:cs="仿宋_GB2312"/>
                <w:color w:val="auto"/>
                <w:kern w:val="0"/>
                <w:sz w:val="32"/>
                <w:szCs w:val="32"/>
              </w:rPr>
              <w:t>危险物品的生产、储存单位以及矿山、金属冶炼单位应当有相应专业类别的中级及以上注册安全工程师从事安全生产管理工作。</w:t>
            </w:r>
          </w:p>
          <w:p w14:paraId="488355BE">
            <w:pPr>
              <w:widowControl/>
              <w:shd w:val="clear" w:color="auto" w:fill="FFFFFF"/>
              <w:spacing w:after="155" w:line="249" w:lineRule="atLeast"/>
              <w:ind w:firstLine="48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危险物品的生产、储存单位以及矿山单位安全生产管理人员中的中级及以上注册安全工程师比例应自本办法施行之日起2年内，金属冶炼单位安全生产管理人员中的中级及以上注册安全工程师比例应自本办法施行之日起5年内达到15%左右并逐步提高。</w:t>
            </w:r>
          </w:p>
          <w:p w14:paraId="6EA09B9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 xml:space="preserve">《危险化学品经营许可证管理办法》第八条  </w:t>
            </w:r>
            <w:r>
              <w:rPr>
                <w:rFonts w:hint="eastAsia" w:ascii="仿宋_GB2312" w:hAnsi="仿宋_GB2312" w:eastAsia="仿宋_GB2312" w:cs="仿宋_GB2312"/>
                <w:color w:val="auto"/>
                <w:kern w:val="0"/>
                <w:sz w:val="32"/>
                <w:szCs w:val="32"/>
              </w:rPr>
              <w:t>申请人带有储存设施经营危险化学品的，除符合本办法第六条规定的条件外，还应当具备下列条件：</w:t>
            </w:r>
          </w:p>
          <w:p w14:paraId="60D817DC">
            <w:pPr>
              <w:widowControl/>
              <w:adjustRightInd w:val="0"/>
              <w:snapToGrid w:val="0"/>
              <w:ind w:firstLine="64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......（四）专职安全生产管理人员具备国民教育化工化学类或者安全工程类中等职业教育以上学历，或者化工化学类中级以上专业技术职称，或者危险物品安全类注册安全工程师资格；......</w:t>
            </w:r>
          </w:p>
        </w:tc>
        <w:tc>
          <w:tcPr>
            <w:tcW w:w="3899" w:type="dxa"/>
            <w:vAlign w:val="center"/>
          </w:tcPr>
          <w:p w14:paraId="2BC70CF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065B5BF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（2）企业安全生产许可证或经营许可证；</w:t>
            </w:r>
          </w:p>
          <w:p w14:paraId="62453E3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（3）设置安全生产管理机构的文件；</w:t>
            </w:r>
          </w:p>
          <w:p w14:paraId="7125DD4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（4）配备专职安全生产管理人员的文件；</w:t>
            </w:r>
          </w:p>
          <w:p w14:paraId="38B6238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（5）企业员工人数和安全管理人员配备数量比例（2%）；</w:t>
            </w:r>
          </w:p>
          <w:p w14:paraId="2EE1FF5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（6）注册安全工程师配备人数；</w:t>
            </w:r>
          </w:p>
          <w:p w14:paraId="5208412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（7）有关人员的培训考核合格证、学历、资格证书；</w:t>
            </w:r>
          </w:p>
          <w:p w14:paraId="05C3B87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（8）《现场检查记录》《责令限期整改指令书》《现场处理措施决定书》《查封扣押决定书》等相关执法文书；</w:t>
            </w:r>
          </w:p>
          <w:p w14:paraId="74C7508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w:t>
            </w:r>
            <w:r>
              <w:rPr>
                <w:rFonts w:hint="eastAsia" w:ascii="仿宋_GB2312" w:hAnsi="仿宋_GB2312" w:eastAsia="仿宋_GB2312" w:cs="仿宋_GB2312"/>
                <w:bCs/>
                <w:color w:val="auto"/>
                <w:sz w:val="32"/>
                <w:szCs w:val="32"/>
              </w:rPr>
              <w:t>企业相关人员任职文件、身份证明及其询问笔录</w:t>
            </w:r>
            <w:r>
              <w:rPr>
                <w:rFonts w:hint="eastAsia" w:ascii="仿宋_GB2312" w:hAnsi="仿宋_GB2312" w:eastAsia="仿宋_GB2312" w:cs="仿宋_GB2312"/>
                <w:color w:val="auto"/>
                <w:kern w:val="0"/>
                <w:sz w:val="32"/>
                <w:szCs w:val="32"/>
              </w:rPr>
              <w:t>；</w:t>
            </w:r>
          </w:p>
          <w:p w14:paraId="6BCCB41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p w14:paraId="302B8C20">
            <w:pPr>
              <w:widowControl/>
              <w:adjustRightInd w:val="0"/>
              <w:snapToGrid w:val="0"/>
              <w:rPr>
                <w:rFonts w:hint="eastAsia" w:ascii="仿宋_GB2312" w:hAnsi="仿宋_GB2312" w:eastAsia="仿宋_GB2312" w:cs="仿宋_GB2312"/>
                <w:color w:val="auto"/>
                <w:kern w:val="0"/>
                <w:sz w:val="32"/>
                <w:szCs w:val="32"/>
              </w:rPr>
            </w:pPr>
          </w:p>
        </w:tc>
        <w:tc>
          <w:tcPr>
            <w:tcW w:w="3899" w:type="dxa"/>
            <w:vAlign w:val="center"/>
          </w:tcPr>
          <w:p w14:paraId="4FEBDDD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 xml:space="preserve">《中华人民共和国安全生产法》第九十七条 </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7F328D8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（一）未按照规定设置安全生产管理机构或者配备安全生产管理人员、注册安全工程师的；</w:t>
            </w:r>
          </w:p>
          <w:p w14:paraId="2BE264A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《危险化学品生产企业安全生产许可证实施办法》第四十三条</w:t>
            </w:r>
            <w:r>
              <w:rPr>
                <w:rFonts w:hint="eastAsia" w:ascii="仿宋_GB2312" w:hAnsi="仿宋_GB2312" w:eastAsia="仿宋_GB2312" w:cs="仿宋_GB2312"/>
                <w:color w:val="auto"/>
                <w:kern w:val="0"/>
                <w:sz w:val="32"/>
                <w:szCs w:val="32"/>
              </w:rPr>
              <w:t xml:space="preserve">  企业取得安全生产许可证后发现其不具备本办法规定的安全生产条件的，依法暂扣其安全生产许可证1个月以上6个月以下；暂扣期满仍不具备本办法规定的安全生产条件的，依法吊销其安全生产许可证。</w:t>
            </w:r>
          </w:p>
          <w:p w14:paraId="735026C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《危险化学品经营许可证管理办法》第三十二条</w:t>
            </w:r>
            <w:r>
              <w:rPr>
                <w:rFonts w:hint="eastAsia" w:ascii="仿宋_GB2312" w:hAnsi="仿宋_GB2312" w:eastAsia="仿宋_GB2312" w:cs="仿宋_GB2312"/>
                <w:color w:val="auto"/>
                <w:kern w:val="0"/>
                <w:sz w:val="32"/>
                <w:szCs w:val="32"/>
              </w:rPr>
              <w:t xml:space="preserve">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tc>
        <w:tc>
          <w:tcPr>
            <w:tcW w:w="951" w:type="dxa"/>
            <w:vAlign w:val="center"/>
          </w:tcPr>
          <w:p w14:paraId="3D4FB580">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5FE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14:paraId="68BA6899">
            <w:pPr>
              <w:jc w:val="center"/>
              <w:rPr>
                <w:rFonts w:hint="eastAsia" w:ascii="仿宋_GB2312" w:hAnsi="仿宋_GB2312" w:eastAsia="仿宋_GB2312" w:cs="仿宋_GB2312"/>
                <w:color w:val="auto"/>
                <w:sz w:val="32"/>
                <w:szCs w:val="32"/>
              </w:rPr>
            </w:pPr>
          </w:p>
        </w:tc>
        <w:tc>
          <w:tcPr>
            <w:tcW w:w="950" w:type="dxa"/>
            <w:vMerge w:val="continue"/>
            <w:vAlign w:val="center"/>
          </w:tcPr>
          <w:p w14:paraId="2819FD41">
            <w:pPr>
              <w:widowControl/>
              <w:adjustRightInd w:val="0"/>
              <w:snapToGrid w:val="0"/>
              <w:rPr>
                <w:rFonts w:hint="eastAsia" w:ascii="仿宋_GB2312" w:hAnsi="仿宋_GB2312" w:eastAsia="仿宋_GB2312" w:cs="仿宋_GB2312"/>
                <w:color w:val="auto"/>
                <w:kern w:val="0"/>
                <w:sz w:val="32"/>
                <w:szCs w:val="32"/>
              </w:rPr>
            </w:pPr>
          </w:p>
        </w:tc>
        <w:tc>
          <w:tcPr>
            <w:tcW w:w="1132" w:type="dxa"/>
            <w:vAlign w:val="center"/>
          </w:tcPr>
          <w:p w14:paraId="7D9E5F2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3.2 主要负责人和安全管理人员安全生产知识和管理能力及考核（重大隐患）</w:t>
            </w:r>
          </w:p>
        </w:tc>
        <w:tc>
          <w:tcPr>
            <w:tcW w:w="3717" w:type="dxa"/>
            <w:vAlign w:val="center"/>
          </w:tcPr>
          <w:p w14:paraId="2F95B4A4">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第二十七条第二款</w:t>
            </w:r>
            <w:r>
              <w:rPr>
                <w:rFonts w:hint="eastAsia" w:ascii="仿宋_GB2312" w:hAnsi="仿宋_GB2312" w:eastAsia="仿宋_GB2312" w:cs="仿宋_GB2312"/>
                <w:color w:val="auto"/>
                <w:kern w:val="0"/>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0FD25AD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《危险化学品生产企业安全生产许可证实施办法》第十六条第一款</w:t>
            </w:r>
            <w:r>
              <w:rPr>
                <w:rFonts w:hint="eastAsia" w:ascii="仿宋_GB2312" w:hAnsi="仿宋_GB2312" w:eastAsia="仿宋_GB2312" w:cs="仿宋_GB2312"/>
                <w:color w:val="auto"/>
                <w:kern w:val="0"/>
                <w:sz w:val="32"/>
                <w:szCs w:val="32"/>
              </w:rPr>
              <w:t xml:space="preserve">  企业主要负责人、分管安全负责人和安全生产管理人员必须具备与其从事的生产经营活动相适应的安全生产知识和管理能力，依法参加安全生产培训，并经考核合格，取得安全合格证书。</w:t>
            </w:r>
          </w:p>
          <w:p w14:paraId="351D6E7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《危险化学品经营许可证管理办法》第六条</w:t>
            </w:r>
            <w:r>
              <w:rPr>
                <w:rFonts w:hint="eastAsia" w:ascii="仿宋_GB2312" w:hAnsi="仿宋_GB2312" w:eastAsia="仿宋_GB2312" w:cs="仿宋_GB2312"/>
                <w:color w:val="auto"/>
                <w:kern w:val="0"/>
                <w:sz w:val="32"/>
                <w:szCs w:val="32"/>
              </w:rPr>
              <w:t xml:space="preserve">  从事危险化学品经营的单位（以下统称申请人）应当依法登记注册为企业，并具备下列基本条件：</w:t>
            </w:r>
          </w:p>
          <w:p w14:paraId="242CDFE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企业主要负责人和安全生产管理人员具备与本企业危险化学品经营活动相适应的安全生产知识和管理能力，经专门的安全生产培训和安全生产监督管理部门考核合格，取得相应安全资格证书；特种作业人员经专门的安全作业培训，取得特种作业操作证书；其他从业人员依照有关规定经安全生产教育和专业技术培训合格；......</w:t>
            </w:r>
          </w:p>
          <w:p w14:paraId="2E4378EE">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 xml:space="preserve">《生产经营单位安全培训规定》第二十四条  </w:t>
            </w:r>
            <w:r>
              <w:rPr>
                <w:rFonts w:hint="eastAsia" w:ascii="仿宋_GB2312" w:hAnsi="仿宋_GB2312" w:eastAsia="仿宋_GB2312" w:cs="仿宋_GB2312"/>
                <w:color w:val="auto"/>
                <w:kern w:val="0"/>
                <w:sz w:val="32"/>
                <w:szCs w:val="32"/>
              </w:rPr>
              <w:t>煤矿、非煤矿山、危险化学品、烟花爆竹、金属冶炼等生产经营单位主要负责人和安全生产管理人员，自任职之日起6个月内，必须经安全生产监管监察部门对其安全生产知识和管理能力考核合格。</w:t>
            </w:r>
          </w:p>
        </w:tc>
        <w:tc>
          <w:tcPr>
            <w:tcW w:w="3899" w:type="dxa"/>
            <w:vAlign w:val="center"/>
          </w:tcPr>
          <w:p w14:paraId="142D8C7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27EB4EF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（2）企业安全生产许可证或经营许可证；</w:t>
            </w:r>
          </w:p>
          <w:p w14:paraId="7154C40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（3）主要负责人、分管安全负责人、安全生产管理人员等的任职证明文件；</w:t>
            </w:r>
          </w:p>
          <w:p w14:paraId="5BBE5F7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（4）主要负责人、分管安全负责人、安全生产管理人员的《安全生产知识和管理能力培训考核合格证》；</w:t>
            </w:r>
          </w:p>
          <w:p w14:paraId="6C28957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（5）危险化学品生产企业分管安全负责人、分管生产负责人、分管技术负责人、专职安全管理人员的学历证明；</w:t>
            </w:r>
          </w:p>
          <w:p w14:paraId="71881A1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（6）危险物品安全类注册安全工程师的资格证书；</w:t>
            </w:r>
          </w:p>
          <w:p w14:paraId="0CCF282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（7）主要负责人、分管安全负责人、安全生产管理人员等安全教育培训档案；</w:t>
            </w:r>
          </w:p>
          <w:p w14:paraId="1872AD1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（8）有关人员的身份证；</w:t>
            </w:r>
          </w:p>
          <w:p w14:paraId="1952B8D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（9）《现场检查记录》《责令限期整改指令书》《现场处理措施决定书》《查封扣押决定书》等相关执法文书；</w:t>
            </w:r>
          </w:p>
          <w:p w14:paraId="7DB40D4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（10）《询问笔录》；</w:t>
            </w:r>
          </w:p>
          <w:p w14:paraId="65FE317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（11）其他相关证据。</w:t>
            </w:r>
          </w:p>
        </w:tc>
        <w:tc>
          <w:tcPr>
            <w:tcW w:w="3899" w:type="dxa"/>
            <w:vAlign w:val="center"/>
          </w:tcPr>
          <w:p w14:paraId="54D6CDFB">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第九十七条第二项</w:t>
            </w:r>
            <w:r>
              <w:rPr>
                <w:rFonts w:hint="eastAsia" w:ascii="仿宋_GB2312" w:hAnsi="仿宋_GB2312" w:eastAsia="仿宋_GB2312" w:cs="仿宋_GB2312"/>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6475EC0E">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（二）危险物品的生产、经营、储存、装卸单位以及矿山、金属冶炼、建筑施工、运输单位的主要负责人和安全生产管理人员未按照规定经考核合格的；</w:t>
            </w:r>
          </w:p>
          <w:p w14:paraId="31E2609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《危险化学品生产企业安全生产许可证实施办法》第四十三条</w:t>
            </w:r>
            <w:r>
              <w:rPr>
                <w:rFonts w:hint="eastAsia" w:ascii="仿宋_GB2312" w:hAnsi="仿宋_GB2312" w:eastAsia="仿宋_GB2312" w:cs="仿宋_GB2312"/>
                <w:color w:val="auto"/>
                <w:kern w:val="0"/>
                <w:sz w:val="32"/>
                <w:szCs w:val="32"/>
              </w:rPr>
              <w:t xml:space="preserve">  企业取得安全生产许可证后发现其不具备本办法规定的安全生产条件的，依法暂扣其安全生产许可证1个月以上6个月以下；暂扣期满仍不具备本办法规定的安全生产条件的，依法吊销其安全生产许可证。</w:t>
            </w:r>
          </w:p>
          <w:p w14:paraId="28ABF6D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《危险化学品经营许可证管理办法》第三十二条</w:t>
            </w:r>
            <w:r>
              <w:rPr>
                <w:rFonts w:hint="eastAsia" w:ascii="仿宋_GB2312" w:hAnsi="仿宋_GB2312" w:eastAsia="仿宋_GB2312" w:cs="仿宋_GB2312"/>
                <w:color w:val="auto"/>
                <w:kern w:val="0"/>
                <w:sz w:val="32"/>
                <w:szCs w:val="32"/>
              </w:rPr>
              <w:t xml:space="preserve">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p w14:paraId="46FEC8F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《生产经营单位安全培训规定》第三十条</w:t>
            </w:r>
            <w:r>
              <w:rPr>
                <w:rFonts w:hint="eastAsia" w:ascii="仿宋_GB2312" w:hAnsi="仿宋_GB2312" w:eastAsia="仿宋_GB2312" w:cs="仿宋_GB2312"/>
                <w:color w:val="auto"/>
                <w:kern w:val="0"/>
                <w:sz w:val="32"/>
                <w:szCs w:val="32"/>
              </w:rPr>
              <w:t xml:space="preserve">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w:t>
            </w:r>
          </w:p>
          <w:p w14:paraId="20BBE49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（一）煤矿、非煤矿山、危险化学品、烟花爆竹、金属冶炼等生产经营单位主要负责人和安全管理人员未按照规定经考核合格的；......</w:t>
            </w:r>
          </w:p>
        </w:tc>
        <w:tc>
          <w:tcPr>
            <w:tcW w:w="951" w:type="dxa"/>
            <w:vAlign w:val="center"/>
          </w:tcPr>
          <w:p w14:paraId="163BB0AB">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6827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14:paraId="7F6F3BE0">
            <w:pPr>
              <w:jc w:val="center"/>
              <w:rPr>
                <w:rFonts w:hint="eastAsia" w:ascii="仿宋_GB2312" w:hAnsi="仿宋_GB2312" w:eastAsia="仿宋_GB2312" w:cs="仿宋_GB2312"/>
                <w:color w:val="auto"/>
                <w:sz w:val="32"/>
                <w:szCs w:val="32"/>
              </w:rPr>
            </w:pPr>
          </w:p>
        </w:tc>
        <w:tc>
          <w:tcPr>
            <w:tcW w:w="950" w:type="dxa"/>
            <w:vMerge w:val="continue"/>
            <w:vAlign w:val="center"/>
          </w:tcPr>
          <w:p w14:paraId="2F817A44">
            <w:pPr>
              <w:widowControl/>
              <w:adjustRightInd w:val="0"/>
              <w:snapToGrid w:val="0"/>
              <w:rPr>
                <w:rFonts w:hint="eastAsia" w:ascii="仿宋_GB2312" w:hAnsi="仿宋_GB2312" w:eastAsia="仿宋_GB2312" w:cs="仿宋_GB2312"/>
                <w:color w:val="auto"/>
                <w:kern w:val="0"/>
                <w:sz w:val="32"/>
                <w:szCs w:val="32"/>
              </w:rPr>
            </w:pPr>
          </w:p>
        </w:tc>
        <w:tc>
          <w:tcPr>
            <w:tcW w:w="1132" w:type="dxa"/>
            <w:vAlign w:val="center"/>
          </w:tcPr>
          <w:p w14:paraId="5F0315A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3.3 从业人员安全生产教育培训</w:t>
            </w:r>
          </w:p>
        </w:tc>
        <w:tc>
          <w:tcPr>
            <w:tcW w:w="3717" w:type="dxa"/>
            <w:vAlign w:val="center"/>
          </w:tcPr>
          <w:p w14:paraId="7BDF7169">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 xml:space="preserve">《中华人民共和国安全生产法》  第二十八条 </w:t>
            </w:r>
            <w:r>
              <w:rPr>
                <w:rFonts w:hint="eastAsia" w:ascii="仿宋_GB2312" w:hAnsi="仿宋_GB2312" w:eastAsia="仿宋_GB2312" w:cs="仿宋_GB2312"/>
                <w:color w:val="auto"/>
                <w:kern w:val="0"/>
                <w:sz w:val="32"/>
                <w:szCs w:val="32"/>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1B27501D">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4B3872F0">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14:paraId="37D64756">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生产经营单位应当建立安全生产教育和培训档案，如实记录安全生产教育和培训的时间、内容、参加人员以及考核结果等情况。</w:t>
            </w:r>
          </w:p>
        </w:tc>
        <w:tc>
          <w:tcPr>
            <w:tcW w:w="3899" w:type="dxa"/>
            <w:vAlign w:val="center"/>
          </w:tcPr>
          <w:p w14:paraId="1F50545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7E97EDD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5305AC7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（3）新上岗从业人员登记表；</w:t>
            </w:r>
          </w:p>
          <w:p w14:paraId="1F2AFC5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（4）新上岗从业人员身份证；</w:t>
            </w:r>
          </w:p>
          <w:p w14:paraId="58A46AC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（5）新上岗从业人员培训记录（签到表、培训内容、考核试卷、考核成绩等）；</w:t>
            </w:r>
          </w:p>
          <w:p w14:paraId="2E32DA9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（6）安全生产教育和培训计划；</w:t>
            </w:r>
          </w:p>
          <w:p w14:paraId="2890BD8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（7）人员岗前三级教育和培训档案；</w:t>
            </w:r>
          </w:p>
          <w:p w14:paraId="4A93630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（8）培训考核结果、录用情况；</w:t>
            </w:r>
          </w:p>
          <w:p w14:paraId="792EA30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7A1C15B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w:t>
            </w:r>
            <w:r>
              <w:rPr>
                <w:rFonts w:hint="eastAsia" w:ascii="仿宋_GB2312" w:hAnsi="仿宋_GB2312" w:eastAsia="仿宋_GB2312" w:cs="仿宋_GB2312"/>
                <w:bCs/>
                <w:color w:val="auto"/>
                <w:sz w:val="32"/>
                <w:szCs w:val="32"/>
              </w:rPr>
              <w:t>企业相关人员任职文件、身份证明及其询问笔录</w:t>
            </w:r>
            <w:r>
              <w:rPr>
                <w:rFonts w:hint="eastAsia" w:ascii="仿宋_GB2312" w:hAnsi="仿宋_GB2312" w:eastAsia="仿宋_GB2312" w:cs="仿宋_GB2312"/>
                <w:color w:val="auto"/>
                <w:kern w:val="0"/>
                <w:sz w:val="32"/>
                <w:szCs w:val="32"/>
              </w:rPr>
              <w:t>；</w:t>
            </w:r>
          </w:p>
          <w:p w14:paraId="3924DF3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（11）其他相关证据。</w:t>
            </w:r>
          </w:p>
        </w:tc>
        <w:tc>
          <w:tcPr>
            <w:tcW w:w="3899" w:type="dxa"/>
            <w:vAlign w:val="center"/>
          </w:tcPr>
          <w:p w14:paraId="598C846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第九十七条</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5F5504A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（三）未按照规定对从业人员、被派遣劳动者、实习学生进行安全生产教育和培训，或者未按照规定如实告知有关的安全生产事项的；</w:t>
            </w:r>
          </w:p>
          <w:p w14:paraId="25C3357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（四）未如实记录安全生产教育和培训情况的；</w:t>
            </w:r>
          </w:p>
          <w:p w14:paraId="6C35F6A8">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7932B1F1">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5E35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14:paraId="4501B207">
            <w:pPr>
              <w:jc w:val="center"/>
              <w:rPr>
                <w:rFonts w:hint="eastAsia" w:ascii="仿宋_GB2312" w:hAnsi="仿宋_GB2312" w:eastAsia="仿宋_GB2312" w:cs="仿宋_GB2312"/>
                <w:color w:val="auto"/>
                <w:sz w:val="32"/>
                <w:szCs w:val="32"/>
              </w:rPr>
            </w:pPr>
          </w:p>
        </w:tc>
        <w:tc>
          <w:tcPr>
            <w:tcW w:w="950" w:type="dxa"/>
            <w:vMerge w:val="continue"/>
            <w:vAlign w:val="center"/>
          </w:tcPr>
          <w:p w14:paraId="12F1BAB0">
            <w:pPr>
              <w:widowControl/>
              <w:adjustRightInd w:val="0"/>
              <w:snapToGrid w:val="0"/>
              <w:rPr>
                <w:rFonts w:hint="eastAsia" w:ascii="仿宋_GB2312" w:hAnsi="仿宋_GB2312" w:eastAsia="仿宋_GB2312" w:cs="仿宋_GB2312"/>
                <w:color w:val="auto"/>
                <w:kern w:val="0"/>
                <w:sz w:val="32"/>
                <w:szCs w:val="32"/>
              </w:rPr>
            </w:pPr>
          </w:p>
        </w:tc>
        <w:tc>
          <w:tcPr>
            <w:tcW w:w="1132" w:type="dxa"/>
            <w:vAlign w:val="center"/>
          </w:tcPr>
          <w:p w14:paraId="2431926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3.4 从业人员“四新”培训</w:t>
            </w:r>
          </w:p>
        </w:tc>
        <w:tc>
          <w:tcPr>
            <w:tcW w:w="3717" w:type="dxa"/>
            <w:vAlign w:val="center"/>
          </w:tcPr>
          <w:p w14:paraId="27F75B9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第二十九条</w:t>
            </w:r>
            <w:r>
              <w:rPr>
                <w:rFonts w:hint="eastAsia" w:ascii="仿宋_GB2312" w:hAnsi="仿宋_GB2312" w:eastAsia="仿宋_GB2312" w:cs="仿宋_GB2312"/>
                <w:color w:val="auto"/>
                <w:kern w:val="0"/>
                <w:sz w:val="32"/>
                <w:szCs w:val="32"/>
              </w:rPr>
              <w:t>生产经营单位采用新工艺、新技术、新材料或者使用新设备，必须了解、掌握其安全技术特性，采取有效的安全防护措施，并对从业人员进行专门的安全生产教育和培训。</w:t>
            </w:r>
          </w:p>
        </w:tc>
        <w:tc>
          <w:tcPr>
            <w:tcW w:w="3899" w:type="dxa"/>
            <w:vAlign w:val="center"/>
          </w:tcPr>
          <w:p w14:paraId="619BE67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3A714BA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0239E3B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（3）“四新”项目有关资料；</w:t>
            </w:r>
          </w:p>
          <w:p w14:paraId="1C91E09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（4）从事“四新”项目工作人员名单及其身份证；</w:t>
            </w:r>
          </w:p>
          <w:p w14:paraId="68CAA08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（5）“四新”从业人员培训记录和档案（培训签到表，包括师资安排、安全技术特性、安全防护措施等培训内容，考核试卷和结果等）；</w:t>
            </w:r>
          </w:p>
          <w:p w14:paraId="30C819B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55F9128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color w:val="auto"/>
                <w:sz w:val="32"/>
                <w:szCs w:val="32"/>
              </w:rPr>
              <w:t>企业相关人员任职文件、身份证明及其询问笔录；</w:t>
            </w:r>
          </w:p>
          <w:p w14:paraId="2A187B2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vAlign w:val="center"/>
          </w:tcPr>
          <w:p w14:paraId="657AA98B">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第九十七条</w:t>
            </w:r>
            <w:r>
              <w:rPr>
                <w:rFonts w:hint="eastAsia" w:ascii="仿宋_GB2312" w:hAnsi="仿宋_GB2312" w:eastAsia="仿宋_GB2312" w:cs="仿宋_GB2312"/>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w:t>
            </w:r>
          </w:p>
          <w:p w14:paraId="5B119BD2">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（三）未按照规定对从业人员、被派遣劳动者、实习学生进行安全生产教育和培训，或者未按照规定如实告知有关的安全生产事项的；</w:t>
            </w:r>
          </w:p>
        </w:tc>
        <w:tc>
          <w:tcPr>
            <w:tcW w:w="951" w:type="dxa"/>
            <w:vAlign w:val="center"/>
          </w:tcPr>
          <w:p w14:paraId="29AD762B">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5B58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14:paraId="4E2B3945">
            <w:pPr>
              <w:jc w:val="center"/>
              <w:rPr>
                <w:rFonts w:hint="eastAsia" w:ascii="仿宋_GB2312" w:hAnsi="仿宋_GB2312" w:eastAsia="仿宋_GB2312" w:cs="仿宋_GB2312"/>
                <w:color w:val="auto"/>
                <w:sz w:val="32"/>
                <w:szCs w:val="32"/>
              </w:rPr>
            </w:pPr>
          </w:p>
        </w:tc>
        <w:tc>
          <w:tcPr>
            <w:tcW w:w="950" w:type="dxa"/>
            <w:vMerge w:val="continue"/>
            <w:vAlign w:val="center"/>
          </w:tcPr>
          <w:p w14:paraId="69B5C6EF">
            <w:pPr>
              <w:widowControl/>
              <w:adjustRightInd w:val="0"/>
              <w:snapToGrid w:val="0"/>
              <w:rPr>
                <w:rFonts w:hint="eastAsia" w:ascii="仿宋_GB2312" w:hAnsi="仿宋_GB2312" w:eastAsia="仿宋_GB2312" w:cs="仿宋_GB2312"/>
                <w:color w:val="auto"/>
                <w:kern w:val="0"/>
                <w:sz w:val="32"/>
                <w:szCs w:val="32"/>
              </w:rPr>
            </w:pPr>
          </w:p>
        </w:tc>
        <w:tc>
          <w:tcPr>
            <w:tcW w:w="1132" w:type="dxa"/>
            <w:vAlign w:val="center"/>
          </w:tcPr>
          <w:p w14:paraId="3D59210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3.5 从业人员培训时间和培训记录</w:t>
            </w:r>
          </w:p>
        </w:tc>
        <w:tc>
          <w:tcPr>
            <w:tcW w:w="3717" w:type="dxa"/>
            <w:vAlign w:val="center"/>
          </w:tcPr>
          <w:p w14:paraId="4B10F0A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《安全生产培训管理办法》</w:t>
            </w:r>
            <w:r>
              <w:rPr>
                <w:rFonts w:hint="eastAsia" w:ascii="仿宋_GB2312" w:hAnsi="仿宋_GB2312" w:eastAsia="仿宋_GB2312" w:cs="仿宋_GB2312"/>
                <w:b/>
                <w:color w:val="auto"/>
                <w:kern w:val="0"/>
                <w:sz w:val="32"/>
                <w:szCs w:val="32"/>
              </w:rPr>
              <w:t>第十一条</w:t>
            </w:r>
            <w:r>
              <w:rPr>
                <w:rFonts w:hint="eastAsia" w:ascii="仿宋_GB2312" w:hAnsi="仿宋_GB2312" w:eastAsia="仿宋_GB2312" w:cs="仿宋_GB2312"/>
                <w:color w:val="auto"/>
                <w:kern w:val="0"/>
                <w:sz w:val="32"/>
                <w:szCs w:val="32"/>
              </w:rPr>
              <w:t>生产经营单位从业人员的培训内容和培训时间，应当符合《生产经营单位安全培训规定》和有关标准的规定。</w:t>
            </w:r>
          </w:p>
          <w:p w14:paraId="70B8EB7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《生产经营单位安全培训规定》第九条</w:t>
            </w:r>
            <w:r>
              <w:rPr>
                <w:rFonts w:hint="eastAsia" w:ascii="仿宋_GB2312" w:hAnsi="仿宋_GB2312" w:eastAsia="仿宋_GB2312" w:cs="仿宋_GB2312"/>
                <w:b/>
                <w:bCs/>
                <w:color w:val="auto"/>
                <w:kern w:val="0"/>
                <w:sz w:val="32"/>
                <w:szCs w:val="32"/>
              </w:rPr>
              <w:t>第二款</w:t>
            </w:r>
            <w:r>
              <w:rPr>
                <w:rFonts w:hint="eastAsia" w:ascii="仿宋_GB2312" w:hAnsi="仿宋_GB2312" w:eastAsia="仿宋_GB2312" w:cs="仿宋_GB2312"/>
                <w:color w:val="auto"/>
                <w:kern w:val="0"/>
                <w:sz w:val="32"/>
                <w:szCs w:val="32"/>
              </w:rPr>
              <w:t>煤矿、非煤矿山、危险化学品、烟花爆竹、金属冶炼等生产经营单位主要负责人和安全生产管理人员初次安全培训时间不得少于48学时，每年再培训时间不得少于16学时。</w:t>
            </w:r>
          </w:p>
          <w:p w14:paraId="1FBE368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《生产经营单位安全培训规定》第十三条第二款</w:t>
            </w:r>
            <w:r>
              <w:rPr>
                <w:rFonts w:hint="eastAsia" w:ascii="仿宋_GB2312" w:hAnsi="仿宋_GB2312" w:eastAsia="仿宋_GB2312" w:cs="仿宋_GB2312"/>
                <w:color w:val="auto"/>
                <w:kern w:val="0"/>
                <w:sz w:val="32"/>
                <w:szCs w:val="32"/>
              </w:rPr>
              <w:t>煤矿、非煤矿山、危险化学品、烟花爆竹、金属冶炼等生产经营单位新上岗的从业人员安全培训时间不得少于72学时，每年再培训的时间不得少于20学时。</w:t>
            </w:r>
          </w:p>
          <w:p w14:paraId="7889668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《生产经营单位安全培训规定》</w:t>
            </w:r>
            <w:r>
              <w:rPr>
                <w:rFonts w:hint="eastAsia" w:ascii="仿宋_GB2312" w:hAnsi="仿宋_GB2312" w:eastAsia="仿宋_GB2312" w:cs="仿宋_GB2312"/>
                <w:b/>
                <w:bCs/>
                <w:color w:val="auto"/>
                <w:kern w:val="0"/>
                <w:sz w:val="32"/>
                <w:szCs w:val="32"/>
              </w:rPr>
              <w:t>第二十二条</w:t>
            </w:r>
            <w:r>
              <w:rPr>
                <w:rFonts w:hint="eastAsia" w:ascii="仿宋_GB2312" w:hAnsi="仿宋_GB2312" w:eastAsia="仿宋_GB2312" w:cs="仿宋_GB2312"/>
                <w:color w:val="auto"/>
                <w:kern w:val="0"/>
                <w:sz w:val="32"/>
                <w:szCs w:val="32"/>
              </w:rPr>
              <w:t xml:space="preserve">  生产经营单位应当建立健全从业人员安全生产教育和培训档案，由生产经营单位的安全生产管理机构以及安全生产管理人员详细、准确记录培训的时间、内容、参加人员以及考核结果等情况。</w:t>
            </w:r>
          </w:p>
        </w:tc>
        <w:tc>
          <w:tcPr>
            <w:tcW w:w="3899" w:type="dxa"/>
            <w:vAlign w:val="center"/>
          </w:tcPr>
          <w:p w14:paraId="1565B49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532654C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5E5AB86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（3）从业人员花名册；</w:t>
            </w:r>
          </w:p>
          <w:p w14:paraId="0B61A49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（4）从业人员安全生产教育和培训档案；</w:t>
            </w:r>
          </w:p>
          <w:p w14:paraId="5923694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（5）主要负责人和安全生产管理人员复训资料（培训合格证）；</w:t>
            </w:r>
          </w:p>
          <w:p w14:paraId="41C1F02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（6）安全生产教育和培训计划；</w:t>
            </w:r>
          </w:p>
          <w:p w14:paraId="7886513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（7）安全生产培训计划实施相关资料；</w:t>
            </w:r>
          </w:p>
          <w:p w14:paraId="64E2E9B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6D6E9F9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w:t>
            </w:r>
            <w:r>
              <w:rPr>
                <w:rFonts w:hint="eastAsia" w:ascii="仿宋_GB2312" w:hAnsi="仿宋_GB2312" w:eastAsia="仿宋_GB2312" w:cs="仿宋_GB2312"/>
                <w:bCs/>
                <w:color w:val="auto"/>
                <w:sz w:val="32"/>
                <w:szCs w:val="32"/>
              </w:rPr>
              <w:t>企业相关人员任职文件、身份证明及其询问笔录；</w:t>
            </w:r>
          </w:p>
          <w:p w14:paraId="76EA4BD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vAlign w:val="center"/>
          </w:tcPr>
          <w:p w14:paraId="195EFA86">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《安全生产培训管理办法》第三十六条</w:t>
            </w:r>
            <w:r>
              <w:rPr>
                <w:rFonts w:hint="eastAsia" w:ascii="仿宋_GB2312" w:hAnsi="仿宋_GB2312" w:eastAsia="仿宋_GB2312" w:cs="仿宋_GB2312"/>
                <w:color w:val="auto"/>
                <w:sz w:val="32"/>
                <w:szCs w:val="32"/>
              </w:rPr>
              <w:t>生产经营单位有下列情形之一的，责令改正，处3万元以下的罚款：</w:t>
            </w:r>
          </w:p>
          <w:p w14:paraId="5A9F622E">
            <w:pPr>
              <w:widowControl/>
              <w:adjustRightInd w:val="0"/>
              <w:snapToGri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（一）从业人员安全培训的时间少于《生产经营单位安全培训规定》或者有关标准规定的；......</w:t>
            </w:r>
          </w:p>
          <w:p w14:paraId="4A7031A7">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《生产经营单位安全培训规定》</w:t>
            </w:r>
            <w:r>
              <w:rPr>
                <w:rFonts w:hint="eastAsia" w:ascii="仿宋_GB2312" w:hAnsi="仿宋_GB2312" w:eastAsia="仿宋_GB2312" w:cs="仿宋_GB2312"/>
                <w:b/>
                <w:bCs/>
                <w:color w:val="auto"/>
                <w:sz w:val="32"/>
                <w:szCs w:val="32"/>
              </w:rPr>
              <w:t>第三十条</w:t>
            </w:r>
            <w:r>
              <w:rPr>
                <w:rFonts w:hint="eastAsia" w:ascii="仿宋_GB2312" w:hAnsi="仿宋_GB2312" w:eastAsia="仿宋_GB2312" w:cs="仿宋_GB2312"/>
                <w:color w:val="auto"/>
                <w:sz w:val="32"/>
                <w:szCs w:val="32"/>
              </w:rPr>
              <w:t xml:space="preserve">  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w:t>
            </w:r>
          </w:p>
          <w:p w14:paraId="79501E02">
            <w:pPr>
              <w:widowControl/>
              <w:adjustRightInd w:val="0"/>
              <w:snapToGri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......（三）未如实记录安全生产教育和培训情况的；......</w:t>
            </w:r>
          </w:p>
        </w:tc>
        <w:tc>
          <w:tcPr>
            <w:tcW w:w="951" w:type="dxa"/>
            <w:vAlign w:val="center"/>
          </w:tcPr>
          <w:p w14:paraId="63940171">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0D05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14:paraId="49F1164F">
            <w:pPr>
              <w:jc w:val="center"/>
              <w:rPr>
                <w:rFonts w:hint="eastAsia" w:ascii="仿宋_GB2312" w:hAnsi="仿宋_GB2312" w:eastAsia="仿宋_GB2312" w:cs="仿宋_GB2312"/>
                <w:color w:val="auto"/>
                <w:sz w:val="32"/>
                <w:szCs w:val="32"/>
              </w:rPr>
            </w:pPr>
          </w:p>
        </w:tc>
        <w:tc>
          <w:tcPr>
            <w:tcW w:w="950" w:type="dxa"/>
            <w:vMerge w:val="continue"/>
            <w:vAlign w:val="center"/>
          </w:tcPr>
          <w:p w14:paraId="05E76338">
            <w:pPr>
              <w:widowControl/>
              <w:adjustRightInd w:val="0"/>
              <w:snapToGrid w:val="0"/>
              <w:rPr>
                <w:rFonts w:hint="eastAsia" w:ascii="仿宋_GB2312" w:hAnsi="仿宋_GB2312" w:eastAsia="仿宋_GB2312" w:cs="仿宋_GB2312"/>
                <w:color w:val="auto"/>
                <w:kern w:val="0"/>
                <w:sz w:val="32"/>
                <w:szCs w:val="32"/>
              </w:rPr>
            </w:pPr>
          </w:p>
        </w:tc>
        <w:tc>
          <w:tcPr>
            <w:tcW w:w="1132" w:type="dxa"/>
            <w:vAlign w:val="center"/>
          </w:tcPr>
          <w:p w14:paraId="269CAE6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3.6 告知从业人员安全生产事项</w:t>
            </w:r>
          </w:p>
        </w:tc>
        <w:tc>
          <w:tcPr>
            <w:tcW w:w="3717" w:type="dxa"/>
            <w:vAlign w:val="center"/>
          </w:tcPr>
          <w:p w14:paraId="6D94AFB1">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第四十四条第一款</w:t>
            </w:r>
            <w:r>
              <w:rPr>
                <w:rFonts w:hint="eastAsia" w:ascii="仿宋_GB2312" w:hAnsi="仿宋_GB2312" w:eastAsia="仿宋_GB2312" w:cs="仿宋_GB2312"/>
                <w:color w:val="auto"/>
                <w:kern w:val="0"/>
                <w:sz w:val="32"/>
                <w:szCs w:val="32"/>
              </w:rPr>
              <w:t>生产经营单位应当教育和督促从业人员严格执行本单位的安全生产规章制度和安全操作规程；并向从业人员如实告知作业场所和工作岗位存在的危险因素、防范措施以及事故应急措施。</w:t>
            </w:r>
          </w:p>
          <w:p w14:paraId="2E84E465">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4559B64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4679A0D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04439CE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（3）生产经营单位安全生产规章制度和安全操作规程学习记录（包括学习内容、人员签到表、学习时间、考核情况等）；</w:t>
            </w:r>
          </w:p>
          <w:p w14:paraId="7E99E70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（4）作业场所和工作岗位存在的危险因素辨识和登记表或者记录；</w:t>
            </w:r>
          </w:p>
          <w:p w14:paraId="06FE181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（5）危害因素告知单、防范措施、应急措施；</w:t>
            </w:r>
          </w:p>
          <w:p w14:paraId="29FA66B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01DE783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color w:val="auto"/>
                <w:sz w:val="32"/>
                <w:szCs w:val="32"/>
              </w:rPr>
              <w:t>企业相关人员任职文件、身份证明及其询问笔录；</w:t>
            </w:r>
          </w:p>
          <w:p w14:paraId="3CF3380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vAlign w:val="center"/>
          </w:tcPr>
          <w:p w14:paraId="0EDFB0CB">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第九十七条第三项</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64AC377B">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（三）未按照规定对从业人员、被派遣劳动者、实习学生进行安全生产教育和培训，或者未按照规定如实告知有关的安全生产事项的；</w:t>
            </w:r>
          </w:p>
        </w:tc>
        <w:tc>
          <w:tcPr>
            <w:tcW w:w="951" w:type="dxa"/>
            <w:vAlign w:val="center"/>
          </w:tcPr>
          <w:p w14:paraId="332968F2">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44A9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14:paraId="17114C6E">
            <w:pPr>
              <w:jc w:val="center"/>
              <w:rPr>
                <w:rFonts w:hint="eastAsia" w:ascii="仿宋_GB2312" w:hAnsi="仿宋_GB2312" w:eastAsia="仿宋_GB2312" w:cs="仿宋_GB2312"/>
                <w:color w:val="auto"/>
                <w:sz w:val="32"/>
                <w:szCs w:val="32"/>
              </w:rPr>
            </w:pPr>
          </w:p>
        </w:tc>
        <w:tc>
          <w:tcPr>
            <w:tcW w:w="950" w:type="dxa"/>
            <w:vMerge w:val="continue"/>
            <w:vAlign w:val="center"/>
          </w:tcPr>
          <w:p w14:paraId="346E30D1">
            <w:pPr>
              <w:widowControl/>
              <w:adjustRightInd w:val="0"/>
              <w:snapToGrid w:val="0"/>
              <w:rPr>
                <w:rFonts w:hint="eastAsia" w:ascii="仿宋_GB2312" w:hAnsi="仿宋_GB2312" w:eastAsia="仿宋_GB2312" w:cs="仿宋_GB2312"/>
                <w:color w:val="auto"/>
                <w:kern w:val="0"/>
                <w:sz w:val="32"/>
                <w:szCs w:val="32"/>
              </w:rPr>
            </w:pPr>
          </w:p>
        </w:tc>
        <w:tc>
          <w:tcPr>
            <w:tcW w:w="1132" w:type="dxa"/>
            <w:vAlign w:val="center"/>
          </w:tcPr>
          <w:p w14:paraId="4BC59EB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3.7危险工艺操作岗位</w:t>
            </w:r>
            <w:r>
              <w:rPr>
                <w:rFonts w:hint="eastAsia" w:ascii="仿宋_GB2312" w:hAnsi="仿宋_GB2312" w:eastAsia="仿宋_GB2312" w:cs="仿宋_GB2312"/>
                <w:color w:val="auto"/>
                <w:kern w:val="0"/>
                <w:sz w:val="32"/>
                <w:szCs w:val="32"/>
              </w:rPr>
              <w:t>作业人员实习上岗</w:t>
            </w:r>
          </w:p>
        </w:tc>
        <w:tc>
          <w:tcPr>
            <w:tcW w:w="3717" w:type="dxa"/>
            <w:vAlign w:val="center"/>
          </w:tcPr>
          <w:p w14:paraId="596DEFF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《安全生产培训管理办法》第十三条第二款</w:t>
            </w:r>
            <w:r>
              <w:rPr>
                <w:rFonts w:hint="eastAsia" w:ascii="仿宋_GB2312" w:hAnsi="仿宋_GB2312" w:eastAsia="仿宋_GB2312" w:cs="仿宋_GB2312"/>
                <w:color w:val="auto"/>
                <w:sz w:val="32"/>
                <w:szCs w:val="32"/>
              </w:rPr>
              <w:t>矿山新招的井下作业人员和危险物品生产经营单位新招的危险工艺操作岗位人员，除按照规定进行安全培训外，还应当在有经验的职工带领下实习满2个月后，方可独立上岗作业。</w:t>
            </w:r>
          </w:p>
        </w:tc>
        <w:tc>
          <w:tcPr>
            <w:tcW w:w="3899" w:type="dxa"/>
            <w:vAlign w:val="center"/>
          </w:tcPr>
          <w:p w14:paraId="4FC94A3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4F18DAC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57C37FE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（3）新招人员登记表；</w:t>
            </w:r>
          </w:p>
          <w:p w14:paraId="5C129E3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（4）三级教育培训档案；</w:t>
            </w:r>
          </w:p>
          <w:p w14:paraId="5FDE4FB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（5）企业涉及的危险工艺（包括名称、流程、操作规程、重点环节、危害因素、防范措施、应急处置措施等）；</w:t>
            </w:r>
          </w:p>
          <w:p w14:paraId="05B5A12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（6）带班老师资料（包括从事该危险工艺操作经历、姓名等基本情况）；</w:t>
            </w:r>
          </w:p>
          <w:p w14:paraId="1139B0E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（7）带班实习记录或操作记录；</w:t>
            </w:r>
          </w:p>
          <w:p w14:paraId="2BE23F3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6B4A25A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w:t>
            </w:r>
            <w:r>
              <w:rPr>
                <w:rFonts w:hint="eastAsia" w:ascii="仿宋_GB2312" w:hAnsi="仿宋_GB2312" w:eastAsia="仿宋_GB2312" w:cs="仿宋_GB2312"/>
                <w:bCs/>
                <w:color w:val="auto"/>
                <w:sz w:val="32"/>
                <w:szCs w:val="32"/>
              </w:rPr>
              <w:t>企业相关人员任职文件、身份证明及其询问笔录；</w:t>
            </w:r>
          </w:p>
          <w:p w14:paraId="3F13648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vAlign w:val="center"/>
          </w:tcPr>
          <w:p w14:paraId="3DC3763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《安全生产培训管理办法》第三十六条</w:t>
            </w:r>
            <w:r>
              <w:rPr>
                <w:rFonts w:hint="eastAsia" w:ascii="仿宋_GB2312" w:hAnsi="仿宋_GB2312" w:eastAsia="仿宋_GB2312" w:cs="仿宋_GB2312"/>
                <w:color w:val="auto"/>
                <w:kern w:val="0"/>
                <w:sz w:val="32"/>
                <w:szCs w:val="32"/>
              </w:rPr>
              <w:t>生产经营单位有下列情形之一的，责令改正，处3万元以下的罚款：......</w:t>
            </w:r>
          </w:p>
          <w:p w14:paraId="37A6574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（二）矿山新招的井下作业人员和危险物品生产经营单位新招的危险工艺操作岗位人员，未经实习期满独立上岗作业的；......</w:t>
            </w:r>
          </w:p>
        </w:tc>
        <w:tc>
          <w:tcPr>
            <w:tcW w:w="951" w:type="dxa"/>
            <w:vAlign w:val="center"/>
          </w:tcPr>
          <w:p w14:paraId="7A61BB14">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3F2B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14:paraId="36D1AD61">
            <w:pPr>
              <w:jc w:val="center"/>
              <w:rPr>
                <w:rFonts w:hint="eastAsia" w:ascii="仿宋_GB2312" w:hAnsi="仿宋_GB2312" w:eastAsia="仿宋_GB2312" w:cs="仿宋_GB2312"/>
                <w:color w:val="auto"/>
                <w:sz w:val="32"/>
                <w:szCs w:val="32"/>
              </w:rPr>
            </w:pPr>
          </w:p>
        </w:tc>
        <w:tc>
          <w:tcPr>
            <w:tcW w:w="950" w:type="dxa"/>
            <w:vMerge w:val="continue"/>
            <w:vAlign w:val="center"/>
          </w:tcPr>
          <w:p w14:paraId="232F2AAA">
            <w:pPr>
              <w:widowControl/>
              <w:adjustRightInd w:val="0"/>
              <w:snapToGrid w:val="0"/>
              <w:rPr>
                <w:rFonts w:hint="eastAsia" w:ascii="仿宋_GB2312" w:hAnsi="仿宋_GB2312" w:eastAsia="仿宋_GB2312" w:cs="仿宋_GB2312"/>
                <w:color w:val="auto"/>
                <w:kern w:val="0"/>
                <w:sz w:val="32"/>
                <w:szCs w:val="32"/>
              </w:rPr>
            </w:pPr>
          </w:p>
        </w:tc>
        <w:tc>
          <w:tcPr>
            <w:tcW w:w="1132" w:type="dxa"/>
            <w:vAlign w:val="center"/>
          </w:tcPr>
          <w:p w14:paraId="634EBCF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3.8特种作业人员培训取证（重大隐患）</w:t>
            </w:r>
          </w:p>
        </w:tc>
        <w:tc>
          <w:tcPr>
            <w:tcW w:w="3717" w:type="dxa"/>
            <w:vAlign w:val="center"/>
          </w:tcPr>
          <w:p w14:paraId="7C9D86E0">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第三十条</w:t>
            </w:r>
            <w:r>
              <w:rPr>
                <w:rFonts w:hint="eastAsia" w:ascii="仿宋_GB2312" w:hAnsi="仿宋_GB2312" w:eastAsia="仿宋_GB2312" w:cs="仿宋_GB2312"/>
                <w:color w:val="auto"/>
                <w:kern w:val="0"/>
                <w:sz w:val="32"/>
                <w:szCs w:val="32"/>
              </w:rPr>
              <w:t>生产经营单位的特种作业人员必须按照国家有关规定经专门的安全作业培训，取得相应资格，方可上岗作业。</w:t>
            </w:r>
          </w:p>
          <w:p w14:paraId="67E2D943">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特种作业人员的范围由国务院应急管理部门会同国务院有关部门确定。</w:t>
            </w:r>
          </w:p>
          <w:p w14:paraId="6D5AE9D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《特种作业人员安全技术培训考核管理规定》第三十四条</w:t>
            </w:r>
            <w:r>
              <w:rPr>
                <w:rFonts w:hint="eastAsia" w:ascii="仿宋_GB2312" w:hAnsi="仿宋_GB2312" w:eastAsia="仿宋_GB2312" w:cs="仿宋_GB2312"/>
                <w:color w:val="auto"/>
                <w:kern w:val="0"/>
                <w:sz w:val="32"/>
                <w:szCs w:val="32"/>
              </w:rPr>
              <w:t>生产经营单位应当加强对本单位特种作业人员的管理，建立健全特种作业人员培训、复审档案，做好申报、培训、考核、复审的组织工作和日常的检查工作。</w:t>
            </w:r>
          </w:p>
        </w:tc>
        <w:tc>
          <w:tcPr>
            <w:tcW w:w="3899" w:type="dxa"/>
            <w:vAlign w:val="center"/>
          </w:tcPr>
          <w:p w14:paraId="11B1ED4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67B9074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4CC554D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（3）特种作业人员登记表；</w:t>
            </w:r>
          </w:p>
          <w:p w14:paraId="38CA765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（4）特种作业人员档案（培训、考核、复审等情况）；</w:t>
            </w:r>
          </w:p>
          <w:p w14:paraId="0D1D484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（5）特种作业人员身份证；</w:t>
            </w:r>
          </w:p>
          <w:p w14:paraId="0C62583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（6）特种作业人员操作证证件；</w:t>
            </w:r>
          </w:p>
          <w:p w14:paraId="025A76D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（7）特种作业人员管理部门及相关责任人和主要负责人责任制落实资料；</w:t>
            </w:r>
          </w:p>
          <w:p w14:paraId="1D70641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（8）现场取证资料（图片、视频等影像资料）；</w:t>
            </w:r>
          </w:p>
          <w:p w14:paraId="1038D85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1FBB9FB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w:t>
            </w:r>
            <w:r>
              <w:rPr>
                <w:rFonts w:hint="eastAsia" w:ascii="仿宋_GB2312" w:hAnsi="仿宋_GB2312" w:eastAsia="仿宋_GB2312" w:cs="仿宋_GB2312"/>
                <w:bCs/>
                <w:color w:val="auto"/>
                <w:sz w:val="32"/>
                <w:szCs w:val="32"/>
              </w:rPr>
              <w:t>企业相关人员任职文件、身份证明及其询问笔录；</w:t>
            </w:r>
          </w:p>
          <w:p w14:paraId="2E93B52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（11）其他相关证据。</w:t>
            </w:r>
          </w:p>
        </w:tc>
        <w:tc>
          <w:tcPr>
            <w:tcW w:w="3899" w:type="dxa"/>
            <w:vAlign w:val="center"/>
          </w:tcPr>
          <w:p w14:paraId="171AE8FB">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第九十七条第七项</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591E1E8E">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（七）特种作业人员未按照规定经专门的安全作业培训并取得相应资格，上岗作业的。</w:t>
            </w:r>
          </w:p>
          <w:p w14:paraId="3002B0F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《特种作业人员安全技术培训考核管理规定》第三十八条</w:t>
            </w:r>
            <w:r>
              <w:rPr>
                <w:rFonts w:hint="eastAsia" w:ascii="仿宋_GB2312" w:hAnsi="仿宋_GB2312" w:eastAsia="仿宋_GB2312" w:cs="仿宋_GB2312"/>
                <w:color w:val="auto"/>
                <w:kern w:val="0"/>
                <w:sz w:val="32"/>
                <w:szCs w:val="32"/>
              </w:rPr>
              <w:t xml:space="preserve">  生产经营单位未建立健全特种作业人员档案的，给予警告，并处1万元以下的罚款。</w:t>
            </w:r>
          </w:p>
          <w:p w14:paraId="39C6D9B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《特种作业人员安全技术培训考核管理规定》第三十九条第一款</w:t>
            </w:r>
            <w:r>
              <w:rPr>
                <w:rFonts w:hint="eastAsia" w:ascii="仿宋_GB2312" w:hAnsi="仿宋_GB2312" w:eastAsia="仿宋_GB2312" w:cs="仿宋_GB2312"/>
                <w:color w:val="auto"/>
                <w:kern w:val="0"/>
                <w:sz w:val="32"/>
                <w:szCs w:val="32"/>
              </w:rPr>
              <w:t xml:space="preserve">  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tc>
        <w:tc>
          <w:tcPr>
            <w:tcW w:w="951" w:type="dxa"/>
            <w:vAlign w:val="center"/>
          </w:tcPr>
          <w:p w14:paraId="622BA03D">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0E29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14:paraId="4D76BE4E">
            <w:pPr>
              <w:jc w:val="center"/>
              <w:rPr>
                <w:rFonts w:hint="eastAsia" w:ascii="仿宋_GB2312" w:hAnsi="仿宋_GB2312" w:eastAsia="仿宋_GB2312" w:cs="仿宋_GB2312"/>
                <w:color w:val="auto"/>
                <w:sz w:val="32"/>
                <w:szCs w:val="32"/>
              </w:rPr>
            </w:pPr>
          </w:p>
        </w:tc>
        <w:tc>
          <w:tcPr>
            <w:tcW w:w="950" w:type="dxa"/>
            <w:vMerge w:val="continue"/>
            <w:vAlign w:val="center"/>
          </w:tcPr>
          <w:p w14:paraId="0E22E9F7">
            <w:pPr>
              <w:widowControl/>
              <w:adjustRightInd w:val="0"/>
              <w:snapToGrid w:val="0"/>
              <w:rPr>
                <w:rFonts w:hint="eastAsia" w:ascii="仿宋_GB2312" w:hAnsi="仿宋_GB2312" w:eastAsia="仿宋_GB2312" w:cs="仿宋_GB2312"/>
                <w:color w:val="auto"/>
                <w:kern w:val="0"/>
                <w:sz w:val="32"/>
                <w:szCs w:val="32"/>
              </w:rPr>
            </w:pPr>
          </w:p>
        </w:tc>
        <w:tc>
          <w:tcPr>
            <w:tcW w:w="1132" w:type="dxa"/>
            <w:vAlign w:val="center"/>
          </w:tcPr>
          <w:p w14:paraId="7C8E0EB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3.9特种作业人员证书真实性</w:t>
            </w:r>
          </w:p>
        </w:tc>
        <w:tc>
          <w:tcPr>
            <w:tcW w:w="3717" w:type="dxa"/>
            <w:vAlign w:val="center"/>
          </w:tcPr>
          <w:p w14:paraId="6CFD36D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《特种作业人员安全技术培训考核管理规定》第三十六条</w:t>
            </w:r>
            <w:r>
              <w:rPr>
                <w:rFonts w:hint="eastAsia" w:ascii="仿宋_GB2312" w:hAnsi="仿宋_GB2312" w:eastAsia="仿宋_GB2312" w:cs="仿宋_GB2312"/>
                <w:color w:val="auto"/>
                <w:kern w:val="0"/>
                <w:sz w:val="32"/>
                <w:szCs w:val="32"/>
              </w:rPr>
              <w:t xml:space="preserve">  生产经营单位不得印制、伪造、倒卖特种作业操作证，或者使用非法印制、伪造、倒卖的特种作业操作证。</w:t>
            </w:r>
          </w:p>
          <w:p w14:paraId="373C8E0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特种作业人员不得伪造、涂改、转借、转让、冒用特种作业操作证或者使用伪造的特种作业操作证。</w:t>
            </w:r>
          </w:p>
        </w:tc>
        <w:tc>
          <w:tcPr>
            <w:tcW w:w="3899" w:type="dxa"/>
            <w:vAlign w:val="center"/>
          </w:tcPr>
          <w:p w14:paraId="3C04D5A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6F8EAEA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17DE25F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（3）特种作业人员登记表；</w:t>
            </w:r>
          </w:p>
          <w:p w14:paraId="73C7A23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（4）特种作业人员档案（培训、考核、复审等情况）；</w:t>
            </w:r>
          </w:p>
          <w:p w14:paraId="7026216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（5）特种作业人员身份证；</w:t>
            </w:r>
          </w:p>
          <w:p w14:paraId="28D221F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（6）特种作业人员操作证证件；</w:t>
            </w:r>
          </w:p>
          <w:p w14:paraId="24D3AA1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（7）特种作业人员操作证真伪信息查阅资料；</w:t>
            </w:r>
          </w:p>
          <w:p w14:paraId="09F4E89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（8）特种作业人员管理部门及相关责任人和主要负责人责任制落实资料；</w:t>
            </w:r>
          </w:p>
          <w:p w14:paraId="19224C0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（9）现场取证资料（图片、视频等影像资料）；</w:t>
            </w:r>
          </w:p>
          <w:p w14:paraId="4F3724D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（10）《现场检查记录》等相关执法文书；</w:t>
            </w:r>
          </w:p>
          <w:p w14:paraId="7FF3902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w:t>
            </w:r>
            <w:r>
              <w:rPr>
                <w:rFonts w:hint="eastAsia" w:ascii="仿宋_GB2312" w:hAnsi="仿宋_GB2312" w:eastAsia="仿宋_GB2312" w:cs="仿宋_GB2312"/>
                <w:bCs/>
                <w:color w:val="auto"/>
                <w:sz w:val="32"/>
                <w:szCs w:val="32"/>
              </w:rPr>
              <w:t>企业相关人员任职文件、身份证明及其询问笔录；</w:t>
            </w:r>
          </w:p>
          <w:p w14:paraId="3C772D9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（12）其他相关证据。</w:t>
            </w:r>
          </w:p>
        </w:tc>
        <w:tc>
          <w:tcPr>
            <w:tcW w:w="3899" w:type="dxa"/>
            <w:vAlign w:val="center"/>
          </w:tcPr>
          <w:p w14:paraId="14E44BF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《特种作业人员安全技术培训考核管理规定》第四十条</w:t>
            </w:r>
            <w:r>
              <w:rPr>
                <w:rFonts w:hint="eastAsia" w:ascii="仿宋_GB2312" w:hAnsi="仿宋_GB2312" w:eastAsia="仿宋_GB2312" w:cs="仿宋_GB2312"/>
                <w:color w:val="auto"/>
                <w:kern w:val="0"/>
                <w:sz w:val="32"/>
                <w:szCs w:val="32"/>
              </w:rPr>
              <w:t xml:space="preserve">  生产经营单位非法印制、伪造、倒卖特种作业操作证，或者使用非法印制、伪造、倒卖的特种作业操作证的，给予警告，并处1万元以上3万元以下的罚款；构成犯罪的，依法追究刑事责任。</w:t>
            </w:r>
          </w:p>
          <w:p w14:paraId="1327555D">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《特种作业人员安全技术培训考核管理规定》第四十一条  特种作业人员伪造、涂改特种作业操作证或者使用伪造的特种作业操作证的，给予警告，并处1000元以上5000元以下的罚款。    特种作业人员转借、转让、冒用特种作业操作证的，给予警告，并处2000元以上1万元以下的罚款。</w:t>
            </w:r>
          </w:p>
        </w:tc>
        <w:tc>
          <w:tcPr>
            <w:tcW w:w="951" w:type="dxa"/>
            <w:vAlign w:val="center"/>
          </w:tcPr>
          <w:p w14:paraId="15E1244D">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1E0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2" w:hRule="atLeast"/>
          <w:jc w:val="center"/>
        </w:trPr>
        <w:tc>
          <w:tcPr>
            <w:tcW w:w="617" w:type="dxa"/>
            <w:vMerge w:val="continue"/>
            <w:vAlign w:val="center"/>
          </w:tcPr>
          <w:p w14:paraId="4155B16E">
            <w:pPr>
              <w:jc w:val="center"/>
              <w:rPr>
                <w:rFonts w:hint="eastAsia" w:ascii="仿宋_GB2312" w:hAnsi="仿宋_GB2312" w:eastAsia="仿宋_GB2312" w:cs="仿宋_GB2312"/>
                <w:color w:val="auto"/>
                <w:sz w:val="32"/>
                <w:szCs w:val="32"/>
              </w:rPr>
            </w:pPr>
          </w:p>
        </w:tc>
        <w:tc>
          <w:tcPr>
            <w:tcW w:w="950" w:type="dxa"/>
            <w:vMerge w:val="continue"/>
            <w:vAlign w:val="center"/>
          </w:tcPr>
          <w:p w14:paraId="36F63FB7">
            <w:pPr>
              <w:widowControl/>
              <w:adjustRightInd w:val="0"/>
              <w:snapToGrid w:val="0"/>
              <w:rPr>
                <w:rFonts w:hint="eastAsia" w:ascii="仿宋_GB2312" w:hAnsi="仿宋_GB2312" w:eastAsia="仿宋_GB2312" w:cs="仿宋_GB2312"/>
                <w:color w:val="auto"/>
                <w:kern w:val="0"/>
                <w:sz w:val="32"/>
                <w:szCs w:val="32"/>
              </w:rPr>
            </w:pPr>
          </w:p>
        </w:tc>
        <w:tc>
          <w:tcPr>
            <w:tcW w:w="1132" w:type="dxa"/>
            <w:vAlign w:val="center"/>
          </w:tcPr>
          <w:p w14:paraId="1EC8F56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3.10选用不符合资质的承包商或未对承包商的安全生产工作统一协调、管理的</w:t>
            </w:r>
          </w:p>
        </w:tc>
        <w:tc>
          <w:tcPr>
            <w:tcW w:w="3717" w:type="dxa"/>
            <w:vAlign w:val="center"/>
          </w:tcPr>
          <w:p w14:paraId="0E917F6D">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第四十九条</w:t>
            </w:r>
            <w:r>
              <w:rPr>
                <w:rFonts w:hint="eastAsia" w:ascii="仿宋_GB2312" w:hAnsi="仿宋_GB2312" w:eastAsia="仿宋_GB2312" w:cs="仿宋_GB2312"/>
                <w:color w:val="auto"/>
                <w:kern w:val="0"/>
                <w:sz w:val="32"/>
                <w:szCs w:val="32"/>
              </w:rPr>
              <w:t>生产经营单位不得将生产经营项目、场所、设备发包或者出租给不具备安全生产条件或者相应资质的单位或者个人。</w:t>
            </w:r>
          </w:p>
          <w:p w14:paraId="00C11D65">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21747859">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tc>
        <w:tc>
          <w:tcPr>
            <w:tcW w:w="3899" w:type="dxa"/>
            <w:vAlign w:val="center"/>
          </w:tcPr>
          <w:p w14:paraId="086763A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（1）企业营业执照和相关许可证；</w:t>
            </w:r>
          </w:p>
          <w:p w14:paraId="6F8B0CD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（2）承包或承租单位营业执照和相关许可证；</w:t>
            </w:r>
          </w:p>
          <w:p w14:paraId="6243B7A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（3）承包或租赁合同；</w:t>
            </w:r>
          </w:p>
          <w:p w14:paraId="59510EE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（4）安全生产管理协议；</w:t>
            </w:r>
          </w:p>
          <w:p w14:paraId="79951AE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（5）主要负责人、合同（协议）签订人员的身份证；</w:t>
            </w:r>
          </w:p>
          <w:p w14:paraId="1AA6553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（6）对承包或承租单位安全生产检查记录；</w:t>
            </w:r>
          </w:p>
          <w:p w14:paraId="6ECE875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（7）隐患排查记录及整改落实情况；</w:t>
            </w:r>
          </w:p>
          <w:p w14:paraId="3BFF4D5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（8）现场取证资料（图片、视频等影像资料）；</w:t>
            </w:r>
          </w:p>
          <w:p w14:paraId="04BDE87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（9）《现场检查记录》《责令限期整改指令书》《查封扣押决定书》等相关执法文书；</w:t>
            </w:r>
          </w:p>
          <w:p w14:paraId="61DE533C">
            <w:pPr>
              <w:widowControl/>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kern w:val="0"/>
                <w:sz w:val="32"/>
                <w:szCs w:val="32"/>
              </w:rPr>
              <w:t>（10）</w:t>
            </w:r>
            <w:r>
              <w:rPr>
                <w:rFonts w:hint="eastAsia" w:ascii="仿宋_GB2312" w:hAnsi="仿宋_GB2312" w:eastAsia="仿宋_GB2312" w:cs="仿宋_GB2312"/>
                <w:bCs/>
                <w:color w:val="auto"/>
                <w:sz w:val="32"/>
                <w:szCs w:val="32"/>
              </w:rPr>
              <w:t>企业相关人员任职文件、身份证明及其询问笔录；</w:t>
            </w:r>
          </w:p>
          <w:p w14:paraId="2D76DE1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（11</w:t>
            </w:r>
            <w:r>
              <w:rPr>
                <w:rFonts w:hint="eastAsia" w:ascii="仿宋_GB2312" w:hAnsi="仿宋_GB2312" w:eastAsia="仿宋_GB2312" w:cs="仿宋_GB2312"/>
                <w:color w:val="auto"/>
                <w:kern w:val="0"/>
                <w:sz w:val="32"/>
                <w:szCs w:val="32"/>
              </w:rPr>
              <w:t>）销售合同及相关账务资料；</w:t>
            </w:r>
          </w:p>
          <w:p w14:paraId="35569CC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（12）其他相关证据。</w:t>
            </w:r>
          </w:p>
        </w:tc>
        <w:tc>
          <w:tcPr>
            <w:tcW w:w="3899" w:type="dxa"/>
            <w:vAlign w:val="center"/>
          </w:tcPr>
          <w:p w14:paraId="4843A027">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第一百零三条</w:t>
            </w:r>
            <w:r>
              <w:rPr>
                <w:rFonts w:hint="eastAsia" w:ascii="仿宋_GB2312" w:hAnsi="仿宋_GB2312" w:eastAsia="仿宋_GB2312" w:cs="仿宋_GB2312"/>
                <w:color w:val="auto"/>
                <w:kern w:val="0"/>
                <w:sz w:val="32"/>
                <w:szCs w:val="32"/>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60632D4F">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197DC00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14:paraId="410A1C82">
            <w:pPr>
              <w:widowControl/>
              <w:shd w:val="clear" w:color="auto" w:fill="FFFFFF"/>
              <w:rPr>
                <w:rFonts w:hint="eastAsia" w:ascii="仿宋_GB2312" w:hAnsi="仿宋_GB2312" w:eastAsia="仿宋_GB2312" w:cs="仿宋_GB2312"/>
                <w:color w:val="auto"/>
                <w:sz w:val="32"/>
                <w:szCs w:val="32"/>
              </w:rPr>
            </w:pPr>
          </w:p>
        </w:tc>
        <w:tc>
          <w:tcPr>
            <w:tcW w:w="951" w:type="dxa"/>
            <w:vAlign w:val="center"/>
          </w:tcPr>
          <w:p w14:paraId="38020091">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3BC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209" w:hRule="atLeast"/>
          <w:jc w:val="center"/>
        </w:trPr>
        <w:tc>
          <w:tcPr>
            <w:tcW w:w="617" w:type="dxa"/>
            <w:vMerge w:val="restart"/>
            <w:vAlign w:val="center"/>
          </w:tcPr>
          <w:p w14:paraId="3D534D5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950" w:type="dxa"/>
            <w:vMerge w:val="restart"/>
            <w:vAlign w:val="center"/>
          </w:tcPr>
          <w:p w14:paraId="4704AB6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工艺管理情况</w:t>
            </w:r>
          </w:p>
        </w:tc>
        <w:tc>
          <w:tcPr>
            <w:tcW w:w="1132" w:type="dxa"/>
            <w:vAlign w:val="center"/>
          </w:tcPr>
          <w:p w14:paraId="71255BB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4.1未按规定制定操作规程和工艺控制指标的（重大隐患）</w:t>
            </w:r>
          </w:p>
        </w:tc>
        <w:tc>
          <w:tcPr>
            <w:tcW w:w="3717" w:type="dxa"/>
            <w:vAlign w:val="center"/>
          </w:tcPr>
          <w:p w14:paraId="43540F19">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第二十一条第二项</w:t>
            </w:r>
            <w:r>
              <w:rPr>
                <w:rFonts w:hint="eastAsia" w:ascii="仿宋_GB2312" w:hAnsi="仿宋_GB2312" w:eastAsia="仿宋_GB2312" w:cs="仿宋_GB2312"/>
                <w:color w:val="auto"/>
                <w:kern w:val="0"/>
                <w:sz w:val="32"/>
                <w:szCs w:val="32"/>
              </w:rPr>
              <w:t xml:space="preserve"> 生产经营单位的主要负责人对本单位安全生产工作负有下列职责： </w:t>
            </w:r>
          </w:p>
          <w:p w14:paraId="5925423D">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（二）组织制定并实施本单位安全生产规章制度和操作规程；</w:t>
            </w:r>
          </w:p>
          <w:p w14:paraId="5C9F4FA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《危险化学品生产企业安全生产许可证实施办法》第十四条</w:t>
            </w:r>
            <w:r>
              <w:rPr>
                <w:rFonts w:hint="eastAsia" w:ascii="仿宋_GB2312" w:hAnsi="仿宋_GB2312" w:eastAsia="仿宋_GB2312" w:cs="仿宋_GB2312"/>
                <w:color w:val="auto"/>
                <w:kern w:val="0"/>
                <w:sz w:val="32"/>
                <w:szCs w:val="32"/>
              </w:rPr>
              <w:t xml:space="preserve">  企业应当根据化工工艺、装置、设施等实际情况，制定完善下列主要安全生产规章制度：</w:t>
            </w:r>
          </w:p>
          <w:p w14:paraId="7B4743CB">
            <w:pPr>
              <w:widowControl/>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......（十三）工艺、设备、电气仪表、公用工程安全管理制度；......</w:t>
            </w:r>
          </w:p>
          <w:p w14:paraId="7CBEC55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（十九）安全管理制度及操作规程定期修订制度。</w:t>
            </w:r>
          </w:p>
          <w:p w14:paraId="2A19B55C">
            <w:pPr>
              <w:widowControl/>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
                <w:color w:val="auto"/>
                <w:kern w:val="0"/>
                <w:sz w:val="32"/>
                <w:szCs w:val="32"/>
              </w:rPr>
              <w:t>《危险化学品生产企业安全生产许可证实施办法》第十五条</w:t>
            </w:r>
            <w:r>
              <w:rPr>
                <w:rFonts w:hint="eastAsia" w:ascii="仿宋_GB2312" w:hAnsi="仿宋_GB2312" w:eastAsia="仿宋_GB2312" w:cs="仿宋_GB2312"/>
                <w:color w:val="auto"/>
                <w:kern w:val="0"/>
                <w:sz w:val="32"/>
                <w:szCs w:val="32"/>
              </w:rPr>
              <w:t xml:space="preserve">  企业应当根据危险化学品的生产工艺、技术、设备特点和原辅料、产品的危险性编制岗位操作安全规程。</w:t>
            </w:r>
          </w:p>
        </w:tc>
        <w:tc>
          <w:tcPr>
            <w:tcW w:w="3899" w:type="dxa"/>
          </w:tcPr>
          <w:p w14:paraId="77AD7C7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18853E8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0302905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（3）有关安全生产规章制度和操作规程；</w:t>
            </w:r>
          </w:p>
          <w:p w14:paraId="665EDEB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（4）工艺控制指标（工艺卡片）；</w:t>
            </w:r>
          </w:p>
          <w:p w14:paraId="38E8B64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（5）岗位操作规程和工艺控制指标会审记录、发布文件，培训、考核记录；</w:t>
            </w:r>
          </w:p>
          <w:p w14:paraId="3F8CAFE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（6）现场取证资料（图片、视频等影像资料）；</w:t>
            </w:r>
          </w:p>
          <w:p w14:paraId="16C660E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1B7173D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bCs/>
                <w:color w:val="auto"/>
                <w:sz w:val="32"/>
                <w:szCs w:val="32"/>
              </w:rPr>
              <w:t>企业相关人员任职文件、身份证明及其询问笔录；</w:t>
            </w:r>
          </w:p>
          <w:p w14:paraId="18C073B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vAlign w:val="center"/>
          </w:tcPr>
          <w:p w14:paraId="0CD91E8E">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第九十四条第一款</w:t>
            </w:r>
            <w:r>
              <w:rPr>
                <w:rFonts w:hint="eastAsia" w:ascii="仿宋_GB2312" w:hAnsi="仿宋_GB2312" w:eastAsia="仿宋_GB2312" w:cs="仿宋_GB2312"/>
                <w:color w:val="auto"/>
                <w:kern w:val="0"/>
                <w:sz w:val="32"/>
                <w:szCs w:val="32"/>
              </w:rPr>
              <w:t xml:space="preserve"> 生产经营单位的主要负责人未履行本法规定的安全生产管理职责的，责令限期改正，处二万元以上五万元以下的罚款；逾期未改正的，处五万元以上十万元以下的罚款，责令生产经营单位停产停业整顿。</w:t>
            </w:r>
          </w:p>
          <w:p w14:paraId="11E3770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《危险化学品生产企业安全生产许可证实施办法》第四十三条</w:t>
            </w:r>
            <w:r>
              <w:rPr>
                <w:rFonts w:hint="eastAsia" w:ascii="仿宋_GB2312" w:hAnsi="仿宋_GB2312" w:eastAsia="仿宋_GB2312" w:cs="仿宋_GB2312"/>
                <w:color w:val="auto"/>
                <w:kern w:val="0"/>
                <w:sz w:val="32"/>
                <w:szCs w:val="32"/>
              </w:rPr>
              <w:t>企业取得安全生产许可证后发现其不具备本办法规定的安全生产条件的，依法暂扣其安全生产许可证1个月以上6个月以下；暂扣期满仍不具备本办法规定的安全生产条件的，依法吊销其安全生产许可证。</w:t>
            </w:r>
          </w:p>
        </w:tc>
        <w:tc>
          <w:tcPr>
            <w:tcW w:w="951" w:type="dxa"/>
            <w:vMerge w:val="restart"/>
            <w:vAlign w:val="center"/>
          </w:tcPr>
          <w:p w14:paraId="2E87B0FB">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3818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0" w:hRule="atLeast"/>
          <w:jc w:val="center"/>
        </w:trPr>
        <w:tc>
          <w:tcPr>
            <w:tcW w:w="617" w:type="dxa"/>
            <w:vMerge w:val="continue"/>
            <w:vAlign w:val="center"/>
          </w:tcPr>
          <w:p w14:paraId="35E3D777">
            <w:pPr>
              <w:jc w:val="center"/>
              <w:rPr>
                <w:rFonts w:hint="eastAsia" w:ascii="仿宋_GB2312" w:hAnsi="仿宋_GB2312" w:eastAsia="仿宋_GB2312" w:cs="仿宋_GB2312"/>
                <w:color w:val="auto"/>
                <w:sz w:val="32"/>
                <w:szCs w:val="32"/>
              </w:rPr>
            </w:pPr>
          </w:p>
        </w:tc>
        <w:tc>
          <w:tcPr>
            <w:tcW w:w="950" w:type="dxa"/>
            <w:vMerge w:val="continue"/>
            <w:vAlign w:val="center"/>
          </w:tcPr>
          <w:p w14:paraId="00AF54B6">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3FBC5421">
            <w:pPr>
              <w:widowControl/>
              <w:tabs>
                <w:tab w:val="center" w:pos="4153"/>
                <w:tab w:val="right" w:pos="8306"/>
              </w:tabs>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4.2生产、储存装置及设施超温、超压、超液位运行的；浮顶储罐运行中浮盘落底的</w:t>
            </w:r>
          </w:p>
        </w:tc>
        <w:tc>
          <w:tcPr>
            <w:tcW w:w="3717" w:type="dxa"/>
            <w:vAlign w:val="center"/>
          </w:tcPr>
          <w:p w14:paraId="65C861E9">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第五十七条</w:t>
            </w:r>
            <w:r>
              <w:rPr>
                <w:rFonts w:hint="eastAsia" w:ascii="仿宋_GB2312" w:hAnsi="仿宋_GB2312" w:eastAsia="仿宋_GB2312" w:cs="仿宋_GB2312"/>
                <w:color w:val="auto"/>
                <w:kern w:val="0"/>
                <w:sz w:val="32"/>
                <w:szCs w:val="32"/>
              </w:rPr>
              <w:t>从业人员在作业过程中，应当严格落实岗位安全责任，遵守本单位的安全生产规章制度和操作规程，服从管理，正确佩戴和使用劳动防护用品。</w:t>
            </w:r>
          </w:p>
          <w:p w14:paraId="48E53A21">
            <w:pPr>
              <w:widowControl/>
              <w:adjustRightInd w:val="0"/>
              <w:snapToGrid w:val="0"/>
              <w:ind w:firstLine="640" w:firstLineChars="200"/>
              <w:rPr>
                <w:rFonts w:hint="eastAsia" w:ascii="仿宋_GB2312" w:hAnsi="仿宋_GB2312" w:eastAsia="仿宋_GB2312" w:cs="仿宋_GB2312"/>
                <w:color w:val="auto"/>
                <w:kern w:val="0"/>
                <w:sz w:val="32"/>
                <w:szCs w:val="32"/>
              </w:rPr>
            </w:pPr>
          </w:p>
          <w:p w14:paraId="4DBC0E1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 第三十六条第一款</w:t>
            </w:r>
            <w:r>
              <w:rPr>
                <w:rFonts w:hint="eastAsia" w:ascii="仿宋_GB2312" w:hAnsi="仿宋_GB2312" w:eastAsia="仿宋_GB2312" w:cs="仿宋_GB2312"/>
                <w:bCs/>
                <w:color w:val="auto"/>
                <w:sz w:val="32"/>
                <w:szCs w:val="32"/>
              </w:rPr>
              <w:t>安全设备、系统和装置的设计、制造、安装、使用、检测、维修、改造和报废，应当符合国家标准或者行业标准。生产性设备应当配置相应的安全附件或者采取相应的安全措施后方能投入生产或者使用。</w:t>
            </w:r>
          </w:p>
        </w:tc>
        <w:tc>
          <w:tcPr>
            <w:tcW w:w="3899" w:type="dxa"/>
          </w:tcPr>
          <w:p w14:paraId="7CB5FDF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0B12533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6BA6FE8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（3）生产储存装置及设施的工艺设计相关资料；</w:t>
            </w:r>
          </w:p>
          <w:p w14:paraId="501CD63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（4）生产储存装置管理制度和操作规程；</w:t>
            </w:r>
          </w:p>
          <w:p w14:paraId="567828A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（5）生产储存装置信息远程传输及运行记录；</w:t>
            </w:r>
          </w:p>
          <w:p w14:paraId="435FD4D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（6）应急处置和防范措施（现场处置方案）；</w:t>
            </w:r>
          </w:p>
          <w:p w14:paraId="7366592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（7）现场取证资料（图片、视频等影像资料）；</w:t>
            </w:r>
          </w:p>
          <w:p w14:paraId="4EDC7B6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25553CC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w:t>
            </w:r>
            <w:r>
              <w:rPr>
                <w:rFonts w:hint="eastAsia" w:ascii="仿宋_GB2312" w:hAnsi="仿宋_GB2312" w:eastAsia="仿宋_GB2312" w:cs="仿宋_GB2312"/>
                <w:bCs/>
                <w:color w:val="auto"/>
                <w:sz w:val="32"/>
                <w:szCs w:val="32"/>
              </w:rPr>
              <w:t>企业相关人员任职文件、身份证明及其询问笔录；</w:t>
            </w:r>
          </w:p>
          <w:p w14:paraId="4147258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vAlign w:val="center"/>
          </w:tcPr>
          <w:p w14:paraId="31AAE355">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第一百零七条</w:t>
            </w:r>
            <w:r>
              <w:rPr>
                <w:rFonts w:hint="eastAsia" w:ascii="仿宋_GB2312" w:hAnsi="仿宋_GB2312" w:eastAsia="仿宋_GB2312" w:cs="仿宋_GB2312"/>
                <w:color w:val="auto"/>
                <w:kern w:val="0"/>
                <w:sz w:val="32"/>
                <w:szCs w:val="32"/>
              </w:rPr>
              <w:t>生产经营单位的从业人员不落实岗位安全责任，不服从管理，违反安全生产规章制度或者操作规程的，由生产经营单位给予批评教育，依照有关规章制度给予处分；构成犯罪的，依照刑法有关规定追究刑事责任。</w:t>
            </w:r>
          </w:p>
          <w:p w14:paraId="6DBF0BF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《四川省安全生产条例》第六十七条</w:t>
            </w:r>
            <w:r>
              <w:rPr>
                <w:rFonts w:hint="eastAsia" w:ascii="仿宋_GB2312" w:hAnsi="仿宋_GB2312" w:eastAsia="仿宋_GB2312" w:cs="仿宋_GB2312"/>
                <w:bCs/>
                <w:color w:val="auto"/>
                <w:sz w:val="32"/>
                <w:szCs w:val="32"/>
              </w:rPr>
              <w:t>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51" w:type="dxa"/>
            <w:vMerge w:val="continue"/>
            <w:vAlign w:val="center"/>
          </w:tcPr>
          <w:p w14:paraId="5429946D">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9C1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0" w:hRule="atLeast"/>
          <w:jc w:val="center"/>
        </w:trPr>
        <w:tc>
          <w:tcPr>
            <w:tcW w:w="617" w:type="dxa"/>
            <w:vAlign w:val="center"/>
          </w:tcPr>
          <w:p w14:paraId="70B3CE25">
            <w:pPr>
              <w:jc w:val="center"/>
              <w:rPr>
                <w:rFonts w:hint="eastAsia" w:ascii="仿宋_GB2312" w:hAnsi="仿宋_GB2312" w:eastAsia="仿宋_GB2312" w:cs="仿宋_GB2312"/>
                <w:color w:val="auto"/>
                <w:sz w:val="32"/>
                <w:szCs w:val="32"/>
              </w:rPr>
            </w:pPr>
          </w:p>
        </w:tc>
        <w:tc>
          <w:tcPr>
            <w:tcW w:w="950" w:type="dxa"/>
            <w:vAlign w:val="center"/>
          </w:tcPr>
          <w:p w14:paraId="1611CC9F">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24E65315">
            <w:pPr>
              <w:tabs>
                <w:tab w:val="center" w:pos="4153"/>
                <w:tab w:val="right" w:pos="8306"/>
              </w:tabs>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4.3涉及液化烃、液氨、液氯、硫化氢等易燃易爆及有毒介质的安全阀及其他泄放设施直排大气的（环氧乙烷的排放应采取安全措施）</w:t>
            </w:r>
          </w:p>
        </w:tc>
        <w:tc>
          <w:tcPr>
            <w:tcW w:w="3717" w:type="dxa"/>
          </w:tcPr>
          <w:p w14:paraId="616B49B3">
            <w:pPr>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第三十六条第一款</w:t>
            </w:r>
            <w:r>
              <w:rPr>
                <w:rFonts w:hint="eastAsia" w:ascii="仿宋_GB2312" w:hAnsi="仿宋_GB2312" w:eastAsia="仿宋_GB2312" w:cs="仿宋_GB2312"/>
                <w:color w:val="auto"/>
                <w:sz w:val="32"/>
                <w:szCs w:val="32"/>
              </w:rPr>
              <w:t>安全设备的设计、制造、安装、使用、检测、维修、改造和报废，应当符合国家标准或者行业标准。</w:t>
            </w:r>
          </w:p>
          <w:p w14:paraId="583482C6">
            <w:pPr>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《固定式压力容器安全技术监察规程》的最新版本为TSG21-2016</w:t>
            </w:r>
            <w:r>
              <w:rPr>
                <w:rFonts w:hint="eastAsia" w:ascii="仿宋_GB2312" w:hAnsi="仿宋_GB2312" w:eastAsia="仿宋_GB2312" w:cs="仿宋_GB2312"/>
                <w:color w:val="auto"/>
                <w:sz w:val="32"/>
                <w:szCs w:val="32"/>
              </w:rPr>
              <w:t>第9..1.2.（3）条对易爆介质或者毒性程度为极度、高度或者中度危害介质的压力容器，应当在安全阀或者爆破片的排出口装设导管，将排放介质引至安全地点，并且进行妥善处理，不得直接排人大气。</w:t>
            </w:r>
          </w:p>
        </w:tc>
        <w:tc>
          <w:tcPr>
            <w:tcW w:w="3899" w:type="dxa"/>
            <w:vAlign w:val="center"/>
          </w:tcPr>
          <w:p w14:paraId="7F46913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2434525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41C15A6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安全阀及其他泄放设施</w:t>
            </w:r>
            <w:r>
              <w:rPr>
                <w:rFonts w:hint="eastAsia" w:ascii="仿宋_GB2312" w:hAnsi="仿宋_GB2312" w:eastAsia="仿宋_GB2312" w:cs="仿宋_GB2312"/>
                <w:color w:val="auto"/>
                <w:kern w:val="0"/>
                <w:sz w:val="32"/>
                <w:szCs w:val="32"/>
              </w:rPr>
              <w:t>的工艺设计和管理相关资料；</w:t>
            </w:r>
          </w:p>
          <w:p w14:paraId="5A5F446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（4）现场取证资料（图片、视频等影像资料）；</w:t>
            </w:r>
          </w:p>
          <w:p w14:paraId="532766D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4427C9E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color w:val="auto"/>
                <w:sz w:val="32"/>
                <w:szCs w:val="32"/>
              </w:rPr>
              <w:t>企业相关人员任职文件、身份证明及其询问笔录；</w:t>
            </w:r>
          </w:p>
          <w:p w14:paraId="11221DFC">
            <w:pPr>
              <w:widowControl/>
              <w:adjustRightInd w:val="0"/>
              <w:snapToGrid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kern w:val="0"/>
                <w:sz w:val="32"/>
                <w:szCs w:val="32"/>
              </w:rPr>
              <w:t>（7）其他相关证据。</w:t>
            </w:r>
          </w:p>
        </w:tc>
        <w:tc>
          <w:tcPr>
            <w:tcW w:w="3899" w:type="dxa"/>
            <w:vAlign w:val="center"/>
          </w:tcPr>
          <w:p w14:paraId="6945F276">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第九十六条第二项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29A0E54">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tc>
        <w:tc>
          <w:tcPr>
            <w:tcW w:w="951" w:type="dxa"/>
            <w:vAlign w:val="center"/>
          </w:tcPr>
          <w:p w14:paraId="16D77A22">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6991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0" w:hRule="atLeast"/>
          <w:jc w:val="center"/>
        </w:trPr>
        <w:tc>
          <w:tcPr>
            <w:tcW w:w="617" w:type="dxa"/>
            <w:vMerge w:val="restart"/>
            <w:vAlign w:val="center"/>
          </w:tcPr>
          <w:p w14:paraId="4D68FC30">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950" w:type="dxa"/>
            <w:vMerge w:val="restart"/>
            <w:vAlign w:val="center"/>
          </w:tcPr>
          <w:p w14:paraId="080EE36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设备设施管理情况</w:t>
            </w:r>
          </w:p>
        </w:tc>
        <w:tc>
          <w:tcPr>
            <w:tcW w:w="1132" w:type="dxa"/>
            <w:vAlign w:val="center"/>
          </w:tcPr>
          <w:p w14:paraId="75062812">
            <w:pPr>
              <w:tabs>
                <w:tab w:val="center" w:pos="4153"/>
                <w:tab w:val="right" w:pos="8306"/>
              </w:tabs>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5.1安全设备的安装、使用、检测、维修、改造和报废不符合国家标准或行业标准；或使用国家明令淘汰的危及生产安全的工艺、设备的（重大隐患）</w:t>
            </w:r>
          </w:p>
        </w:tc>
        <w:tc>
          <w:tcPr>
            <w:tcW w:w="3717" w:type="dxa"/>
            <w:vAlign w:val="center"/>
          </w:tcPr>
          <w:p w14:paraId="530A5797">
            <w:pPr>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第三十六条第一款</w:t>
            </w:r>
            <w:r>
              <w:rPr>
                <w:rFonts w:hint="eastAsia" w:ascii="仿宋_GB2312" w:hAnsi="仿宋_GB2312" w:eastAsia="仿宋_GB2312" w:cs="仿宋_GB2312"/>
                <w:color w:val="auto"/>
                <w:sz w:val="32"/>
                <w:szCs w:val="32"/>
              </w:rPr>
              <w:t>安全设备的设计、制造、安装、使用、检测、维修、改造和报废，应当符合国家标准或者行业标准。</w:t>
            </w:r>
          </w:p>
          <w:p w14:paraId="282D0EA3">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color w:val="auto"/>
                <w:sz w:val="32"/>
                <w:szCs w:val="32"/>
              </w:rPr>
              <w:t>第三十八条第一款</w:t>
            </w:r>
            <w:r>
              <w:rPr>
                <w:rFonts w:hint="eastAsia" w:ascii="仿宋_GB2312" w:hAnsi="仿宋_GB2312" w:eastAsia="仿宋_GB2312" w:cs="仿宋_GB2312"/>
                <w:color w:val="auto"/>
                <w:sz w:val="32"/>
                <w:szCs w:val="32"/>
              </w:rPr>
              <w:t>国家对严重危及生产安全的工艺、设备实行淘汰制度，具体目录由国务院应急管理部门会同国务院有关部门制定并公布。法律、行政法规对目录的制定另有规定的，适用其规定。</w:t>
            </w:r>
          </w:p>
          <w:p w14:paraId="484B2A43">
            <w:pPr>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《国家安全监管总局关于印发淘汰落后安全技术装备目录（2015年第一批）的通知》（安监总科技〔2015〕75号）</w:t>
            </w:r>
          </w:p>
          <w:p w14:paraId="1A9D0E15">
            <w:pPr>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《国家安全监管总局关于印发淘汰落后安全技术工艺、设备目录（2016年）的通知》（安监总科技〔2016〕137号）</w:t>
            </w:r>
          </w:p>
        </w:tc>
        <w:tc>
          <w:tcPr>
            <w:tcW w:w="3899" w:type="dxa"/>
            <w:vAlign w:val="center"/>
          </w:tcPr>
          <w:p w14:paraId="1E6C217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76B8842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4116F385">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《安全设施设计》及其审查资料；</w:t>
            </w:r>
          </w:p>
          <w:p w14:paraId="20689BF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（4）安全设施设备台账及其</w:t>
            </w:r>
            <w:r>
              <w:rPr>
                <w:rFonts w:hint="eastAsia" w:ascii="仿宋_GB2312" w:hAnsi="仿宋_GB2312" w:eastAsia="仿宋_GB2312" w:cs="仿宋_GB2312"/>
                <w:color w:val="auto"/>
                <w:kern w:val="0"/>
                <w:sz w:val="32"/>
                <w:szCs w:val="32"/>
              </w:rPr>
              <w:t>管理（安装、使用、检测、维修等）相关资料；</w:t>
            </w:r>
          </w:p>
          <w:p w14:paraId="205CC8B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（5）现场取证资料（图片、视频等影像资料）；</w:t>
            </w:r>
          </w:p>
          <w:p w14:paraId="2620EE8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500849F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color w:val="auto"/>
                <w:sz w:val="32"/>
                <w:szCs w:val="32"/>
              </w:rPr>
              <w:t>企业相关人员任职文件、身份证明及其询问笔录；</w:t>
            </w:r>
          </w:p>
          <w:p w14:paraId="7F2A0D8D">
            <w:pPr>
              <w:widowControl/>
              <w:adjustRightInd w:val="0"/>
              <w:snapToGrid w:val="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kern w:val="0"/>
                <w:sz w:val="32"/>
                <w:szCs w:val="32"/>
              </w:rPr>
              <w:t>（8）其他相关证据。</w:t>
            </w:r>
          </w:p>
        </w:tc>
        <w:tc>
          <w:tcPr>
            <w:tcW w:w="3899" w:type="dxa"/>
            <w:vAlign w:val="center"/>
          </w:tcPr>
          <w:p w14:paraId="1441C6C0">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第九十九条</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BF02C9D">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751491B4">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（七）使用应当淘汰的危及生产安全的工艺、设备的；</w:t>
            </w:r>
          </w:p>
          <w:p w14:paraId="2453C4E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ACE961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0436503">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7D5AC38F">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4AF0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2" w:hRule="atLeast"/>
          <w:jc w:val="center"/>
        </w:trPr>
        <w:tc>
          <w:tcPr>
            <w:tcW w:w="617" w:type="dxa"/>
            <w:vMerge w:val="continue"/>
            <w:vAlign w:val="center"/>
          </w:tcPr>
          <w:p w14:paraId="5322F2AA">
            <w:pPr>
              <w:jc w:val="center"/>
              <w:rPr>
                <w:rFonts w:hint="eastAsia" w:ascii="仿宋_GB2312" w:hAnsi="仿宋_GB2312" w:eastAsia="仿宋_GB2312" w:cs="仿宋_GB2312"/>
                <w:color w:val="auto"/>
                <w:sz w:val="32"/>
                <w:szCs w:val="32"/>
              </w:rPr>
            </w:pPr>
          </w:p>
        </w:tc>
        <w:tc>
          <w:tcPr>
            <w:tcW w:w="950" w:type="dxa"/>
            <w:vMerge w:val="continue"/>
            <w:vAlign w:val="center"/>
          </w:tcPr>
          <w:p w14:paraId="35AD2006">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2B46E6FF">
            <w:pPr>
              <w:tabs>
                <w:tab w:val="center" w:pos="4153"/>
                <w:tab w:val="right" w:pos="8306"/>
              </w:tabs>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5.2有毒有害、可燃气体泄漏检测报警系统未按照标准设置、使用或定期检测校验；以及报警信号未发送至有操作人员常驻的控制室、现场操作室进行报警的（重大隐患）</w:t>
            </w:r>
          </w:p>
        </w:tc>
        <w:tc>
          <w:tcPr>
            <w:tcW w:w="3717" w:type="dxa"/>
          </w:tcPr>
          <w:p w14:paraId="3E85610C">
            <w:pPr>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第三十六条第一款</w:t>
            </w:r>
            <w:r>
              <w:rPr>
                <w:rFonts w:hint="eastAsia" w:ascii="仿宋_GB2312" w:hAnsi="仿宋_GB2312" w:eastAsia="仿宋_GB2312" w:cs="仿宋_GB2312"/>
                <w:color w:val="auto"/>
                <w:sz w:val="32"/>
                <w:szCs w:val="32"/>
              </w:rPr>
              <w:t>安全设备的设计、制造、安装、使用、检测、维修、改造和报废，应当符合国家标准或者行业标准。</w:t>
            </w:r>
          </w:p>
          <w:p w14:paraId="1488439C">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《石油化工可燃气体和有毒气体检测报警设计标准》（GB/T50493-2019）</w:t>
            </w:r>
          </w:p>
        </w:tc>
        <w:tc>
          <w:tcPr>
            <w:tcW w:w="3899" w:type="dxa"/>
            <w:vAlign w:val="center"/>
          </w:tcPr>
          <w:p w14:paraId="717CDB5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55E902E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1E16D1CC">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《安全设施设计》及其审查资料；</w:t>
            </w:r>
          </w:p>
          <w:p w14:paraId="15D9E85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（4）可燃有毒气体泄漏检测报警系统台账及其</w:t>
            </w:r>
            <w:r>
              <w:rPr>
                <w:rFonts w:hint="eastAsia" w:ascii="仿宋_GB2312" w:hAnsi="仿宋_GB2312" w:eastAsia="仿宋_GB2312" w:cs="仿宋_GB2312"/>
                <w:color w:val="auto"/>
                <w:kern w:val="0"/>
                <w:sz w:val="32"/>
                <w:szCs w:val="32"/>
              </w:rPr>
              <w:t>管理（安装、使用、检测、维修等）相关资料；</w:t>
            </w:r>
          </w:p>
          <w:p w14:paraId="3FA3F95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（5）现场取证资料（图片、视频等影像资料）；</w:t>
            </w:r>
          </w:p>
          <w:p w14:paraId="6AC0DDB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4C43638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（7）《询问笔录》；</w:t>
            </w:r>
          </w:p>
          <w:p w14:paraId="6BEFA3A9">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（8）其他相关证据。</w:t>
            </w:r>
          </w:p>
        </w:tc>
        <w:tc>
          <w:tcPr>
            <w:tcW w:w="3899" w:type="dxa"/>
            <w:vAlign w:val="center"/>
          </w:tcPr>
          <w:p w14:paraId="5553FD62">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第九十六条第二项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A8C25E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3378B0F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3389C9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D8B9117">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1C234915">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01EA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jc w:val="center"/>
        </w:trPr>
        <w:tc>
          <w:tcPr>
            <w:tcW w:w="617" w:type="dxa"/>
            <w:vMerge w:val="continue"/>
            <w:vAlign w:val="center"/>
          </w:tcPr>
          <w:p w14:paraId="571D71B9">
            <w:pPr>
              <w:jc w:val="center"/>
              <w:rPr>
                <w:rFonts w:hint="eastAsia" w:ascii="仿宋_GB2312" w:hAnsi="仿宋_GB2312" w:eastAsia="仿宋_GB2312" w:cs="仿宋_GB2312"/>
                <w:color w:val="auto"/>
                <w:sz w:val="32"/>
                <w:szCs w:val="32"/>
              </w:rPr>
            </w:pPr>
          </w:p>
        </w:tc>
        <w:tc>
          <w:tcPr>
            <w:tcW w:w="950" w:type="dxa"/>
            <w:vMerge w:val="continue"/>
            <w:vAlign w:val="center"/>
          </w:tcPr>
          <w:p w14:paraId="40DA2121">
            <w:pPr>
              <w:widowControl/>
              <w:adjustRightInd w:val="0"/>
              <w:snapToGrid w:val="0"/>
              <w:rPr>
                <w:rFonts w:hint="eastAsia" w:ascii="仿宋_GB2312" w:hAnsi="仿宋_GB2312" w:eastAsia="仿宋_GB2312" w:cs="仿宋_GB2312"/>
                <w:color w:val="auto"/>
                <w:kern w:val="0"/>
                <w:sz w:val="32"/>
                <w:szCs w:val="32"/>
              </w:rPr>
            </w:pPr>
          </w:p>
        </w:tc>
        <w:tc>
          <w:tcPr>
            <w:tcW w:w="1132" w:type="dxa"/>
            <w:vAlign w:val="center"/>
          </w:tcPr>
          <w:p w14:paraId="50CC7D1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5.3涉及危险化工工艺、重点监管危险化学品的装置设置自动化控制系统，涉及危险化工工艺的大型化工装置设置紧急停车系统（重大隐患）</w:t>
            </w:r>
          </w:p>
        </w:tc>
        <w:tc>
          <w:tcPr>
            <w:tcW w:w="3717" w:type="dxa"/>
            <w:vAlign w:val="center"/>
          </w:tcPr>
          <w:p w14:paraId="65C34DF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《危险化学品生产企业安全生产许可证实施办法》第九条</w:t>
            </w:r>
            <w:r>
              <w:rPr>
                <w:rFonts w:hint="eastAsia" w:ascii="仿宋_GB2312" w:hAnsi="仿宋_GB2312" w:eastAsia="仿宋_GB2312" w:cs="仿宋_GB2312"/>
                <w:color w:val="auto"/>
                <w:kern w:val="0"/>
                <w:sz w:val="32"/>
                <w:szCs w:val="32"/>
              </w:rPr>
              <w:t>企业的厂房、作业场所、储存设施和安全设施、设备、工艺应当符合下列要求：</w:t>
            </w:r>
          </w:p>
          <w:p w14:paraId="3514A6F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涉及危险化工工艺、重点监管危险化学品的装置装设自动化控制系统；涉及危险化工工艺的大型化工装置装设紧急停车系统；涉及易燃易爆、有毒有害气体化学品的场所装设易燃易爆、有毒有害介质泄漏报警等安全设施；......</w:t>
            </w:r>
          </w:p>
          <w:p w14:paraId="3564B02D">
            <w:pPr>
              <w:widowControl/>
              <w:adjustRightInd w:val="0"/>
              <w:snapToGrid w:val="0"/>
              <w:ind w:firstLine="643" w:firstLineChars="200"/>
              <w:rPr>
                <w:rFonts w:hint="eastAsia" w:ascii="仿宋_GB2312" w:hAnsi="仿宋_GB2312" w:eastAsia="仿宋_GB2312" w:cs="仿宋_GB2312"/>
                <w:b/>
                <w:bCs/>
                <w:color w:val="auto"/>
                <w:kern w:val="0"/>
                <w:sz w:val="32"/>
                <w:szCs w:val="32"/>
              </w:rPr>
            </w:pPr>
          </w:p>
        </w:tc>
        <w:tc>
          <w:tcPr>
            <w:tcW w:w="3899" w:type="dxa"/>
          </w:tcPr>
          <w:p w14:paraId="3BEA117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49B790F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284512D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（3）企业涉及的重点监管危险化学品和危险化工工艺；</w:t>
            </w:r>
          </w:p>
          <w:p w14:paraId="512CA22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（4）《安全设施设计专篇》及其审查资料（收集设计单位资质、自动化控制系统、紧急停车系统、泄漏报警等设计资料）；</w:t>
            </w:r>
          </w:p>
          <w:p w14:paraId="7BF5DEF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（5）安全设施竣工验收报告；</w:t>
            </w:r>
          </w:p>
          <w:p w14:paraId="31DE2A9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（6）自动化控制系统、紧急停车系统及有关介质泄漏报警等定期检测检验及运行记录；</w:t>
            </w:r>
          </w:p>
          <w:p w14:paraId="5A5C9FD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（7）现场取证资料（图片、视频等影像资料）；</w:t>
            </w:r>
          </w:p>
          <w:p w14:paraId="2AF0223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（8）《现场检查记录》等相关执法文书；</w:t>
            </w:r>
          </w:p>
          <w:p w14:paraId="27F9A73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w:t>
            </w:r>
            <w:r>
              <w:rPr>
                <w:rFonts w:hint="eastAsia" w:ascii="仿宋_GB2312" w:hAnsi="仿宋_GB2312" w:eastAsia="仿宋_GB2312" w:cs="仿宋_GB2312"/>
                <w:bCs/>
                <w:color w:val="auto"/>
                <w:sz w:val="32"/>
                <w:szCs w:val="32"/>
              </w:rPr>
              <w:t>企业相关人员任职文件、身份证明及其询问笔录；</w:t>
            </w:r>
          </w:p>
          <w:p w14:paraId="579A56B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vAlign w:val="center"/>
          </w:tcPr>
          <w:p w14:paraId="24BEB58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《危险化学品生产企业安全生产许可证实施办法》第四十三条</w:t>
            </w:r>
            <w:r>
              <w:rPr>
                <w:rFonts w:hint="eastAsia" w:ascii="仿宋_GB2312" w:hAnsi="仿宋_GB2312" w:eastAsia="仿宋_GB2312" w:cs="仿宋_GB2312"/>
                <w:color w:val="auto"/>
                <w:kern w:val="0"/>
                <w:sz w:val="32"/>
                <w:szCs w:val="32"/>
              </w:rPr>
              <w:t>企业取得安全生产许可证后发现其不具备本办法规定的安全生产条件的，依法暂扣其安全生产许可证1个月以上6个月以下；暂扣期满仍不具备本办法规定的安全生产条件的，依法吊销其安全生产许可证。</w:t>
            </w:r>
          </w:p>
          <w:p w14:paraId="5D2E372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F60402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64657C2">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50035185">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9B1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0" w:hRule="atLeast"/>
          <w:jc w:val="center"/>
        </w:trPr>
        <w:tc>
          <w:tcPr>
            <w:tcW w:w="617" w:type="dxa"/>
            <w:vMerge w:val="restart"/>
            <w:vAlign w:val="center"/>
          </w:tcPr>
          <w:p w14:paraId="3AA6BF36">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p>
        </w:tc>
        <w:tc>
          <w:tcPr>
            <w:tcW w:w="950" w:type="dxa"/>
            <w:vMerge w:val="restart"/>
            <w:vAlign w:val="center"/>
          </w:tcPr>
          <w:p w14:paraId="0F553D1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安全管理情况</w:t>
            </w:r>
          </w:p>
        </w:tc>
        <w:tc>
          <w:tcPr>
            <w:tcW w:w="1132" w:type="dxa"/>
            <w:vAlign w:val="center"/>
          </w:tcPr>
          <w:p w14:paraId="1AFD9EB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6.1危险化学品生产装置、罐区等设施与周边的距离（重大隐患）</w:t>
            </w:r>
          </w:p>
        </w:tc>
        <w:tc>
          <w:tcPr>
            <w:tcW w:w="3717" w:type="dxa"/>
            <w:vAlign w:val="center"/>
          </w:tcPr>
          <w:p w14:paraId="2787CFBC">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四十二条</w:t>
            </w:r>
            <w:r>
              <w:rPr>
                <w:rFonts w:hint="eastAsia" w:ascii="仿宋_GB2312" w:hAnsi="仿宋_GB2312" w:eastAsia="仿宋_GB2312" w:cs="仿宋_GB2312"/>
                <w:color w:val="auto"/>
                <w:kern w:val="0"/>
                <w:sz w:val="32"/>
                <w:szCs w:val="32"/>
              </w:rPr>
              <w:t>生产、经营、储存、使用危险物品的车间、商店、仓库不得与员工宿舍在同一座建筑物内，并应当与员工宿舍保持安全距离。</w:t>
            </w:r>
          </w:p>
          <w:p w14:paraId="75BD4D17">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生产经营场所和员工宿舍应当设有符合紧急疏散要求、标志明显、保持畅通的出口、疏散通道。禁止占用、锁闭、封堵生产经营场所或者员工宿舍的出口、疏散通道。</w:t>
            </w:r>
          </w:p>
          <w:p w14:paraId="339D156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《危险化学品生产企业安全生产许可证实施办法》第八条</w:t>
            </w:r>
            <w:r>
              <w:rPr>
                <w:rFonts w:hint="eastAsia" w:ascii="仿宋_GB2312" w:hAnsi="仿宋_GB2312" w:eastAsia="仿宋_GB2312" w:cs="仿宋_GB2312"/>
                <w:color w:val="auto"/>
                <w:kern w:val="0"/>
                <w:sz w:val="32"/>
                <w:szCs w:val="32"/>
              </w:rPr>
              <w:t>企业选址布局、规划设计以及与重要场所、设施、区域的距离应当符合下列要求：</w:t>
            </w:r>
          </w:p>
          <w:p w14:paraId="7FDA8DF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（一）国家产业政策；当地县级以上（含县级）人民政府的规划和布局；新设立企业建在地方人民政府规划的专门用于危险化学品生产、储存的区域内；</w:t>
            </w:r>
          </w:p>
          <w:p w14:paraId="3E8539F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危险化学品生产装置或者储存危险化学品数量构成重大危险源的储存设施，与《危险化学品安全管理条例》第十九条第一款规定的八类场所、设施、区域的距离符合有关法律、法规、规章和国家标准或者行业标准的规定；</w:t>
            </w:r>
          </w:p>
          <w:p w14:paraId="53B7A89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（三）总体布局符合《化工企业总图运输设计规范》（GB50489）、《工业企业总平面设计规范》（GB50187）、《建筑设计防火规范》（GB50016）等标准的要求。</w:t>
            </w:r>
          </w:p>
          <w:p w14:paraId="2C9CEE7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石油化工企业除符合本条第一款规定条件外，还应当符合《石油化工企业设计防火规范》（GB50160）的要求。</w:t>
            </w:r>
          </w:p>
          <w:p w14:paraId="2313A58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
                <w:bCs/>
                <w:color w:val="auto"/>
                <w:kern w:val="0"/>
                <w:sz w:val="32"/>
                <w:szCs w:val="32"/>
              </w:rPr>
              <w:t>危险化学品经营许可证管理办法</w:t>
            </w:r>
            <w:r>
              <w:rPr>
                <w:rFonts w:hint="eastAsia" w:ascii="仿宋_GB2312" w:hAnsi="仿宋_GB2312" w:eastAsia="仿宋_GB2312" w:cs="仿宋_GB2312"/>
                <w:b/>
                <w:color w:val="auto"/>
                <w:kern w:val="0"/>
                <w:sz w:val="32"/>
                <w:szCs w:val="32"/>
              </w:rPr>
              <w:t>》第六条</w:t>
            </w:r>
            <w:r>
              <w:rPr>
                <w:rFonts w:hint="eastAsia" w:ascii="仿宋_GB2312" w:hAnsi="仿宋_GB2312" w:eastAsia="仿宋_GB2312" w:cs="仿宋_GB2312"/>
                <w:color w:val="auto"/>
                <w:kern w:val="0"/>
                <w:sz w:val="32"/>
                <w:szCs w:val="32"/>
              </w:rPr>
              <w:t>从事危险化学品经营的单位（以下统称申请人）应当依法登记注册为企业，并具备下列基本条件：（一）经营和储存场所、设施、建筑物符合《建筑设计防火规范》（GB50016）、《石油化工企业设计防火规范》（GB50160）、《汽车加油加气站设计与施工规范》（GB50156）、《石油库设计规范》（GB50074）等相关国家标准、行业标准的规定；......</w:t>
            </w:r>
          </w:p>
          <w:p w14:paraId="5C7ED910">
            <w:pPr>
              <w:ind w:firstLine="414"/>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
                <w:bCs/>
                <w:color w:val="auto"/>
                <w:kern w:val="0"/>
                <w:sz w:val="32"/>
                <w:szCs w:val="32"/>
              </w:rPr>
              <w:t>危险化学品经营许可证管理办法</w:t>
            </w:r>
            <w:r>
              <w:rPr>
                <w:rFonts w:hint="eastAsia" w:ascii="仿宋_GB2312" w:hAnsi="仿宋_GB2312" w:eastAsia="仿宋_GB2312" w:cs="仿宋_GB2312"/>
                <w:b/>
                <w:color w:val="auto"/>
                <w:kern w:val="0"/>
                <w:sz w:val="32"/>
                <w:szCs w:val="32"/>
              </w:rPr>
              <w:t>》</w:t>
            </w:r>
            <w:r>
              <w:rPr>
                <w:rFonts w:hint="eastAsia" w:ascii="仿宋_GB2312" w:hAnsi="仿宋_GB2312" w:eastAsia="仿宋_GB2312" w:cs="仿宋_GB2312"/>
                <w:b/>
                <w:color w:val="auto"/>
                <w:sz w:val="32"/>
                <w:szCs w:val="32"/>
              </w:rPr>
              <w:t xml:space="preserve">第八条  </w:t>
            </w:r>
            <w:r>
              <w:rPr>
                <w:rFonts w:hint="eastAsia" w:ascii="仿宋_GB2312" w:hAnsi="仿宋_GB2312" w:eastAsia="仿宋_GB2312" w:cs="仿宋_GB2312"/>
                <w:color w:val="auto"/>
                <w:sz w:val="32"/>
                <w:szCs w:val="32"/>
              </w:rPr>
              <w:t>申请人带有储存设施经营危险化学品的，除符合本办法第六条规定的条件外，还应当具备下列条件：（一）新设立的专门从事危险化学品仓储经营的，其储存设施建立在地方人民政府规划的用于危险化学品储存的专门区域内；（二）储存设施与相关场所、设施、区域的距离符合有关法律、法规、规章和标准的规定；......</w:t>
            </w:r>
          </w:p>
        </w:tc>
        <w:tc>
          <w:tcPr>
            <w:tcW w:w="3899" w:type="dxa"/>
          </w:tcPr>
          <w:p w14:paraId="240DEF5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2834908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2E0E31C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（3）《安全设施设计专篇》及其审查资料；（收集设计单位资质、安全设施与周边距离的资料）；</w:t>
            </w:r>
          </w:p>
          <w:p w14:paraId="762659B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（4）企业总平面设计图；</w:t>
            </w:r>
          </w:p>
          <w:p w14:paraId="7D0530C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（5）《勘验笔录》；</w:t>
            </w:r>
          </w:p>
          <w:p w14:paraId="27D484A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（6）《化工企业总图运输设计规范》（GB50489）、《工业企业总平面设计规范》（GB50187）、《建筑设计防火规范》（GB50016）、《石油化工企业设计防火规范》（GB50160）等关于安全距离的标准规定；</w:t>
            </w:r>
          </w:p>
          <w:p w14:paraId="596085D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（7）现场取证资料（图片、视频等影像资料）；</w:t>
            </w:r>
          </w:p>
          <w:p w14:paraId="54D1BC4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4F3F11B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w:t>
            </w:r>
            <w:r>
              <w:rPr>
                <w:rFonts w:hint="eastAsia" w:ascii="仿宋_GB2312" w:hAnsi="仿宋_GB2312" w:eastAsia="仿宋_GB2312" w:cs="仿宋_GB2312"/>
                <w:bCs/>
                <w:color w:val="auto"/>
                <w:sz w:val="32"/>
                <w:szCs w:val="32"/>
              </w:rPr>
              <w:t>企业相关人员任职文件、身份证明及其询问笔录；</w:t>
            </w:r>
          </w:p>
          <w:p w14:paraId="17DE47B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vAlign w:val="center"/>
          </w:tcPr>
          <w:p w14:paraId="372D5180">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第一百零五条</w:t>
            </w:r>
            <w:r>
              <w:rPr>
                <w:rFonts w:hint="eastAsia" w:ascii="仿宋_GB2312" w:hAnsi="仿宋_GB2312" w:eastAsia="仿宋_GB2312" w:cs="仿宋_GB2312"/>
                <w:color w:val="auto"/>
                <w:kern w:val="0"/>
                <w:sz w:val="32"/>
                <w:szCs w:val="32"/>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00E2B6A0">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（一）生产、经营、储存、使用危险物品的车间、商店、仓库与员工宿舍在同一座建筑内，或者与员工宿舍的距离不符合安全要求的；</w:t>
            </w:r>
          </w:p>
          <w:p w14:paraId="4C86CDD3">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（二）生产经营场所和员工宿舍未设有符合紧急疏散需要、标志明显、保持畅通的出口、疏散通道，或者占用、锁闭、封堵生产经营场所或者员工宿舍出口、疏散通道的。</w:t>
            </w:r>
          </w:p>
          <w:p w14:paraId="2483DAF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《危险化学品生产企业安全生产许可证实施办法》第四十三条</w:t>
            </w:r>
            <w:r>
              <w:rPr>
                <w:rFonts w:hint="eastAsia" w:ascii="仿宋_GB2312" w:hAnsi="仿宋_GB2312" w:eastAsia="仿宋_GB2312" w:cs="仿宋_GB2312"/>
                <w:color w:val="auto"/>
                <w:kern w:val="0"/>
                <w:sz w:val="32"/>
                <w:szCs w:val="32"/>
              </w:rPr>
              <w:t>企业取得安全生产许可证后发现其不具备本办法规定的安全生产条件的，依法暂扣其安全生产许可证1个月以上6个月以下；暂扣期满仍不具备本办法规定的安全生产条件的，依法吊销其安全生产许可证。</w:t>
            </w:r>
          </w:p>
          <w:p w14:paraId="44A37A9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《危险化学品经营许可证管理办法》第三十条</w:t>
            </w:r>
            <w:r>
              <w:rPr>
                <w:rFonts w:hint="eastAsia" w:ascii="仿宋_GB2312" w:hAnsi="仿宋_GB2312" w:eastAsia="仿宋_GB2312" w:cs="仿宋_GB2312"/>
                <w:color w:val="auto"/>
                <w:kern w:val="0"/>
                <w:sz w:val="32"/>
                <w:szCs w:val="32"/>
              </w:rPr>
              <w:t xml:space="preserve">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六）危险化学品专用仓库不符合国家标准、行业标准的要求的；......</w:t>
            </w:r>
          </w:p>
          <w:p w14:paraId="4A87DA5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A3BC58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FFAAF65">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742184C2">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FCA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60" w:hRule="atLeast"/>
          <w:jc w:val="center"/>
        </w:trPr>
        <w:tc>
          <w:tcPr>
            <w:tcW w:w="617" w:type="dxa"/>
            <w:vMerge w:val="continue"/>
            <w:vAlign w:val="center"/>
          </w:tcPr>
          <w:p w14:paraId="4C6E14E3">
            <w:pPr>
              <w:jc w:val="center"/>
              <w:rPr>
                <w:rFonts w:hint="eastAsia" w:ascii="仿宋_GB2312" w:hAnsi="仿宋_GB2312" w:eastAsia="仿宋_GB2312" w:cs="仿宋_GB2312"/>
                <w:color w:val="auto"/>
                <w:sz w:val="32"/>
                <w:szCs w:val="32"/>
              </w:rPr>
            </w:pPr>
          </w:p>
        </w:tc>
        <w:tc>
          <w:tcPr>
            <w:tcW w:w="950" w:type="dxa"/>
            <w:vMerge w:val="continue"/>
            <w:vAlign w:val="center"/>
          </w:tcPr>
          <w:p w14:paraId="2AE63BC5">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721414C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6.2危险化学品未按照标准分区、分类、分库存放，或超量、超品种储存及相互禁忌物质混放混存（重大隐患）</w:t>
            </w:r>
          </w:p>
        </w:tc>
        <w:tc>
          <w:tcPr>
            <w:tcW w:w="3717" w:type="dxa"/>
            <w:vAlign w:val="center"/>
          </w:tcPr>
          <w:p w14:paraId="40B093C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《危险化学品安全管理条例》第二十四条</w:t>
            </w:r>
            <w:r>
              <w:rPr>
                <w:rFonts w:hint="eastAsia" w:ascii="仿宋_GB2312" w:hAnsi="仿宋_GB2312" w:eastAsia="仿宋_GB2312" w:cs="仿宋_GB2312"/>
                <w:color w:val="auto"/>
                <w:kern w:val="0"/>
                <w:sz w:val="32"/>
                <w:szCs w:val="32"/>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14:paraId="64E20A0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危险化学品的储存方式、方法以及储存数量应当符合国家标准或者国家有关规定。</w:t>
            </w:r>
          </w:p>
          <w:p w14:paraId="275EAB4E">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《常用化学危险品贮存通则》（GB 15603-1995）</w:t>
            </w:r>
          </w:p>
        </w:tc>
        <w:tc>
          <w:tcPr>
            <w:tcW w:w="3899" w:type="dxa"/>
          </w:tcPr>
          <w:p w14:paraId="270E900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251D0627">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5FF53EEA">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（3）《安全设施设计专篇》及其审查资料；（收集企业总平面设计，分区、分类、分库设计资料）；</w:t>
            </w:r>
          </w:p>
          <w:p w14:paraId="56F5E2A2">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（4）企业原料和产品进出库管理登记台账和票据；</w:t>
            </w:r>
          </w:p>
          <w:p w14:paraId="14EF5FC8">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（5）安全评价报告(收集安全风险因素分析、储存方式、方法以及储存数量资料)；</w:t>
            </w:r>
          </w:p>
          <w:p w14:paraId="6901D6AF">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（6）企业安全管理制度；</w:t>
            </w:r>
          </w:p>
          <w:p w14:paraId="6106FCD1">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（7）专用仓库双人收发、双人保管制度；</w:t>
            </w:r>
          </w:p>
          <w:p w14:paraId="12858D7D">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（8）相关国家标准或者国家有关规定；</w:t>
            </w:r>
          </w:p>
          <w:p w14:paraId="7DEFA531">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（9）企业安全检查记录；</w:t>
            </w:r>
          </w:p>
          <w:p w14:paraId="50911BF3">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（10）隐患排查治理记录；</w:t>
            </w:r>
          </w:p>
          <w:p w14:paraId="56C9859F">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（11）现场取证资料（图片、视频等影像资料）；</w:t>
            </w:r>
          </w:p>
          <w:p w14:paraId="07BE780A">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（12）《现场检查记录》《责令限期整改指令书》等相关执法文书；</w:t>
            </w:r>
          </w:p>
          <w:p w14:paraId="5D9C2B98">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w:t>
            </w:r>
            <w:r>
              <w:rPr>
                <w:rFonts w:hint="eastAsia" w:ascii="仿宋_GB2312" w:hAnsi="仿宋_GB2312" w:eastAsia="仿宋_GB2312" w:cs="仿宋_GB2312"/>
                <w:bCs/>
                <w:color w:val="auto"/>
                <w:sz w:val="32"/>
                <w:szCs w:val="32"/>
              </w:rPr>
              <w:t>企业相关人员任职文件、身份证明及其询问笔录；</w:t>
            </w:r>
          </w:p>
          <w:p w14:paraId="1C72F1F1">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（14）其他相关证据。</w:t>
            </w:r>
          </w:p>
        </w:tc>
        <w:tc>
          <w:tcPr>
            <w:tcW w:w="3899" w:type="dxa"/>
            <w:vAlign w:val="center"/>
          </w:tcPr>
          <w:p w14:paraId="2FEA84F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《危险化学品安全管理条例》第八十条</w:t>
            </w:r>
            <w:r>
              <w:rPr>
                <w:rFonts w:hint="eastAsia" w:ascii="仿宋_GB2312" w:hAnsi="仿宋_GB2312" w:eastAsia="仿宋_GB2312" w:cs="仿宋_GB2312"/>
                <w:color w:val="auto"/>
                <w:kern w:val="0"/>
                <w:sz w:val="32"/>
                <w:szCs w:val="32"/>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14:paraId="3474997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......（四）未将危险化学品储存在专用仓库内，或者未将剧毒化学品以及储存数量构成重大危险源的其他危险化学品在专用仓库内单独存放的；</w:t>
            </w:r>
          </w:p>
          <w:p w14:paraId="0E530EB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(五)危险化学品的储存方式、方法或者储存数量不符合国家标准或者国家有关规定的；......</w:t>
            </w:r>
          </w:p>
          <w:p w14:paraId="037B16B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8D012E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2E20F15">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5A7CCABB">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4A1EA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93" w:hRule="atLeast"/>
          <w:jc w:val="center"/>
        </w:trPr>
        <w:tc>
          <w:tcPr>
            <w:tcW w:w="617" w:type="dxa"/>
            <w:vMerge w:val="continue"/>
            <w:vAlign w:val="center"/>
          </w:tcPr>
          <w:p w14:paraId="40DEE89C">
            <w:pPr>
              <w:jc w:val="center"/>
              <w:rPr>
                <w:rFonts w:hint="eastAsia" w:ascii="仿宋_GB2312" w:hAnsi="仿宋_GB2312" w:eastAsia="仿宋_GB2312" w:cs="仿宋_GB2312"/>
                <w:color w:val="auto"/>
                <w:sz w:val="32"/>
                <w:szCs w:val="32"/>
              </w:rPr>
            </w:pPr>
          </w:p>
        </w:tc>
        <w:tc>
          <w:tcPr>
            <w:tcW w:w="950" w:type="dxa"/>
            <w:vMerge w:val="continue"/>
            <w:vAlign w:val="center"/>
          </w:tcPr>
          <w:p w14:paraId="34A901F0">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18D6A83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6.3特殊作业安全管理（重大隐患）</w:t>
            </w:r>
          </w:p>
        </w:tc>
        <w:tc>
          <w:tcPr>
            <w:tcW w:w="3717" w:type="dxa"/>
            <w:vAlign w:val="center"/>
          </w:tcPr>
          <w:p w14:paraId="10B61227">
            <w:pPr>
              <w:widowControl/>
              <w:shd w:val="clear" w:color="auto" w:fill="FFFFFF"/>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w:t>
            </w:r>
            <w:r>
              <w:rPr>
                <w:rFonts w:hint="eastAsia" w:ascii="仿宋_GB2312" w:hAnsi="仿宋_GB2312" w:eastAsia="仿宋_GB2312" w:cs="仿宋_GB2312"/>
                <w:b/>
                <w:color w:val="auto"/>
                <w:kern w:val="0"/>
                <w:sz w:val="32"/>
                <w:szCs w:val="32"/>
              </w:rPr>
              <w:t>四十三条</w:t>
            </w:r>
            <w:r>
              <w:rPr>
                <w:rFonts w:hint="eastAsia" w:ascii="仿宋_GB2312" w:hAnsi="仿宋_GB2312" w:eastAsia="仿宋_GB2312" w:cs="仿宋_GB2312"/>
                <w:color w:val="auto"/>
                <w:kern w:val="0"/>
                <w:sz w:val="32"/>
                <w:szCs w:val="32"/>
              </w:rPr>
              <w:t>生产经营单位进行爆破、吊装、动火、临时用电以及国务院应急管理部门会同国务院有关部门规定的其他危险作业，应当安排专门人员进行现场安全管理，确保操作规程的遵守和安全措施的落实。</w:t>
            </w:r>
          </w:p>
          <w:p w14:paraId="1A0D2EBB">
            <w:pPr>
              <w:widowControl/>
              <w:adjustRightInd w:val="0"/>
              <w:snapToGrid w:val="0"/>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《化学品生产单位特殊作业安全规范》（GB30871-2014）</w:t>
            </w:r>
          </w:p>
          <w:p w14:paraId="18D34DD0">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5.2.1  动火作业应有专人监火,作业前应清除动火现场及周围的易燃物品,或采取其他有效安全防火措施,并配备消防器材,满足作业现场应急需求。</w:t>
            </w:r>
          </w:p>
          <w:p w14:paraId="397F6EF6">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5.2.2  动火点周围或其下方的地面如有可燃物、空洞、窨井、地沟、水封等,应检查分析并采取清理或封盖等措施;对于动火点周围有可能泄漏易燃、可燃物料的设备,应采取隔离措施。</w:t>
            </w:r>
          </w:p>
          <w:p w14:paraId="77EE00BE">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5.2.3  凡在盛有或盛装过危险化学品的设备、管道等生产、储存设施及处于GB50016、GB50160、</w:t>
            </w:r>
          </w:p>
          <w:p w14:paraId="6751B501">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GB50074规定的甲、乙类区域的生产设备上动火作业,应将其与生产系统彻底隔离,并进行清洗、置换,分析合格后方可作业;因条件限制无法进行清洗、置换而确需动火作业时按5.3规定执行。</w:t>
            </w:r>
          </w:p>
          <w:p w14:paraId="49421DE4">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6.2  作业前,应根据受限空间盛装(过)的物料特性,对受限空间进行清洗或置换,并达到如下要求:</w:t>
            </w:r>
          </w:p>
          <w:p w14:paraId="72CFAAAB">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a) 氧含量为18%～21%,在富氧环境下不应大于23.5%;</w:t>
            </w:r>
          </w:p>
          <w:p w14:paraId="3943260F">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b) 有毒气体(物质)浓度应符合GBZ2.1的规定;</w:t>
            </w:r>
          </w:p>
          <w:p w14:paraId="02C4A7B1">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c) 可燃气体浓度要求同5.4.2规定。</w:t>
            </w:r>
          </w:p>
          <w:p w14:paraId="3A5BDF62">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6.7  作业监护要求如下:</w:t>
            </w:r>
          </w:p>
          <w:p w14:paraId="3EE6CA8B">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a) 在受限空间外应设有专人监护,作业期间监护人员不应离开;</w:t>
            </w:r>
          </w:p>
          <w:p w14:paraId="03CF25C8">
            <w:pPr>
              <w:widowControl/>
              <w:adjustRightInd w:val="0"/>
              <w:snapToGrid w:val="0"/>
              <w:ind w:firstLine="640"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Cs/>
                <w:color w:val="auto"/>
                <w:kern w:val="0"/>
                <w:sz w:val="32"/>
                <w:szCs w:val="32"/>
              </w:rPr>
              <w:t>b) 在风险较大的受限空间作业时,应增设监护人员,并随时与受限空间内作业人员保持联络。</w:t>
            </w:r>
          </w:p>
        </w:tc>
        <w:tc>
          <w:tcPr>
            <w:tcW w:w="3899" w:type="dxa"/>
          </w:tcPr>
          <w:p w14:paraId="2C142BC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45B05DA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7A8C9DC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（3）特殊作业安全管理制度（包含动火、受限空间、临时用电、动土、盲板抽堵等特殊作业）；</w:t>
            </w:r>
          </w:p>
          <w:p w14:paraId="54E27FB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（4）特殊作业操作规程；</w:t>
            </w:r>
          </w:p>
          <w:p w14:paraId="1C10EA2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（5）特殊作业审批手续；</w:t>
            </w:r>
          </w:p>
          <w:p w14:paraId="59E6320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（6）特殊作业相关的特种作业人员资格证（电工、焊工、防爆电气等）；</w:t>
            </w:r>
          </w:p>
          <w:p w14:paraId="7B2B1F3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（7）特殊作业专门监护人员证件（含工作经验等资料）；</w:t>
            </w:r>
          </w:p>
          <w:p w14:paraId="69049A6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（8）进行特殊作业前的准备、分析、安全技术交底；</w:t>
            </w:r>
          </w:p>
          <w:p w14:paraId="11182C3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（9）特殊作业专项应急安全措施（现场处置方案）；</w:t>
            </w:r>
          </w:p>
          <w:p w14:paraId="7FAF714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（10）氧浓度、易燃易爆物质（可燃气体、爆炸性粉尘）浓度、有毒有害气体浓度检测记录；</w:t>
            </w:r>
          </w:p>
          <w:p w14:paraId="2C70B60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（11）作业过程监督检查记录；</w:t>
            </w:r>
          </w:p>
          <w:p w14:paraId="6BA1F8F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（12）企业现场安全检查记录；</w:t>
            </w:r>
          </w:p>
          <w:p w14:paraId="40A5A44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（13）现场取证资料（图片、视频等影像资料）；</w:t>
            </w:r>
          </w:p>
          <w:p w14:paraId="4FB5A10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（14）《现场检查记录》《责令限期整改指令书》等相关执法文书；</w:t>
            </w:r>
          </w:p>
          <w:p w14:paraId="757321D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（15）</w:t>
            </w:r>
            <w:r>
              <w:rPr>
                <w:rFonts w:hint="eastAsia" w:ascii="仿宋_GB2312" w:hAnsi="仿宋_GB2312" w:eastAsia="仿宋_GB2312" w:cs="仿宋_GB2312"/>
                <w:bCs/>
                <w:color w:val="auto"/>
                <w:sz w:val="32"/>
                <w:szCs w:val="32"/>
              </w:rPr>
              <w:t>企业相关人员任职文件、身份证明及其询问笔录；</w:t>
            </w:r>
          </w:p>
          <w:p w14:paraId="27A592B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（16）其他相关证据。</w:t>
            </w:r>
          </w:p>
        </w:tc>
        <w:tc>
          <w:tcPr>
            <w:tcW w:w="3899" w:type="dxa"/>
            <w:vAlign w:val="center"/>
          </w:tcPr>
          <w:p w14:paraId="38ECFBD9">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第一百零一条第三项</w:t>
            </w:r>
            <w:r>
              <w:rPr>
                <w:rFonts w:hint="eastAsia" w:ascii="仿宋_GB2312" w:hAnsi="仿宋_GB2312" w:eastAsia="仿宋_GB2312" w:cs="仿宋_GB2312"/>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5CA215A7">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（三）进行爆破、吊装、动火、临时用电以及国务院应急管理部门会同国务院有关部门规定的其他危险作业，未安排专门人员进行现场安全管理的；</w:t>
            </w:r>
          </w:p>
          <w:p w14:paraId="2A400D4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713A9C3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p w14:paraId="3EC26FA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7604E15">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EC1A305">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6AE19AD7">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4187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8" w:hRule="atLeast"/>
          <w:jc w:val="center"/>
        </w:trPr>
        <w:tc>
          <w:tcPr>
            <w:tcW w:w="617" w:type="dxa"/>
            <w:vMerge w:val="continue"/>
            <w:vAlign w:val="center"/>
          </w:tcPr>
          <w:p w14:paraId="1692C2AF">
            <w:pPr>
              <w:jc w:val="center"/>
              <w:rPr>
                <w:rFonts w:hint="eastAsia" w:ascii="仿宋_GB2312" w:hAnsi="仿宋_GB2312" w:eastAsia="仿宋_GB2312" w:cs="仿宋_GB2312"/>
                <w:color w:val="auto"/>
                <w:sz w:val="32"/>
                <w:szCs w:val="32"/>
              </w:rPr>
            </w:pPr>
          </w:p>
        </w:tc>
        <w:tc>
          <w:tcPr>
            <w:tcW w:w="950" w:type="dxa"/>
            <w:vMerge w:val="continue"/>
            <w:vAlign w:val="center"/>
          </w:tcPr>
          <w:p w14:paraId="3478AB63">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2D37A856">
            <w:pPr>
              <w:widowControl/>
              <w:tabs>
                <w:tab w:val="center" w:pos="4153"/>
                <w:tab w:val="right" w:pos="8306"/>
              </w:tabs>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6.4</w:t>
            </w:r>
            <w:r>
              <w:rPr>
                <w:rFonts w:hint="eastAsia" w:ascii="仿宋_GB2312" w:hAnsi="仿宋_GB2312" w:eastAsia="仿宋_GB2312" w:cs="仿宋_GB2312"/>
                <w:color w:val="auto"/>
                <w:sz w:val="32"/>
                <w:szCs w:val="32"/>
              </w:rPr>
              <w:t>危险化学品生产企业未提供化学品安全技术说明书，未在包装（包括外包装件）上粘贴、拴挂化学品安全标签的（</w:t>
            </w:r>
            <w:r>
              <w:rPr>
                <w:rFonts w:hint="eastAsia" w:ascii="仿宋_GB2312" w:hAnsi="仿宋_GB2312" w:eastAsia="仿宋_GB2312" w:cs="仿宋_GB2312"/>
                <w:color w:val="auto"/>
                <w:kern w:val="0"/>
                <w:sz w:val="32"/>
                <w:szCs w:val="32"/>
              </w:rPr>
              <w:t>危险化学品的“一书一签”管理</w:t>
            </w:r>
            <w:r>
              <w:rPr>
                <w:rFonts w:hint="eastAsia" w:ascii="仿宋_GB2312" w:hAnsi="仿宋_GB2312" w:eastAsia="仿宋_GB2312" w:cs="仿宋_GB2312"/>
                <w:color w:val="auto"/>
                <w:sz w:val="32"/>
                <w:szCs w:val="32"/>
              </w:rPr>
              <w:t>）</w:t>
            </w:r>
          </w:p>
        </w:tc>
        <w:tc>
          <w:tcPr>
            <w:tcW w:w="3717" w:type="dxa"/>
            <w:vAlign w:val="center"/>
          </w:tcPr>
          <w:p w14:paraId="5345894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《危险化学品安全管理条例》第十五条</w:t>
            </w:r>
            <w:r>
              <w:rPr>
                <w:rFonts w:hint="eastAsia" w:ascii="仿宋_GB2312" w:hAnsi="仿宋_GB2312" w:eastAsia="仿宋_GB2312" w:cs="仿宋_GB2312"/>
                <w:color w:val="auto"/>
                <w:kern w:val="0"/>
                <w:sz w:val="32"/>
                <w:szCs w:val="32"/>
              </w:rPr>
              <w:t>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14:paraId="323B959F">
            <w:pPr>
              <w:widowControl/>
              <w:adjustRightInd w:val="0"/>
              <w:snapToGri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危险化学品生产企业发现其生产的危险化学品有新的危险特性的，应当立即公告，并及时修订其化学品安全技术说明书和化学品安全标签。</w:t>
            </w:r>
          </w:p>
          <w:p w14:paraId="6B8146A3">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《化学品安全标签编写规定》（GB15258-2009）</w:t>
            </w:r>
          </w:p>
          <w:p w14:paraId="45FC290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《化学品安全技术说明书内容和项目顺序》（GBT16483-2008）</w:t>
            </w:r>
          </w:p>
        </w:tc>
        <w:tc>
          <w:tcPr>
            <w:tcW w:w="3899" w:type="dxa"/>
          </w:tcPr>
          <w:p w14:paraId="27B0EF9E">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6CB19133">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（2）安全生产许可证；</w:t>
            </w:r>
          </w:p>
          <w:p w14:paraId="07B6315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（3）化学品安全技术说明书和化学品安全标签及其修订记录；</w:t>
            </w:r>
          </w:p>
          <w:p w14:paraId="31669B2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（4）危险特性公告资料；</w:t>
            </w:r>
          </w:p>
          <w:p w14:paraId="60F7863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（5）现场取证资料（图片、视频等影像资料）；</w:t>
            </w:r>
          </w:p>
          <w:p w14:paraId="03A8DAF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09452AF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color w:val="auto"/>
                <w:sz w:val="32"/>
                <w:szCs w:val="32"/>
              </w:rPr>
              <w:t>企业相关人员任职文件、身份证明及其询问笔录；</w:t>
            </w:r>
          </w:p>
          <w:p w14:paraId="405525D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vAlign w:val="center"/>
          </w:tcPr>
          <w:p w14:paraId="0DD2B23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《危险化学品安全管理条例》第七十八条</w:t>
            </w:r>
            <w:r>
              <w:rPr>
                <w:rFonts w:hint="eastAsia" w:ascii="仿宋_GB2312" w:hAnsi="仿宋_GB2312" w:eastAsia="仿宋_GB2312" w:cs="仿宋_GB2312"/>
                <w:color w:val="auto"/>
                <w:kern w:val="0"/>
                <w:sz w:val="32"/>
                <w:szCs w:val="32"/>
              </w:rPr>
              <w:t>有下列情形之一的，由安全生产监督管理部门责令改正，可以处5万元以下的罚款；拒不改正的，处5万元以上10万元以下的罚款；情节严重的，责令停产停业整顿：</w:t>
            </w:r>
          </w:p>
          <w:p w14:paraId="11CC0C9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危险化学品生产企业未提供化学品安全技术说明书，或者未在包装(包括外包装件)上粘贴、拴挂化学品安全标签的；</w:t>
            </w:r>
          </w:p>
          <w:p w14:paraId="67510EF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（四）</w:t>
            </w:r>
            <w:r>
              <w:rPr>
                <w:rFonts w:hint="eastAsia" w:ascii="仿宋_GB2312" w:hAnsi="仿宋_GB2312" w:eastAsia="仿宋_GB2312" w:cs="仿宋_GB2312"/>
                <w:color w:val="auto"/>
                <w:kern w:val="0"/>
                <w:sz w:val="32"/>
                <w:szCs w:val="32"/>
              </w:rPr>
              <w:t>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14:paraId="097C3C7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（五）</w:t>
            </w:r>
            <w:r>
              <w:rPr>
                <w:rFonts w:hint="eastAsia" w:ascii="仿宋_GB2312" w:hAnsi="仿宋_GB2312" w:eastAsia="仿宋_GB2312" w:cs="仿宋_GB2312"/>
                <w:color w:val="auto"/>
                <w:kern w:val="0"/>
                <w:sz w:val="32"/>
                <w:szCs w:val="32"/>
              </w:rPr>
              <w:t>危险化学品生产企业发现其生产的危险化学品有新的危险特性不立即公告，或者不及时修订其化学品安全技术说明书和化学品安全标签的；</w:t>
            </w:r>
          </w:p>
          <w:p w14:paraId="6591BD1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（六）</w:t>
            </w:r>
            <w:r>
              <w:rPr>
                <w:rFonts w:hint="eastAsia" w:ascii="仿宋_GB2312" w:hAnsi="仿宋_GB2312" w:eastAsia="仿宋_GB2312" w:cs="仿宋_GB2312"/>
                <w:color w:val="auto"/>
                <w:kern w:val="0"/>
                <w:sz w:val="32"/>
                <w:szCs w:val="32"/>
              </w:rPr>
              <w:t>危险化学品经营企业经营没有化学品安全技术说明书和化学品安全标签的危险化学品的；......</w:t>
            </w:r>
          </w:p>
        </w:tc>
        <w:tc>
          <w:tcPr>
            <w:tcW w:w="951" w:type="dxa"/>
            <w:vAlign w:val="center"/>
          </w:tcPr>
          <w:p w14:paraId="0108078B">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7A43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8" w:hRule="atLeast"/>
          <w:jc w:val="center"/>
        </w:trPr>
        <w:tc>
          <w:tcPr>
            <w:tcW w:w="617" w:type="dxa"/>
            <w:vMerge w:val="continue"/>
            <w:vAlign w:val="center"/>
          </w:tcPr>
          <w:p w14:paraId="6E008F58">
            <w:pPr>
              <w:jc w:val="center"/>
              <w:rPr>
                <w:rFonts w:hint="eastAsia" w:ascii="仿宋_GB2312" w:hAnsi="仿宋_GB2312" w:eastAsia="仿宋_GB2312" w:cs="仿宋_GB2312"/>
                <w:color w:val="auto"/>
                <w:sz w:val="32"/>
                <w:szCs w:val="32"/>
              </w:rPr>
            </w:pPr>
          </w:p>
        </w:tc>
        <w:tc>
          <w:tcPr>
            <w:tcW w:w="950" w:type="dxa"/>
            <w:vMerge w:val="continue"/>
            <w:vAlign w:val="center"/>
          </w:tcPr>
          <w:p w14:paraId="27FF147E">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416D7D2E">
            <w:pPr>
              <w:widowControl/>
              <w:tabs>
                <w:tab w:val="center" w:pos="4153"/>
                <w:tab w:val="right" w:pos="8306"/>
              </w:tabs>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6.5 企业应制定重大危险源管理制度，按照GB 18218辨识并确定重大危险源，建立重大危险源档案</w:t>
            </w:r>
          </w:p>
        </w:tc>
        <w:tc>
          <w:tcPr>
            <w:tcW w:w="3717" w:type="dxa"/>
            <w:vAlign w:val="center"/>
          </w:tcPr>
          <w:p w14:paraId="64EFE4B3">
            <w:pPr>
              <w:widowControl/>
              <w:tabs>
                <w:tab w:val="center" w:pos="4153"/>
                <w:tab w:val="right" w:pos="8306"/>
              </w:tabs>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《危险化学品重大危险源监督管理暂行规定》第七条</w:t>
            </w:r>
            <w:r>
              <w:rPr>
                <w:rFonts w:hint="eastAsia" w:ascii="仿宋_GB2312" w:hAnsi="仿宋_GB2312" w:eastAsia="仿宋_GB2312" w:cs="仿宋_GB2312"/>
                <w:color w:val="auto"/>
                <w:kern w:val="0"/>
                <w:sz w:val="32"/>
                <w:szCs w:val="32"/>
              </w:rPr>
              <w:t>危险化学品单位应当按照《危险化学品重大危险源辨识》标准，对本单位的危险化学品生产、经营、储存和使用装置、设施或者场所进行重大危险源辨识，并记录辨识过程与结果。</w:t>
            </w:r>
          </w:p>
          <w:p w14:paraId="7A9D6894">
            <w:pPr>
              <w:widowControl/>
              <w:tabs>
                <w:tab w:val="center" w:pos="4153"/>
                <w:tab w:val="right" w:pos="8306"/>
              </w:tabs>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第二十二条</w:t>
            </w:r>
            <w:r>
              <w:rPr>
                <w:rFonts w:hint="eastAsia" w:ascii="仿宋_GB2312" w:hAnsi="仿宋_GB2312" w:eastAsia="仿宋_GB2312" w:cs="仿宋_GB2312"/>
                <w:color w:val="auto"/>
                <w:kern w:val="0"/>
                <w:sz w:val="32"/>
                <w:szCs w:val="32"/>
              </w:rPr>
              <w:t>危险化学品单位应当对辨识确认的重大危险源及时、逐项进行登记建档。</w:t>
            </w:r>
          </w:p>
          <w:p w14:paraId="033F7E76">
            <w:pPr>
              <w:widowControl/>
              <w:tabs>
                <w:tab w:val="center" w:pos="4153"/>
                <w:tab w:val="right" w:pos="8306"/>
              </w:tabs>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"http://www-pkulaw-com-s.vpn.ruc.edu.cn/chl/javascript:void(0);"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fldChar w:fldCharType="end"/>
            </w:r>
          </w:p>
        </w:tc>
        <w:tc>
          <w:tcPr>
            <w:tcW w:w="3899" w:type="dxa"/>
            <w:vAlign w:val="center"/>
          </w:tcPr>
          <w:p w14:paraId="7880F25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509DC75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（2）安全生产（经营）许可证；</w:t>
            </w:r>
          </w:p>
          <w:p w14:paraId="63595AF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（3）安全评价报告（收集封面、评价机构评价资质、重大危险源辨识及安全设施设计资料等）；</w:t>
            </w:r>
          </w:p>
          <w:p w14:paraId="5953559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（4）重大危险源备案登记表；</w:t>
            </w:r>
          </w:p>
          <w:p w14:paraId="3C14A12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（5）重大危险源管理制度；</w:t>
            </w:r>
          </w:p>
          <w:p w14:paraId="1A2C261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（6）重大危险源台帐资料；</w:t>
            </w:r>
          </w:p>
          <w:p w14:paraId="537F44F4">
            <w:pPr>
              <w:pStyle w:val="2"/>
              <w:ind w:firstLine="0"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28707B4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（8）其他相关资料。</w:t>
            </w:r>
          </w:p>
        </w:tc>
        <w:tc>
          <w:tcPr>
            <w:tcW w:w="3899" w:type="dxa"/>
            <w:vAlign w:val="center"/>
          </w:tcPr>
          <w:p w14:paraId="6460B069">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《危险化学品重大危险源监督管理暂行规定》第三十二条</w:t>
            </w:r>
            <w:r>
              <w:rPr>
                <w:rFonts w:hint="eastAsia" w:ascii="仿宋_GB2312" w:hAnsi="仿宋_GB2312" w:eastAsia="仿宋_GB2312" w:cs="仿宋_GB2312"/>
                <w:bCs/>
                <w:color w:val="auto"/>
                <w:kern w:val="0"/>
                <w:sz w:val="32"/>
                <w:szCs w:val="32"/>
              </w:rPr>
              <w:t>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14:paraId="2A84FC3F">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（二）未按照本规定要求对重大危险源进行登记建档的；……</w:t>
            </w:r>
          </w:p>
          <w:p w14:paraId="41460E0C">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第三十四条危险化学品单位有下列情形之一的，由县级以上人民政府安全生产监督管理部门给予警告，可以并处5000元以上3万元以下的罚款：</w:t>
            </w:r>
          </w:p>
          <w:p w14:paraId="3D18378B">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（一）未按照标准对重大危险源进行辨识的。……</w:t>
            </w:r>
          </w:p>
        </w:tc>
        <w:tc>
          <w:tcPr>
            <w:tcW w:w="951" w:type="dxa"/>
            <w:vAlign w:val="center"/>
          </w:tcPr>
          <w:p w14:paraId="4D9D63A6">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2BF2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8" w:hRule="atLeast"/>
          <w:jc w:val="center"/>
        </w:trPr>
        <w:tc>
          <w:tcPr>
            <w:tcW w:w="617" w:type="dxa"/>
            <w:vMerge w:val="continue"/>
            <w:vAlign w:val="center"/>
          </w:tcPr>
          <w:p w14:paraId="660B8697">
            <w:pPr>
              <w:jc w:val="center"/>
              <w:rPr>
                <w:rFonts w:hint="eastAsia" w:ascii="仿宋_GB2312" w:hAnsi="仿宋_GB2312" w:eastAsia="仿宋_GB2312" w:cs="仿宋_GB2312"/>
                <w:color w:val="auto"/>
                <w:sz w:val="32"/>
                <w:szCs w:val="32"/>
              </w:rPr>
            </w:pPr>
          </w:p>
        </w:tc>
        <w:tc>
          <w:tcPr>
            <w:tcW w:w="950" w:type="dxa"/>
            <w:vMerge w:val="continue"/>
            <w:vAlign w:val="center"/>
          </w:tcPr>
          <w:p w14:paraId="18223042">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699AABA1">
            <w:pPr>
              <w:widowControl/>
              <w:tabs>
                <w:tab w:val="center" w:pos="4153"/>
                <w:tab w:val="right" w:pos="8306"/>
              </w:tabs>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6.6 企业应按照AQ 3036及有关规定设置重大危险源安全监控报警系统，重大危险源涉及的压力、温度、液位、泄漏报警等重要参数的测量要有远传和连续记录</w:t>
            </w:r>
          </w:p>
        </w:tc>
        <w:tc>
          <w:tcPr>
            <w:tcW w:w="3717" w:type="dxa"/>
            <w:vAlign w:val="center"/>
          </w:tcPr>
          <w:p w14:paraId="4F43F22D">
            <w:pPr>
              <w:widowControl/>
              <w:tabs>
                <w:tab w:val="center" w:pos="4153"/>
                <w:tab w:val="right" w:pos="8306"/>
              </w:tabs>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《危险化学品重大危险源监督管理暂行规定》第十三条</w:t>
            </w:r>
            <w:r>
              <w:rPr>
                <w:rFonts w:hint="eastAsia" w:ascii="仿宋_GB2312" w:hAnsi="仿宋_GB2312" w:eastAsia="仿宋_GB2312" w:cs="仿宋_GB2312"/>
                <w:color w:val="auto"/>
                <w:kern w:val="0"/>
                <w:sz w:val="32"/>
                <w:szCs w:val="32"/>
              </w:rPr>
              <w:t>危险化学品单位应当根据构成重大危险源的危险化学品种类、数量、生产、使用工艺（方式）或者相关设备、设施等实际情况，按照下列要求建立健全安全监测监控体系，完善控制措施：</w:t>
            </w:r>
          </w:p>
          <w:p w14:paraId="4472D1A8">
            <w:pPr>
              <w:widowControl/>
              <w:tabs>
                <w:tab w:val="center" w:pos="4153"/>
                <w:tab w:val="right" w:pos="8306"/>
              </w:tabs>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p>
          <w:p w14:paraId="36E279BF">
            <w:pPr>
              <w:widowControl/>
              <w:tabs>
                <w:tab w:val="center" w:pos="4153"/>
                <w:tab w:val="right" w:pos="8306"/>
              </w:tabs>
              <w:adjustRightInd w:val="0"/>
              <w:snapToGrid w:val="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w:t>
            </w:r>
          </w:p>
        </w:tc>
        <w:tc>
          <w:tcPr>
            <w:tcW w:w="3899" w:type="dxa"/>
            <w:vAlign w:val="center"/>
          </w:tcPr>
          <w:p w14:paraId="322F495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2A65284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（2）安全生产（经营）许可证；</w:t>
            </w:r>
          </w:p>
          <w:p w14:paraId="0B0B344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（3）安全评价报告（收集封面、评价机构评价资质、重大危险源辨识及安全设施设计资料等）；</w:t>
            </w:r>
          </w:p>
          <w:p w14:paraId="0673364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（4）重大危险源备案登记表；</w:t>
            </w:r>
          </w:p>
          <w:p w14:paraId="097A985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（5）重大危险源管理制度；</w:t>
            </w:r>
          </w:p>
          <w:p w14:paraId="50DB30F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（6）重大危险源台帐资料；</w:t>
            </w:r>
          </w:p>
          <w:p w14:paraId="2B5E4458">
            <w:pPr>
              <w:pStyle w:val="2"/>
              <w:ind w:firstLine="0" w:firstLineChars="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（7）现场取证照片；</w:t>
            </w:r>
          </w:p>
          <w:p w14:paraId="5D40F602">
            <w:pPr>
              <w:pStyle w:val="2"/>
              <w:ind w:firstLine="0" w:firstLineChars="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（8）监测记录；</w:t>
            </w:r>
          </w:p>
          <w:p w14:paraId="1A948365">
            <w:pPr>
              <w:pStyle w:val="2"/>
              <w:ind w:firstLine="0"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5D771DD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（10）其他相关资料。</w:t>
            </w:r>
          </w:p>
        </w:tc>
        <w:tc>
          <w:tcPr>
            <w:tcW w:w="3899" w:type="dxa"/>
            <w:vAlign w:val="center"/>
          </w:tcPr>
          <w:p w14:paraId="0B3E0E9F">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《危险化学品重大危险源监督管理暂行规定》第三十二条</w:t>
            </w:r>
            <w:r>
              <w:rPr>
                <w:rFonts w:hint="eastAsia" w:ascii="仿宋_GB2312" w:hAnsi="仿宋_GB2312" w:eastAsia="仿宋_GB2312" w:cs="仿宋_GB2312"/>
                <w:bCs/>
                <w:color w:val="auto"/>
                <w:kern w:val="0"/>
                <w:sz w:val="32"/>
                <w:szCs w:val="32"/>
              </w:rPr>
              <w:t>危险化学品单位有下列行为之一的，由县级以上人民政府安全生产监督管理部门责令限期改正；逾期未改正的，责令停产停业整顿，可以并处2万元以上10万元以下的罚款：</w:t>
            </w:r>
          </w:p>
          <w:p w14:paraId="353D3181">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w:t>
            </w:r>
          </w:p>
          <w:p w14:paraId="7B029CC8">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（三）未按照本规定及相关标准要求对重大危险源进行安全监测监控的。</w:t>
            </w:r>
          </w:p>
          <w:p w14:paraId="2977E76F">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w:t>
            </w:r>
          </w:p>
        </w:tc>
        <w:tc>
          <w:tcPr>
            <w:tcW w:w="951" w:type="dxa"/>
            <w:vAlign w:val="center"/>
          </w:tcPr>
          <w:p w14:paraId="709F62B2">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7651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8" w:hRule="atLeast"/>
          <w:jc w:val="center"/>
        </w:trPr>
        <w:tc>
          <w:tcPr>
            <w:tcW w:w="617" w:type="dxa"/>
            <w:vMerge w:val="continue"/>
            <w:vAlign w:val="center"/>
          </w:tcPr>
          <w:p w14:paraId="1D1D74E3">
            <w:pPr>
              <w:jc w:val="center"/>
              <w:rPr>
                <w:rFonts w:hint="eastAsia" w:ascii="仿宋_GB2312" w:hAnsi="仿宋_GB2312" w:eastAsia="仿宋_GB2312" w:cs="仿宋_GB2312"/>
                <w:color w:val="auto"/>
                <w:sz w:val="32"/>
                <w:szCs w:val="32"/>
              </w:rPr>
            </w:pPr>
          </w:p>
        </w:tc>
        <w:tc>
          <w:tcPr>
            <w:tcW w:w="950" w:type="dxa"/>
            <w:vMerge w:val="continue"/>
            <w:vAlign w:val="center"/>
          </w:tcPr>
          <w:p w14:paraId="281BFCB5">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4D903B26">
            <w:pPr>
              <w:widowControl/>
              <w:tabs>
                <w:tab w:val="center" w:pos="4153"/>
                <w:tab w:val="right" w:pos="8306"/>
              </w:tabs>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6.7 涉及毒性气体、液化气体、剧毒液体的一级或者二级重大危险源，应配备独立的安全仪表系统（SIS）（重大隐患）</w:t>
            </w:r>
          </w:p>
        </w:tc>
        <w:tc>
          <w:tcPr>
            <w:tcW w:w="3717" w:type="dxa"/>
            <w:vAlign w:val="center"/>
          </w:tcPr>
          <w:p w14:paraId="3A4D7D16">
            <w:pPr>
              <w:widowControl/>
              <w:tabs>
                <w:tab w:val="center" w:pos="4153"/>
                <w:tab w:val="right" w:pos="8306"/>
              </w:tabs>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《危险化学品重大危险源监督管理暂行规定》第十三条</w:t>
            </w:r>
            <w:r>
              <w:rPr>
                <w:rFonts w:hint="eastAsia" w:ascii="仿宋_GB2312" w:hAnsi="仿宋_GB2312" w:eastAsia="仿宋_GB2312" w:cs="仿宋_GB2312"/>
                <w:color w:val="auto"/>
                <w:kern w:val="0"/>
                <w:sz w:val="32"/>
                <w:szCs w:val="32"/>
              </w:rPr>
              <w:t>危险化学品单位应当根据构成重大危险源的危险化学品种类、数量、生产、使用工艺（方式）或者相关设备、设施等实际情况，按照下列要求建立健全安全监测监控体系，完善控制措施：</w:t>
            </w:r>
          </w:p>
          <w:p w14:paraId="17C72547">
            <w:pPr>
              <w:widowControl/>
              <w:tabs>
                <w:tab w:val="center" w:pos="4153"/>
                <w:tab w:val="right" w:pos="8306"/>
              </w:tabs>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4BAB845D">
            <w:pPr>
              <w:widowControl/>
              <w:tabs>
                <w:tab w:val="center" w:pos="4153"/>
                <w:tab w:val="right" w:pos="8306"/>
              </w:tabs>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对重大危险源中的毒性气体、剧毒液体和易燃气体等重点设施，设置紧急切断装置；毒性气体的设施，设置泄漏物紧急处置装置。涉及毒性气体、液化气体、剧毒液体的一级或者二级重大危险源，配备独立的安全仪表系统（SIS）。</w:t>
            </w:r>
          </w:p>
          <w:p w14:paraId="3EF72824">
            <w:pPr>
              <w:widowControl/>
              <w:tabs>
                <w:tab w:val="center" w:pos="4153"/>
                <w:tab w:val="right" w:pos="8306"/>
              </w:tabs>
              <w:adjustRightInd w:val="0"/>
              <w:snapToGrid w:val="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w:t>
            </w:r>
          </w:p>
        </w:tc>
        <w:tc>
          <w:tcPr>
            <w:tcW w:w="3899" w:type="dxa"/>
          </w:tcPr>
          <w:p w14:paraId="66B64B1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45F236F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（2）安全生产（经营）许可证；</w:t>
            </w:r>
          </w:p>
          <w:p w14:paraId="17537BD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（3）安全评价报告（收集封面、评价机构评价资质、重大危险源辨识及安全设施设计资料等）；</w:t>
            </w:r>
          </w:p>
          <w:p w14:paraId="0491062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（4）重大危险源备案登记表；</w:t>
            </w:r>
          </w:p>
          <w:p w14:paraId="0E477E6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（5）重大危险源管理制度；</w:t>
            </w:r>
          </w:p>
          <w:p w14:paraId="6147BAD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（6）重大危险源台帐资料；</w:t>
            </w:r>
          </w:p>
          <w:p w14:paraId="25729853">
            <w:pPr>
              <w:pStyle w:val="2"/>
              <w:ind w:firstLine="0" w:firstLineChars="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（7）现场取证照片；</w:t>
            </w:r>
          </w:p>
          <w:p w14:paraId="6CEA27AE">
            <w:pPr>
              <w:pStyle w:val="2"/>
              <w:ind w:firstLine="0" w:firstLineChars="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（8）监测记录；</w:t>
            </w:r>
          </w:p>
          <w:p w14:paraId="05B4AFE3">
            <w:pPr>
              <w:pStyle w:val="2"/>
              <w:ind w:firstLine="0"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3F7A127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（10）其他相关资料。</w:t>
            </w:r>
          </w:p>
        </w:tc>
        <w:tc>
          <w:tcPr>
            <w:tcW w:w="3899" w:type="dxa"/>
            <w:vAlign w:val="center"/>
          </w:tcPr>
          <w:p w14:paraId="0F40F089">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《危险化学品重大危险源监督管理暂行规定》第三十二条</w:t>
            </w:r>
            <w:r>
              <w:rPr>
                <w:rFonts w:hint="eastAsia" w:ascii="仿宋_GB2312" w:hAnsi="仿宋_GB2312" w:eastAsia="仿宋_GB2312" w:cs="仿宋_GB2312"/>
                <w:bCs/>
                <w:color w:val="auto"/>
                <w:kern w:val="0"/>
                <w:sz w:val="32"/>
                <w:szCs w:val="32"/>
              </w:rPr>
              <w:t>危险化学品单位有下列行为之一的，由县级以上人民政府安全生产监督管理部门责令限期改正；逾期未改正的，责令停产停业整顿，可以并处2万元以上10万元以下的罚款：</w:t>
            </w:r>
          </w:p>
          <w:p w14:paraId="1F8A7C11">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w:t>
            </w:r>
          </w:p>
          <w:p w14:paraId="3E2A6CFF">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（三）未按照本规定及相关标准要求对重大危险源进行安全监测监控的。</w:t>
            </w:r>
          </w:p>
          <w:p w14:paraId="3CCC93C4">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w:t>
            </w:r>
          </w:p>
          <w:p w14:paraId="52A3D03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3BC64B3">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1" w:type="dxa"/>
            <w:vAlign w:val="center"/>
          </w:tcPr>
          <w:p w14:paraId="28BF615A">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4FB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57" w:hRule="atLeast"/>
          <w:jc w:val="center"/>
        </w:trPr>
        <w:tc>
          <w:tcPr>
            <w:tcW w:w="617" w:type="dxa"/>
            <w:vMerge w:val="continue"/>
            <w:vAlign w:val="center"/>
          </w:tcPr>
          <w:p w14:paraId="33D890C9">
            <w:pPr>
              <w:jc w:val="center"/>
              <w:rPr>
                <w:rFonts w:hint="eastAsia" w:ascii="仿宋_GB2312" w:hAnsi="仿宋_GB2312" w:eastAsia="仿宋_GB2312" w:cs="仿宋_GB2312"/>
                <w:color w:val="auto"/>
                <w:sz w:val="32"/>
                <w:szCs w:val="32"/>
              </w:rPr>
            </w:pPr>
          </w:p>
        </w:tc>
        <w:tc>
          <w:tcPr>
            <w:tcW w:w="950" w:type="dxa"/>
            <w:vMerge w:val="continue"/>
            <w:vAlign w:val="center"/>
          </w:tcPr>
          <w:p w14:paraId="5FE8433E">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5E72C7D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6.8危险化学品重大危险源管理情况</w:t>
            </w:r>
          </w:p>
        </w:tc>
        <w:tc>
          <w:tcPr>
            <w:tcW w:w="3717" w:type="dxa"/>
            <w:vAlign w:val="center"/>
          </w:tcPr>
          <w:p w14:paraId="1F63FF2E">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第四十条第一款</w:t>
            </w:r>
            <w:r>
              <w:rPr>
                <w:rFonts w:hint="eastAsia" w:ascii="仿宋_GB2312" w:hAnsi="仿宋_GB2312" w:eastAsia="仿宋_GB2312" w:cs="仿宋_GB2312"/>
                <w:color w:val="auto"/>
                <w:kern w:val="0"/>
                <w:sz w:val="32"/>
                <w:szCs w:val="32"/>
              </w:rPr>
              <w:t>生产经营单位对重大危险源应当登记建档，进行定期检测、评估、监控，并制定应急预案，告知从业人员和相关人员在紧急情况下应当采取的应急措施。</w:t>
            </w:r>
          </w:p>
          <w:p w14:paraId="78D94B8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《危险化学品重大危险源监督管理暂行规定》第十六条</w:t>
            </w:r>
            <w:r>
              <w:rPr>
                <w:rFonts w:hint="eastAsia" w:ascii="仿宋_GB2312" w:hAnsi="仿宋_GB2312" w:eastAsia="仿宋_GB2312" w:cs="仿宋_GB2312"/>
                <w:color w:val="auto"/>
                <w:kern w:val="0"/>
                <w:sz w:val="32"/>
                <w:szCs w:val="32"/>
              </w:rPr>
              <w:t>危险化学品单位应当明确重大危险源中关键装置、重点部位的责任人或者责任机构，并对重大危险源的安全生产状况进行定期检查，及时采取措施消除事故隐患。事故隐患难以立即排除的，应当及时制定治理方案，落实整改措施、责任、资金、时限和预案。</w:t>
            </w:r>
          </w:p>
          <w:p w14:paraId="45B6FA57">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《危险化学品重大危险源辨识》（GB18218-2018）</w:t>
            </w:r>
          </w:p>
        </w:tc>
        <w:tc>
          <w:tcPr>
            <w:tcW w:w="3899" w:type="dxa"/>
          </w:tcPr>
          <w:p w14:paraId="7D862BD2">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49E8CF46">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（2）安全生产（经营）许可证；</w:t>
            </w:r>
          </w:p>
          <w:p w14:paraId="6BB7E2CD">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（3）安全评价报告（收集封面、评价机构评价资质、重大危险源辨识及安全设施设计资料等）；</w:t>
            </w:r>
          </w:p>
          <w:p w14:paraId="403287D9">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（4）重大危险源备案登记表；</w:t>
            </w:r>
          </w:p>
          <w:p w14:paraId="648BC178">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（5）重大危险源管理制度；</w:t>
            </w:r>
          </w:p>
          <w:p w14:paraId="2ACF5E0B">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（6）关键装置、重点部位的责任人或者责任机构；</w:t>
            </w:r>
          </w:p>
          <w:p w14:paraId="0D0A8EA6">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（7）重大危险源定期检查记录；</w:t>
            </w:r>
          </w:p>
          <w:p w14:paraId="1A844AED">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（8）重大危险源有关设备设施定期检测、维护记录；</w:t>
            </w:r>
          </w:p>
          <w:p w14:paraId="1BE7088A">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（9）重大危险源辨识评估登记记录；</w:t>
            </w:r>
          </w:p>
          <w:p w14:paraId="794F6995">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（10）重大危险源监测、监控记录；</w:t>
            </w:r>
          </w:p>
          <w:p w14:paraId="7D9F334D">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（11）隐患排查治理记录；</w:t>
            </w:r>
          </w:p>
          <w:p w14:paraId="170F4D5D">
            <w:pPr>
              <w:widowControl/>
              <w:jc w:val="left"/>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（12）重大危险源专项应急预案；</w:t>
            </w:r>
          </w:p>
          <w:p w14:paraId="31A1B551">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（13）现场取证资料（图片、视频等影像资料）；</w:t>
            </w:r>
          </w:p>
          <w:p w14:paraId="6671C071">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（14）《现场检查记录》《责令限期整改指令书》等相关执法文书；</w:t>
            </w:r>
          </w:p>
          <w:p w14:paraId="61C68A5C">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（15）</w:t>
            </w:r>
            <w:r>
              <w:rPr>
                <w:rFonts w:hint="eastAsia" w:ascii="仿宋_GB2312" w:hAnsi="仿宋_GB2312" w:eastAsia="仿宋_GB2312" w:cs="仿宋_GB2312"/>
                <w:bCs/>
                <w:color w:val="auto"/>
                <w:sz w:val="32"/>
                <w:szCs w:val="32"/>
              </w:rPr>
              <w:t>企业相关人员任职文件、身份证明及其询问笔录；</w:t>
            </w:r>
          </w:p>
          <w:p w14:paraId="7A18AE79">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（16）其他相关证据。</w:t>
            </w:r>
          </w:p>
        </w:tc>
        <w:tc>
          <w:tcPr>
            <w:tcW w:w="3899" w:type="dxa"/>
            <w:vAlign w:val="center"/>
          </w:tcPr>
          <w:p w14:paraId="07BA90B7">
            <w:pPr>
              <w:widowControl/>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 xml:space="preserve">《中华人民共和国安全生产法》  第一百零一条第二项 </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7E14011A">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（二）对重大危险源未登记建档，未进行定期检测、评估、监控，未制定应急预案，或者未告知应急措施的；</w:t>
            </w:r>
          </w:p>
          <w:p w14:paraId="0C2BE8B4">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《危险化学品重大危险源监督管理暂行规定》第三十五条</w:t>
            </w:r>
            <w:r>
              <w:rPr>
                <w:rFonts w:hint="eastAsia" w:ascii="仿宋_GB2312" w:hAnsi="仿宋_GB2312" w:eastAsia="仿宋_GB2312" w:cs="仿宋_GB2312"/>
                <w:color w:val="auto"/>
                <w:kern w:val="0"/>
                <w:sz w:val="32"/>
                <w:szCs w:val="32"/>
              </w:rPr>
              <w:t>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tc>
        <w:tc>
          <w:tcPr>
            <w:tcW w:w="951" w:type="dxa"/>
            <w:vAlign w:val="center"/>
          </w:tcPr>
          <w:p w14:paraId="6D4B7061">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3C1B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57" w:hRule="atLeast"/>
          <w:jc w:val="center"/>
        </w:trPr>
        <w:tc>
          <w:tcPr>
            <w:tcW w:w="617" w:type="dxa"/>
            <w:vMerge w:val="continue"/>
            <w:vAlign w:val="center"/>
          </w:tcPr>
          <w:p w14:paraId="143BFE43">
            <w:pPr>
              <w:jc w:val="center"/>
              <w:rPr>
                <w:rFonts w:hint="eastAsia" w:ascii="仿宋_GB2312" w:hAnsi="仿宋_GB2312" w:eastAsia="仿宋_GB2312" w:cs="仿宋_GB2312"/>
                <w:color w:val="auto"/>
                <w:sz w:val="32"/>
                <w:szCs w:val="32"/>
              </w:rPr>
            </w:pPr>
          </w:p>
        </w:tc>
        <w:tc>
          <w:tcPr>
            <w:tcW w:w="950" w:type="dxa"/>
            <w:vMerge w:val="continue"/>
            <w:vAlign w:val="center"/>
          </w:tcPr>
          <w:p w14:paraId="440E48E6">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4330900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6.9 企业应将重大危险源及相关安全措施、应急措施报送当地县级以上人民政府应急管理部门备案</w:t>
            </w:r>
          </w:p>
        </w:tc>
        <w:tc>
          <w:tcPr>
            <w:tcW w:w="3717" w:type="dxa"/>
            <w:vAlign w:val="center"/>
          </w:tcPr>
          <w:p w14:paraId="32E0C16C">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《危险化学品重大危险源监督管理暂行规定》第二十三条</w:t>
            </w:r>
            <w:r>
              <w:rPr>
                <w:rFonts w:hint="eastAsia" w:ascii="仿宋_GB2312" w:hAnsi="仿宋_GB2312" w:eastAsia="仿宋_GB2312" w:cs="仿宋_GB2312"/>
                <w:color w:val="auto"/>
                <w:kern w:val="0"/>
                <w:sz w:val="32"/>
                <w:szCs w:val="32"/>
              </w:rPr>
              <w:t>危险化学品单位在完成重大危险源安全评估报告或者安全评价报告后15日内，应当填写重大危险源备案申请表，连同本规定第二十二条规定的重大危险源档案材料（其中第二款第五项规定的文件资料只需提供清单），报送所在地县级人民政府安全生产监督管理部门备案。</w:t>
            </w:r>
          </w:p>
        </w:tc>
        <w:tc>
          <w:tcPr>
            <w:tcW w:w="3899" w:type="dxa"/>
          </w:tcPr>
          <w:p w14:paraId="1CDFC655">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667818BB">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（2）安全生产（经营）许可证；</w:t>
            </w:r>
          </w:p>
          <w:p w14:paraId="615898AD">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（3）安全评价报告（收集封面、评价机构评价资质、重大危险源辨识及安全设施设计资料等）；</w:t>
            </w:r>
          </w:p>
          <w:p w14:paraId="4A575EF0">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（4）重大危险源备案登记表；</w:t>
            </w:r>
          </w:p>
          <w:p w14:paraId="06C3578B">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（5）重大危险源管理制度；</w:t>
            </w:r>
          </w:p>
          <w:p w14:paraId="428A2DFB">
            <w:pPr>
              <w:widowControl/>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（6）其他相关证据</w:t>
            </w:r>
          </w:p>
        </w:tc>
        <w:tc>
          <w:tcPr>
            <w:tcW w:w="3899" w:type="dxa"/>
            <w:vAlign w:val="center"/>
          </w:tcPr>
          <w:p w14:paraId="365F1848">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《危险化学品重大危险源监督管理暂行规定》第三十四条</w:t>
            </w:r>
            <w:r>
              <w:rPr>
                <w:rFonts w:hint="eastAsia" w:ascii="仿宋_GB2312" w:hAnsi="仿宋_GB2312" w:eastAsia="仿宋_GB2312" w:cs="仿宋_GB2312"/>
                <w:color w:val="auto"/>
                <w:kern w:val="0"/>
                <w:sz w:val="32"/>
                <w:szCs w:val="32"/>
              </w:rPr>
              <w:t>危险化学品单位有下列情形之一的，由县级以上人民政府安全生产监督管理部门给予警告，可以并处5000元以上3万元以下的罚款：</w:t>
            </w:r>
          </w:p>
          <w:p w14:paraId="4E4F280C">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2A217225">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（四）未按照本规定进行重大危险源备案或者核销的。</w:t>
            </w:r>
          </w:p>
          <w:p w14:paraId="1F0B295A">
            <w:pPr>
              <w:widowControl/>
              <w:ind w:firstLine="640"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w:t>
            </w:r>
          </w:p>
        </w:tc>
        <w:tc>
          <w:tcPr>
            <w:tcW w:w="951" w:type="dxa"/>
            <w:vAlign w:val="center"/>
          </w:tcPr>
          <w:p w14:paraId="195620D7">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2DE2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7" w:type="dxa"/>
            <w:vMerge w:val="continue"/>
            <w:vAlign w:val="center"/>
          </w:tcPr>
          <w:p w14:paraId="31EC8FC0">
            <w:pPr>
              <w:jc w:val="center"/>
              <w:rPr>
                <w:rFonts w:hint="eastAsia" w:ascii="仿宋_GB2312" w:hAnsi="仿宋_GB2312" w:eastAsia="仿宋_GB2312" w:cs="仿宋_GB2312"/>
                <w:color w:val="auto"/>
                <w:sz w:val="32"/>
                <w:szCs w:val="32"/>
              </w:rPr>
            </w:pPr>
          </w:p>
        </w:tc>
        <w:tc>
          <w:tcPr>
            <w:tcW w:w="950" w:type="dxa"/>
            <w:vMerge w:val="continue"/>
            <w:vAlign w:val="center"/>
          </w:tcPr>
          <w:p w14:paraId="536FBEC1">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089873B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6.10 有毒气体的区域配备便携式检测仪、空气呼吸器等器材和设备</w:t>
            </w:r>
          </w:p>
        </w:tc>
        <w:tc>
          <w:tcPr>
            <w:tcW w:w="3717" w:type="dxa"/>
            <w:vAlign w:val="center"/>
          </w:tcPr>
          <w:p w14:paraId="47A7BF0A">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《中华人民共和国安全生产法》第八十二条第二款</w:t>
            </w:r>
            <w:r>
              <w:rPr>
                <w:rFonts w:hint="eastAsia" w:ascii="仿宋_GB2312" w:hAnsi="仿宋_GB2312" w:eastAsia="仿宋_GB2312" w:cs="仿宋_GB2312"/>
                <w:color w:val="auto"/>
                <w:kern w:val="0"/>
                <w:sz w:val="32"/>
                <w:szCs w:val="32"/>
              </w:rPr>
              <w:t>危险物品的生产、经营、储存、运输单位以及矿山、金属冶炼、城市轨道交通运营、建筑施工单位应当配备必要的应急救援器材、设备和物资，并进行经常性维护、保养，保证正常运转。</w:t>
            </w:r>
          </w:p>
          <w:p w14:paraId="0666CF5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《生产安全事故应急预案管理办法》第三十八条</w:t>
            </w:r>
            <w:r>
              <w:rPr>
                <w:rFonts w:hint="eastAsia" w:ascii="仿宋_GB2312" w:hAnsi="仿宋_GB2312" w:eastAsia="仿宋_GB2312" w:cs="仿宋_GB2312"/>
                <w:color w:val="auto"/>
                <w:kern w:val="0"/>
                <w:sz w:val="32"/>
                <w:szCs w:val="32"/>
              </w:rPr>
              <w:t>生产经营单位应当按照应急预案的规定，落实应急指挥体系、应急救援队伍、应急物资及装备，建立应急物资、装备配备及其使用档案，并对应急物资、装备进行定期检测和维护，使其处于适用状态。</w:t>
            </w:r>
          </w:p>
        </w:tc>
        <w:tc>
          <w:tcPr>
            <w:tcW w:w="3899" w:type="dxa"/>
          </w:tcPr>
          <w:p w14:paraId="15A8B8F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（1）企业的应急预案（应急救援器材、设备和物资配备等）；</w:t>
            </w:r>
          </w:p>
          <w:p w14:paraId="5515A86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（2）应急救援物资登记表；</w:t>
            </w:r>
          </w:p>
          <w:p w14:paraId="66C933E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（3）便携式检测仪、空气呼吸器等应急救援物资合格证及使用说明书；</w:t>
            </w:r>
          </w:p>
          <w:p w14:paraId="2531C86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（4）应急救援物资维修保养记录、完好性检查记录；</w:t>
            </w:r>
          </w:p>
          <w:p w14:paraId="7EDF362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（5）应急救援物资出入库登记表；</w:t>
            </w:r>
          </w:p>
          <w:p w14:paraId="374599F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（6）便携式检测仪、空气呼吸器等器材正确使用培训及考核记录；</w:t>
            </w:r>
          </w:p>
          <w:p w14:paraId="1180AF6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（7）现场取证资料（图片、视频等影像资料）；</w:t>
            </w:r>
          </w:p>
          <w:p w14:paraId="262B012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0BE1D80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w:t>
            </w:r>
            <w:r>
              <w:rPr>
                <w:rFonts w:hint="eastAsia" w:ascii="仿宋_GB2312" w:hAnsi="仿宋_GB2312" w:eastAsia="仿宋_GB2312" w:cs="仿宋_GB2312"/>
                <w:bCs/>
                <w:color w:val="auto"/>
                <w:sz w:val="32"/>
                <w:szCs w:val="32"/>
              </w:rPr>
              <w:t>企业相关人员任职文件、身份证明及其询问笔录；</w:t>
            </w:r>
          </w:p>
          <w:p w14:paraId="2A40576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vAlign w:val="center"/>
          </w:tcPr>
          <w:p w14:paraId="6FAC1F9A">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《安全生产违法行为行政处罚办法》第四十六条</w:t>
            </w:r>
            <w:r>
              <w:rPr>
                <w:rFonts w:hint="eastAsia" w:ascii="仿宋_GB2312" w:hAnsi="仿宋_GB2312" w:eastAsia="仿宋_GB2312" w:cs="仿宋_GB2312"/>
                <w:color w:val="auto"/>
                <w:kern w:val="0"/>
                <w:sz w:val="32"/>
                <w:szCs w:val="32"/>
              </w:rPr>
              <w:t>危险物品的生产、经营、储存单位以及矿山、金属冶炼单位有下列行为之一的，责令改正，并可以处1万元以上3万元以下的罚款：......（二）未配备必要的应急救援器材、设备和物资，并进行经常性维护、保养，保证正常运转的。</w:t>
            </w:r>
          </w:p>
          <w:p w14:paraId="6478C420">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《生产安全事故应急预案管理办法》第四十五条第一款第六项</w:t>
            </w:r>
            <w:r>
              <w:rPr>
                <w:rFonts w:hint="eastAsia" w:ascii="仿宋_GB2312" w:hAnsi="仿宋_GB2312" w:eastAsia="仿宋_GB2312" w:cs="仿宋_GB2312"/>
                <w:color w:val="auto"/>
                <w:kern w:val="0"/>
                <w:sz w:val="32"/>
                <w:szCs w:val="32"/>
              </w:rPr>
              <w:t>生产经营单位有下列情形之一的，由县级以上人民政府应急管理部门责令限期改正，可以处1万元以上3万元以下的罚款：</w:t>
            </w:r>
          </w:p>
          <w:p w14:paraId="059C8C5A">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（六）未落实应急预案规定的应急物资及装备的。</w:t>
            </w:r>
          </w:p>
        </w:tc>
        <w:tc>
          <w:tcPr>
            <w:tcW w:w="951" w:type="dxa"/>
            <w:vAlign w:val="center"/>
          </w:tcPr>
          <w:p w14:paraId="283D89EC">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7A37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75" w:hRule="atLeast"/>
          <w:jc w:val="center"/>
        </w:trPr>
        <w:tc>
          <w:tcPr>
            <w:tcW w:w="617" w:type="dxa"/>
            <w:vAlign w:val="center"/>
          </w:tcPr>
          <w:p w14:paraId="3DCFBF70">
            <w:pPr>
              <w:jc w:val="center"/>
              <w:rPr>
                <w:rFonts w:hint="eastAsia" w:ascii="仿宋_GB2312" w:hAnsi="仿宋_GB2312" w:eastAsia="仿宋_GB2312" w:cs="仿宋_GB2312"/>
                <w:color w:val="auto"/>
                <w:sz w:val="32"/>
                <w:szCs w:val="32"/>
              </w:rPr>
            </w:pPr>
          </w:p>
        </w:tc>
        <w:tc>
          <w:tcPr>
            <w:tcW w:w="950" w:type="dxa"/>
            <w:vMerge w:val="restart"/>
            <w:vAlign w:val="center"/>
          </w:tcPr>
          <w:p w14:paraId="3D0C684A">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0324D788">
            <w:pPr>
              <w:adjustRightInd w:val="0"/>
              <w:snapToGrid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6.11在有较大危险因素的生产经营场所和有关设施、设备上未设置明显的安全警示标志的</w:t>
            </w:r>
          </w:p>
        </w:tc>
        <w:tc>
          <w:tcPr>
            <w:tcW w:w="3717" w:type="dxa"/>
            <w:vAlign w:val="center"/>
          </w:tcPr>
          <w:p w14:paraId="536705A8">
            <w:pPr>
              <w:widowControl/>
              <w:shd w:val="clear" w:color="auto" w:fill="FFFFFF"/>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《中华人民共和国安全生产法》 第三十五条</w:t>
            </w:r>
            <w:r>
              <w:rPr>
                <w:rFonts w:hint="eastAsia" w:ascii="仿宋_GB2312" w:hAnsi="仿宋_GB2312" w:eastAsia="仿宋_GB2312" w:cs="仿宋_GB2312"/>
                <w:color w:val="auto"/>
                <w:kern w:val="0"/>
                <w:sz w:val="32"/>
                <w:szCs w:val="32"/>
              </w:rPr>
              <w:t>生产经营单位应当在有较大危险因素的生产经营场所和有关设施、设备上，设置明显的安全警示标志。</w:t>
            </w:r>
          </w:p>
          <w:p w14:paraId="279F9F73">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《危险化学品安全管理条例》第二十条第二款生产、储存危险化学品的单位，应当在其作业场所和安全设施、设备上设置明显的安全警示标志。</w:t>
            </w:r>
          </w:p>
          <w:p w14:paraId="19137EC5">
            <w:pPr>
              <w:ind w:firstLine="643"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《化学品作业场所安全警示标志规范》（AQ 3047—2013）</w:t>
            </w:r>
          </w:p>
          <w:p w14:paraId="4B4220DA">
            <w:pPr>
              <w:ind w:firstLine="640" w:firstLineChars="200"/>
              <w:rPr>
                <w:rFonts w:hint="eastAsia" w:ascii="仿宋_GB2312" w:hAnsi="仿宋_GB2312" w:eastAsia="仿宋_GB2312" w:cs="仿宋_GB2312"/>
                <w:color w:val="auto"/>
                <w:sz w:val="32"/>
                <w:szCs w:val="32"/>
              </w:rPr>
            </w:pPr>
          </w:p>
        </w:tc>
        <w:tc>
          <w:tcPr>
            <w:tcW w:w="3899" w:type="dxa"/>
            <w:vAlign w:val="center"/>
          </w:tcPr>
          <w:p w14:paraId="06BEFEB4">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3A17CF08">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（2）安全生产（经营）许可证；</w:t>
            </w:r>
          </w:p>
          <w:p w14:paraId="0890EE3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（3）危险有害因素和风险辨识资料；</w:t>
            </w:r>
          </w:p>
          <w:p w14:paraId="327FA65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（4）具有较大危险因素的场所和设备设施登记表（台账）；</w:t>
            </w:r>
          </w:p>
          <w:p w14:paraId="723BABD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（5）安全警示标志设置登记表（台账）；</w:t>
            </w:r>
          </w:p>
          <w:p w14:paraId="23DB21F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（6）现场取证资料（图片、视频等影像资料）；</w:t>
            </w:r>
          </w:p>
          <w:p w14:paraId="17336BD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368315C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bCs/>
                <w:color w:val="auto"/>
                <w:sz w:val="32"/>
                <w:szCs w:val="32"/>
              </w:rPr>
              <w:t>企业相关人员任职文件、身份证明及其询问笔录；</w:t>
            </w:r>
          </w:p>
          <w:p w14:paraId="17CE214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vAlign w:val="center"/>
          </w:tcPr>
          <w:p w14:paraId="2A741F3A">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第九十九条第一项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5DEBC43">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（一）未在有较大危险因素的生产经营场所和有关设施、设备上设置明显的安全警示标志的；</w:t>
            </w:r>
          </w:p>
          <w:p w14:paraId="27E1CA65">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《危险化学品安全管理条例》</w:t>
            </w:r>
            <w:r>
              <w:rPr>
                <w:rFonts w:hint="eastAsia" w:ascii="仿宋_GB2312" w:hAnsi="仿宋_GB2312" w:eastAsia="仿宋_GB2312" w:cs="仿宋_GB2312"/>
                <w:b/>
                <w:color w:val="auto"/>
                <w:kern w:val="0"/>
                <w:sz w:val="32"/>
                <w:szCs w:val="32"/>
              </w:rPr>
              <w:t>第七十八条</w:t>
            </w:r>
            <w:r>
              <w:rPr>
                <w:rFonts w:hint="eastAsia" w:ascii="仿宋_GB2312" w:hAnsi="仿宋_GB2312" w:eastAsia="仿宋_GB2312" w:cs="仿宋_GB2312"/>
                <w:color w:val="auto"/>
                <w:kern w:val="0"/>
                <w:sz w:val="32"/>
                <w:szCs w:val="32"/>
              </w:rPr>
              <w:t>有下列情形之一的，由安全生产监督管理部门责令改正，可以处5万元以下的罚款；拒不改正的，处5万元以上10万元以下的罚款；情节严重的，责令停产停业整顿：</w:t>
            </w:r>
          </w:p>
          <w:p w14:paraId="36C0C10A">
            <w:pPr>
              <w:widowControl/>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......（八）生产、储存危险化学品的单位未在作业场所和安全设施、设备上设置明显的安全警示标志，或者未在作业场所设置通信、报警装置的；......</w:t>
            </w:r>
          </w:p>
        </w:tc>
        <w:tc>
          <w:tcPr>
            <w:tcW w:w="951" w:type="dxa"/>
            <w:vAlign w:val="center"/>
          </w:tcPr>
          <w:p w14:paraId="4231459D">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4019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46" w:hRule="atLeast"/>
          <w:jc w:val="center"/>
        </w:trPr>
        <w:tc>
          <w:tcPr>
            <w:tcW w:w="617" w:type="dxa"/>
            <w:vAlign w:val="center"/>
          </w:tcPr>
          <w:p w14:paraId="1AD3AB29">
            <w:pPr>
              <w:jc w:val="center"/>
              <w:rPr>
                <w:rFonts w:hint="eastAsia" w:ascii="仿宋_GB2312" w:hAnsi="仿宋_GB2312" w:eastAsia="仿宋_GB2312" w:cs="仿宋_GB2312"/>
                <w:color w:val="auto"/>
                <w:sz w:val="32"/>
                <w:szCs w:val="32"/>
              </w:rPr>
            </w:pPr>
          </w:p>
        </w:tc>
        <w:tc>
          <w:tcPr>
            <w:tcW w:w="950" w:type="dxa"/>
            <w:vMerge w:val="continue"/>
            <w:vAlign w:val="center"/>
          </w:tcPr>
          <w:p w14:paraId="374B00DA">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411B7B2A">
            <w:pPr>
              <w:adjustRightInd w:val="0"/>
              <w:snapToGrid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6.12企业安全评价实施情况</w:t>
            </w:r>
          </w:p>
        </w:tc>
        <w:tc>
          <w:tcPr>
            <w:tcW w:w="3717" w:type="dxa"/>
            <w:vAlign w:val="center"/>
          </w:tcPr>
          <w:p w14:paraId="0713686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第三十二条</w:t>
            </w:r>
            <w:r>
              <w:rPr>
                <w:rFonts w:hint="eastAsia" w:ascii="仿宋_GB2312" w:hAnsi="仿宋_GB2312" w:eastAsia="仿宋_GB2312" w:cs="仿宋_GB2312"/>
                <w:color w:val="auto"/>
                <w:kern w:val="0"/>
                <w:sz w:val="32"/>
                <w:szCs w:val="32"/>
              </w:rPr>
              <w:t>矿山、金属冶炼建设项目和用于生产、储存、装卸危险物品的建设项目，应当按照国家有关规定进行安全评价。</w:t>
            </w:r>
          </w:p>
          <w:p w14:paraId="5EFDC6F7">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《危险化学品安全管理条例》第二十二条第一款</w:t>
            </w:r>
            <w:r>
              <w:rPr>
                <w:rFonts w:hint="eastAsia" w:ascii="仿宋_GB2312" w:hAnsi="仿宋_GB2312" w:eastAsia="仿宋_GB2312" w:cs="仿宋_GB2312"/>
                <w:color w:val="auto"/>
                <w:sz w:val="32"/>
                <w:szCs w:val="32"/>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14:paraId="4413F9E3">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《危险化学品生产、储存装置个人可接受风险标准和社会可接受风险标准（试行）》（国家安全生产监督管理总局公告2014年第13号）</w:t>
            </w:r>
          </w:p>
          <w:p w14:paraId="5A8DE3DC">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《危险化学品生产装置和储存设施外部安全防护距离确定方法》（GB/T37243-2019）</w:t>
            </w:r>
          </w:p>
        </w:tc>
        <w:tc>
          <w:tcPr>
            <w:tcW w:w="3899" w:type="dxa"/>
            <w:vAlign w:val="center"/>
          </w:tcPr>
          <w:p w14:paraId="52AE2528">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1377C062">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（2）安全生产（经营）许可证；</w:t>
            </w:r>
          </w:p>
          <w:p w14:paraId="2E5ADBA4">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（3）企业最新《安全评价报告》；</w:t>
            </w:r>
          </w:p>
          <w:p w14:paraId="47B0C2E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（4）现场取证资料（图片、视频等影像资料）；</w:t>
            </w:r>
          </w:p>
          <w:p w14:paraId="6B5737ED">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3649E4F1">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color w:val="auto"/>
                <w:sz w:val="32"/>
                <w:szCs w:val="32"/>
              </w:rPr>
              <w:t>企业相关人员任职文件、身份证明及其询问笔录；</w:t>
            </w:r>
          </w:p>
          <w:p w14:paraId="440C8F9E">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tc>
        <w:tc>
          <w:tcPr>
            <w:tcW w:w="3899" w:type="dxa"/>
            <w:vAlign w:val="center"/>
          </w:tcPr>
          <w:p w14:paraId="1B13F311">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 xml:space="preserve">《中华人民共和国安全生产法》  </w:t>
            </w:r>
            <w:r>
              <w:rPr>
                <w:rFonts w:hint="eastAsia" w:ascii="仿宋_GB2312" w:hAnsi="仿宋_GB2312" w:eastAsia="仿宋_GB2312" w:cs="仿宋_GB2312"/>
                <w:b/>
                <w:color w:val="auto"/>
                <w:sz w:val="32"/>
                <w:szCs w:val="32"/>
              </w:rPr>
              <w:t>第九十八条第一项</w:t>
            </w:r>
            <w:r>
              <w:rPr>
                <w:rFonts w:hint="eastAsia" w:ascii="仿宋_GB2312" w:hAnsi="仿宋_GB2312" w:eastAsia="仿宋_GB2312" w:cs="仿宋_GB2312"/>
                <w:color w:val="auto"/>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6C8C36B0">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（一）未按照规定对矿山、金属冶炼建设项目或者用于生产、储存、装卸危险物品的建设项目进行安全评价的；</w:t>
            </w:r>
          </w:p>
          <w:p w14:paraId="508C7C40">
            <w:pPr>
              <w:widowControl/>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sz w:val="32"/>
                <w:szCs w:val="32"/>
              </w:rPr>
              <w:t>《危险化学品安全管理条例》</w:t>
            </w:r>
            <w:r>
              <w:rPr>
                <w:rFonts w:hint="eastAsia" w:ascii="仿宋_GB2312" w:hAnsi="仿宋_GB2312" w:eastAsia="仿宋_GB2312" w:cs="仿宋_GB2312"/>
                <w:b/>
                <w:color w:val="auto"/>
                <w:kern w:val="0"/>
                <w:sz w:val="32"/>
                <w:szCs w:val="32"/>
              </w:rPr>
              <w:t>第八十条</w:t>
            </w:r>
            <w:r>
              <w:rPr>
                <w:rFonts w:hint="eastAsia" w:ascii="仿宋_GB2312" w:hAnsi="仿宋_GB2312" w:eastAsia="仿宋_GB2312" w:cs="仿宋_GB2312"/>
                <w:color w:val="auto"/>
                <w:kern w:val="0"/>
                <w:sz w:val="32"/>
                <w:szCs w:val="32"/>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三）未依照本条例规定对其安全生产条件定期进行安全评价的；......</w:t>
            </w:r>
          </w:p>
        </w:tc>
        <w:tc>
          <w:tcPr>
            <w:tcW w:w="951" w:type="dxa"/>
            <w:vAlign w:val="center"/>
          </w:tcPr>
          <w:p w14:paraId="25FDBA3A">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1066D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Merge w:val="restart"/>
            <w:vAlign w:val="center"/>
          </w:tcPr>
          <w:p w14:paraId="3906B4D6">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p>
        </w:tc>
        <w:tc>
          <w:tcPr>
            <w:tcW w:w="950" w:type="dxa"/>
            <w:vMerge w:val="restart"/>
            <w:vAlign w:val="center"/>
          </w:tcPr>
          <w:p w14:paraId="697CAEC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危险化学品建设项目安全设施“三同时”</w:t>
            </w:r>
          </w:p>
        </w:tc>
        <w:tc>
          <w:tcPr>
            <w:tcW w:w="1132" w:type="dxa"/>
            <w:vAlign w:val="center"/>
          </w:tcPr>
          <w:p w14:paraId="65091A9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7.1危险化学品建设项目安全条件审查</w:t>
            </w:r>
          </w:p>
        </w:tc>
        <w:tc>
          <w:tcPr>
            <w:tcW w:w="3717" w:type="dxa"/>
            <w:vAlign w:val="center"/>
          </w:tcPr>
          <w:p w14:paraId="69409A0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《危险化学品安全管理条例》</w:t>
            </w:r>
            <w:r>
              <w:rPr>
                <w:rFonts w:hint="eastAsia" w:ascii="仿宋_GB2312" w:hAnsi="仿宋_GB2312" w:eastAsia="仿宋_GB2312" w:cs="仿宋_GB2312"/>
                <w:b/>
                <w:color w:val="auto"/>
                <w:kern w:val="0"/>
                <w:sz w:val="32"/>
                <w:szCs w:val="32"/>
              </w:rPr>
              <w:t>第十二条第一款</w:t>
            </w:r>
            <w:r>
              <w:rPr>
                <w:rFonts w:hint="eastAsia" w:ascii="仿宋_GB2312" w:hAnsi="仿宋_GB2312" w:eastAsia="仿宋_GB2312" w:cs="仿宋_GB2312"/>
                <w:color w:val="auto"/>
                <w:kern w:val="0"/>
                <w:sz w:val="32"/>
                <w:szCs w:val="32"/>
              </w:rPr>
              <w:t>新建、改建、扩建生产、储存危险化学品的建设项目（以下简称建设项目），应当由安全生产监督管理部门进行安全条件审查。</w:t>
            </w:r>
          </w:p>
          <w:p w14:paraId="6028D1F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《危险化学品建设项目安全监督管理办法》第十条</w:t>
            </w:r>
            <w:r>
              <w:rPr>
                <w:rFonts w:hint="eastAsia" w:ascii="仿宋_GB2312" w:hAnsi="仿宋_GB2312" w:eastAsia="仿宋_GB2312" w:cs="仿宋_GB2312"/>
                <w:color w:val="auto"/>
                <w:kern w:val="0"/>
                <w:sz w:val="32"/>
                <w:szCs w:val="32"/>
              </w:rPr>
              <w:t>建设单位应当在建设项目开始初步设计前，向与本办法第四条、第五条规定相应的安全生产监督管理部门申请建设项目安全条件审查，提交下列文件、资料，并对其真实性负责：</w:t>
            </w:r>
          </w:p>
          <w:p w14:paraId="43CC137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（一）建设项目安全条件审查申请书及文件；</w:t>
            </w:r>
          </w:p>
          <w:p w14:paraId="451C206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（二）建设项目安全评价报告；</w:t>
            </w:r>
          </w:p>
          <w:p w14:paraId="5AF8ECD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（三）建设项目批准、核准或者备案文件和规划相关文件（复制件）；</w:t>
            </w:r>
          </w:p>
          <w:p w14:paraId="5874482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（四）工商行政管理部门颁发的企业营业执照或者企业名称预先核准通知书（复制件）。</w:t>
            </w:r>
          </w:p>
        </w:tc>
        <w:tc>
          <w:tcPr>
            <w:tcW w:w="3899" w:type="dxa"/>
            <w:vAlign w:val="center"/>
          </w:tcPr>
          <w:p w14:paraId="67A29308">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（1）企业营业执照或者企业名称预先核准通知书；</w:t>
            </w:r>
          </w:p>
          <w:p w14:paraId="1D90C6C8">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（2）安全生产（经营）许可证；</w:t>
            </w:r>
          </w:p>
          <w:p w14:paraId="4CCB1AEF">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（3）建设项目《安全评价报告》；</w:t>
            </w:r>
          </w:p>
          <w:p w14:paraId="6DEC78A4">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（4）建设项目批准、核准或者备案文件和规划相关文件；</w:t>
            </w:r>
          </w:p>
          <w:p w14:paraId="571CE5FC">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（5）建设项目安全条件审查机关查询审查情况及资料（申请资料、安全评价报告、审查意见书等）；</w:t>
            </w:r>
          </w:p>
          <w:p w14:paraId="47DC495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（6）现场取证资料（图片、视频等影像资料）；</w:t>
            </w:r>
          </w:p>
          <w:p w14:paraId="40973604">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06E18626">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bCs/>
                <w:color w:val="auto"/>
                <w:sz w:val="32"/>
                <w:szCs w:val="32"/>
              </w:rPr>
              <w:t>企业相关人员任职文件、身份证明及其询问笔录；</w:t>
            </w:r>
          </w:p>
          <w:p w14:paraId="0AAE5D2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vAlign w:val="center"/>
          </w:tcPr>
          <w:p w14:paraId="22FFF0F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《危险化学品安全管理条例》</w:t>
            </w:r>
            <w:r>
              <w:rPr>
                <w:rFonts w:hint="eastAsia" w:ascii="仿宋_GB2312" w:hAnsi="仿宋_GB2312" w:eastAsia="仿宋_GB2312" w:cs="仿宋_GB2312"/>
                <w:b/>
                <w:color w:val="auto"/>
                <w:kern w:val="0"/>
                <w:sz w:val="32"/>
                <w:szCs w:val="32"/>
              </w:rPr>
              <w:t>第七十六条第一款</w:t>
            </w:r>
            <w:r>
              <w:rPr>
                <w:rFonts w:hint="eastAsia" w:ascii="仿宋_GB2312" w:hAnsi="仿宋_GB2312" w:eastAsia="仿宋_GB2312" w:cs="仿宋_GB2312"/>
                <w:color w:val="auto"/>
                <w:kern w:val="0"/>
                <w:sz w:val="32"/>
                <w:szCs w:val="32"/>
              </w:rPr>
              <w:t xml:space="preserve">  未经安全条件审查，新建、改建、扩建生产、储存危险化学品的建设项目的，由安全生产监督管理部门责令停止建设，限期改正；逾期不改正的，处50万元以上100万元以下的罚款；构成犯罪的，依法追究刑事责任。</w:t>
            </w:r>
          </w:p>
          <w:p w14:paraId="45CA528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《危险化学品建设项目安全监督管理办法》第三十五条</w:t>
            </w:r>
            <w:r>
              <w:rPr>
                <w:rFonts w:hint="eastAsia" w:ascii="仿宋_GB2312" w:hAnsi="仿宋_GB2312" w:eastAsia="仿宋_GB2312" w:cs="仿宋_GB2312"/>
                <w:color w:val="auto"/>
                <w:kern w:val="0"/>
                <w:sz w:val="32"/>
                <w:szCs w:val="32"/>
              </w:rPr>
              <w:t xml:space="preserve">  未经安全条件审查或者安全条件审查未通过，新建、改建、扩建生产、储存危险化学品的建设项目的，责令停止建设，限期改正；逾期不改正的，处五十万元以上一百万元以下的罚款；构成犯罪的，依法追究刑事责任。</w:t>
            </w:r>
          </w:p>
          <w:p w14:paraId="294469E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建设项目发生本办法第十四条规定的变化后，未重新申请安全条件审查，以及审查未通过擅自建设的，依照前款规定处罚。</w:t>
            </w:r>
          </w:p>
        </w:tc>
        <w:tc>
          <w:tcPr>
            <w:tcW w:w="951" w:type="dxa"/>
            <w:vAlign w:val="center"/>
          </w:tcPr>
          <w:p w14:paraId="4875DF03">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63F1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49" w:hRule="atLeast"/>
          <w:jc w:val="center"/>
        </w:trPr>
        <w:tc>
          <w:tcPr>
            <w:tcW w:w="617" w:type="dxa"/>
            <w:vMerge w:val="continue"/>
            <w:vAlign w:val="center"/>
          </w:tcPr>
          <w:p w14:paraId="5B14235B">
            <w:pPr>
              <w:jc w:val="center"/>
              <w:rPr>
                <w:rFonts w:hint="eastAsia" w:ascii="仿宋_GB2312" w:hAnsi="仿宋_GB2312" w:eastAsia="仿宋_GB2312" w:cs="仿宋_GB2312"/>
                <w:color w:val="auto"/>
                <w:sz w:val="32"/>
                <w:szCs w:val="32"/>
              </w:rPr>
            </w:pPr>
          </w:p>
        </w:tc>
        <w:tc>
          <w:tcPr>
            <w:tcW w:w="950" w:type="dxa"/>
            <w:vMerge w:val="continue"/>
            <w:vAlign w:val="center"/>
          </w:tcPr>
          <w:p w14:paraId="71A5B6DC">
            <w:pPr>
              <w:widowControl/>
              <w:adjustRightInd w:val="0"/>
              <w:snapToGrid w:val="0"/>
              <w:rPr>
                <w:rFonts w:hint="eastAsia" w:ascii="仿宋_GB2312" w:hAnsi="仿宋_GB2312" w:eastAsia="仿宋_GB2312" w:cs="仿宋_GB2312"/>
                <w:color w:val="auto"/>
                <w:kern w:val="0"/>
                <w:sz w:val="32"/>
                <w:szCs w:val="32"/>
              </w:rPr>
            </w:pPr>
          </w:p>
        </w:tc>
        <w:tc>
          <w:tcPr>
            <w:tcW w:w="1132" w:type="dxa"/>
            <w:vAlign w:val="center"/>
          </w:tcPr>
          <w:p w14:paraId="18F2C33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7.2危险化学品建设项目安全设施设计审查</w:t>
            </w:r>
          </w:p>
        </w:tc>
        <w:tc>
          <w:tcPr>
            <w:tcW w:w="3717" w:type="dxa"/>
            <w:vAlign w:val="center"/>
          </w:tcPr>
          <w:p w14:paraId="4F2EA572">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第三十三条第二款</w:t>
            </w:r>
            <w:r>
              <w:rPr>
                <w:rFonts w:hint="eastAsia" w:ascii="仿宋_GB2312" w:hAnsi="仿宋_GB2312" w:eastAsia="仿宋_GB2312" w:cs="仿宋_GB2312"/>
                <w:color w:val="auto"/>
                <w:kern w:val="0"/>
                <w:sz w:val="32"/>
                <w:szCs w:val="32"/>
              </w:rPr>
              <w:t>矿山、金属冶炼建设项目和用于生产、储存、装卸危险物品的建设项目的安全设施设计应当按照国家有关规定报经有关部门审查，审查部门及其负责审查的人员对审查结果负责。</w:t>
            </w:r>
          </w:p>
          <w:p w14:paraId="3B531140">
            <w:pPr>
              <w:widowControl/>
              <w:adjustRightInd w:val="0"/>
              <w:snapToGrid w:val="0"/>
              <w:ind w:firstLine="4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《危险化学品建设项目安全监督管理办法》第十六条</w:t>
            </w:r>
            <w:r>
              <w:rPr>
                <w:rFonts w:hint="eastAsia" w:ascii="仿宋_GB2312" w:hAnsi="仿宋_GB2312" w:eastAsia="仿宋_GB2312" w:cs="仿宋_GB2312"/>
                <w:color w:val="auto"/>
                <w:kern w:val="0"/>
                <w:sz w:val="32"/>
                <w:szCs w:val="32"/>
              </w:rPr>
              <w:t xml:space="preserve">  建设单位应当在建设项目初步设计完成后、详细设计开始前，向出具建设项目安全条件审查意见书的安全生产监督管理部门申请建设项目安全设施设计审查，提交下列文件、资料，并对其真实性负责：</w:t>
            </w:r>
          </w:p>
          <w:p w14:paraId="7995A5D1">
            <w:pPr>
              <w:widowControl/>
              <w:adjustRightInd w:val="0"/>
              <w:snapToGrid w:val="0"/>
              <w:ind w:firstLine="4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（一）建设项目安全设施设计审查申请书及文件；</w:t>
            </w:r>
          </w:p>
          <w:p w14:paraId="40EC61BD">
            <w:pPr>
              <w:widowControl/>
              <w:adjustRightInd w:val="0"/>
              <w:snapToGrid w:val="0"/>
              <w:ind w:firstLine="4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（二）设计单位的设计资质证明文件（复制件）；</w:t>
            </w:r>
          </w:p>
          <w:p w14:paraId="5B2CE98C">
            <w:pPr>
              <w:widowControl/>
              <w:adjustRightInd w:val="0"/>
              <w:snapToGrid w:val="0"/>
              <w:ind w:firstLine="42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（三）建设项目安全设施设计专篇。</w:t>
            </w:r>
          </w:p>
        </w:tc>
        <w:tc>
          <w:tcPr>
            <w:tcW w:w="3899" w:type="dxa"/>
            <w:vAlign w:val="center"/>
          </w:tcPr>
          <w:p w14:paraId="1A3B6A24">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（1）企业营业执照或者企业名称预先核准通知书；</w:t>
            </w:r>
          </w:p>
          <w:p w14:paraId="19C12438">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（2）安全生产（经营）许可证；</w:t>
            </w:r>
          </w:p>
          <w:p w14:paraId="58F5BA5E">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（3）建设项目《安全设施设计专篇》；</w:t>
            </w:r>
          </w:p>
          <w:p w14:paraId="73EED1EF">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（4）建设项目安全设施设计审查机关查询审查情况及资料（申请资料、安全设施设计专篇、审查意见书等）；</w:t>
            </w:r>
          </w:p>
          <w:p w14:paraId="7FE4C424">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（5）现场取证资料（图片、视频等影像资料）；</w:t>
            </w:r>
          </w:p>
          <w:p w14:paraId="45965B2E">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48562DD9">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color w:val="auto"/>
                <w:sz w:val="32"/>
                <w:szCs w:val="32"/>
              </w:rPr>
              <w:t>企业相关人员任职文件、身份证明及其询问笔录；</w:t>
            </w:r>
          </w:p>
          <w:p w14:paraId="444E7E4E">
            <w:pPr>
              <w:widowControl/>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（8）其他相关证据。</w:t>
            </w:r>
          </w:p>
        </w:tc>
        <w:tc>
          <w:tcPr>
            <w:tcW w:w="3899" w:type="dxa"/>
            <w:vAlign w:val="center"/>
          </w:tcPr>
          <w:p w14:paraId="1231A19B">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第九十八条第二项</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color w:val="auto"/>
                <w:kern w:val="0"/>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608D162F">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（二）矿山、金属冶炼建设项目或者用于生产、储存、装卸危险物品的建设项目没有安全设施设计或者安全设施设计未按照规定报经有关部门审查同意的；</w:t>
            </w:r>
          </w:p>
          <w:p w14:paraId="6DDA4A3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《危险化学品建设项目安全监督管理办法》第三十六条</w:t>
            </w:r>
            <w:r>
              <w:rPr>
                <w:rFonts w:hint="eastAsia" w:ascii="仿宋_GB2312" w:hAnsi="仿宋_GB2312" w:eastAsia="仿宋_GB2312" w:cs="仿宋_GB2312"/>
                <w:color w:val="auto"/>
                <w:kern w:val="0"/>
                <w:sz w:val="32"/>
                <w:szCs w:val="32"/>
              </w:rPr>
              <w:t xml:space="preserve">  建设单位有下列行为之一的，依照《中华人民共和国安全生产法》  有关建设项目安全设施设计审查、竣工验收的法律责任条款给予处罚：</w:t>
            </w:r>
          </w:p>
          <w:p w14:paraId="0A78278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（一）建设项目安全设施设计未经审查或者审查未通过，擅自建设的；......</w:t>
            </w:r>
          </w:p>
        </w:tc>
        <w:tc>
          <w:tcPr>
            <w:tcW w:w="951" w:type="dxa"/>
            <w:vAlign w:val="center"/>
          </w:tcPr>
          <w:p w14:paraId="7CEF5574">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0B15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95" w:hRule="atLeast"/>
          <w:jc w:val="center"/>
        </w:trPr>
        <w:tc>
          <w:tcPr>
            <w:tcW w:w="617" w:type="dxa"/>
            <w:vMerge w:val="continue"/>
            <w:vAlign w:val="center"/>
          </w:tcPr>
          <w:p w14:paraId="48BC4E92">
            <w:pPr>
              <w:jc w:val="center"/>
              <w:rPr>
                <w:rFonts w:hint="eastAsia" w:ascii="仿宋_GB2312" w:hAnsi="仿宋_GB2312" w:eastAsia="仿宋_GB2312" w:cs="仿宋_GB2312"/>
                <w:color w:val="auto"/>
                <w:sz w:val="32"/>
                <w:szCs w:val="32"/>
              </w:rPr>
            </w:pPr>
          </w:p>
        </w:tc>
        <w:tc>
          <w:tcPr>
            <w:tcW w:w="950" w:type="dxa"/>
            <w:vMerge w:val="continue"/>
            <w:vAlign w:val="center"/>
          </w:tcPr>
          <w:p w14:paraId="65210454">
            <w:pPr>
              <w:widowControl/>
              <w:adjustRightInd w:val="0"/>
              <w:snapToGrid w:val="0"/>
              <w:rPr>
                <w:rFonts w:hint="eastAsia" w:ascii="仿宋_GB2312" w:hAnsi="仿宋_GB2312" w:eastAsia="仿宋_GB2312" w:cs="仿宋_GB2312"/>
                <w:color w:val="auto"/>
                <w:kern w:val="0"/>
                <w:sz w:val="32"/>
                <w:szCs w:val="32"/>
              </w:rPr>
            </w:pPr>
          </w:p>
        </w:tc>
        <w:tc>
          <w:tcPr>
            <w:tcW w:w="1132" w:type="dxa"/>
            <w:vAlign w:val="center"/>
          </w:tcPr>
          <w:p w14:paraId="3372646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7.3危险化学品建设项目安全设施变更设计审查</w:t>
            </w:r>
          </w:p>
        </w:tc>
        <w:tc>
          <w:tcPr>
            <w:tcW w:w="3717" w:type="dxa"/>
            <w:vAlign w:val="center"/>
          </w:tcPr>
          <w:p w14:paraId="5620650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 xml:space="preserve">《危险化学品建设项目安全监督管理办法》第二十条  </w:t>
            </w:r>
            <w:r>
              <w:rPr>
                <w:rFonts w:hint="eastAsia" w:ascii="仿宋_GB2312" w:hAnsi="仿宋_GB2312" w:eastAsia="仿宋_GB2312" w:cs="仿宋_GB2312"/>
                <w:color w:val="auto"/>
                <w:kern w:val="0"/>
                <w:sz w:val="32"/>
                <w:szCs w:val="32"/>
              </w:rPr>
              <w:t>已经审查通过的建设项目安全设施设计有下列情形之一的，建设单位应当向原审查部门申请建设项目安全设施变更设计的审查：</w:t>
            </w:r>
          </w:p>
          <w:p w14:paraId="02A33F6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（一）改变安全设施设计且可能降低安全性能的；</w:t>
            </w:r>
          </w:p>
          <w:p w14:paraId="7EDDEF5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（二）在施工期间重新设计的。</w:t>
            </w:r>
          </w:p>
        </w:tc>
        <w:tc>
          <w:tcPr>
            <w:tcW w:w="3899" w:type="dxa"/>
            <w:vAlign w:val="center"/>
          </w:tcPr>
          <w:p w14:paraId="1DB72630">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（1）企业营业执照或者企业名称预先核准通知书；</w:t>
            </w:r>
          </w:p>
          <w:p w14:paraId="348B0BE4">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（2）安全生产（经营）许可证；</w:t>
            </w:r>
          </w:p>
          <w:p w14:paraId="7B189306">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（3）建设项目《安全设施设计专篇》；</w:t>
            </w:r>
          </w:p>
          <w:p w14:paraId="4E9A1967">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（4）建设项目安全设施设计审查机关查询审查情况及资料（申请资料、安全设施设计专篇、审查意见书等）；</w:t>
            </w:r>
          </w:p>
          <w:p w14:paraId="551F92D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（5）现场取证资料（图片、视频等影像资料）；</w:t>
            </w:r>
          </w:p>
          <w:p w14:paraId="191071A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3590155C">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color w:val="auto"/>
                <w:sz w:val="32"/>
                <w:szCs w:val="32"/>
              </w:rPr>
              <w:t>企业相关人员任职文件、身份证明及其询问笔录；</w:t>
            </w:r>
          </w:p>
          <w:p w14:paraId="5F3E1194">
            <w:pPr>
              <w:widowControl/>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（8）其他相关证据。</w:t>
            </w:r>
          </w:p>
        </w:tc>
        <w:tc>
          <w:tcPr>
            <w:tcW w:w="3899" w:type="dxa"/>
            <w:vAlign w:val="center"/>
          </w:tcPr>
          <w:p w14:paraId="3E6E60F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《危险化学品建设项目安全监督管理办法》第三十六条</w:t>
            </w:r>
            <w:r>
              <w:rPr>
                <w:rFonts w:hint="eastAsia" w:ascii="仿宋_GB2312" w:hAnsi="仿宋_GB2312" w:eastAsia="仿宋_GB2312" w:cs="仿宋_GB2312"/>
                <w:color w:val="auto"/>
                <w:kern w:val="0"/>
                <w:sz w:val="32"/>
                <w:szCs w:val="32"/>
              </w:rPr>
              <w:t xml:space="preserve">  建设单位有下列行为之一的，依照《中华人民共和国安全生产法》  有关建设项目安全设施设计审查、竣工验收的法律责任条款给予处罚：</w:t>
            </w:r>
          </w:p>
          <w:p w14:paraId="453C6F5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......（二）建设项目安全设施设计发生本办法第二十条规定的情形之一，未经变更设计审查或者变更设计审查未通过，擅自建设的；......</w:t>
            </w:r>
          </w:p>
          <w:p w14:paraId="648AFAB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第九十五条</w:t>
            </w:r>
            <w:r>
              <w:rPr>
                <w:rFonts w:hint="eastAsia" w:ascii="仿宋_GB2312" w:hAnsi="仿宋_GB2312" w:eastAsia="仿宋_GB2312" w:cs="仿宋_GB2312"/>
                <w:color w:val="auto"/>
                <w:kern w:val="0"/>
                <w:sz w:val="32"/>
                <w:szCs w:val="32"/>
              </w:rPr>
              <w:t>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二）矿山、金属冶炼建设项目或者用于生产、储存、装卸危险物品的建设项目没有安全设施设计或者安全设施设计未按照规定报经有关部门审查同意的；......。</w:t>
            </w:r>
          </w:p>
        </w:tc>
        <w:tc>
          <w:tcPr>
            <w:tcW w:w="951" w:type="dxa"/>
            <w:vAlign w:val="center"/>
          </w:tcPr>
          <w:p w14:paraId="737AC876">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3427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97" w:hRule="atLeast"/>
          <w:jc w:val="center"/>
        </w:trPr>
        <w:tc>
          <w:tcPr>
            <w:tcW w:w="617" w:type="dxa"/>
            <w:vMerge w:val="continue"/>
            <w:vAlign w:val="center"/>
          </w:tcPr>
          <w:p w14:paraId="3E740628">
            <w:pPr>
              <w:jc w:val="center"/>
              <w:rPr>
                <w:rFonts w:hint="eastAsia" w:ascii="仿宋_GB2312" w:hAnsi="仿宋_GB2312" w:eastAsia="仿宋_GB2312" w:cs="仿宋_GB2312"/>
                <w:color w:val="auto"/>
                <w:sz w:val="32"/>
                <w:szCs w:val="32"/>
              </w:rPr>
            </w:pPr>
          </w:p>
        </w:tc>
        <w:tc>
          <w:tcPr>
            <w:tcW w:w="950" w:type="dxa"/>
            <w:vMerge w:val="continue"/>
            <w:vAlign w:val="center"/>
          </w:tcPr>
          <w:p w14:paraId="4148C3C8">
            <w:pPr>
              <w:widowControl/>
              <w:adjustRightInd w:val="0"/>
              <w:snapToGrid w:val="0"/>
              <w:rPr>
                <w:rFonts w:hint="eastAsia" w:ascii="仿宋_GB2312" w:hAnsi="仿宋_GB2312" w:eastAsia="仿宋_GB2312" w:cs="仿宋_GB2312"/>
                <w:color w:val="auto"/>
                <w:kern w:val="0"/>
                <w:sz w:val="32"/>
                <w:szCs w:val="32"/>
              </w:rPr>
            </w:pPr>
          </w:p>
        </w:tc>
        <w:tc>
          <w:tcPr>
            <w:tcW w:w="1132" w:type="dxa"/>
            <w:vAlign w:val="center"/>
          </w:tcPr>
          <w:p w14:paraId="5542E95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7.4危险化学品建设项目安全设施按照批准的设计施工</w:t>
            </w:r>
          </w:p>
        </w:tc>
        <w:tc>
          <w:tcPr>
            <w:tcW w:w="3717" w:type="dxa"/>
            <w:vAlign w:val="center"/>
          </w:tcPr>
          <w:p w14:paraId="06113841">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第三十四条第一款</w:t>
            </w:r>
            <w:r>
              <w:rPr>
                <w:rFonts w:hint="eastAsia" w:ascii="仿宋_GB2312" w:hAnsi="仿宋_GB2312" w:eastAsia="仿宋_GB2312" w:cs="仿宋_GB2312"/>
                <w:color w:val="auto"/>
                <w:kern w:val="0"/>
                <w:sz w:val="32"/>
                <w:szCs w:val="32"/>
              </w:rPr>
              <w:t xml:space="preserve"> 矿山、金属冶炼建设项目和用于生产、储存、装卸危险物品的建设项目的施工单位必须按照批准的安全设施设计施工，并对安全设施的工程质量负责。</w:t>
            </w:r>
          </w:p>
          <w:p w14:paraId="3A43A8D4">
            <w:pPr>
              <w:widowControl/>
              <w:adjustRightInd w:val="0"/>
              <w:snapToGrid w:val="0"/>
              <w:ind w:firstLine="640" w:firstLineChars="200"/>
              <w:rPr>
                <w:rFonts w:hint="eastAsia" w:ascii="仿宋_GB2312" w:hAnsi="仿宋_GB2312" w:eastAsia="仿宋_GB2312" w:cs="仿宋_GB2312"/>
                <w:color w:val="auto"/>
                <w:kern w:val="0"/>
                <w:sz w:val="32"/>
                <w:szCs w:val="32"/>
              </w:rPr>
            </w:pPr>
          </w:p>
          <w:p w14:paraId="1E910072">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08801C9D">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（1）企业营业执照或者企业名称预先核准通知书；</w:t>
            </w:r>
          </w:p>
          <w:p w14:paraId="62400026">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（2）安全生产（经营）许可证；</w:t>
            </w:r>
          </w:p>
          <w:p w14:paraId="0895BE7E">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（3）建设项目《安全设施设计专篇》；</w:t>
            </w:r>
          </w:p>
          <w:p w14:paraId="1E87B644">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（4）建设项目安全设施设计审查机关查询审查情况及资料（申请资料、安全设施设计专篇、审查意见书等）；</w:t>
            </w:r>
          </w:p>
          <w:p w14:paraId="4AB5B956">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（5）建设项目的施工单位资质、证照等资料；</w:t>
            </w:r>
          </w:p>
          <w:p w14:paraId="1EF6ED7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（6）现场取证资料（图片、视频等影像资料）；</w:t>
            </w:r>
          </w:p>
          <w:p w14:paraId="3CF6AD8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797E0FA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bCs/>
                <w:color w:val="auto"/>
                <w:sz w:val="32"/>
                <w:szCs w:val="32"/>
              </w:rPr>
              <w:t>企业相关人员任职文件、身份证明及其询问笔录；</w:t>
            </w:r>
          </w:p>
          <w:p w14:paraId="4889A995">
            <w:pPr>
              <w:widowControl/>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（9）其他相关证据。</w:t>
            </w:r>
          </w:p>
        </w:tc>
        <w:tc>
          <w:tcPr>
            <w:tcW w:w="3899" w:type="dxa"/>
            <w:vAlign w:val="center"/>
          </w:tcPr>
          <w:p w14:paraId="19CF6BDC">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第九十八条第三项</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color w:val="auto"/>
                <w:kern w:val="0"/>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05B44D5A">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（三）矿山、金属冶炼建设项目或者用于生产、储存、装卸危险物品的建设项目的施工单位未按照批准的安全设施设计施工的；</w:t>
            </w:r>
          </w:p>
          <w:p w14:paraId="67B8F30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《危险化学品建设项目安全监督管理办法》第三十六条</w:t>
            </w:r>
            <w:r>
              <w:rPr>
                <w:rFonts w:hint="eastAsia" w:ascii="仿宋_GB2312" w:hAnsi="仿宋_GB2312" w:eastAsia="仿宋_GB2312" w:cs="仿宋_GB2312"/>
                <w:color w:val="auto"/>
                <w:kern w:val="0"/>
                <w:sz w:val="32"/>
                <w:szCs w:val="32"/>
              </w:rPr>
              <w:t xml:space="preserve">  建设单位有下列行为之一的，依照《中华人民共和国安全生产法》  有关建设项目安全设施设计审查、竣工验收的法律责任条款给予处罚：</w:t>
            </w:r>
          </w:p>
          <w:p w14:paraId="39408A5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......（三）建设项目的施工单位未根据批准的安全设施设计施工的；......</w:t>
            </w:r>
          </w:p>
        </w:tc>
        <w:tc>
          <w:tcPr>
            <w:tcW w:w="951" w:type="dxa"/>
            <w:vAlign w:val="center"/>
          </w:tcPr>
          <w:p w14:paraId="0D1BB306">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0576B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53" w:hRule="atLeast"/>
          <w:jc w:val="center"/>
        </w:trPr>
        <w:tc>
          <w:tcPr>
            <w:tcW w:w="617" w:type="dxa"/>
            <w:vMerge w:val="continue"/>
            <w:vAlign w:val="center"/>
          </w:tcPr>
          <w:p w14:paraId="3DF77788">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0" w:type="dxa"/>
            <w:vMerge w:val="continue"/>
            <w:vAlign w:val="center"/>
          </w:tcPr>
          <w:p w14:paraId="3AC9D943">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6BDF173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7.5危险化学品建设项目试生产管理</w:t>
            </w:r>
          </w:p>
        </w:tc>
        <w:tc>
          <w:tcPr>
            <w:tcW w:w="3717" w:type="dxa"/>
            <w:vAlign w:val="center"/>
          </w:tcPr>
          <w:p w14:paraId="476F5BB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《危险化学品建设项目安全监督管理办法》第二十二条</w:t>
            </w:r>
            <w:r>
              <w:rPr>
                <w:rFonts w:hint="eastAsia" w:ascii="仿宋_GB2312" w:hAnsi="仿宋_GB2312" w:eastAsia="仿宋_GB2312" w:cs="仿宋_GB2312"/>
                <w:color w:val="auto"/>
                <w:kern w:val="0"/>
                <w:sz w:val="32"/>
                <w:szCs w:val="32"/>
              </w:rPr>
              <w:t xml:space="preserve">  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p>
          <w:p w14:paraId="3CAC5AF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（一）建设项目设备及管道试压、吹扫、气密、单机试车、仪表调校、联动试车等生产准备的完成情况；</w:t>
            </w:r>
          </w:p>
          <w:p w14:paraId="02ED3AE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（二）投料试车方案；</w:t>
            </w:r>
          </w:p>
          <w:p w14:paraId="33DE04F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（三）试生产（使用）过程中可能出现的安全问题、对策及应急预案；</w:t>
            </w:r>
          </w:p>
          <w:p w14:paraId="55982297">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（四）建设项目周边环境与建设项目安全试生产（使用）相互影响的确认情况；</w:t>
            </w:r>
          </w:p>
          <w:p w14:paraId="461EE4A7">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（五）危险化学品重大危险源监控措施的落实情况；</w:t>
            </w:r>
          </w:p>
          <w:p w14:paraId="4100BF2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（六）人力资源配置情况；</w:t>
            </w:r>
          </w:p>
          <w:p w14:paraId="376A059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（七）试生产（使用）起止日期。</w:t>
            </w:r>
          </w:p>
          <w:p w14:paraId="5723442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建设项目试生产期限应当不少于３０日，不超过１年。</w:t>
            </w:r>
          </w:p>
          <w:p w14:paraId="703D3D1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《危险化学品建设项目安全监督管理办法》第二十三条  </w:t>
            </w:r>
            <w:r>
              <w:rPr>
                <w:rFonts w:hint="eastAsia" w:ascii="仿宋_GB2312" w:hAnsi="仿宋_GB2312" w:eastAsia="仿宋_GB2312" w:cs="仿宋_GB2312"/>
                <w:color w:val="auto"/>
                <w:kern w:val="0"/>
                <w:sz w:val="32"/>
                <w:szCs w:val="32"/>
              </w:rPr>
              <w:t>建设单位在采取有效安全生产措施后，方可将建设项目安全设施与生产、储存、使用的主体装置、设施同时进行试生产（使用）。</w:t>
            </w:r>
          </w:p>
          <w:p w14:paraId="0C760E1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试生产（使用）前，建设单位应当组织专家对试生产（使用）方案进行审查。</w:t>
            </w:r>
          </w:p>
          <w:p w14:paraId="68A0679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试生产（使用）时，建设单位应当组织专家对试生产（使用）条件进行确认，对试生产（使用）过程进行技术指导。</w:t>
            </w:r>
          </w:p>
        </w:tc>
        <w:tc>
          <w:tcPr>
            <w:tcW w:w="3899" w:type="dxa"/>
            <w:vAlign w:val="center"/>
          </w:tcPr>
          <w:p w14:paraId="114C444E">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（1）企业营业执照或者企业名称预先核准通知书；</w:t>
            </w:r>
          </w:p>
          <w:p w14:paraId="21D623E0">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（2）安全生产（经营）许可证；</w:t>
            </w:r>
          </w:p>
          <w:p w14:paraId="2114A768">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（3）建设项目《试生产（使用）方案》；</w:t>
            </w:r>
          </w:p>
          <w:p w14:paraId="586C139C">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（4）专家对试生产（使用）方案的审查意见；</w:t>
            </w:r>
          </w:p>
          <w:p w14:paraId="60405B34">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（5）专家对试生产（使用）条件进行确认的有关记录；</w:t>
            </w:r>
          </w:p>
          <w:p w14:paraId="0D1672B7">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（6）试生产（使用）运行过程记录；</w:t>
            </w:r>
          </w:p>
          <w:p w14:paraId="0A8BEDE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（7）现场取证资料（图片、视频等影像资料）；</w:t>
            </w:r>
          </w:p>
          <w:p w14:paraId="3DA27353">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64037F9A">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w:t>
            </w:r>
            <w:r>
              <w:rPr>
                <w:rFonts w:hint="eastAsia" w:ascii="仿宋_GB2312" w:hAnsi="仿宋_GB2312" w:eastAsia="仿宋_GB2312" w:cs="仿宋_GB2312"/>
                <w:bCs/>
                <w:color w:val="auto"/>
                <w:sz w:val="32"/>
                <w:szCs w:val="32"/>
              </w:rPr>
              <w:t>企业相关人员任职文件、身份证明及其询问笔录；</w:t>
            </w:r>
          </w:p>
          <w:p w14:paraId="19FAB678">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vAlign w:val="center"/>
          </w:tcPr>
          <w:p w14:paraId="553BAE4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《危险化学品建设项目安全监督管理办法》第三十七条</w:t>
            </w:r>
            <w:r>
              <w:rPr>
                <w:rFonts w:hint="eastAsia" w:ascii="仿宋_GB2312" w:hAnsi="仿宋_GB2312" w:eastAsia="仿宋_GB2312" w:cs="仿宋_GB2312"/>
                <w:color w:val="auto"/>
                <w:kern w:val="0"/>
                <w:sz w:val="32"/>
                <w:szCs w:val="32"/>
              </w:rPr>
              <w:t xml:space="preserve">  建设单位有下列行为之一的，责令改正，可以处一万元以下的罚款；逾期未改正的，处一万元以上三万元以下的罚款：</w:t>
            </w:r>
          </w:p>
          <w:p w14:paraId="1947B6D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......（三）未组织有关单位和专家研究提出试生产（使用）可能出现的安全问题及对策，或者未制定周密的试生产（使用）方案，进行试生产（使用）的；</w:t>
            </w:r>
          </w:p>
          <w:p w14:paraId="01B3E45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（四）未组织有关专家对试生产（使用）方案进行审查、对试生产（使用）条件进行检查确认的。</w:t>
            </w:r>
          </w:p>
        </w:tc>
        <w:tc>
          <w:tcPr>
            <w:tcW w:w="951" w:type="dxa"/>
            <w:vAlign w:val="center"/>
          </w:tcPr>
          <w:p w14:paraId="4084CD3F">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34EB9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7" w:type="dxa"/>
            <w:vMerge w:val="continue"/>
            <w:vAlign w:val="center"/>
          </w:tcPr>
          <w:p w14:paraId="66A1908F">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0" w:type="dxa"/>
            <w:vMerge w:val="continue"/>
            <w:vAlign w:val="center"/>
          </w:tcPr>
          <w:p w14:paraId="04C7C46D">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32" w:type="dxa"/>
            <w:vAlign w:val="center"/>
          </w:tcPr>
          <w:p w14:paraId="1B1D236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7.6危险化学品建设项目安全设施竣工验收</w:t>
            </w:r>
          </w:p>
        </w:tc>
        <w:tc>
          <w:tcPr>
            <w:tcW w:w="3717" w:type="dxa"/>
            <w:vAlign w:val="center"/>
          </w:tcPr>
          <w:p w14:paraId="44CC87D3">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第三十四条</w:t>
            </w:r>
            <w:r>
              <w:rPr>
                <w:rFonts w:hint="eastAsia" w:ascii="仿宋_GB2312" w:hAnsi="仿宋_GB2312" w:eastAsia="仿宋_GB2312" w:cs="仿宋_GB2312"/>
                <w:b/>
                <w:bCs/>
                <w:color w:val="auto"/>
                <w:kern w:val="0"/>
                <w:sz w:val="32"/>
                <w:szCs w:val="32"/>
              </w:rPr>
              <w:t>第二款</w:t>
            </w:r>
            <w:r>
              <w:rPr>
                <w:rFonts w:hint="eastAsia" w:ascii="仿宋_GB2312" w:hAnsi="仿宋_GB2312" w:eastAsia="仿宋_GB2312" w:cs="仿宋_GB2312"/>
                <w:color w:val="auto"/>
                <w:kern w:val="0"/>
                <w:sz w:val="32"/>
                <w:szCs w:val="3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7682EDD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《危险化学品建设项目安全监督管理办法》第二十六条第一款</w:t>
            </w:r>
            <w:r>
              <w:rPr>
                <w:rFonts w:hint="eastAsia" w:ascii="仿宋_GB2312" w:hAnsi="仿宋_GB2312" w:eastAsia="仿宋_GB2312" w:cs="仿宋_GB2312"/>
                <w:color w:val="auto"/>
                <w:kern w:val="0"/>
                <w:sz w:val="32"/>
                <w:szCs w:val="32"/>
              </w:rPr>
              <w:t xml:space="preserve">  建设项目投入生产和使用前，建设单位应当组织人员进行安全设施竣工验收，作出建设项目安全设施竣工验收是否通过的结论。参加验收人员的专业能力应当涵盖建设项目涉及的所有专业内容。</w:t>
            </w:r>
          </w:p>
          <w:p w14:paraId="5795365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 xml:space="preserve">《危险化学品建设项目安全监督管理办法》第二十八条  </w:t>
            </w:r>
            <w:r>
              <w:rPr>
                <w:rFonts w:hint="eastAsia" w:ascii="仿宋_GB2312" w:hAnsi="仿宋_GB2312" w:eastAsia="仿宋_GB2312" w:cs="仿宋_GB2312"/>
                <w:color w:val="auto"/>
                <w:kern w:val="0"/>
                <w:sz w:val="32"/>
                <w:szCs w:val="32"/>
              </w:rPr>
              <w:t>建设单位组织安全设施竣工验收合格后，应将验收过程中涉及的文件、资料存档，并按照有关法律法规及其配套规章的规定申请有关危险化学品的其他安全许可。</w:t>
            </w:r>
          </w:p>
        </w:tc>
        <w:tc>
          <w:tcPr>
            <w:tcW w:w="3899" w:type="dxa"/>
            <w:vAlign w:val="center"/>
          </w:tcPr>
          <w:p w14:paraId="33751BC6">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（1）企业营业执照或者企业名称预先核准通知书；</w:t>
            </w:r>
          </w:p>
          <w:p w14:paraId="48581EBF">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（2）安全生产（经营）许可证；</w:t>
            </w:r>
          </w:p>
          <w:p w14:paraId="2661341B">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（3）建设项目《安全验收评价报告》；</w:t>
            </w:r>
          </w:p>
          <w:p w14:paraId="0A57384A">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（4）建设项目组织竣工验收情况及资料（安全验收评价报告、专家审查意见、综合验收意见书等）；</w:t>
            </w:r>
          </w:p>
          <w:p w14:paraId="79D8A2A8">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（5）现场取证资料（图片、视频等影像资料）；</w:t>
            </w:r>
          </w:p>
          <w:p w14:paraId="3CB28C61">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15D794AB">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color w:val="auto"/>
                <w:sz w:val="32"/>
                <w:szCs w:val="32"/>
              </w:rPr>
              <w:t>企业相关人员任职文件、身份证明及其询问笔录；</w:t>
            </w:r>
          </w:p>
          <w:p w14:paraId="56FF7E6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vAlign w:val="center"/>
          </w:tcPr>
          <w:p w14:paraId="750191E1">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第九十五条第四项</w:t>
            </w:r>
            <w:r>
              <w:rPr>
                <w:rFonts w:hint="eastAsia" w:ascii="仿宋_GB2312" w:hAnsi="仿宋_GB2312" w:eastAsia="仿宋_GB2312" w:cs="仿宋_GB2312"/>
                <w:color w:val="auto"/>
                <w:kern w:val="0"/>
                <w:sz w:val="32"/>
                <w:szCs w:val="32"/>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3B87E7FB">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（四）矿山、金属冶炼建设项目或者用于生产、储存、装卸危险物品的建设项目竣工投入生产或者使用前，安全设施未经验收合格的。</w:t>
            </w:r>
          </w:p>
        </w:tc>
        <w:tc>
          <w:tcPr>
            <w:tcW w:w="951" w:type="dxa"/>
            <w:vAlign w:val="center"/>
          </w:tcPr>
          <w:p w14:paraId="0DED2031">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3109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76" w:hRule="atLeast"/>
          <w:jc w:val="center"/>
        </w:trPr>
        <w:tc>
          <w:tcPr>
            <w:tcW w:w="15165" w:type="dxa"/>
            <w:gridSpan w:val="7"/>
            <w:vAlign w:val="center"/>
          </w:tcPr>
          <w:p w14:paraId="798CF97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说明：1、根据本清单提供的证照及资料有原件的，应核实原件后留存复印件；无原件的提供复印件。所有复印件资料均应加盖企业公章。证照及资料有正副本的，均核验留存复印件。</w:t>
            </w:r>
          </w:p>
          <w:p w14:paraId="197EB5A1">
            <w:pPr>
              <w:ind w:firstLine="960" w:firstLineChars="3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2、其他相关证据：能够证明企业违法违规行为的其他相关资料。</w:t>
            </w:r>
            <w:r>
              <w:rPr>
                <w:rFonts w:hint="eastAsia" w:ascii="仿宋_GB2312" w:hAnsi="仿宋_GB2312" w:eastAsia="仿宋_GB2312" w:cs="仿宋_GB2312"/>
                <w:color w:val="auto"/>
                <w:sz w:val="32"/>
                <w:szCs w:val="32"/>
              </w:rPr>
              <w:tab/>
            </w:r>
          </w:p>
        </w:tc>
      </w:tr>
    </w:tbl>
    <w:p w14:paraId="4CA36D77">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p w14:paraId="269DBE33">
      <w:pPr>
        <w:pStyle w:val="3"/>
        <w:spacing w:line="240" w:lineRule="auto"/>
        <w:jc w:val="center"/>
        <w:rPr>
          <w:rFonts w:hint="eastAsia" w:ascii="仿宋_GB2312" w:hAnsi="仿宋_GB2312" w:eastAsia="仿宋_GB2312" w:cs="仿宋_GB2312"/>
          <w:color w:val="auto"/>
          <w:sz w:val="32"/>
          <w:szCs w:val="32"/>
        </w:rPr>
      </w:pPr>
      <w:bookmarkStart w:id="6" w:name="_Toc13913"/>
      <w:bookmarkStart w:id="7" w:name="_Toc499799323"/>
      <w:bookmarkStart w:id="8" w:name="_Toc17659"/>
      <w:bookmarkStart w:id="9" w:name="_Toc10513"/>
      <w:bookmarkStart w:id="10" w:name="_Toc497087503"/>
      <w:bookmarkStart w:id="11" w:name="_Toc11851"/>
      <w:bookmarkStart w:id="12" w:name="_Toc9286"/>
      <w:r>
        <w:rPr>
          <w:rFonts w:hint="eastAsia" w:ascii="仿宋_GB2312" w:hAnsi="仿宋_GB2312" w:eastAsia="仿宋_GB2312" w:cs="仿宋_GB2312"/>
          <w:color w:val="auto"/>
          <w:sz w:val="32"/>
          <w:szCs w:val="32"/>
        </w:rPr>
        <w:t>金属非金属地下矿山检查清单</w:t>
      </w:r>
      <w:bookmarkEnd w:id="6"/>
    </w:p>
    <w:tbl>
      <w:tblPr>
        <w:tblStyle w:val="8"/>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49"/>
        <w:gridCol w:w="958"/>
        <w:gridCol w:w="3907"/>
        <w:gridCol w:w="3882"/>
        <w:gridCol w:w="3898"/>
        <w:gridCol w:w="954"/>
      </w:tblGrid>
      <w:tr w14:paraId="7197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exact"/>
          <w:tblHeader/>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F969B31">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序号</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FED5202">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检查事项</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8087F2A">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检查内容</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168AEA5">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检查依据</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B64CADF">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主要证据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9BC24A0">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法律责任</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D4DA3CC">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检查结果</w:t>
            </w:r>
          </w:p>
        </w:tc>
      </w:tr>
      <w:tr w14:paraId="2687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567157C">
            <w:pPr>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D72E5E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许可情况</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A3275B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1.1安全生产许可证取得</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EE81ADA">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《安全生产许可证条例》第二条</w:t>
            </w:r>
            <w:r>
              <w:rPr>
                <w:rFonts w:hint="eastAsia" w:ascii="仿宋_GB2312" w:hAnsi="仿宋_GB2312" w:eastAsia="仿宋_GB2312" w:cs="仿宋_GB2312"/>
                <w:color w:val="auto"/>
                <w:kern w:val="0"/>
                <w:sz w:val="32"/>
                <w:szCs w:val="32"/>
              </w:rPr>
              <w:t>国家对矿山企业、建筑施工企业和危险化学品、烟花爆竹、民用爆炸物品生产企业（以下统称企业）实行安全生产许可制度。企业未取得安全生产许可证的，不得从事生产活动。</w:t>
            </w:r>
          </w:p>
          <w:p w14:paraId="7F64CB53">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《非煤矿矿山企业安全生产许可证实施办法》第二条</w:t>
            </w:r>
            <w:r>
              <w:rPr>
                <w:rFonts w:hint="eastAsia" w:ascii="仿宋_GB2312" w:hAnsi="仿宋_GB2312" w:eastAsia="仿宋_GB2312" w:cs="仿宋_GB2312"/>
                <w:color w:val="auto"/>
                <w:kern w:val="0"/>
                <w:sz w:val="32"/>
                <w:szCs w:val="32"/>
              </w:rPr>
              <w:t>非煤矿矿山企业必须依照本实施办法的规定取得安全生产许可证。</w:t>
            </w:r>
          </w:p>
          <w:p w14:paraId="7F68B6C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未取得安全生产许可证的，不得从事生产活动。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BE6F7B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571846A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0B59A22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0631879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9833BD7">
            <w:pPr>
              <w:adjustRightInd w:val="0"/>
              <w:snapToGrid w:val="0"/>
              <w:ind w:firstLine="482" w:firstLineChars="1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《安全生产许可证条例》第十九条</w:t>
            </w:r>
            <w:r>
              <w:rPr>
                <w:rFonts w:hint="eastAsia" w:ascii="仿宋_GB2312" w:hAnsi="仿宋_GB2312" w:eastAsia="仿宋_GB2312" w:cs="仿宋_GB2312"/>
                <w:color w:val="auto"/>
                <w:kern w:val="0"/>
                <w:sz w:val="32"/>
                <w:szCs w:val="32"/>
              </w:rPr>
              <w:t>违反本条例规定，未取得安全生产许可证擅自进行生产的，责令停止生产，没收违法所得，并处10万元以上50万元以下的罚款；造成重大事故或者其他严重后果，构成犯罪的，依法追究刑事责任。</w:t>
            </w:r>
          </w:p>
          <w:p w14:paraId="5274C0EE">
            <w:pPr>
              <w:adjustRightInd w:val="0"/>
              <w:snapToGrid w:val="0"/>
              <w:ind w:firstLine="482" w:firstLineChars="1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《非煤矿矿山企业安全生产许可证实施办法》第四十二条第一项</w:t>
            </w:r>
            <w:r>
              <w:rPr>
                <w:rFonts w:hint="eastAsia" w:ascii="仿宋_GB2312" w:hAnsi="仿宋_GB2312" w:eastAsia="仿宋_GB2312" w:cs="仿宋_GB2312"/>
                <w:color w:val="auto"/>
                <w:kern w:val="0"/>
                <w:sz w:val="32"/>
                <w:szCs w:val="32"/>
              </w:rPr>
              <w:t xml:space="preserve">  非煤矿矿山企业有下列行为之一的，责令停止生产，没收违法所得，并处10万元以上50万元以下的罚款：</w:t>
            </w:r>
          </w:p>
          <w:p w14:paraId="6C21D57D">
            <w:pPr>
              <w:adjustRightInd w:val="0"/>
              <w:snapToGrid w:val="0"/>
              <w:ind w:firstLine="480" w:firstLineChars="1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（一）未取得安全生产许可证，擅自进行生产的；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D1FD602">
            <w:pPr>
              <w:widowControl/>
              <w:adjustRightInd w:val="0"/>
              <w:snapToGrid w:val="0"/>
              <w:rPr>
                <w:rFonts w:hint="eastAsia" w:ascii="仿宋_GB2312" w:hAnsi="仿宋_GB2312" w:eastAsia="仿宋_GB2312" w:cs="仿宋_GB2312"/>
                <w:color w:val="auto"/>
                <w:kern w:val="0"/>
                <w:sz w:val="32"/>
                <w:szCs w:val="32"/>
              </w:rPr>
            </w:pPr>
          </w:p>
        </w:tc>
      </w:tr>
      <w:tr w14:paraId="1541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3D13A7B">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0FE096B6">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606C2D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1.2 安全生产许可证延期</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A24B2CE">
            <w:pPr>
              <w:widowControl/>
              <w:adjustRightInd w:val="0"/>
              <w:snapToGrid w:val="0"/>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《安全生产许可证条例》第九条第一款</w:t>
            </w:r>
            <w:r>
              <w:rPr>
                <w:rFonts w:hint="eastAsia" w:ascii="仿宋_GB2312" w:hAnsi="仿宋_GB2312" w:eastAsia="仿宋_GB2312" w:cs="仿宋_GB2312"/>
                <w:color w:val="auto"/>
                <w:kern w:val="0"/>
                <w:sz w:val="32"/>
                <w:szCs w:val="32"/>
              </w:rPr>
              <w:t>安全生产许可证的有效期为3年。安全生产许可证有效期满需要延期的，企业应当于期满前3个月向原安全生产许可证颁发管理机关办理延期手续。</w:t>
            </w:r>
          </w:p>
          <w:p w14:paraId="342D884B">
            <w:pPr>
              <w:widowControl/>
              <w:adjustRightInd w:val="0"/>
              <w:snapToGrid w:val="0"/>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《非煤矿矿山企业安全生产许可证实施办法》第十九条第一款</w:t>
            </w:r>
            <w:r>
              <w:rPr>
                <w:rFonts w:hint="eastAsia" w:ascii="仿宋_GB2312" w:hAnsi="仿宋_GB2312" w:eastAsia="仿宋_GB2312" w:cs="仿宋_GB2312"/>
                <w:color w:val="auto"/>
                <w:kern w:val="0"/>
                <w:sz w:val="32"/>
                <w:szCs w:val="32"/>
              </w:rPr>
              <w:t>安全生产许可证的有效期为3年。安全生产许可证有效期满后需要延期的，非煤矿矿山企业应当在安全生产许可证有效期届满前3个月向原安全生产许可证颁发管理机关申请办理延期手续，并提交下列文件、资料:</w:t>
            </w:r>
          </w:p>
          <w:p w14:paraId="5B8C9034">
            <w:pPr>
              <w:widowControl/>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(一)延期申请书;</w:t>
            </w:r>
          </w:p>
          <w:p w14:paraId="484CF68C">
            <w:pPr>
              <w:widowControl/>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(二)安全生产许可证正本和副本;</w:t>
            </w:r>
          </w:p>
          <w:p w14:paraId="3690988D">
            <w:pPr>
              <w:widowControl/>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(三)本实施办法第二章规定的相应文件、资料。</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CFB78A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2A1418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00C04ED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（3）延期相关资料；</w:t>
            </w:r>
          </w:p>
          <w:p w14:paraId="0B05943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（4）《现场检查记录》《责令限期整改指令书》《询问通知书》《询问笔录》等相关执法文书；</w:t>
            </w:r>
          </w:p>
          <w:p w14:paraId="477AA49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D6490E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《安全生产许可证条例》第二十条</w:t>
            </w:r>
            <w:r>
              <w:rPr>
                <w:rFonts w:hint="eastAsia" w:ascii="仿宋_GB2312" w:hAnsi="仿宋_GB2312" w:eastAsia="仿宋_GB2312" w:cs="仿宋_GB2312"/>
                <w:color w:val="auto"/>
                <w:kern w:val="0"/>
                <w:sz w:val="32"/>
                <w:szCs w:val="32"/>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14:paraId="203DC87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《非煤矿矿山企业安全生产许可证实施办法》第四十五条</w:t>
            </w:r>
            <w:r>
              <w:rPr>
                <w:rFonts w:hint="eastAsia" w:ascii="仿宋_GB2312" w:hAnsi="仿宋_GB2312" w:eastAsia="仿宋_GB2312" w:cs="仿宋_GB2312"/>
                <w:color w:val="auto"/>
                <w:kern w:val="0"/>
                <w:sz w:val="32"/>
                <w:szCs w:val="32"/>
              </w:rPr>
              <w:t>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处罚。</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79E7C8A">
            <w:pPr>
              <w:widowControl/>
              <w:adjustRightInd w:val="0"/>
              <w:snapToGrid w:val="0"/>
              <w:rPr>
                <w:rFonts w:hint="eastAsia" w:ascii="仿宋_GB2312" w:hAnsi="仿宋_GB2312" w:eastAsia="仿宋_GB2312" w:cs="仿宋_GB2312"/>
                <w:color w:val="auto"/>
                <w:kern w:val="0"/>
                <w:sz w:val="32"/>
                <w:szCs w:val="32"/>
              </w:rPr>
            </w:pPr>
          </w:p>
        </w:tc>
      </w:tr>
      <w:tr w14:paraId="5265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5D623036">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5E394A55">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689DFC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1.3 安全生产许可证变更</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D6DD20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《非煤矿矿山企业安全生产许可证实施办法》第二十一条</w:t>
            </w:r>
            <w:r>
              <w:rPr>
                <w:rFonts w:hint="eastAsia" w:ascii="仿宋_GB2312" w:hAnsi="仿宋_GB2312" w:eastAsia="仿宋_GB2312" w:cs="仿宋_GB2312"/>
                <w:color w:val="auto"/>
                <w:kern w:val="0"/>
                <w:sz w:val="32"/>
                <w:szCs w:val="32"/>
              </w:rPr>
              <w:t>非煤矿矿山企业在安全生产许可证有效期内有下列情形之一的，应当自工商营业执照变更之日起30个工作日内向原安全生产许可证颁发管理机关申请变更安全生产许可证：</w:t>
            </w:r>
          </w:p>
          <w:p w14:paraId="4951532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（一）变更单位名称的；</w:t>
            </w:r>
          </w:p>
          <w:p w14:paraId="7882C21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（二）变更主要负责人的；</w:t>
            </w:r>
          </w:p>
          <w:p w14:paraId="4CEF3F5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（三）变更单位地址的；</w:t>
            </w:r>
          </w:p>
          <w:p w14:paraId="0B554FCD">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（四）变更经济类型的；</w:t>
            </w:r>
          </w:p>
          <w:p w14:paraId="50AC1A7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（五）变更许可范围的。</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3084AC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7EC138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03DDB66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（3）企业工商变更登记资料；</w:t>
            </w:r>
          </w:p>
          <w:p w14:paraId="1DAFD66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（4）《现场检查记录》《责令限期整改指令书》《询问通知书》《询问笔录》等相关执法文书；</w:t>
            </w:r>
          </w:p>
          <w:p w14:paraId="145A639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C59B56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《非煤矿矿山企业安全生产许可证实施办法》第四十四条第一款</w:t>
            </w:r>
            <w:r>
              <w:rPr>
                <w:rFonts w:hint="eastAsia" w:ascii="仿宋_GB2312" w:hAnsi="仿宋_GB2312" w:eastAsia="仿宋_GB2312" w:cs="仿宋_GB2312"/>
                <w:color w:val="auto"/>
                <w:kern w:val="0"/>
                <w:sz w:val="32"/>
                <w:szCs w:val="32"/>
              </w:rPr>
              <w:t>非煤矿矿山企业在安全生产许可证有效期内，出现需要变更安全生产许可证的情形，未按本实施办法第二十一条的规定申请、办理变更手续的，责令限期办理变更手续，并处1万元以上3万元以下罚款。</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2D3D1F7">
            <w:pPr>
              <w:widowControl/>
              <w:adjustRightInd w:val="0"/>
              <w:snapToGrid w:val="0"/>
              <w:rPr>
                <w:rFonts w:hint="eastAsia" w:ascii="仿宋_GB2312" w:hAnsi="仿宋_GB2312" w:eastAsia="仿宋_GB2312" w:cs="仿宋_GB2312"/>
                <w:color w:val="auto"/>
                <w:kern w:val="0"/>
                <w:sz w:val="32"/>
                <w:szCs w:val="32"/>
              </w:rPr>
            </w:pPr>
          </w:p>
        </w:tc>
      </w:tr>
      <w:tr w14:paraId="3F54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68569DB2">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23AEA093">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B3D14B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1.4因采矿许可证到期及被暂扣、撤销、吊销和注销等交回安全生产许可证</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130536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《非煤矿矿山企业安全生产许可证实施办法》第二十八条</w:t>
            </w:r>
            <w:r>
              <w:rPr>
                <w:rFonts w:hint="eastAsia" w:ascii="仿宋_GB2312" w:hAnsi="仿宋_GB2312" w:eastAsia="仿宋_GB2312" w:cs="仿宋_GB2312"/>
                <w:color w:val="auto"/>
                <w:kern w:val="0"/>
                <w:sz w:val="32"/>
                <w:szCs w:val="32"/>
              </w:rPr>
              <w:t>非煤矿矿山企业发现在安全生产许可证有效期内采矿许可证到期失效的，应当在采矿许可证到期前15日内向原安全生产许可证颁发管理机关报告，并交回安全生产许可证正本和副本。</w:t>
            </w:r>
          </w:p>
          <w:p w14:paraId="0BB1854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采矿许可证被暂扣、撤销、吊销和注销的，非煤矿矿山企业应当在暂扣、撤销、吊销和注销后5日内向原安全生产许可证颁发管理机关报告，并交回安全生产许可证正本和副本。</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9D3FA0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2157751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360FF78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44C72EC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712F84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《非煤矿矿山企业安全生产许可证实施办法</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bCs/>
                <w:color w:val="auto"/>
                <w:sz w:val="32"/>
                <w:szCs w:val="32"/>
              </w:rPr>
              <w:t>第四十三条</w:t>
            </w:r>
            <w:r>
              <w:rPr>
                <w:rFonts w:hint="eastAsia" w:ascii="仿宋_GB2312" w:hAnsi="仿宋_GB2312" w:eastAsia="仿宋_GB2312" w:cs="仿宋_GB2312"/>
                <w:color w:val="auto"/>
                <w:sz w:val="32"/>
                <w:szCs w:val="32"/>
              </w:rPr>
              <w:t>非煤矿矿山企业在安全生产许可证有效期内出现采矿许可证有效期届满和采矿许可证被暂扣、撤销、吊销、注销的情况，未依照本实施办法第二十八条的规定向安全生产许可证颁发管理机关报告并交回安全生产许可证的，处1万元以上3万元以下罚款。</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AFDBB40">
            <w:pPr>
              <w:widowControl/>
              <w:adjustRightInd w:val="0"/>
              <w:snapToGrid w:val="0"/>
              <w:rPr>
                <w:rFonts w:hint="eastAsia" w:ascii="仿宋_GB2312" w:hAnsi="仿宋_GB2312" w:eastAsia="仿宋_GB2312" w:cs="仿宋_GB2312"/>
                <w:color w:val="auto"/>
                <w:kern w:val="0"/>
                <w:sz w:val="32"/>
                <w:szCs w:val="32"/>
              </w:rPr>
            </w:pPr>
          </w:p>
        </w:tc>
      </w:tr>
      <w:tr w14:paraId="4F9B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00123624">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6CA5BE5D">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BDAC9D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1.5 转让、冒用安全生产许可证或者使用伪造的安全生产许可证</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D9F155E">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《安全生产许可证条例》第十三条</w:t>
            </w:r>
            <w:r>
              <w:rPr>
                <w:rFonts w:hint="eastAsia" w:ascii="仿宋_GB2312" w:hAnsi="仿宋_GB2312" w:eastAsia="仿宋_GB2312" w:cs="仿宋_GB2312"/>
                <w:color w:val="auto"/>
                <w:kern w:val="0"/>
                <w:sz w:val="32"/>
                <w:szCs w:val="32"/>
              </w:rPr>
              <w:t>企业不得转让、冒用安全生产许可证或者使用伪造的安全生产许可证。</w:t>
            </w:r>
          </w:p>
          <w:p w14:paraId="6231C27B">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《非煤矿矿山企业安全生产许可证实施办法》第二十七条</w:t>
            </w:r>
            <w:r>
              <w:rPr>
                <w:rFonts w:hint="eastAsia" w:ascii="仿宋_GB2312" w:hAnsi="仿宋_GB2312" w:eastAsia="仿宋_GB2312" w:cs="仿宋_GB2312"/>
                <w:color w:val="auto"/>
                <w:kern w:val="0"/>
                <w:sz w:val="32"/>
                <w:szCs w:val="32"/>
              </w:rPr>
              <w:t xml:space="preserve">  非煤矿矿山企业不得转让、冒用、买卖、出租、出借或者使用伪造的安全生产许可证。</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4B1D47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306FEA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32BDF0F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6D94938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（4）转让、买卖、出租、出借的相关合同/协议以及经济往来相关证明资料；</w:t>
            </w:r>
          </w:p>
          <w:p w14:paraId="31885E7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926C93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《安全生产许可证条例》第二十一条</w:t>
            </w:r>
            <w:r>
              <w:rPr>
                <w:rFonts w:hint="eastAsia" w:ascii="仿宋_GB2312" w:hAnsi="仿宋_GB2312" w:eastAsia="仿宋_GB2312" w:cs="仿宋_GB2312"/>
                <w:color w:val="auto"/>
                <w:kern w:val="0"/>
                <w:sz w:val="32"/>
                <w:szCs w:val="32"/>
              </w:rPr>
              <w:t>违反本条例规定，转让安全生产许可证的，没收违法所得，处10万元以上50万元以下的罚款，并吊销其安全生产许可证；构成犯罪的，依法追究刑事责任；接受转让的，依照本条例第十九条的规定处罚。</w:t>
            </w:r>
          </w:p>
          <w:p w14:paraId="790E90F5">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冒用安全生产许可证或者使用伪造的安全生产许可证的，依照本条例第十九条的规定处罚。</w:t>
            </w:r>
          </w:p>
          <w:p w14:paraId="584DD09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《非煤矿矿山企业安全生产许可证实施办法》第四十一条</w:t>
            </w:r>
            <w:r>
              <w:rPr>
                <w:rFonts w:hint="eastAsia" w:ascii="仿宋_GB2312" w:hAnsi="仿宋_GB2312" w:eastAsia="仿宋_GB2312" w:cs="仿宋_GB2312"/>
                <w:color w:val="auto"/>
                <w:kern w:val="0"/>
                <w:sz w:val="32"/>
                <w:szCs w:val="32"/>
              </w:rPr>
              <w:t xml:space="preserve">  取得安全生产许可证的非煤矿矿山企业有下列行为之一的,吊销其安全生产许可证:</w:t>
            </w:r>
          </w:p>
          <w:p w14:paraId="1521E39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(一)倒卖、出租、出借或者以其他形式非法转让安全生产许可证的;</w:t>
            </w:r>
          </w:p>
          <w:p w14:paraId="6F6431E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(二)暂扣安全生产许可证后未按期整改或者整改后仍不具备安全生产条件的。</w:t>
            </w:r>
          </w:p>
          <w:p w14:paraId="3CEFD64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《非煤矿矿山企业安全生产许可证实施办法》第四十二条</w:t>
            </w:r>
            <w:r>
              <w:rPr>
                <w:rFonts w:hint="eastAsia" w:ascii="仿宋_GB2312" w:hAnsi="仿宋_GB2312" w:eastAsia="仿宋_GB2312" w:cs="仿宋_GB2312"/>
                <w:color w:val="auto"/>
                <w:kern w:val="0"/>
                <w:sz w:val="32"/>
                <w:szCs w:val="32"/>
              </w:rPr>
              <w:t xml:space="preserve">  非煤矿矿山企业有下列行为之一的,责令停止生产,没收违法所得,并处10万元以上50万元以下的罚款:</w:t>
            </w:r>
          </w:p>
          <w:p w14:paraId="36159E1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(一)未取得安全生产许可证,擅自进行生产的;</w:t>
            </w:r>
          </w:p>
          <w:p w14:paraId="1076B4CD">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(二)接受转让的安全生产许可证的;</w:t>
            </w:r>
          </w:p>
          <w:p w14:paraId="5E83C19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(三)冒用安全生产许可证的;</w:t>
            </w:r>
          </w:p>
          <w:p w14:paraId="79EDE33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(四)使用伪造的安全生产许可证的。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66C3207">
            <w:pPr>
              <w:widowControl/>
              <w:adjustRightInd w:val="0"/>
              <w:snapToGrid w:val="0"/>
              <w:rPr>
                <w:rFonts w:hint="eastAsia" w:ascii="仿宋_GB2312" w:hAnsi="仿宋_GB2312" w:eastAsia="仿宋_GB2312" w:cs="仿宋_GB2312"/>
                <w:color w:val="auto"/>
                <w:kern w:val="0"/>
                <w:sz w:val="32"/>
                <w:szCs w:val="32"/>
              </w:rPr>
            </w:pPr>
          </w:p>
        </w:tc>
      </w:tr>
      <w:tr w14:paraId="5CDA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EFFF5D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01052F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基本图纸及与实际符合情况</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E285EC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未保存基本图纸或图实不符</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4CEFB26">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F20757E">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《金属非金属矿山安全规程》（GB16423-2006）4.16第一款</w:t>
            </w:r>
            <w:r>
              <w:rPr>
                <w:rFonts w:hint="eastAsia" w:ascii="仿宋_GB2312" w:hAnsi="仿宋_GB2312" w:eastAsia="仿宋_GB2312" w:cs="仿宋_GB2312"/>
                <w:color w:val="auto"/>
                <w:kern w:val="0"/>
                <w:sz w:val="32"/>
                <w:szCs w:val="32"/>
              </w:rPr>
              <w:t>地下矿山，应保存下列图纸，并根据实际情况的变化及时更新：</w:t>
            </w:r>
          </w:p>
          <w:p w14:paraId="4137C921">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矿区地形地质和水文地质图；</w:t>
            </w:r>
          </w:p>
          <w:p w14:paraId="19A48502">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井上、井下对照图；</w:t>
            </w:r>
          </w:p>
          <w:p w14:paraId="3C67426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中段平面图；</w:t>
            </w:r>
          </w:p>
          <w:p w14:paraId="5908E93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通风系统图；</w:t>
            </w:r>
          </w:p>
          <w:p w14:paraId="43750C0B">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提升运输系统图；</w:t>
            </w:r>
          </w:p>
          <w:p w14:paraId="39C4D10C">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风、水管网系统图；</w:t>
            </w:r>
          </w:p>
          <w:p w14:paraId="45E0BED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充填系统图；</w:t>
            </w:r>
          </w:p>
          <w:p w14:paraId="535653B0">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井下通讯系统图；</w:t>
            </w:r>
          </w:p>
          <w:p w14:paraId="0FF3A72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井上、井下配电系统图和井下电气设备布置图；</w:t>
            </w:r>
          </w:p>
          <w:p w14:paraId="59B5A9AC">
            <w:pPr>
              <w:adjustRightInd w:val="0"/>
              <w:snapToGri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井下避灾路线图。</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C60CB6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42B499F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7D83818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12B93BA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（4）相关图纸资料；</w:t>
            </w:r>
          </w:p>
          <w:p w14:paraId="0BE2E7E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31ADBE1">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0D28835B">
            <w:pPr>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《安全生产违法行为行政处罚办法》第四十五条第一项、第二项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生产经营单位及其主要负责人或者其他人员有下列行为之一的，给予警告，并可以对生产经营单位处以1万元以上3万元以下罚款，对其主要负责人、其他有关人员处以1千元以上1万元以下的罚款：</w:t>
            </w:r>
          </w:p>
          <w:p w14:paraId="285E20A7">
            <w:pPr>
              <w:numPr>
                <w:ilvl w:val="0"/>
                <w:numId w:val="5"/>
              </w:num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违法操作规程或者安全管理规定作业的；</w:t>
            </w:r>
          </w:p>
          <w:p w14:paraId="212DE3F0">
            <w:pPr>
              <w:numPr>
                <w:ilvl w:val="0"/>
                <w:numId w:val="5"/>
              </w:num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故意提供虚假情况或者隐瞒存在的事故隐患以及其他安全问题的；</w:t>
            </w:r>
          </w:p>
          <w:p w14:paraId="46D1CA9A">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A6DF5B3">
            <w:pPr>
              <w:widowControl/>
              <w:adjustRightInd w:val="0"/>
              <w:snapToGrid w:val="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sz w:val="32"/>
                <w:szCs w:val="32"/>
              </w:rPr>
              <w:t>按设计执行。</w:t>
            </w:r>
          </w:p>
        </w:tc>
      </w:tr>
      <w:tr w14:paraId="6B8B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3567F41">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AF5892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采掘系统</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B5F8B8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3.1 矿井的安全出口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D9B5BC8">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4F3EE3E3">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《金属非金属矿山安全规程》（GB16423-2006）6.1.1.3</w:t>
            </w:r>
            <w:r>
              <w:rPr>
                <w:rFonts w:hint="eastAsia" w:ascii="仿宋_GB2312" w:hAnsi="仿宋_GB2312" w:eastAsia="仿宋_GB2312" w:cs="仿宋_GB2312"/>
                <w:color w:val="auto"/>
                <w:kern w:val="0"/>
                <w:sz w:val="32"/>
                <w:szCs w:val="32"/>
              </w:rPr>
              <w:t>每个矿井至少应有两个独立的直达地面的安全出口，安全出口的间距应不小于30m。</w:t>
            </w:r>
          </w:p>
          <w:p w14:paraId="6A05E48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大型矿井，矿床地质条件复杂，走向长度一翼超过1000m的，应在矿体端部的下盘增设安全出口。</w:t>
            </w:r>
          </w:p>
          <w:p w14:paraId="086501E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每个生产水平(中段)，均应至少有两个便于行人的安全出口，并应同通往地面的安全出口相通。</w:t>
            </w:r>
          </w:p>
          <w:p w14:paraId="2D7690E8">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井巷的分道口应有路标，注明其所在地点及通往地面出口的方向。所有井下作业人员，均应熟悉安全出口。</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7CDCCE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DFA36F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2E6BE87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115F46D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（4）总平面布置图、安全设计文件等相关资料；</w:t>
            </w:r>
          </w:p>
          <w:p w14:paraId="1093F02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BA40A1F">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3965FC7">
            <w:pPr>
              <w:ind w:firstLine="482" w:firstLineChars="15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以1万元以上3万元以下罚款，对其主要负责人、其他有关人员处以1千元以上1万元以下的罚款：（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A0EB0D1">
            <w:pPr>
              <w:widowControl/>
              <w:adjustRightInd w:val="0"/>
              <w:snapToGrid w:val="0"/>
              <w:rPr>
                <w:rFonts w:hint="eastAsia" w:ascii="仿宋_GB2312" w:hAnsi="仿宋_GB2312" w:eastAsia="仿宋_GB2312" w:cs="仿宋_GB2312"/>
                <w:color w:val="auto"/>
                <w:kern w:val="0"/>
                <w:sz w:val="32"/>
                <w:szCs w:val="32"/>
              </w:rPr>
            </w:pPr>
          </w:p>
        </w:tc>
      </w:tr>
      <w:tr w14:paraId="30E1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CC88CB2">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1100721C">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665DA5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3.2 出入井管理</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75F5EA7">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《金属非金属矿山安全规程》（GB16423-2006）4.18第三款</w:t>
            </w:r>
            <w:r>
              <w:rPr>
                <w:rFonts w:hint="eastAsia" w:ascii="仿宋_GB2312" w:hAnsi="仿宋_GB2312" w:eastAsia="仿宋_GB2312" w:cs="仿宋_GB2312"/>
                <w:color w:val="auto"/>
                <w:kern w:val="0"/>
                <w:sz w:val="32"/>
                <w:szCs w:val="32"/>
              </w:rPr>
              <w:t>地下矿山企业应建立、健全每个作业人员和其他下井人员出入矿井的登记和检查制度。入井人员应携带照明灯具。</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525D3B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193F7F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6C476DE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31F7601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（4）出入矿井的登记和检查制度；</w:t>
            </w:r>
          </w:p>
          <w:p w14:paraId="32B8191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（5）出入矿井的登记和检查记录；</w:t>
            </w:r>
          </w:p>
          <w:p w14:paraId="6AC9B0C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E08FB3E">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3252CC0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177CD99">
            <w:pPr>
              <w:widowControl/>
              <w:adjustRightInd w:val="0"/>
              <w:snapToGrid w:val="0"/>
              <w:rPr>
                <w:rFonts w:hint="eastAsia" w:ascii="仿宋_GB2312" w:hAnsi="仿宋_GB2312" w:eastAsia="仿宋_GB2312" w:cs="仿宋_GB2312"/>
                <w:color w:val="auto"/>
                <w:kern w:val="0"/>
                <w:sz w:val="32"/>
                <w:szCs w:val="32"/>
              </w:rPr>
            </w:pPr>
          </w:p>
        </w:tc>
      </w:tr>
      <w:tr w14:paraId="1641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7EFA3317">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1ED2B0F8">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BC80FD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3.3 顶板分级管理制度或管控措施</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769081C">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74754B1B">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《金属非金属矿山安全规程》（GB16423-2006）6.2.1.8 </w:t>
            </w:r>
            <w:r>
              <w:rPr>
                <w:rFonts w:hint="eastAsia" w:ascii="仿宋_GB2312" w:hAnsi="仿宋_GB2312" w:eastAsia="仿宋_GB2312" w:cs="仿宋_GB2312"/>
                <w:color w:val="auto"/>
                <w:kern w:val="0"/>
                <w:sz w:val="32"/>
                <w:szCs w:val="32"/>
              </w:rPr>
              <w:t>应建立顶板分级管理制度。对顶板不稳固的采场，应有监控手段和处理措施。</w:t>
            </w:r>
          </w:p>
          <w:p w14:paraId="3FC4F3E3">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09016C2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w:t>
            </w:r>
          </w:p>
          <w:p w14:paraId="164F8A78">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（十九）巷道或者采场顶板未按照设计要求采取支护措施。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FC7D22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5C89AC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5331B51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7A4902F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（4）顶板分级管理制度；</w:t>
            </w:r>
          </w:p>
          <w:p w14:paraId="59AADE3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AD2ABDD">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EC93EB8">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78A736F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22D931DB">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14121765">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AFB6F02">
            <w:pPr>
              <w:widowControl/>
              <w:adjustRightInd w:val="0"/>
              <w:snapToGrid w:val="0"/>
              <w:rPr>
                <w:rFonts w:hint="eastAsia" w:ascii="仿宋_GB2312" w:hAnsi="仿宋_GB2312" w:eastAsia="仿宋_GB2312" w:cs="仿宋_GB2312"/>
                <w:color w:val="auto"/>
                <w:kern w:val="0"/>
                <w:sz w:val="32"/>
                <w:szCs w:val="32"/>
              </w:rPr>
            </w:pPr>
          </w:p>
        </w:tc>
      </w:tr>
      <w:tr w14:paraId="6DC3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3D78EA03">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06D0DEA1">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99BCEF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3.4 按设计要求对不稳固岩层采掘支护</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3131FC4">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8AB7468">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《金属非金属矿山安全规程》（GB16423-2006）6.1.5.1</w:t>
            </w:r>
            <w:r>
              <w:rPr>
                <w:rFonts w:hint="eastAsia" w:ascii="仿宋_GB2312" w:hAnsi="仿宋_GB2312" w:eastAsia="仿宋_GB2312" w:cs="仿宋_GB2312"/>
                <w:color w:val="auto"/>
                <w:kern w:val="0"/>
                <w:sz w:val="32"/>
                <w:szCs w:val="32"/>
              </w:rPr>
              <w:t>在不稳固的岩层中掘进井巷，应进行支护。在松软或流砂岩层中掘进，永久性支护至掘进工作面之间，应架设临时支护或特殊支护。</w:t>
            </w:r>
          </w:p>
          <w:p w14:paraId="5CCFB73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6.1.5.2  需要支护的井巷，支护方法、支护与工作面间的距离，应在施工设计中规定；中途停止掘进时，支护应及时跟至工作面。</w:t>
            </w:r>
          </w:p>
          <w:p w14:paraId="6D64BD67">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779E8FB5">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一、金属非金属地下矿山重大生产安全事故隐患（十九）巷道或者采场顶板未按照设计要求采取支护措施。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36FC6B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52E20D4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7DC2153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34EC7B8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（4）安全设计文件和安全管理制度；</w:t>
            </w:r>
          </w:p>
          <w:p w14:paraId="07803D3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（5）支护设施设置情况；</w:t>
            </w:r>
          </w:p>
          <w:p w14:paraId="5A18C7F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C22A37D">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58DFA69">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1C021BA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5369568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《中华人民共和国安全生产法》  第六十五条第一款第三项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0BE648E">
            <w:pPr>
              <w:widowControl/>
              <w:shd w:val="clear" w:color="auto" w:fill="FFFFFF"/>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70DAC1BB">
            <w:pPr>
              <w:pStyle w:val="2"/>
              <w:ind w:firstLine="3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C29754E">
            <w:pPr>
              <w:widowControl/>
              <w:adjustRightInd w:val="0"/>
              <w:snapToGrid w:val="0"/>
              <w:rPr>
                <w:rFonts w:hint="eastAsia" w:ascii="仿宋_GB2312" w:hAnsi="仿宋_GB2312" w:eastAsia="仿宋_GB2312" w:cs="仿宋_GB2312"/>
                <w:color w:val="auto"/>
                <w:kern w:val="0"/>
                <w:sz w:val="32"/>
                <w:szCs w:val="32"/>
              </w:rPr>
            </w:pPr>
          </w:p>
        </w:tc>
      </w:tr>
      <w:tr w14:paraId="6C74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9BA99E1">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339A094E">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D7EE2B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3.5 清理顶、帮浮石</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B6EA99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《金属非金属矿山安全规程》（GB16423-2006）6.1.5.4第（一）项</w:t>
            </w:r>
            <w:r>
              <w:rPr>
                <w:rFonts w:hint="eastAsia" w:ascii="仿宋_GB2312" w:hAnsi="仿宋_GB2312" w:eastAsia="仿宋_GB2312" w:cs="仿宋_GB2312"/>
                <w:color w:val="auto"/>
                <w:kern w:val="0"/>
                <w:sz w:val="32"/>
                <w:szCs w:val="32"/>
              </w:rPr>
              <w:t>井巷砌碹支模，应遵守下列规定：</w:t>
            </w:r>
          </w:p>
          <w:p w14:paraId="4711E71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——砌碹前拆除原有支架时，应及时清理顶、帮浮石，并采取临时护顶措施；砌碹后应将顶、帮空隙填实；</w:t>
            </w:r>
          </w:p>
          <w:p w14:paraId="77BF28B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83F3D6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171BC61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338D989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5165B2A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5F8C8FA">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1C7BCCC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（一）违反操作规程或者安全管理规定作业的；……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47D31FD">
            <w:pPr>
              <w:widowControl/>
              <w:adjustRightInd w:val="0"/>
              <w:snapToGrid w:val="0"/>
              <w:rPr>
                <w:rFonts w:hint="eastAsia" w:ascii="仿宋_GB2312" w:hAnsi="仿宋_GB2312" w:eastAsia="仿宋_GB2312" w:cs="仿宋_GB2312"/>
                <w:color w:val="auto"/>
                <w:kern w:val="0"/>
                <w:sz w:val="32"/>
                <w:szCs w:val="32"/>
              </w:rPr>
            </w:pPr>
          </w:p>
        </w:tc>
      </w:tr>
      <w:tr w14:paraId="7685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05AC2D3B">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3FB03641">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5AA032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3.6 地压管理</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3C18D98">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E500746">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w:t>
            </w:r>
            <w:r>
              <w:rPr>
                <w:rFonts w:hint="eastAsia" w:ascii="仿宋_GB2312" w:hAnsi="仿宋_GB2312" w:eastAsia="仿宋_GB2312" w:cs="仿宋_GB2312"/>
                <w:color w:val="auto"/>
                <w:kern w:val="0"/>
                <w:sz w:val="32"/>
                <w:szCs w:val="32"/>
              </w:rPr>
              <w:t>（GB16423-2006）6.2.1.9第（一）项工程地质复杂、有严重地压活动的矿山，应遵守下列规定：</w:t>
            </w:r>
          </w:p>
          <w:p w14:paraId="171E0033">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——设立专门机构或专职人员负责地压管理，及时进行现场监测，做好预测、预报工作；</w:t>
            </w:r>
          </w:p>
          <w:p w14:paraId="462E3FD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1D418839">
            <w:pPr>
              <w:adjustRightInd w:val="0"/>
              <w:snapToGrid w:val="0"/>
              <w:ind w:firstLine="361"/>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68F5B748">
            <w:pPr>
              <w:adjustRightInd w:val="0"/>
              <w:snapToGrid w:val="0"/>
              <w:ind w:firstLine="361"/>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w:t>
            </w:r>
          </w:p>
          <w:p w14:paraId="29C1C2B1">
            <w:pPr>
              <w:adjustRightInd w:val="0"/>
              <w:snapToGrid w:val="0"/>
              <w:ind w:firstLine="36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（十八）具有严重地压条件，未采取预防地压灾害措施。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1C81C3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463B9A0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7A858A6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2D60462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（4）地压管理相关制度；</w:t>
            </w:r>
          </w:p>
          <w:p w14:paraId="7608459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9222D4A">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781B7A7E">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07D76BA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57B2297A">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35F9028A">
            <w:pPr>
              <w:pStyle w:val="2"/>
              <w:ind w:firstLine="3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23093C5">
            <w:pPr>
              <w:widowControl/>
              <w:adjustRightInd w:val="0"/>
              <w:snapToGrid w:val="0"/>
              <w:rPr>
                <w:rFonts w:hint="eastAsia" w:ascii="仿宋_GB2312" w:hAnsi="仿宋_GB2312" w:eastAsia="仿宋_GB2312" w:cs="仿宋_GB2312"/>
                <w:color w:val="auto"/>
                <w:kern w:val="0"/>
                <w:sz w:val="32"/>
                <w:szCs w:val="32"/>
              </w:rPr>
            </w:pPr>
          </w:p>
        </w:tc>
      </w:tr>
      <w:tr w14:paraId="7653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3D02D1FA">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2078AA60">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E707AC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3.7生产作业区采空区处理</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1823377">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069E4F97">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《金属非金属矿山安全规程》（GB16423-2006）6.2.1.10</w:t>
            </w:r>
            <w:r>
              <w:rPr>
                <w:rFonts w:hint="eastAsia" w:ascii="仿宋_GB2312" w:hAnsi="仿宋_GB2312" w:eastAsia="仿宋_GB2312" w:cs="仿宋_GB2312"/>
                <w:color w:val="auto"/>
                <w:kern w:val="0"/>
                <w:sz w:val="32"/>
                <w:szCs w:val="32"/>
              </w:rPr>
              <w:t>采用留矿法、空场法采矿的矿山，应采取充填、隔离或强制崩落围岩的措施，及时处理采空区；较小、较薄和孤立的采空区，是否需要及时处理，由主管矿长决定。《国家安全监管总局关于印发〈金属非金属矿山重大生产安全事故隐患判定标准（试行）〉的通知》(安监总管一〔2017〕98号)</w:t>
            </w:r>
          </w:p>
          <w:p w14:paraId="1BE8A398">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w:t>
            </w:r>
          </w:p>
          <w:p w14:paraId="68B5D2A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（十七）未按照设计要求对生产形成的采空区进行处理。</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92CBA3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6E27516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1FC945A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6DA7BCA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8C0BAA8">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E6E2082">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6B0BBCF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2172C852">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7044A355">
            <w:pPr>
              <w:pStyle w:val="2"/>
              <w:ind w:firstLine="3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78D1AE3">
            <w:pPr>
              <w:widowControl/>
              <w:adjustRightInd w:val="0"/>
              <w:snapToGrid w:val="0"/>
              <w:rPr>
                <w:rFonts w:hint="eastAsia" w:ascii="仿宋_GB2312" w:hAnsi="仿宋_GB2312" w:eastAsia="仿宋_GB2312" w:cs="仿宋_GB2312"/>
                <w:color w:val="auto"/>
                <w:kern w:val="0"/>
                <w:sz w:val="32"/>
                <w:szCs w:val="32"/>
              </w:rPr>
            </w:pPr>
          </w:p>
        </w:tc>
      </w:tr>
      <w:tr w14:paraId="2FEE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0B800E62">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0CE4B20B">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B7F606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3.8 保安矿柱</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5EA790E">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C4A26F4">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《金属非金属矿山安全规程》（GB16423-2006）6.2.1.4 </w:t>
            </w:r>
            <w:r>
              <w:rPr>
                <w:rFonts w:hint="eastAsia" w:ascii="仿宋_GB2312" w:hAnsi="仿宋_GB2312" w:eastAsia="仿宋_GB2312" w:cs="仿宋_GB2312"/>
                <w:color w:val="auto"/>
                <w:kern w:val="0"/>
                <w:sz w:val="32"/>
                <w:szCs w:val="32"/>
              </w:rPr>
              <w:t>应严格保持矿柱(含顶柱、底柱和间柱等)的尺寸、形状和直立度，应有专人检查和管理，以保证其在整个利用期间的稳定性。</w:t>
            </w:r>
          </w:p>
          <w:p w14:paraId="534C417D">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58514781">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一、金属非金属地下矿山重大生产安全事故隐患（十六）擅自开采各种保安矿柱或其形式及参数劣于设计值。</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ED21AE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7CCBBC3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12DF643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2091FDD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7676B27">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161E9B46">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564323E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3A0F7BF4">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7C115446">
            <w:pPr>
              <w:pStyle w:val="2"/>
              <w:ind w:firstLine="3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5A17A0F">
            <w:pPr>
              <w:widowControl/>
              <w:adjustRightInd w:val="0"/>
              <w:snapToGrid w:val="0"/>
              <w:rPr>
                <w:rFonts w:hint="eastAsia" w:ascii="仿宋_GB2312" w:hAnsi="仿宋_GB2312" w:eastAsia="仿宋_GB2312" w:cs="仿宋_GB2312"/>
                <w:color w:val="auto"/>
                <w:kern w:val="0"/>
                <w:sz w:val="32"/>
                <w:szCs w:val="32"/>
              </w:rPr>
            </w:pPr>
          </w:p>
        </w:tc>
      </w:tr>
      <w:tr w14:paraId="3031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D054D4B">
            <w:pPr>
              <w:widowControl/>
              <w:adjustRightInd w:val="0"/>
              <w:snapToGrid w:val="0"/>
              <w:jc w:val="center"/>
              <w:rPr>
                <w:rFonts w:hint="eastAsia" w:ascii="仿宋_GB2312" w:hAnsi="仿宋_GB2312" w:eastAsia="仿宋_GB2312" w:cs="仿宋_GB2312"/>
                <w:color w:val="auto"/>
                <w:kern w:val="0"/>
                <w:sz w:val="32"/>
                <w:szCs w:val="32"/>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11BDF22">
            <w:pPr>
              <w:adjustRightInd w:val="0"/>
              <w:snapToGrid w:val="0"/>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7536E8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3.9禁止使用空场法采矿（无底柱采矿法）采场内人工装运作业、横撑支柱采矿法</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D91F821">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第三十八条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国家对严重危及生产安全的工艺、设备实行淘汰制度，具体目录由国务院应急管理部门会同国务院有关部门制定并公布。法律、行政法规对目录的制定另有规定的，适用其规定。</w:t>
            </w:r>
          </w:p>
          <w:p w14:paraId="0F9E7F0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省、自治区、直辖市人民政府可以根据本地区实际情况制定并公布具体目录，对前款规定以外的危及生产安全的工艺、设备予以淘汰。</w:t>
            </w:r>
          </w:p>
          <w:p w14:paraId="7823985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生产经营单位不得使用应当淘汰的危及生产安全的工艺、设备。</w:t>
            </w:r>
          </w:p>
          <w:p w14:paraId="170B21D0">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《国家安全监管总局关于发布金属非金属矿山禁止使用的设备及工艺目录（第一批）的通知》</w:t>
            </w:r>
          </w:p>
          <w:p w14:paraId="7D9BB86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新建、改建、扩建的金属非金属地下矿山一律禁止使用下列设备及工艺，现有生产地下矿山在用的下列设备及工艺，按照规定时限予以强制淘汰。......</w:t>
            </w:r>
          </w:p>
          <w:p w14:paraId="5248D7DB">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18．空场法采矿（无底柱采矿法）采场内人工装运作业(自发布之日起一年后禁止使用)</w:t>
            </w:r>
          </w:p>
          <w:p w14:paraId="6949367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19．横撑支柱采矿法(自发布之日起立即禁止使用)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76B758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61C9E99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1C6A897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2B8EB1F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（4）采矿工艺及流程相关制度；</w:t>
            </w:r>
          </w:p>
          <w:p w14:paraId="7A8B1D6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32CC625">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《中华人民共和国安全生产法》  第九十九条</w:t>
            </w:r>
            <w:r>
              <w:rPr>
                <w:rFonts w:hint="eastAsia" w:ascii="仿宋_GB2312" w:hAnsi="仿宋_GB2312" w:eastAsia="仿宋_GB2312" w:cs="仿宋_GB2312"/>
                <w:b/>
                <w:bCs/>
                <w:color w:val="auto"/>
                <w:kern w:val="0"/>
                <w:sz w:val="32"/>
                <w:szCs w:val="32"/>
              </w:rPr>
              <w:t>第七项</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B86CAA9">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（七）使用应当淘汰的危及生产安全的工艺、设备的；</w:t>
            </w:r>
          </w:p>
          <w:p w14:paraId="12F6A30B">
            <w:pPr>
              <w:ind w:firstLine="640" w:firstLineChars="200"/>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EBE79C2">
            <w:pPr>
              <w:widowControl/>
              <w:adjustRightInd w:val="0"/>
              <w:snapToGrid w:val="0"/>
              <w:rPr>
                <w:rFonts w:hint="eastAsia" w:ascii="仿宋_GB2312" w:hAnsi="仿宋_GB2312" w:eastAsia="仿宋_GB2312" w:cs="仿宋_GB2312"/>
                <w:color w:val="auto"/>
                <w:kern w:val="0"/>
                <w:sz w:val="32"/>
                <w:szCs w:val="32"/>
              </w:rPr>
            </w:pPr>
          </w:p>
        </w:tc>
      </w:tr>
      <w:tr w14:paraId="3242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CBBA515">
            <w:pPr>
              <w:widowControl/>
              <w:adjustRightInd w:val="0"/>
              <w:snapToGrid w:val="0"/>
              <w:jc w:val="center"/>
              <w:rPr>
                <w:rFonts w:hint="eastAsia" w:ascii="仿宋_GB2312" w:hAnsi="仿宋_GB2312" w:eastAsia="仿宋_GB2312" w:cs="仿宋_GB2312"/>
                <w:color w:val="auto"/>
                <w:kern w:val="0"/>
                <w:sz w:val="32"/>
                <w:szCs w:val="32"/>
              </w:rPr>
            </w:pP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745B80C">
            <w:pPr>
              <w:adjustRightInd w:val="0"/>
              <w:snapToGrid w:val="0"/>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836B72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3.10禁止使用集中铲装作业时人工装卸矿岩、未安装捕尘装置的干式凿岩作业、主要无轨运输巷道采用人力或畜力运输矿岩</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AB74EDF">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第三十八条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国家对严重危及生产安全的工艺、设备实行淘汰制度，具体目录由国务院应急管理部门会同国务院有关部门制定并公布。法律、行政法规对目录的制定另有规定的，适用其规定。</w:t>
            </w:r>
          </w:p>
          <w:p w14:paraId="529AD3A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省、自治区、直辖市人民政府可以根据本地区实际情况制定并公布具体目录，对前款规定以外的危及生产安全的工艺、设备予以淘汰。</w:t>
            </w:r>
          </w:p>
          <w:p w14:paraId="477A0B6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生产经营单位不得使用应当淘汰的危及生产安全的工艺、设备。</w:t>
            </w:r>
          </w:p>
          <w:p w14:paraId="2AB4C6ED">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《国家安全监管总局关于发布金属非金属矿山禁止使用的设备及工艺目录（第二批）的通知》</w:t>
            </w:r>
          </w:p>
          <w:p w14:paraId="7170865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新建、改建、扩建的矿山从本目录发布之日起，一律禁止使用下列设备及工艺。现有生产矿山在用下列设备及工艺的，按照本目录规定的时限予以强制淘汰。......</w:t>
            </w:r>
          </w:p>
          <w:p w14:paraId="7F90D53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 集中铲装作业时人工装卸矿岩（金属非金属露天矿山自发布之日起立即禁止使用，地下矿山自发布之日起一年半后禁止使用）；</w:t>
            </w:r>
          </w:p>
          <w:p w14:paraId="51D4CFA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6．未安装捕尘装置的干式凿岩作业（金属非金属地下矿山自发布之日起立即禁止使用，露天矿山自发布之日起半年后禁止使用）；</w:t>
            </w:r>
          </w:p>
          <w:p w14:paraId="49EA86B0">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7．主要无轨运输巷道及露天采场采用人力或畜力运输矿岩（金属非金属地下矿山及露天矿山自发布之日起一年后禁止使用）。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0702DF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1B424E1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55A7033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286FF38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（4）采矿工艺及流程相关制度；</w:t>
            </w:r>
          </w:p>
          <w:p w14:paraId="34AFB20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B2C184A">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《中华人民共和国安全生产法》  第九十九条</w:t>
            </w:r>
            <w:r>
              <w:rPr>
                <w:rFonts w:hint="eastAsia" w:ascii="仿宋_GB2312" w:hAnsi="仿宋_GB2312" w:eastAsia="仿宋_GB2312" w:cs="仿宋_GB2312"/>
                <w:b/>
                <w:bCs/>
                <w:color w:val="auto"/>
                <w:kern w:val="0"/>
                <w:sz w:val="32"/>
                <w:szCs w:val="32"/>
              </w:rPr>
              <w:t>第七项</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FBE0E83">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（七）使用应当淘汰的危及生产安全的工艺、设备的；</w:t>
            </w:r>
          </w:p>
          <w:p w14:paraId="6F5F94BF">
            <w:pPr>
              <w:ind w:firstLine="640" w:firstLineChars="200"/>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DB8D54E">
            <w:pPr>
              <w:widowControl/>
              <w:adjustRightInd w:val="0"/>
              <w:snapToGrid w:val="0"/>
              <w:rPr>
                <w:rFonts w:hint="eastAsia" w:ascii="仿宋_GB2312" w:hAnsi="仿宋_GB2312" w:eastAsia="仿宋_GB2312" w:cs="仿宋_GB2312"/>
                <w:color w:val="auto"/>
                <w:kern w:val="0"/>
                <w:sz w:val="32"/>
                <w:szCs w:val="32"/>
              </w:rPr>
            </w:pPr>
          </w:p>
        </w:tc>
      </w:tr>
      <w:tr w14:paraId="6D28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6E724073">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54A23721">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903FD74">
            <w:pPr>
              <w:widowControl/>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3.11 发包单位与外包单位安全生产管理协议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B68A5CD">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第四十九条第二款</w:t>
            </w:r>
            <w:r>
              <w:rPr>
                <w:rFonts w:hint="eastAsia" w:ascii="仿宋_GB2312" w:hAnsi="仿宋_GB2312" w:eastAsia="仿宋_GB2312" w:cs="仿宋_GB2312"/>
                <w:bCs/>
                <w:snapToGrid w:val="0"/>
                <w:color w:val="auto"/>
                <w:kern w:val="0"/>
                <w:sz w:val="32"/>
                <w:szCs w:val="3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15FE9457">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《非煤矿山外包工程安全管理暂行办法》</w:t>
            </w:r>
            <w:r>
              <w:rPr>
                <w:rFonts w:hint="eastAsia" w:ascii="仿宋_GB2312" w:hAnsi="仿宋_GB2312" w:eastAsia="仿宋_GB2312" w:cs="仿宋_GB2312"/>
                <w:color w:val="auto"/>
                <w:kern w:val="0"/>
                <w:sz w:val="32"/>
                <w:szCs w:val="32"/>
              </w:rPr>
              <w:t>第八条发包单位应当与承包单位签订安全生产管理协议，明确各自的安全生产管理职责。安全生产管理协议应当包括下列内容：</w:t>
            </w:r>
          </w:p>
          <w:p w14:paraId="67A92DF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（一）安全投入保障；</w:t>
            </w:r>
          </w:p>
          <w:p w14:paraId="2B2A882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（二）安全设施和施工条件；</w:t>
            </w:r>
          </w:p>
          <w:p w14:paraId="546D788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（三）隐患排查与治理；</w:t>
            </w:r>
          </w:p>
          <w:p w14:paraId="56FF883C">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（四）安全教育与培训；</w:t>
            </w:r>
          </w:p>
          <w:p w14:paraId="0F681B47">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（五）事故应急救援；</w:t>
            </w:r>
          </w:p>
          <w:p w14:paraId="46BCD54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（六）安全检查与考评；</w:t>
            </w:r>
          </w:p>
          <w:p w14:paraId="30DB9FB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（七）违约责任。</w:t>
            </w:r>
          </w:p>
          <w:p w14:paraId="5FC24550">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安全生产管理协议的文本格式由国家安全生产监督管理总局另行制定。</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A04CB8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22C0280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29394B9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2B589E9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（4）安全生产管理协议、承包合同、租赁合同；</w:t>
            </w:r>
          </w:p>
          <w:p w14:paraId="37DC327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（5）定期安全检查记录；</w:t>
            </w:r>
          </w:p>
          <w:p w14:paraId="6C36A3F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B7EE1C1">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  第一百零三条第二款</w:t>
            </w:r>
            <w:r>
              <w:rPr>
                <w:rFonts w:hint="eastAsia" w:ascii="仿宋_GB2312" w:hAnsi="仿宋_GB2312" w:eastAsia="仿宋_GB2312" w:cs="仿宋_GB2312"/>
                <w:bCs/>
                <w:snapToGrid w:val="0"/>
                <w:color w:val="auto"/>
                <w:kern w:val="0"/>
                <w:sz w:val="32"/>
                <w:szCs w:val="3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64499295">
            <w:pPr>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《非煤矿山外包工程安全管理暂行办法》第三十三条</w:t>
            </w:r>
            <w:r>
              <w:rPr>
                <w:rFonts w:hint="eastAsia" w:ascii="仿宋_GB2312" w:hAnsi="仿宋_GB2312" w:eastAsia="仿宋_GB2312" w:cs="仿宋_GB2312"/>
                <w:color w:val="auto"/>
                <w:sz w:val="32"/>
                <w:szCs w:val="32"/>
              </w:rPr>
              <w:t>发包单位与承包单位、总承包单位与分项承包单位未依照本办法第八条规定签订安全生产管理协议的，责令限期改正，可以处5万元以下的罚款，对其直接负责的主管人员和其他直接责任人员可以处以1万元以下罚款；逾期未改正的，责令停产停业整顿。</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C09F8B1">
            <w:pPr>
              <w:widowControl/>
              <w:adjustRightInd w:val="0"/>
              <w:snapToGrid w:val="0"/>
              <w:rPr>
                <w:rFonts w:hint="eastAsia" w:ascii="仿宋_GB2312" w:hAnsi="仿宋_GB2312" w:eastAsia="仿宋_GB2312" w:cs="仿宋_GB2312"/>
                <w:color w:val="auto"/>
                <w:kern w:val="0"/>
                <w:sz w:val="32"/>
                <w:szCs w:val="32"/>
              </w:rPr>
            </w:pPr>
          </w:p>
        </w:tc>
      </w:tr>
      <w:tr w14:paraId="722B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7FA7DAD0">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7523D8F0">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08047DE">
            <w:pPr>
              <w:widowControl/>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3.12 发包单位对外包单位的安全管理</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D51ACDC">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《非煤矿山外包工程安全管理暂行办法》第十一条</w:t>
            </w:r>
            <w:r>
              <w:rPr>
                <w:rFonts w:hint="eastAsia" w:ascii="仿宋_GB2312" w:hAnsi="仿宋_GB2312" w:eastAsia="仿宋_GB2312" w:cs="仿宋_GB2312"/>
                <w:color w:val="auto"/>
                <w:kern w:val="0"/>
                <w:sz w:val="32"/>
                <w:szCs w:val="32"/>
              </w:rPr>
              <w:t>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089439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052B5B8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34C208F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3B7FB6C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（4）安全生产管理协议、承包合同、租赁合同；</w:t>
            </w:r>
          </w:p>
          <w:p w14:paraId="1700803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（5）安全管理规章制度；</w:t>
            </w:r>
          </w:p>
          <w:p w14:paraId="69F42BC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（6）地下矿山领导带班下井、地下矿山从业人员出入井统计、特种作业人员、民用爆炸物品、隐患排查与治理、职业病防护等安全管理相关资料；</w:t>
            </w:r>
          </w:p>
          <w:p w14:paraId="08D12EA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（7）作业现场全过程监督检查记录；</w:t>
            </w:r>
          </w:p>
          <w:p w14:paraId="2A18251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049E686">
            <w:pPr>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kern w:val="0"/>
                <w:sz w:val="32"/>
                <w:szCs w:val="32"/>
              </w:rPr>
              <w:t>非煤矿山外包工程安全管理暂行办法》第三十四条第二项</w:t>
            </w:r>
            <w:r>
              <w:rPr>
                <w:rFonts w:hint="eastAsia" w:ascii="仿宋_GB2312" w:hAnsi="仿宋_GB2312" w:eastAsia="仿宋_GB2312" w:cs="仿宋_GB2312"/>
                <w:color w:val="auto"/>
                <w:kern w:val="0"/>
                <w:sz w:val="32"/>
                <w:szCs w:val="32"/>
              </w:rPr>
              <w:t>有关发包单位有下列行为之一的，责令限期改正，给予警告，并处1万元以上3万元以下的罚款：</w:t>
            </w:r>
          </w:p>
          <w:p w14:paraId="0ECA0D27">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2A296030">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（二）违反本办法第十一条的规定，未将承包单位及其项目部纳入本单位的安全管理体系，实行统一管理的；</w:t>
            </w:r>
          </w:p>
          <w:p w14:paraId="6A7BBB2B">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F7D1C61">
            <w:pPr>
              <w:widowControl/>
              <w:adjustRightInd w:val="0"/>
              <w:snapToGrid w:val="0"/>
              <w:rPr>
                <w:rFonts w:hint="eastAsia" w:ascii="仿宋_GB2312" w:hAnsi="仿宋_GB2312" w:eastAsia="仿宋_GB2312" w:cs="仿宋_GB2312"/>
                <w:color w:val="auto"/>
                <w:kern w:val="0"/>
                <w:sz w:val="32"/>
                <w:szCs w:val="32"/>
              </w:rPr>
            </w:pPr>
          </w:p>
        </w:tc>
      </w:tr>
      <w:tr w14:paraId="722B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20C53594">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4EAB325E">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C7AF1BC">
            <w:pPr>
              <w:widowControl/>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3.13 地下矿山主要系统分包管理</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55FF75B">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《非煤矿山外包工程安全管理暂行办法》第十二条</w:t>
            </w:r>
            <w:r>
              <w:rPr>
                <w:rFonts w:hint="eastAsia" w:ascii="仿宋_GB2312" w:hAnsi="仿宋_GB2312" w:eastAsia="仿宋_GB2312" w:cs="仿宋_GB2312"/>
                <w:color w:val="auto"/>
                <w:kern w:val="0"/>
                <w:sz w:val="32"/>
                <w:szCs w:val="32"/>
              </w:rPr>
              <w:t>金属非金属矿山总发包单位对地下矿山一个生产系统进行分项发包的，承包单位原则上不得超过3家，避免相互影响生产、作业安全。</w:t>
            </w:r>
          </w:p>
          <w:p w14:paraId="39AF957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前款规定的发包单位在地下矿山正常生产期间，不得将主通风、主提升、供排水、供配电、主供风系统及其设备设施的运行管理进行分项发包。</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FC8773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4CB8266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56085E9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3329636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（4）承包单位相关证照；</w:t>
            </w:r>
          </w:p>
          <w:p w14:paraId="4CF2928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（5）承包协议；</w:t>
            </w:r>
          </w:p>
          <w:p w14:paraId="1A72368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4D6828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《非煤矿山外包工程安全管理暂行办法》第三十五条</w:t>
            </w:r>
            <w:r>
              <w:rPr>
                <w:rFonts w:hint="eastAsia" w:ascii="仿宋_GB2312" w:hAnsi="仿宋_GB2312" w:eastAsia="仿宋_GB2312" w:cs="仿宋_GB2312"/>
                <w:color w:val="auto"/>
                <w:sz w:val="32"/>
                <w:szCs w:val="32"/>
              </w:rPr>
              <w:t>对地下矿山实行分项发包的发包单位违反本办法第十二条的规定，在地下矿山正常生产期间，将主通风、主提升、供排水、供配电、主供风系统及其设备设施的运行管理进行分项发包的，责令限期改正，处2万元以上3万元以下罚款。</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66463B5">
            <w:pPr>
              <w:widowControl/>
              <w:adjustRightInd w:val="0"/>
              <w:snapToGrid w:val="0"/>
              <w:rPr>
                <w:rFonts w:hint="eastAsia" w:ascii="仿宋_GB2312" w:hAnsi="仿宋_GB2312" w:eastAsia="仿宋_GB2312" w:cs="仿宋_GB2312"/>
                <w:color w:val="auto"/>
                <w:kern w:val="0"/>
                <w:sz w:val="32"/>
                <w:szCs w:val="32"/>
              </w:rPr>
            </w:pPr>
          </w:p>
        </w:tc>
      </w:tr>
      <w:tr w14:paraId="7829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408F076">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9F4703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提升系统</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27E3D8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4.1 竖井与各中段连接处栅栏、阻车器等设置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C53D45F">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7BE015CD">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《金属非金属矿山安全规程》（GB16423-2006）6.1.7.1</w:t>
            </w:r>
            <w:r>
              <w:rPr>
                <w:rFonts w:hint="eastAsia" w:ascii="仿宋_GB2312" w:hAnsi="仿宋_GB2312" w:eastAsia="仿宋_GB2312" w:cs="仿宋_GB2312"/>
                <w:color w:val="auto"/>
                <w:kern w:val="0"/>
                <w:sz w:val="32"/>
                <w:szCs w:val="32"/>
              </w:rPr>
              <w:t>竖井与各中段的连接处，应有足够的照明和设置高度不小于1.5M的栅栏或金属网，并应设置阻车器，进出口设栅栏门。栅栏门只准在通过人员或车辆时打开。井筒与水平大巷连接处，应设绕道，人员不得通过提升间。</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90AB56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4D3906A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4E966CF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672D6C1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01912A9">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《中华人民共和国安全生产法》  第九十九条</w:t>
            </w:r>
            <w:r>
              <w:rPr>
                <w:rFonts w:hint="eastAsia" w:ascii="仿宋_GB2312" w:hAnsi="仿宋_GB2312" w:eastAsia="仿宋_GB2312" w:cs="仿宋_GB2312"/>
                <w:b/>
                <w:bCs/>
                <w:color w:val="auto"/>
                <w:kern w:val="0"/>
                <w:sz w:val="32"/>
                <w:szCs w:val="32"/>
              </w:rPr>
              <w:t>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3F06E5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（二）安全设备的安装、使用、检测、改造和报废不符合国家标准或者行业标准的；</w:t>
            </w:r>
          </w:p>
          <w:p w14:paraId="4CAA7863">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10BB464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05DF9DD">
            <w:pPr>
              <w:widowControl/>
              <w:adjustRightInd w:val="0"/>
              <w:snapToGrid w:val="0"/>
              <w:rPr>
                <w:rFonts w:hint="eastAsia" w:ascii="仿宋_GB2312" w:hAnsi="仿宋_GB2312" w:eastAsia="仿宋_GB2312" w:cs="仿宋_GB2312"/>
                <w:color w:val="auto"/>
                <w:kern w:val="0"/>
                <w:sz w:val="32"/>
                <w:szCs w:val="32"/>
              </w:rPr>
            </w:pPr>
          </w:p>
        </w:tc>
      </w:tr>
      <w:tr w14:paraId="2C42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6FA44A2">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43B6B659">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2BC392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4.2 过卷保护装置及防坠装置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4F7D5E2">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14D031F9">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《金属非金属矿山安全规程》（GB16423-2006）6.3.3.21</w:t>
            </w:r>
            <w:r>
              <w:rPr>
                <w:rFonts w:hint="eastAsia" w:ascii="仿宋_GB2312" w:hAnsi="仿宋_GB2312" w:eastAsia="仿宋_GB2312" w:cs="仿宋_GB2312"/>
                <w:color w:val="auto"/>
                <w:kern w:val="0"/>
                <w:sz w:val="32"/>
                <w:szCs w:val="32"/>
              </w:rPr>
              <w:t>竖井提升系统应设过卷保护装置，过卷高度应符合下列规定：</w:t>
            </w:r>
          </w:p>
          <w:p w14:paraId="4625424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——提升速度低于3m／s时，不小于4m；</w:t>
            </w:r>
          </w:p>
          <w:p w14:paraId="0A998BE7">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——提升速度为3～6m／s时，不小于6m；</w:t>
            </w:r>
          </w:p>
          <w:p w14:paraId="144341D7">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——提升速度高于6m／s、低于或等于10m／s时，不小于最高提升速度下运行1s的提升高度；</w:t>
            </w:r>
          </w:p>
          <w:p w14:paraId="01094C68">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——提升速度高于10m／s时，不小于10m；</w:t>
            </w:r>
          </w:p>
          <w:p w14:paraId="6B0932D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——凿井期间用吊桶提升时，不小于4m。</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01DDE7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28C9834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00F386E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3B5FD77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2A47EFC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73B285F">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《中华人民共和国安全生产法》  第九十九条</w:t>
            </w:r>
            <w:r>
              <w:rPr>
                <w:rFonts w:hint="eastAsia" w:ascii="仿宋_GB2312" w:hAnsi="仿宋_GB2312" w:eastAsia="仿宋_GB2312" w:cs="仿宋_GB2312"/>
                <w:b/>
                <w:bCs/>
                <w:color w:val="auto"/>
                <w:kern w:val="0"/>
                <w:sz w:val="32"/>
                <w:szCs w:val="32"/>
              </w:rPr>
              <w:t>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9C51DE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（二）安全设备的安装、使用、检测、改造和报废不符合国家标准或者行业标准的；</w:t>
            </w:r>
          </w:p>
          <w:p w14:paraId="13FE3AC4">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63E8BC7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26D9E7F">
            <w:pPr>
              <w:widowControl/>
              <w:adjustRightInd w:val="0"/>
              <w:snapToGrid w:val="0"/>
              <w:rPr>
                <w:rFonts w:hint="eastAsia" w:ascii="仿宋_GB2312" w:hAnsi="仿宋_GB2312" w:eastAsia="仿宋_GB2312" w:cs="仿宋_GB2312"/>
                <w:color w:val="auto"/>
                <w:kern w:val="0"/>
                <w:sz w:val="32"/>
                <w:szCs w:val="32"/>
              </w:rPr>
            </w:pPr>
          </w:p>
        </w:tc>
      </w:tr>
      <w:tr w14:paraId="0A9AC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29344235">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0F88000E">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AF3015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4.3 提升系统的保护和闭锁连锁装置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399473B">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7FF35520">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《金属非金属矿山安全规程》（GB16423-2006）6.3.5.10</w:t>
            </w:r>
            <w:r>
              <w:rPr>
                <w:rFonts w:hint="eastAsia" w:ascii="仿宋_GB2312" w:hAnsi="仿宋_GB2312" w:eastAsia="仿宋_GB2312" w:cs="仿宋_GB2312"/>
                <w:color w:val="auto"/>
                <w:kern w:val="0"/>
                <w:sz w:val="32"/>
                <w:szCs w:val="32"/>
              </w:rPr>
              <w:t>提升装置的机电控制系统，应有下列符合要求的保护与电气闭锁装置：</w:t>
            </w:r>
          </w:p>
          <w:p w14:paraId="25089542">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——限速保护装置：罐笼提升系统最高速度超过4m／s和箕斗提升系统最高速度超过6m／s时，控制提升容器接近预定停车点时的速度应不超过2m／s；</w:t>
            </w:r>
          </w:p>
          <w:p w14:paraId="778F734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——主传动电动机的短路及断电保护装置：保证安全制动及时动作；</w:t>
            </w:r>
          </w:p>
          <w:p w14:paraId="53F3C0C8">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过卷保护装置：安装在井架和深度指示器上；当提升容器或平衡锤超过正常卸载(罐笼为进出车)位置O.5m时，使提升设备自动停止运转，同时实现安全制动；此外，还应设置不能再向过卷方向接通电动机电源的联锁装置；</w:t>
            </w:r>
          </w:p>
          <w:p w14:paraId="39EB06C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——过速保护装置：当提升速度超过规定速度的15％时，使提升机自动停止运转，实现安全制动；</w:t>
            </w:r>
          </w:p>
          <w:p w14:paraId="01581407">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——过负荷及无电压保护装置：当提升机过负荷或供电中断时，使提升机自动停止运转；</w:t>
            </w:r>
          </w:p>
          <w:p w14:paraId="01829D5C">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——提升机操纵手柄与安全制动之间的联锁装置：操纵手柄不在“O”位、制动手柄不在抱闸位置时，不能接通安全制动电磁铁电源而解除安全制动；</w:t>
            </w:r>
          </w:p>
          <w:p w14:paraId="1387BB00">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——闸瓦磨损保护装置：闸瓦磨损超过允许值或制动弹簧(或重锤机构)行程超限时，应有信号显示及安全制动；</w:t>
            </w:r>
          </w:p>
          <w:p w14:paraId="4756FDFE">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——润滑系统油压过高、过低或制动油温过高时，应使下一次提升不能进行；</w:t>
            </w:r>
          </w:p>
          <w:p w14:paraId="637457BE">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——当提升容器到达两端减速点时，应使提升机自动减速或发出减速信号；</w:t>
            </w:r>
          </w:p>
          <w:p w14:paraId="3B79ED75">
            <w:p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——采用直流电动机传动时，主传动电动机应装设失励磁保护；</w:t>
            </w:r>
          </w:p>
          <w:p w14:paraId="076B5B74">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——测速回路应有断电保护；</w:t>
            </w:r>
          </w:p>
          <w:p w14:paraId="74D323A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——提升机与信号系统之间的闭锁装置：司机未接到工作执行信号不能开车；应同时设有解除这项闭锁的装置；该装置未经许可，司机不应擅自动用。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5B91DE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738E63F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420572F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3C9C6EC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12898FD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7D58387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096D687">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《中华人民共和国安全生产法》  第九十九条</w:t>
            </w:r>
            <w:r>
              <w:rPr>
                <w:rFonts w:hint="eastAsia" w:ascii="仿宋_GB2312" w:hAnsi="仿宋_GB2312" w:eastAsia="仿宋_GB2312" w:cs="仿宋_GB2312"/>
                <w:b/>
                <w:bCs/>
                <w:color w:val="auto"/>
                <w:kern w:val="0"/>
                <w:sz w:val="32"/>
                <w:szCs w:val="32"/>
              </w:rPr>
              <w:t>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6B9CE3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（二）安全设备的安装、使用、检测、改造和报废不符合国家标准或者行业标准的；</w:t>
            </w:r>
          </w:p>
          <w:p w14:paraId="67D31A6A">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63C5243C">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43A775C">
            <w:pPr>
              <w:widowControl/>
              <w:adjustRightInd w:val="0"/>
              <w:snapToGrid w:val="0"/>
              <w:rPr>
                <w:rFonts w:hint="eastAsia" w:ascii="仿宋_GB2312" w:hAnsi="仿宋_GB2312" w:eastAsia="仿宋_GB2312" w:cs="仿宋_GB2312"/>
                <w:color w:val="auto"/>
                <w:kern w:val="0"/>
                <w:sz w:val="32"/>
                <w:szCs w:val="32"/>
              </w:rPr>
            </w:pPr>
          </w:p>
        </w:tc>
      </w:tr>
      <w:tr w14:paraId="1717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0A37B8C0">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6712D3D8">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A6F2E3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4.4 提升设备定期维保及检测</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AD1D8EB">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第三十六条第二款</w:t>
            </w: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p w14:paraId="42F53283">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《金属非金属矿山安全规程》（GB16423-2006）6.3.3.23</w:t>
            </w:r>
            <w:r>
              <w:rPr>
                <w:rFonts w:hint="eastAsia" w:ascii="仿宋_GB2312" w:hAnsi="仿宋_GB2312" w:eastAsia="仿宋_GB2312" w:cs="仿宋_GB2312"/>
                <w:color w:val="auto"/>
                <w:kern w:val="0"/>
                <w:sz w:val="32"/>
                <w:szCs w:val="32"/>
              </w:rPr>
              <w:t>提升系统的各部分，包括提升容器、连接装置、防坠器、罐耳、罐道、阻车器、罐座、摇台(或托台)、装卸矿设施、天轮和钢丝绳，以及提升机的各部分，包括卷筒、制动装置、深度指示器、防过卷装置、限速器、调绳装置、传动装置、电动机和控制设备以及各种保护装置和闭锁装置等，每天应由专职人员检查一次，每月应由矿机电部门组织有关人员检查一次；发现问题应立即处理，并将检查结果和处理情况记录存档。</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FB83D2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1B45442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1885858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5DC7DB7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（4）设备定期维保及检测记录；</w:t>
            </w:r>
          </w:p>
          <w:p w14:paraId="7561E89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（5）检查结果和处理情况档案；</w:t>
            </w:r>
          </w:p>
          <w:p w14:paraId="679E635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BC38E27">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第九十九条第三项</w:t>
            </w:r>
            <w:r>
              <w:rPr>
                <w:rFonts w:hint="eastAsia" w:ascii="仿宋_GB2312" w:hAnsi="仿宋_GB2312" w:eastAsia="仿宋_GB2312" w:cs="仿宋_GB2312"/>
                <w:bCs/>
                <w:snapToGrid w:val="0"/>
                <w:color w:val="auto"/>
                <w:kern w:val="0"/>
                <w:sz w:val="32"/>
                <w:szCs w:val="32"/>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60F8AC7">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（三）未对安全设备进行经常性维护、保养和定期检测的；</w:t>
            </w:r>
          </w:p>
          <w:p w14:paraId="7B0B23B3">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5A00434C">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B97F241">
            <w:pPr>
              <w:widowControl/>
              <w:adjustRightInd w:val="0"/>
              <w:snapToGrid w:val="0"/>
              <w:rPr>
                <w:rFonts w:hint="eastAsia" w:ascii="仿宋_GB2312" w:hAnsi="仿宋_GB2312" w:eastAsia="仿宋_GB2312" w:cs="仿宋_GB2312"/>
                <w:color w:val="auto"/>
                <w:kern w:val="0"/>
                <w:sz w:val="32"/>
                <w:szCs w:val="32"/>
              </w:rPr>
            </w:pPr>
          </w:p>
        </w:tc>
      </w:tr>
      <w:tr w14:paraId="26B4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7FA371C5">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326C6752">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3677E8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4.5 斜井防跑车装置、阻车器或挡车栏</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30727B0">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60889E55">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第三十六条第二款</w:t>
            </w: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p w14:paraId="6BCC2A17">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《金属非金属矿山安全规程》（GB16423-2006）6.3.2.6 </w:t>
            </w:r>
            <w:r>
              <w:rPr>
                <w:rFonts w:hint="eastAsia" w:ascii="仿宋_GB2312" w:hAnsi="仿宋_GB2312" w:eastAsia="仿宋_GB2312" w:cs="仿宋_GB2312"/>
                <w:color w:val="auto"/>
                <w:kern w:val="0"/>
                <w:sz w:val="32"/>
                <w:szCs w:val="32"/>
              </w:rPr>
              <w:t>提升矿车的斜井，应设常闭式防跑车装置，并经常保持完好。</w:t>
            </w:r>
          </w:p>
          <w:p w14:paraId="58C205A5">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斜井上部和中间车场，应设阻车器或挡车栏。阻车器或挡车栏在车辆通过时打开，车辆通过后关闭。斜井下部停车场应设躲避硐室。</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624DE7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DFE703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2C407B6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0E823A9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149B66C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2754077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0B60547">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  第九十九条第二项、第三项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F973E48">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（二）安全设备的安装、使用、检测、改造和报废不符合国家标准或者行业标准的；</w:t>
            </w:r>
          </w:p>
          <w:p w14:paraId="56A0D53A">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（三）未对安全设备进行经常性维护、保养和定期检测的；</w:t>
            </w:r>
          </w:p>
          <w:p w14:paraId="0B7A296A">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2B0DAF7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A16FEE9">
            <w:pPr>
              <w:widowControl/>
              <w:adjustRightInd w:val="0"/>
              <w:snapToGrid w:val="0"/>
              <w:rPr>
                <w:rFonts w:hint="eastAsia" w:ascii="仿宋_GB2312" w:hAnsi="仿宋_GB2312" w:eastAsia="仿宋_GB2312" w:cs="仿宋_GB2312"/>
                <w:color w:val="auto"/>
                <w:kern w:val="0"/>
                <w:sz w:val="32"/>
                <w:szCs w:val="32"/>
              </w:rPr>
            </w:pPr>
          </w:p>
        </w:tc>
      </w:tr>
      <w:tr w14:paraId="5DB2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0805E21E">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4D8CAF5B">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73E8DC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4.6 提升装置、罐笼及钢丝绳等安全设备</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6667C4B">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5146ACE6">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第三十六条第二款</w:t>
            </w: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p w14:paraId="66A0352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《金属非金属矿山在用缠绕式提升机安全检测检验规范》（AQ 2020-2008）</w:t>
            </w:r>
          </w:p>
          <w:p w14:paraId="3F2F29FC">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《金属非金属矿山在用摩擦式提升机安全检测检验规范》（AQ 2021-2008）</w:t>
            </w:r>
          </w:p>
          <w:p w14:paraId="4356FF14">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《金属非金属矿山在用提升绞车安全检测检验规范》（AQ 2022-2008）</w:t>
            </w:r>
          </w:p>
          <w:p w14:paraId="0F2273D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《金属非金属矿山提升钢丝绳检验规范》（AQ 2026-2010）</w:t>
            </w:r>
          </w:p>
          <w:p w14:paraId="60CD3518">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《罐笼安全技术要求》（GB 16542-2010）</w:t>
            </w:r>
          </w:p>
          <w:p w14:paraId="30F6378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4.5.1  专作升降人员用的或既作升降人员用又作升降物料用的单绳提升罐笼，必须装设可靠的防坠器。</w:t>
            </w:r>
          </w:p>
          <w:p w14:paraId="2934B48B">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《金属非金属矿山安全规程》（GB 16423-2006）</w:t>
            </w:r>
          </w:p>
          <w:p w14:paraId="0D13E6F3">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6.3.4.2  提升钢丝绳的检验，应使用符合条件的设备和方法进行，检验周期应符合下列要求：</w:t>
            </w:r>
          </w:p>
          <w:p w14:paraId="2B07FD44">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——升降人员或升降人员和物料用的钢丝绳，自悬挂时起，每隔六个月检验一次；有腐蚀气体的矿山，每隔三个月检验一次；</w:t>
            </w:r>
          </w:p>
          <w:p w14:paraId="395B416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——升降物料用的钢丝绳，自悬挂时起，第一次检验的间隔时间为一年，以后每隔六个月检验一次；</w:t>
            </w:r>
          </w:p>
          <w:p w14:paraId="479B3541">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——悬挂吊盘用的钢丝绳，自悬挂时起，每隔一年检验一次。</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0E1332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1902962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17D5AE8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7E318E6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（4）相关设备的购买凭证、说明书、合格证明；</w:t>
            </w:r>
          </w:p>
          <w:p w14:paraId="3225418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（5）设备定期维保及检测记录；</w:t>
            </w:r>
          </w:p>
          <w:p w14:paraId="092328F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308782B">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  第九十九条第二项、第三项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155CF1C">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（二）安全设备的安装、使用、检测、改造和报废不符合国家标准或者行业标准的；</w:t>
            </w:r>
          </w:p>
          <w:p w14:paraId="7F58BAAB">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（三）未对安全设备进行经常性维护、保养和定期检测的；</w:t>
            </w:r>
          </w:p>
          <w:p w14:paraId="7C18AA06">
            <w:pPr>
              <w:adjustRightInd w:val="0"/>
              <w:snapToGrid w:val="0"/>
              <w:ind w:firstLine="640" w:firstLineChars="200"/>
              <w:rPr>
                <w:rFonts w:hint="eastAsia" w:ascii="仿宋_GB2312" w:hAnsi="仿宋_GB2312" w:eastAsia="仿宋_GB2312" w:cs="仿宋_GB2312"/>
                <w:color w:val="auto"/>
                <w:kern w:val="0"/>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29E150F">
            <w:pPr>
              <w:widowControl/>
              <w:adjustRightInd w:val="0"/>
              <w:snapToGrid w:val="0"/>
              <w:rPr>
                <w:rFonts w:hint="eastAsia" w:ascii="仿宋_GB2312" w:hAnsi="仿宋_GB2312" w:eastAsia="仿宋_GB2312" w:cs="仿宋_GB2312"/>
                <w:color w:val="auto"/>
                <w:kern w:val="0"/>
                <w:sz w:val="32"/>
                <w:szCs w:val="32"/>
              </w:rPr>
            </w:pPr>
          </w:p>
        </w:tc>
      </w:tr>
      <w:tr w14:paraId="0122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56B17E76">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3B39B959">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3920A6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4.7禁止使用非定型竖井罐笼、Φ1.2米以下（不含Φ1.2米）用于升降人员的提升绞车、KJ型矿井提升机、JKA型矿井提升机、XKT型矿井提升机、带式制动矿用提升绞车、TKD型提升机电控装置及使用继电器结构原理的提升机电控装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A55BDD2">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第三十八条</w:t>
            </w:r>
            <w:r>
              <w:rPr>
                <w:rFonts w:hint="eastAsia" w:ascii="仿宋_GB2312" w:hAnsi="仿宋_GB2312" w:eastAsia="仿宋_GB2312" w:cs="仿宋_GB2312"/>
                <w:bCs/>
                <w:snapToGrid w:val="0"/>
                <w:color w:val="auto"/>
                <w:kern w:val="0"/>
                <w:sz w:val="32"/>
                <w:szCs w:val="32"/>
              </w:rPr>
              <w:t>国家对严重危及生产安全的工艺、设备实行淘汰制度，具体目录由国务院应急管理部门会同国务院有关部门制定并公布。法律、行政法规对目录的制定另有规定的，适用其规定。</w:t>
            </w:r>
          </w:p>
          <w:p w14:paraId="26F2D7B8">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省、自治区、直辖市人民政府可以根据本地区实际情况制定并公布具体目录，对前款规定以外的危及生产安全的工艺、设备予以淘汰。</w:t>
            </w:r>
          </w:p>
          <w:p w14:paraId="217D3BE0">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生产经营单位不得使用应当淘汰的危及生产安全的工艺、设备。</w:t>
            </w:r>
          </w:p>
          <w:p w14:paraId="47758FB6">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《国家安全监管总局关于发布金属非金属矿山禁止使用的设备及工艺目录（第一批）的通知》</w:t>
            </w:r>
          </w:p>
          <w:p w14:paraId="534F154C">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新建、改建、扩建的金属非金属地下矿山一律禁止使用下列设备及工艺，现有生产地下矿山在用的下列设备及工艺，按照规定时限予以强制淘汰。</w:t>
            </w:r>
          </w:p>
          <w:p w14:paraId="1CFDCC3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1．非定型竖井罐笼（自发布之日起一年后禁止使用）</w:t>
            </w:r>
          </w:p>
          <w:p w14:paraId="66B3F6C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2．Φ1.2米以下（不含Φ1.2米）用于升降人员的提升绞车（自发布之日起一年后禁止使用）</w:t>
            </w:r>
          </w:p>
          <w:p w14:paraId="07AFB498">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3．KJ型矿井提升机（自发布之日起一年后禁止使用）</w:t>
            </w:r>
          </w:p>
          <w:p w14:paraId="5B8B72A4">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4．JKA型矿井提升机（自发布之日起一年后禁止使用）</w:t>
            </w:r>
          </w:p>
          <w:p w14:paraId="4481C122">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5．XKT型矿井提升机（自发布之日起一年后禁止使用）</w:t>
            </w:r>
          </w:p>
          <w:p w14:paraId="5959237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6．JTK型矿用提升绞车（自发布之日起一年半后禁止用于主提升）</w:t>
            </w:r>
          </w:p>
          <w:p w14:paraId="5571A572">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7．带式制动矿用提升绞车（自发布之日起立即禁止用于主提升）</w:t>
            </w:r>
          </w:p>
          <w:p w14:paraId="6618F362">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1BECBEAC">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国家安全监管总局关于发布金属非金属矿山禁止使用的设备及工艺目录（第二批）的通知</w:t>
            </w:r>
          </w:p>
          <w:p w14:paraId="7BD60795">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新建、改建、扩建的矿山从本目录发布之日起，一律禁止使用下列设备及工艺。现有生产矿山在用下列设备及工艺的，按照本目录规定的时限予以强制淘汰。</w:t>
            </w:r>
          </w:p>
          <w:p w14:paraId="67A70AC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28962D20">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9．TKD型提升机电控装置及使用继电器结构原理的提升机电控装置（金属非金属地下矿山自发布之日起一年后禁止使用）。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491721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6EAC5C0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7A4CD98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2729586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4320FBF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448E953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04DD79E">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《中华人民共和国安全生产法》  第九十九条</w:t>
            </w:r>
            <w:r>
              <w:rPr>
                <w:rFonts w:hint="eastAsia" w:ascii="仿宋_GB2312" w:hAnsi="仿宋_GB2312" w:eastAsia="仿宋_GB2312" w:cs="仿宋_GB2312"/>
                <w:b/>
                <w:bCs/>
                <w:color w:val="auto"/>
                <w:kern w:val="0"/>
                <w:sz w:val="32"/>
                <w:szCs w:val="32"/>
              </w:rPr>
              <w:t>第七项</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230B835">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（七）使用应当淘汰的危及生产安全的工艺、设备的；</w:t>
            </w:r>
          </w:p>
          <w:p w14:paraId="2C876619">
            <w:pPr>
              <w:adjustRightInd w:val="0"/>
              <w:snapToGrid w:val="0"/>
              <w:ind w:firstLine="640" w:firstLineChars="200"/>
              <w:rPr>
                <w:rFonts w:hint="eastAsia" w:ascii="仿宋_GB2312" w:hAnsi="仿宋_GB2312" w:eastAsia="仿宋_GB2312" w:cs="仿宋_GB2312"/>
                <w:color w:val="auto"/>
                <w:kern w:val="0"/>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89465EF">
            <w:pPr>
              <w:widowControl/>
              <w:adjustRightInd w:val="0"/>
              <w:snapToGrid w:val="0"/>
              <w:rPr>
                <w:rFonts w:hint="eastAsia" w:ascii="仿宋_GB2312" w:hAnsi="仿宋_GB2312" w:eastAsia="仿宋_GB2312" w:cs="仿宋_GB2312"/>
                <w:color w:val="auto"/>
                <w:kern w:val="0"/>
                <w:sz w:val="32"/>
                <w:szCs w:val="32"/>
              </w:rPr>
            </w:pPr>
          </w:p>
        </w:tc>
      </w:tr>
      <w:tr w14:paraId="35D7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D8135A4">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00A1EF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运输系统</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2A007D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5.1 电机车运输</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CBFFEDC">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01DBD1BE">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《金属非金属矿山安全规程》（GB16423-2006）6.3.1.1</w:t>
            </w:r>
            <w:r>
              <w:rPr>
                <w:rFonts w:hint="eastAsia" w:ascii="仿宋_GB2312" w:hAnsi="仿宋_GB2312" w:eastAsia="仿宋_GB2312" w:cs="仿宋_GB2312"/>
                <w:color w:val="auto"/>
                <w:kern w:val="0"/>
                <w:sz w:val="32"/>
                <w:szCs w:val="32"/>
              </w:rPr>
              <w:t>采用电机车运输的矿井，由井底车场或平硐口到作业地点所经平巷长度超过1500m时，应设专用人车运送人员。</w:t>
            </w:r>
          </w:p>
          <w:p w14:paraId="6F318051">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专用人车应有金属顶棚，从顶棚到车厢和车架应作好电气连接，确保通过钢轨接地。</w:t>
            </w:r>
          </w:p>
          <w:p w14:paraId="6861F15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《金属非金属矿山安全规程》（GB16423-2006）6.3.1.11</w:t>
            </w:r>
            <w:r>
              <w:rPr>
                <w:rFonts w:hint="eastAsia" w:ascii="仿宋_GB2312" w:hAnsi="仿宋_GB2312" w:eastAsia="仿宋_GB2312" w:cs="仿宋_GB2312"/>
                <w:color w:val="auto"/>
                <w:kern w:val="0"/>
                <w:sz w:val="32"/>
                <w:szCs w:val="32"/>
              </w:rPr>
              <w:t>使用电机车运输，应遵守下列规定：</w:t>
            </w:r>
          </w:p>
          <w:p w14:paraId="2976CB4E">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—有爆炸性气体的回风巷道，不应使用架线式电机车；</w:t>
            </w:r>
          </w:p>
          <w:p w14:paraId="19DFF87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—高硫和有自燃发火危险的矿井，应使用防爆型蓄电池电机车；</w:t>
            </w:r>
          </w:p>
          <w:p w14:paraId="154DF38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——每班应检查电机车的闸、灯、警铃、连接器和过电流保护装置，任何一项不正常，均不应使用；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——电机车司机不应擅离工作岗位；司机离开机车时，应切断电动机电源，拉下控制器把手，取下车钥匙，扳紧车闸将机车刹住。</w:t>
            </w:r>
          </w:p>
          <w:p w14:paraId="1963E32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《金属非金属矿山安全规程》（GB16423-2006）6.3.1.15</w:t>
            </w:r>
            <w:r>
              <w:rPr>
                <w:rFonts w:hint="eastAsia" w:ascii="仿宋_GB2312" w:hAnsi="仿宋_GB2312" w:eastAsia="仿宋_GB2312" w:cs="仿宋_GB2312"/>
                <w:color w:val="auto"/>
                <w:kern w:val="0"/>
                <w:sz w:val="32"/>
                <w:szCs w:val="32"/>
              </w:rPr>
              <w:t>电机车运输的滑触线应设分段开关，分段距离应不超过500m。每一条支线也应设分段开关。上下班时间，距井筒50m以内的滑触线应切断电源。</w:t>
            </w:r>
          </w:p>
          <w:p w14:paraId="3B46660C">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架线式电机车运输工作中断时间超过一个班时，非工作地区内的电机车线路电源应切断。修整电机车线路，应先切断电源，并将线路接地，接地点应设在工作地段的可见部位。</w:t>
            </w:r>
          </w:p>
          <w:p w14:paraId="18D123C7">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《金属非金属矿山安全规程》（GB16423-2006）6.3.1.4</w:t>
            </w:r>
            <w:r>
              <w:rPr>
                <w:rFonts w:hint="eastAsia" w:ascii="仿宋_GB2312" w:hAnsi="仿宋_GB2312" w:eastAsia="仿宋_GB2312" w:cs="仿宋_GB2312"/>
                <w:color w:val="auto"/>
                <w:kern w:val="0"/>
                <w:sz w:val="32"/>
                <w:szCs w:val="32"/>
              </w:rPr>
              <w:t>列车运输时，矿车应采用不能自行脱钩的连接装置。不能自动摘挂钩的车辆，其两端的碰头或缓冲器的伸出长度，应不小于lOOmm。</w:t>
            </w:r>
          </w:p>
          <w:p w14:paraId="512F4A3C">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停放在能自动滑行的坡道上的车辆，应用制动装置或木楔可靠地稳住。</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9ACE1D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7D80F9F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39C50EB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1F07A3F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3516E41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B62E33D">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  第九十九条第二项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06D4E4A">
            <w:pPr>
              <w:widowControl/>
              <w:shd w:val="clear" w:color="auto" w:fill="FFFFFF"/>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（二）安全设备的安装、使用、检测、改造和报废不符合国家标准或者行业标准的；</w:t>
            </w:r>
          </w:p>
          <w:p w14:paraId="4B0B0605">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3905440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4340566">
            <w:pPr>
              <w:keepNext/>
              <w:keepLines/>
              <w:widowControl/>
              <w:adjustRightInd w:val="0"/>
              <w:snapToGrid w:val="0"/>
              <w:spacing w:before="340" w:after="330"/>
              <w:rPr>
                <w:rFonts w:hint="eastAsia" w:ascii="仿宋_GB2312" w:hAnsi="仿宋_GB2312" w:eastAsia="仿宋_GB2312" w:cs="仿宋_GB2312"/>
                <w:color w:val="auto"/>
                <w:kern w:val="0"/>
                <w:sz w:val="32"/>
                <w:szCs w:val="32"/>
              </w:rPr>
            </w:pPr>
          </w:p>
        </w:tc>
      </w:tr>
      <w:tr w14:paraId="4090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574054E6">
            <w:pPr>
              <w:widowControl/>
              <w:jc w:val="left"/>
              <w:rPr>
                <w:rFonts w:hint="eastAsia" w:ascii="仿宋_GB2312" w:hAnsi="仿宋_GB2312" w:eastAsia="仿宋_GB2312" w:cs="仿宋_GB2312"/>
                <w:color w:val="auto"/>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1A8B1A09">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EDD781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5.2 带式输送机运输</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73C4C4E">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06E181C3">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《金属非金属矿山安全规程》（GB16423-2006）6.3.1.16</w:t>
            </w:r>
            <w:r>
              <w:rPr>
                <w:rFonts w:hint="eastAsia" w:ascii="仿宋_GB2312" w:hAnsi="仿宋_GB2312" w:eastAsia="仿宋_GB2312" w:cs="仿宋_GB2312"/>
                <w:color w:val="auto"/>
                <w:kern w:val="0"/>
                <w:sz w:val="32"/>
                <w:szCs w:val="32"/>
              </w:rPr>
              <w:t>使用带式输送机，应遵守下列规定：</w:t>
            </w:r>
          </w:p>
          <w:p w14:paraId="0F5D04F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——带式输送机运输物料的最大坡度，向上(块矿)应不大于15°，向下应不大于12°；带式输送机最高点与顶板的距离，应不小于0.6m；物料的最大外形尺寸应不大于350mm；</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——人员不得搭乘非载人带式输送机；</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——不应用带式输送机运送过长的材料和设备；</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——输送带的最小宽度，应不小于物料最大尺寸的2倍加200mm；</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——带式输送机胶带的安全系数，按静荷载计算应不小于8，按启动和制动时的动荷载计算应不小于3；钢绳芯带式输送机的静荷载安全系数应不小于5～8；</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——钢绳芯带式输送机的滚筒直径，应不小于钢绳芯直径的150倍，不小于钢丝直径的1000倍，且最小直径应不小于400mm；</w:t>
            </w:r>
          </w:p>
          <w:p w14:paraId="0D00C0B4">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——装料点和卸料点，应设空仓、满仓等保护装置，并有声光信号及与输送机联锁；</w:t>
            </w:r>
          </w:p>
          <w:p w14:paraId="113291B3">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带式输送机应设有防胶带撕裂、断带、跑偏等保护装置，并有可靠的制动、胶带清扫以及防止过速、过载、打滑、大块冲击等保护装置；线路上应有信号、电气联锁和停车装置；上行的带式输送机，应设防逆转装置；</w:t>
            </w:r>
          </w:p>
          <w:p w14:paraId="6DA9FDCB">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——在倾斜巷道中采用带式输送机运输，输送机的一侧应平行敷设一条检修道，需要利用检修道作辅助提升时，带式输送机最突出部分与提升容器的间距应不小于300mm，且辅助提升速度不应超过1.5m/s。</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D2BCCA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198A520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2EBE62D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3126403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03919E3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3CB781A">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  第九十九条第二项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0D66661">
            <w:pPr>
              <w:widowControl/>
              <w:shd w:val="clear" w:color="auto" w:fill="FFFFFF"/>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（二）安全设备的安装、使用、检测、改造和报废不符合国家标准或者行业标准的；</w:t>
            </w:r>
          </w:p>
          <w:p w14:paraId="026C3BB2">
            <w:pPr>
              <w:adjustRightInd w:val="0"/>
              <w:snapToGrid w:val="0"/>
              <w:ind w:firstLine="321"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54594115">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AF3DF49">
            <w:pPr>
              <w:widowControl/>
              <w:adjustRightInd w:val="0"/>
              <w:snapToGrid w:val="0"/>
              <w:rPr>
                <w:rFonts w:hint="eastAsia" w:ascii="仿宋_GB2312" w:hAnsi="仿宋_GB2312" w:eastAsia="仿宋_GB2312" w:cs="仿宋_GB2312"/>
                <w:color w:val="auto"/>
                <w:kern w:val="0"/>
                <w:sz w:val="32"/>
                <w:szCs w:val="32"/>
              </w:rPr>
            </w:pPr>
          </w:p>
        </w:tc>
      </w:tr>
      <w:tr w14:paraId="3CEC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2CB8A2B">
            <w:pPr>
              <w:widowControl/>
              <w:jc w:val="left"/>
              <w:rPr>
                <w:rFonts w:hint="eastAsia" w:ascii="仿宋_GB2312" w:hAnsi="仿宋_GB2312" w:eastAsia="仿宋_GB2312" w:cs="仿宋_GB2312"/>
                <w:color w:val="auto"/>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13A256D6">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742ACD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5.3 无轨运输设备运输</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F30D7DF">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65FCE1D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《金属非金属矿山安全规程》（GB16423-2006）6.3.1.17</w:t>
            </w:r>
            <w:r>
              <w:rPr>
                <w:rFonts w:hint="eastAsia" w:ascii="仿宋_GB2312" w:hAnsi="仿宋_GB2312" w:eastAsia="仿宋_GB2312" w:cs="仿宋_GB2312"/>
                <w:color w:val="auto"/>
                <w:kern w:val="0"/>
                <w:sz w:val="32"/>
                <w:szCs w:val="32"/>
              </w:rPr>
              <w:t>井下使用无轨运输设备，应遵守下列规定：</w:t>
            </w:r>
          </w:p>
          <w:p w14:paraId="44C82575">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 内燃设备，应使用低污染的柴油发动机，每台设备应有废气净化装置，净化后的废气中有害物质的浓度应符合GBZl、GBZ2的有关规定；</w:t>
            </w:r>
          </w:p>
          <w:p w14:paraId="21088993">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——运输设备应定期进行维护保养；</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——采用汽车运输时，汽车顶部至巷道顶板的距离应不小于0.6m；</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——斜坡道长度每隔300～400m，应设坡度不大于3％、长度不小于20m并能满足错车要求的缓坡段；主要斜坡道应有良好的混凝土、沥青或级配均匀的碎石路面；</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——不应熄火下滑；</w:t>
            </w:r>
          </w:p>
          <w:p w14:paraId="6FC8791C">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——在斜坡上停车时，应采取可靠的挡车措施；</w:t>
            </w:r>
          </w:p>
          <w:p w14:paraId="36A94162">
            <w:pPr>
              <w:adjustRightInd w:val="0"/>
              <w:snapToGrid w:val="0"/>
              <w:ind w:firstLine="640" w:firstLineChars="200"/>
              <w:rPr>
                <w:rFonts w:hint="eastAsia" w:ascii="仿宋_GB2312" w:hAnsi="仿宋_GB2312" w:eastAsia="仿宋_GB2312" w:cs="仿宋_GB2312"/>
                <w:color w:val="auto"/>
                <w:kern w:val="0"/>
                <w:sz w:val="32"/>
                <w:szCs w:val="32"/>
              </w:rPr>
            </w:pPr>
          </w:p>
          <w:p w14:paraId="065875BB">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——每台设备应配备灭火装置。</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6A3772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0FC37E6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415663E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7AF824D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070B87F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DD64188">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  第九十九条第二项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0E1363BF">
            <w:pPr>
              <w:widowControl/>
              <w:shd w:val="clear" w:color="auto" w:fill="FFFFFF"/>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（二）安全设备的安装、使用、检测、改造和报废不符合国家标准或者行业标准的；</w:t>
            </w:r>
          </w:p>
          <w:p w14:paraId="555CDABA">
            <w:pPr>
              <w:adjustRightInd w:val="0"/>
              <w:snapToGrid w:val="0"/>
              <w:ind w:firstLine="321"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6F77BC02">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FAB4591">
            <w:pPr>
              <w:widowControl/>
              <w:adjustRightInd w:val="0"/>
              <w:snapToGrid w:val="0"/>
              <w:rPr>
                <w:rFonts w:hint="eastAsia" w:ascii="仿宋_GB2312" w:hAnsi="仿宋_GB2312" w:eastAsia="仿宋_GB2312" w:cs="仿宋_GB2312"/>
                <w:color w:val="auto"/>
                <w:kern w:val="0"/>
                <w:sz w:val="32"/>
                <w:szCs w:val="32"/>
              </w:rPr>
            </w:pPr>
          </w:p>
        </w:tc>
      </w:tr>
      <w:tr w14:paraId="4C4A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482E1DC">
            <w:pPr>
              <w:widowControl/>
              <w:jc w:val="left"/>
              <w:rPr>
                <w:rFonts w:hint="eastAsia" w:ascii="仿宋_GB2312" w:hAnsi="仿宋_GB2312" w:eastAsia="仿宋_GB2312" w:cs="仿宋_GB2312"/>
                <w:color w:val="auto"/>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7C9221FC">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277215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5.4 斜井专用人车运输</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8EDB41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0D6ABFA8">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《金属非金属矿山安全规程》（GB16423-2006）6.3.2.2</w:t>
            </w:r>
            <w:r>
              <w:rPr>
                <w:rFonts w:hint="eastAsia" w:ascii="仿宋_GB2312" w:hAnsi="仿宋_GB2312" w:eastAsia="仿宋_GB2312" w:cs="仿宋_GB2312"/>
                <w:color w:val="auto"/>
                <w:kern w:val="0"/>
                <w:sz w:val="32"/>
                <w:szCs w:val="32"/>
              </w:rPr>
              <w:t>专用人车应有顶棚，并装有可靠的断绳保险器。列车每节车厢的断绳保险器应相互连结，并能在断绳时起作用。断绳保险器应既能自动，也能手动。</w:t>
            </w:r>
          </w:p>
          <w:p w14:paraId="00493074">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运送人员的列车，应有随车安全员。随车安全员应坐在装有断绳保险器操纵杆的第一节车内。</w:t>
            </w:r>
          </w:p>
          <w:p w14:paraId="47C2F5F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运送人员的专用列车的各节车厢之间，除连接装置外，还应附挂保险链。连接装置和保险链，应经常检查，定期更换。</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DFFFA6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76CB0EA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69E215C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3FFF6B8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52A118F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BF7F45E">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  第九十九条第二项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1A66ECF">
            <w:pPr>
              <w:widowControl/>
              <w:shd w:val="clear" w:color="auto" w:fill="FFFFFF"/>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（二）安全设备的安装、使用、检测、改造和报废不符合国家标准或者行业标准的；</w:t>
            </w:r>
          </w:p>
          <w:p w14:paraId="3D3453CB">
            <w:pPr>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4844C948">
            <w:pPr>
              <w:numPr>
                <w:ilvl w:val="0"/>
                <w:numId w:val="6"/>
              </w:numPr>
              <w:adjustRightInd w:val="0"/>
              <w:snapToGrid w:val="0"/>
              <w:ind w:left="420" w:left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违法操作规程或者安全管理规定作</w:t>
            </w:r>
          </w:p>
          <w:p w14:paraId="5D423867">
            <w:p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C629F52">
            <w:pPr>
              <w:widowControl/>
              <w:adjustRightInd w:val="0"/>
              <w:snapToGrid w:val="0"/>
              <w:rPr>
                <w:rFonts w:hint="eastAsia" w:ascii="仿宋_GB2312" w:hAnsi="仿宋_GB2312" w:eastAsia="仿宋_GB2312" w:cs="仿宋_GB2312"/>
                <w:color w:val="auto"/>
                <w:kern w:val="0"/>
                <w:sz w:val="32"/>
                <w:szCs w:val="32"/>
              </w:rPr>
            </w:pPr>
          </w:p>
        </w:tc>
      </w:tr>
      <w:tr w14:paraId="5C60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1E21A876">
            <w:pPr>
              <w:widowControl/>
              <w:jc w:val="left"/>
              <w:rPr>
                <w:rFonts w:hint="eastAsia" w:ascii="仿宋_GB2312" w:hAnsi="仿宋_GB2312" w:eastAsia="仿宋_GB2312" w:cs="仿宋_GB2312"/>
                <w:color w:val="auto"/>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3C81A7F5">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318625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5.5 禁止使用专门用于运输人员、炸药、油料的无轨胶轮车使用干式制动器</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28F8A6B">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第三十八条</w:t>
            </w:r>
            <w:r>
              <w:rPr>
                <w:rFonts w:hint="eastAsia" w:ascii="仿宋_GB2312" w:hAnsi="仿宋_GB2312" w:eastAsia="仿宋_GB2312" w:cs="仿宋_GB2312"/>
                <w:bCs/>
                <w:snapToGrid w:val="0"/>
                <w:color w:val="auto"/>
                <w:kern w:val="0"/>
                <w:sz w:val="32"/>
                <w:szCs w:val="32"/>
              </w:rPr>
              <w:t>国家对严重危及生产安全的工艺、设备实行淘汰制度，具体目录由国务院应急管理部门会同国务院有关部门制定并公布。法律、行政法规对目录的制定另有规定的，适用其规定。</w:t>
            </w:r>
          </w:p>
          <w:p w14:paraId="57E52813">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省、自治区、直辖市人民政府可以根据本地区实际情况制定并公布具体目录，对前款规定以外的危及生产安全的工艺、设备予以淘汰。</w:t>
            </w:r>
          </w:p>
          <w:p w14:paraId="12C74BE6">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生产经营单位不得使用应当淘汰的危及生产安全的工艺、设备。</w:t>
            </w:r>
          </w:p>
          <w:p w14:paraId="1BF9A09F">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《国家安全监管总局关于发布金属非金属矿山禁止使用的设备及工艺目录（第二批）的通知》</w:t>
            </w:r>
          </w:p>
          <w:p w14:paraId="362A4721">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新建、改建、扩建的矿山从本目录发布之日起，一律禁止使用下列设备及工艺。现有生产矿山在用下列设备及工艺的，按照本目录规定的时限予以强制淘汰。</w:t>
            </w:r>
          </w:p>
          <w:p w14:paraId="63D4E507">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769D5EDF">
            <w:pPr>
              <w:numPr>
                <w:ilvl w:val="0"/>
                <w:numId w:val="7"/>
              </w:num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专门用于运输人员、炸药、油料的无轨胶轮车使用的干式制动器（金属非金属地下矿山自发布之日起一年后禁止使用）；</w:t>
            </w:r>
          </w:p>
          <w:p w14:paraId="1566B0DD">
            <w:p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1BB0BA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06EBCD0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6997182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1A7354E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03118DD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ED33F7E">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《中华人民共和国安全生产法》  第九十九条</w:t>
            </w:r>
            <w:r>
              <w:rPr>
                <w:rFonts w:hint="eastAsia" w:ascii="仿宋_GB2312" w:hAnsi="仿宋_GB2312" w:eastAsia="仿宋_GB2312" w:cs="仿宋_GB2312"/>
                <w:b/>
                <w:bCs/>
                <w:color w:val="auto"/>
                <w:kern w:val="0"/>
                <w:sz w:val="32"/>
                <w:szCs w:val="32"/>
              </w:rPr>
              <w:t>第七项</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47F1EBF">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（七）使用应当淘汰的危及生产安全的工艺、设备的；</w:t>
            </w:r>
          </w:p>
          <w:p w14:paraId="3B11BBA8">
            <w:pPr>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306AFEFB">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1A84B89">
            <w:pPr>
              <w:widowControl/>
              <w:adjustRightInd w:val="0"/>
              <w:snapToGrid w:val="0"/>
              <w:rPr>
                <w:rFonts w:hint="eastAsia" w:ascii="仿宋_GB2312" w:hAnsi="仿宋_GB2312" w:eastAsia="仿宋_GB2312" w:cs="仿宋_GB2312"/>
                <w:color w:val="auto"/>
                <w:kern w:val="0"/>
                <w:sz w:val="32"/>
                <w:szCs w:val="32"/>
              </w:rPr>
            </w:pPr>
          </w:p>
        </w:tc>
      </w:tr>
      <w:tr w14:paraId="37BE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F4E0D9D">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A7C58D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通风系统</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F186D7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6.1 机械通风系统</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2A68CC8">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077F108E">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《金属非金属矿山安全规程》（GB16423-2006）6.4.2.1第一款</w:t>
            </w:r>
            <w:r>
              <w:rPr>
                <w:rFonts w:hint="eastAsia" w:ascii="仿宋_GB2312" w:hAnsi="仿宋_GB2312" w:eastAsia="仿宋_GB2312" w:cs="仿宋_GB2312"/>
                <w:color w:val="auto"/>
                <w:kern w:val="0"/>
                <w:sz w:val="32"/>
                <w:szCs w:val="32"/>
              </w:rPr>
              <w:t>矿井应建立机械通风系统。对于自然风压较大的矿井，当风量、风速和作业场所空气质量能够达到6.4.1的规定时，允许暂时用自然通风替代机械通风。</w:t>
            </w:r>
          </w:p>
          <w:p w14:paraId="6260972D">
            <w:pPr>
              <w:adjustRightInd w:val="0"/>
              <w:snapToGrid w:val="0"/>
              <w:ind w:firstLine="361"/>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《国家安全监管总局关于印发〈金属非金属矿山重大生产安全事故隐患判定标准（试行）〉的通知》（安监总管一〔2017〕98号）</w:t>
            </w:r>
          </w:p>
          <w:p w14:paraId="2F26F176">
            <w:pPr>
              <w:adjustRightInd w:val="0"/>
              <w:snapToGrid w:val="0"/>
              <w:ind w:firstLine="361"/>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w:t>
            </w:r>
          </w:p>
          <w:p w14:paraId="4A666363">
            <w:pPr>
              <w:adjustRightInd w:val="0"/>
              <w:snapToGrid w:val="0"/>
              <w:ind w:firstLine="36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（二十）矿井未按照设计要求建立机械通风系统，或风速、风量、风质不符合国家标准或行业标准的要求。</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2F6599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4271E73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3689686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0E50D72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4919B8B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77067DF">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72F0F3EA">
            <w:pPr>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020094F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582D58A8">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6E2DFF9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DD3991F">
            <w:pPr>
              <w:widowControl/>
              <w:adjustRightInd w:val="0"/>
              <w:snapToGrid w:val="0"/>
              <w:rPr>
                <w:rFonts w:hint="eastAsia" w:ascii="仿宋_GB2312" w:hAnsi="仿宋_GB2312" w:eastAsia="仿宋_GB2312" w:cs="仿宋_GB2312"/>
                <w:color w:val="auto"/>
                <w:kern w:val="0"/>
                <w:sz w:val="32"/>
                <w:szCs w:val="32"/>
              </w:rPr>
            </w:pPr>
          </w:p>
        </w:tc>
      </w:tr>
      <w:tr w14:paraId="12A6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26C2A053">
            <w:pPr>
              <w:widowControl/>
              <w:jc w:val="left"/>
              <w:rPr>
                <w:rFonts w:hint="eastAsia" w:ascii="仿宋_GB2312" w:hAnsi="仿宋_GB2312" w:eastAsia="仿宋_GB2312" w:cs="仿宋_GB2312"/>
                <w:color w:val="auto"/>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32915A28">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5BD662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6.2 主通风机及运行</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3E1D1ED">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389AE4E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《金属非金属矿山安全规程》（GB16423-2006）6.4.3.1</w:t>
            </w:r>
            <w:r>
              <w:rPr>
                <w:rFonts w:hint="eastAsia" w:ascii="仿宋_GB2312" w:hAnsi="仿宋_GB2312" w:eastAsia="仿宋_GB2312" w:cs="仿宋_GB2312"/>
                <w:color w:val="auto"/>
                <w:kern w:val="0"/>
                <w:sz w:val="32"/>
                <w:szCs w:val="32"/>
              </w:rPr>
              <w:t>正常生产情况下，主扇应连续运转。当井下无污染作业时，主扇可适当减少风量运转；当井下完全无人作业时，允许暂时停止机械通风。当主扇发生故障或需要停机检查时，应立即向调度室和主管矿长报告，并通知所有井下作业人员。</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AA269A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5CD8519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13055DE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7235901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1586843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952A58C">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  第九十九条第二项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DF941E3">
            <w:pPr>
              <w:adjustRightInd w:val="0"/>
              <w:snapToGrid w:val="0"/>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（二）安全设备的安装、使用、检测、改造和报废不符合国家标准或者行业标准的；</w:t>
            </w:r>
          </w:p>
          <w:p w14:paraId="1513DA00">
            <w:pPr>
              <w:adjustRightInd w:val="0"/>
              <w:snapToGrid w:val="0"/>
              <w:ind w:firstLine="321"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29883E01">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90546B9">
            <w:pPr>
              <w:widowControl/>
              <w:adjustRightInd w:val="0"/>
              <w:snapToGrid w:val="0"/>
              <w:rPr>
                <w:rFonts w:hint="eastAsia" w:ascii="仿宋_GB2312" w:hAnsi="仿宋_GB2312" w:eastAsia="仿宋_GB2312" w:cs="仿宋_GB2312"/>
                <w:color w:val="auto"/>
                <w:kern w:val="0"/>
                <w:sz w:val="32"/>
                <w:szCs w:val="32"/>
              </w:rPr>
            </w:pPr>
          </w:p>
        </w:tc>
      </w:tr>
      <w:tr w14:paraId="2DD9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19E75E26">
            <w:pPr>
              <w:widowControl/>
              <w:jc w:val="left"/>
              <w:rPr>
                <w:rFonts w:hint="eastAsia" w:ascii="仿宋_GB2312" w:hAnsi="仿宋_GB2312" w:eastAsia="仿宋_GB2312" w:cs="仿宋_GB2312"/>
                <w:color w:val="auto"/>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1915508E">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467F20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6.3 局部通风设备</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4D7BD1B">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3A01F75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《金属非金属矿山安全规程》（GB16423-2006）6.4.4.1</w:t>
            </w:r>
            <w:r>
              <w:rPr>
                <w:rFonts w:hint="eastAsia" w:ascii="仿宋_GB2312" w:hAnsi="仿宋_GB2312" w:eastAsia="仿宋_GB2312" w:cs="仿宋_GB2312"/>
                <w:color w:val="auto"/>
                <w:kern w:val="0"/>
                <w:sz w:val="32"/>
                <w:szCs w:val="32"/>
              </w:rPr>
              <w:t>掘进工作面和通风不良的采场，应安装局部通风设备。局扇应有完善的保护装置。</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EE2546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4E3A9DE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6F43F1D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04928AF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0EDC009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20FC39F">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  第九十九条第二项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661203F">
            <w:pPr>
              <w:adjustRightInd w:val="0"/>
              <w:snapToGri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（二）安全设备的安装、使用、检测、改造和报废不符合国家标准或者行业标准的；</w:t>
            </w:r>
          </w:p>
          <w:p w14:paraId="5EC472E1">
            <w:pPr>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5D85F9F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2086B40">
            <w:pPr>
              <w:widowControl/>
              <w:adjustRightInd w:val="0"/>
              <w:snapToGrid w:val="0"/>
              <w:rPr>
                <w:rFonts w:hint="eastAsia" w:ascii="仿宋_GB2312" w:hAnsi="仿宋_GB2312" w:eastAsia="仿宋_GB2312" w:cs="仿宋_GB2312"/>
                <w:color w:val="auto"/>
                <w:kern w:val="0"/>
                <w:sz w:val="32"/>
                <w:szCs w:val="32"/>
              </w:rPr>
            </w:pPr>
          </w:p>
        </w:tc>
      </w:tr>
      <w:tr w14:paraId="54A2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3E24CEC1">
            <w:pPr>
              <w:widowControl/>
              <w:jc w:val="left"/>
              <w:rPr>
                <w:rFonts w:hint="eastAsia" w:ascii="仿宋_GB2312" w:hAnsi="仿宋_GB2312" w:eastAsia="仿宋_GB2312" w:cs="仿宋_GB2312"/>
                <w:color w:val="auto"/>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16D7A824">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3489D6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6.4 主通风机房的监控仪表设置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5044A8A">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5304EEAE">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《金属非金属矿山安全规程》（GB16423-2006）6.4.3.4</w:t>
            </w:r>
            <w:r>
              <w:rPr>
                <w:rFonts w:hint="eastAsia" w:ascii="仿宋_GB2312" w:hAnsi="仿宋_GB2312" w:eastAsia="仿宋_GB2312" w:cs="仿宋_GB2312"/>
                <w:color w:val="auto"/>
                <w:kern w:val="0"/>
                <w:sz w:val="32"/>
                <w:szCs w:val="32"/>
              </w:rPr>
              <w:t>主扇风机房，应设有测量风压、风量、电流、电压和轴承温度等的仪表。每班都应对扇风机运转情况进行检查，并填写运转记录。有自动监控及测试的主扇，每两周应进行一次自控系统的检查。</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CE3910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6FAEE16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6BE3ACD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6D017BB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1F04962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5872DD5">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  第九十九条第二项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048B5229">
            <w:pPr>
              <w:adjustRightInd w:val="0"/>
              <w:snapToGrid w:val="0"/>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（二）安全设备的安装、使用、检测、改造和报废不符合国家标准或者行业标准的；</w:t>
            </w:r>
          </w:p>
          <w:p w14:paraId="1D9A6FB5">
            <w:pPr>
              <w:adjustRightInd w:val="0"/>
              <w:snapToGrid w:val="0"/>
              <w:ind w:firstLine="321"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18E44C2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744BA40">
            <w:pPr>
              <w:widowControl/>
              <w:adjustRightInd w:val="0"/>
              <w:snapToGrid w:val="0"/>
              <w:rPr>
                <w:rFonts w:hint="eastAsia" w:ascii="仿宋_GB2312" w:hAnsi="仿宋_GB2312" w:eastAsia="仿宋_GB2312" w:cs="仿宋_GB2312"/>
                <w:color w:val="auto"/>
                <w:kern w:val="0"/>
                <w:sz w:val="32"/>
                <w:szCs w:val="32"/>
              </w:rPr>
            </w:pPr>
          </w:p>
        </w:tc>
      </w:tr>
      <w:tr w14:paraId="2414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688E1718">
            <w:pPr>
              <w:widowControl/>
              <w:jc w:val="left"/>
              <w:rPr>
                <w:rFonts w:hint="eastAsia" w:ascii="仿宋_GB2312" w:hAnsi="仿宋_GB2312" w:eastAsia="仿宋_GB2312" w:cs="仿宋_GB2312"/>
                <w:color w:val="auto"/>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35C608B1">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9A326A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6.5 便携式气体检测报警仪和自救器配备</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B0BD294">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24220464">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《金属非金属地下矿山监测监控系统建设规范》（AQ2031-2011）5.1</w:t>
            </w:r>
            <w:r>
              <w:rPr>
                <w:rFonts w:hint="eastAsia" w:ascii="仿宋_GB2312" w:hAnsi="仿宋_GB2312" w:eastAsia="仿宋_GB2312" w:cs="仿宋_GB2312"/>
                <w:color w:val="auto"/>
                <w:kern w:val="0"/>
                <w:sz w:val="32"/>
                <w:szCs w:val="32"/>
              </w:rPr>
              <w:t>地下矿山应配置足够的便携式气体检测报警仪。便携式气体检测报警仪应能测量一氧化碳、氧气、二氧化氮浓度，并具有报警参数设置和声光报警功能。</w:t>
            </w:r>
          </w:p>
          <w:p w14:paraId="14B49D7F">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《金属非金属地下矿山紧急避险系统建设规范》（AQ2033-2011）4.4</w:t>
            </w:r>
            <w:r>
              <w:rPr>
                <w:rFonts w:hint="eastAsia" w:ascii="仿宋_GB2312" w:hAnsi="仿宋_GB2312" w:eastAsia="仿宋_GB2312" w:cs="仿宋_GB2312"/>
                <w:color w:val="auto"/>
                <w:kern w:val="0"/>
                <w:sz w:val="32"/>
                <w:szCs w:val="32"/>
              </w:rPr>
              <w:t>应为入井人员配备额定防护时间不少于30min的自救器，并按入井总人数的10%配备备用自救器。5.1  地下矿山应配置足够的便携式气体检测报警仪。便携式气体检测报警仪应能测量一氧化碳、氧气、二氧化氮浓度，并具有报警参数设置和声光报警功能。</w:t>
            </w:r>
          </w:p>
          <w:p w14:paraId="603BDB21">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《国家安全监管总局关于印发〈金属非金属矿山重大生产安全事故隐患判定标准（试行）〉的通知》(安监总管一〔2017〕98号)</w:t>
            </w:r>
          </w:p>
          <w:p w14:paraId="4CC45070">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w:t>
            </w:r>
          </w:p>
          <w:p w14:paraId="7ABB5CE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（二十一）未配齐具有矿用产品安全标志的便携式气体检测报警仪和自救器。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0F8D53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1BD5438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19DB6DF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6DFFBD5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4945465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6D3034B">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  第九十九条第二项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7FF06E9">
            <w:pPr>
              <w:adjustRightInd w:val="0"/>
              <w:snapToGrid w:val="0"/>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（二）安全设备的安装、使用、检测、改造和报废不符合国家标准或者行业标准的；</w:t>
            </w:r>
          </w:p>
          <w:p w14:paraId="3951D01B">
            <w:pPr>
              <w:adjustRightInd w:val="0"/>
              <w:snapToGrid w:val="0"/>
              <w:ind w:firstLine="321"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145BB24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27D6E9CB">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58F8A413">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5310BE8">
            <w:pPr>
              <w:widowControl/>
              <w:adjustRightInd w:val="0"/>
              <w:snapToGrid w:val="0"/>
              <w:rPr>
                <w:rFonts w:hint="eastAsia" w:ascii="仿宋_GB2312" w:hAnsi="仿宋_GB2312" w:eastAsia="仿宋_GB2312" w:cs="仿宋_GB2312"/>
                <w:color w:val="auto"/>
                <w:kern w:val="0"/>
                <w:sz w:val="32"/>
                <w:szCs w:val="32"/>
              </w:rPr>
            </w:pPr>
          </w:p>
        </w:tc>
      </w:tr>
      <w:tr w14:paraId="53672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7995FE0B">
            <w:pPr>
              <w:widowControl/>
              <w:jc w:val="left"/>
              <w:rPr>
                <w:rFonts w:hint="eastAsia" w:ascii="仿宋_GB2312" w:hAnsi="仿宋_GB2312" w:eastAsia="仿宋_GB2312" w:cs="仿宋_GB2312"/>
                <w:color w:val="auto"/>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48AEDA2D">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325C06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6.6 禁止适用ZH15隔绝式化学氧自救器和一氧化碳过滤式自救器</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88AD3E2">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第三十八条</w:t>
            </w:r>
            <w:r>
              <w:rPr>
                <w:rFonts w:hint="eastAsia" w:ascii="仿宋_GB2312" w:hAnsi="仿宋_GB2312" w:eastAsia="仿宋_GB2312" w:cs="仿宋_GB2312"/>
                <w:bCs/>
                <w:snapToGrid w:val="0"/>
                <w:color w:val="auto"/>
                <w:kern w:val="0"/>
                <w:sz w:val="32"/>
                <w:szCs w:val="32"/>
              </w:rPr>
              <w:t>国家对严重危及生产安全的工艺、设备实行淘汰制度，具体目录由国务院应急管理部门会同国务院有关部门制定并公布。法律、行政法规对目录的制定另有规定的，适用其规定。</w:t>
            </w:r>
          </w:p>
          <w:p w14:paraId="24D96855">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省、自治区、直辖市人民政府可以根据本地区实际情况制定并公布具体目录，对前款规定以外的危及生产安全的工艺、设备予以淘汰。</w:t>
            </w:r>
          </w:p>
          <w:p w14:paraId="6443BEF6">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生产经营单位不得使用应当淘汰的危及生产安全的工艺、设备。</w:t>
            </w:r>
          </w:p>
          <w:p w14:paraId="155599BD">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《国家安全监管总局关于发布金属非金属矿山禁止使用的设备及工艺目录（第一批）的通知》</w:t>
            </w:r>
          </w:p>
          <w:p w14:paraId="3E9CD41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新建、改建、扩建的金属非金属地下矿山一律禁止使用下列设备及工艺，现有生产地下矿山在用的下列设备及工艺，按照规定时限予以强制淘汰。</w:t>
            </w:r>
          </w:p>
          <w:p w14:paraId="3EDFD80B">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33F6E348">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16．ZH15隔绝式化学氧自救器(自发布之日起立即禁止使用)</w:t>
            </w:r>
          </w:p>
          <w:p w14:paraId="4EEDC6D0">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17．一氧化碳过滤式自救器(自发布之日起半年后禁止使用)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CF4F94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4DAAD39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600ABB1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（3</w:t>
            </w:r>
            <w:r>
              <w:rPr>
                <w:rFonts w:hint="eastAsia" w:ascii="仿宋_GB2312" w:hAnsi="仿宋_GB2312" w:eastAsia="仿宋_GB2312" w:cs="仿宋_GB2312"/>
                <w:bCs/>
                <w:snapToGrid w:val="0"/>
                <w:color w:val="auto"/>
                <w:kern w:val="0"/>
                <w:sz w:val="32"/>
                <w:szCs w:val="32"/>
              </w:rPr>
              <w:t>）《现场检查记录》《责令限期整改指令书》《询问通知书》《询问笔录》等相关执法文书；</w:t>
            </w:r>
          </w:p>
          <w:p w14:paraId="035FAA3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66028BB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02A29D6">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《中华人民共和国安全生产法》  第九十九条</w:t>
            </w:r>
            <w:r>
              <w:rPr>
                <w:rFonts w:hint="eastAsia" w:ascii="仿宋_GB2312" w:hAnsi="仿宋_GB2312" w:eastAsia="仿宋_GB2312" w:cs="仿宋_GB2312"/>
                <w:b/>
                <w:bCs/>
                <w:color w:val="auto"/>
                <w:kern w:val="0"/>
                <w:sz w:val="32"/>
                <w:szCs w:val="32"/>
              </w:rPr>
              <w:t>第七项</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E327F2C">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（七）使用应当淘汰的危及生产安全的工艺、设备的；</w:t>
            </w:r>
          </w:p>
          <w:p w14:paraId="5B4C9DF0">
            <w:pPr>
              <w:adjustRightInd w:val="0"/>
              <w:snapToGrid w:val="0"/>
              <w:ind w:firstLine="640" w:firstLineChars="200"/>
              <w:rPr>
                <w:rFonts w:hint="eastAsia" w:ascii="仿宋_GB2312" w:hAnsi="仿宋_GB2312" w:eastAsia="仿宋_GB2312" w:cs="仿宋_GB2312"/>
                <w:color w:val="auto"/>
                <w:kern w:val="0"/>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88F7F4C">
            <w:pPr>
              <w:widowControl/>
              <w:adjustRightInd w:val="0"/>
              <w:snapToGrid w:val="0"/>
              <w:rPr>
                <w:rFonts w:hint="eastAsia" w:ascii="仿宋_GB2312" w:hAnsi="仿宋_GB2312" w:eastAsia="仿宋_GB2312" w:cs="仿宋_GB2312"/>
                <w:color w:val="auto"/>
                <w:kern w:val="0"/>
                <w:sz w:val="32"/>
                <w:szCs w:val="32"/>
              </w:rPr>
            </w:pPr>
          </w:p>
        </w:tc>
      </w:tr>
      <w:tr w14:paraId="4BA6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74D095BE">
            <w:pPr>
              <w:widowControl/>
              <w:jc w:val="left"/>
              <w:rPr>
                <w:rFonts w:hint="eastAsia" w:ascii="仿宋_GB2312" w:hAnsi="仿宋_GB2312" w:eastAsia="仿宋_GB2312" w:cs="仿宋_GB2312"/>
                <w:color w:val="auto"/>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3D9C62B4">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A7468A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6.7 禁止使用非矿用局部通风机</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24F8598">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第三十八条</w:t>
            </w:r>
            <w:r>
              <w:rPr>
                <w:rFonts w:hint="eastAsia" w:ascii="仿宋_GB2312" w:hAnsi="仿宋_GB2312" w:eastAsia="仿宋_GB2312" w:cs="仿宋_GB2312"/>
                <w:bCs/>
                <w:snapToGrid w:val="0"/>
                <w:color w:val="auto"/>
                <w:kern w:val="0"/>
                <w:sz w:val="32"/>
                <w:szCs w:val="32"/>
              </w:rPr>
              <w:t>国家对严重危及生产安全的工艺、设备实行淘汰制度，具体目录由国务院应急管理部门会同国务院有关部门制定并公布。法律、行政法规对目录的制定另有规定的，适用其规定。</w:t>
            </w:r>
          </w:p>
          <w:p w14:paraId="40761378">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省、自治区、直辖市人民政府可以根据本地区实际情况制定并公布具体目录，对前款规定以外的危及生产安全的工艺、设备予以淘汰。</w:t>
            </w:r>
          </w:p>
          <w:p w14:paraId="355A5435">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生产经营单位不得使用应当淘汰的危及生产安全的工艺、设备。</w:t>
            </w:r>
          </w:p>
          <w:p w14:paraId="4BAEDC53">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《国家安全监管总局关于发布金属非金属矿山禁止使用的设备及工艺目录（第一批）的通知》</w:t>
            </w:r>
          </w:p>
          <w:p w14:paraId="4A9A692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新建、改建、扩建的金属非金属地下矿山一律禁止使用下列设备及工艺，现有生产地下矿山在用的下列设备及工艺，按照规定时限予以强制淘汰。</w:t>
            </w:r>
          </w:p>
          <w:p w14:paraId="2196C761">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5E87B97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13．非矿用局部通风机(自发布之日起半年后禁止使用)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64D6FA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2D9A20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72DA23A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048153A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7113D9A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DD60A8C">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《中华人民共和国安全生产法》  第九十九条</w:t>
            </w:r>
            <w:r>
              <w:rPr>
                <w:rFonts w:hint="eastAsia" w:ascii="仿宋_GB2312" w:hAnsi="仿宋_GB2312" w:eastAsia="仿宋_GB2312" w:cs="仿宋_GB2312"/>
                <w:b/>
                <w:bCs/>
                <w:color w:val="auto"/>
                <w:kern w:val="0"/>
                <w:sz w:val="32"/>
                <w:szCs w:val="32"/>
              </w:rPr>
              <w:t>第七项</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E38FF34">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（七）使用应当淘汰的危及生产安全的工艺、设备的；</w:t>
            </w:r>
          </w:p>
          <w:p w14:paraId="51C1B8FE">
            <w:pPr>
              <w:adjustRightInd w:val="0"/>
              <w:snapToGrid w:val="0"/>
              <w:ind w:firstLine="640" w:firstLineChars="200"/>
              <w:rPr>
                <w:rFonts w:hint="eastAsia" w:ascii="仿宋_GB2312" w:hAnsi="仿宋_GB2312" w:eastAsia="仿宋_GB2312" w:cs="仿宋_GB2312"/>
                <w:color w:val="auto"/>
                <w:kern w:val="0"/>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3F6ACA7">
            <w:pPr>
              <w:widowControl/>
              <w:adjustRightInd w:val="0"/>
              <w:snapToGrid w:val="0"/>
              <w:rPr>
                <w:rFonts w:hint="eastAsia" w:ascii="仿宋_GB2312" w:hAnsi="仿宋_GB2312" w:eastAsia="仿宋_GB2312" w:cs="仿宋_GB2312"/>
                <w:color w:val="auto"/>
                <w:kern w:val="0"/>
                <w:sz w:val="32"/>
                <w:szCs w:val="32"/>
              </w:rPr>
            </w:pPr>
          </w:p>
        </w:tc>
      </w:tr>
      <w:tr w14:paraId="1E9D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9138766">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D6CD4D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防灭火系统</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8051D0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7.1 动火作业管理</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B86D03F">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《金属非金属矿山安全规程》（GB16423-2006）第6.7.1.10</w:t>
            </w:r>
            <w:r>
              <w:rPr>
                <w:rFonts w:hint="eastAsia" w:ascii="仿宋_GB2312" w:hAnsi="仿宋_GB2312" w:eastAsia="仿宋_GB2312" w:cs="仿宋_GB2312"/>
                <w:color w:val="auto"/>
                <w:kern w:val="0"/>
                <w:sz w:val="32"/>
                <w:szCs w:val="32"/>
              </w:rPr>
              <w:t>在井下进行动火作业，应制定经主管矿长批准的防火措施。在井筒内进行焊接时，应派专人监护，焊接完毕应严格检查清理。在木结构井筒内焊接时，应在作业部位的下方设置收集火星、焊渣的设施，并派专人喷水淋湿和及时扑灭火星。</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E09E34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4D1986F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49F30AD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77B0B55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344BD24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77AECBA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4021FB5">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生产经营单位及其主要负责人或者其他人员有下列行为之一的，给予警告，并可以对生产经营单位处1万元以上3万元以下罚款，对其主要负责人、其他有关人员处1000元以上1万元以下的罚款：</w:t>
            </w:r>
          </w:p>
          <w:p w14:paraId="70C7EC5A">
            <w:pPr>
              <w:numPr>
                <w:ilvl w:val="0"/>
                <w:numId w:val="8"/>
              </w:num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违反操作规程或者安全管理规定作业的；……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5D0592E">
            <w:pPr>
              <w:widowControl/>
              <w:adjustRightInd w:val="0"/>
              <w:snapToGrid w:val="0"/>
              <w:rPr>
                <w:rFonts w:hint="eastAsia" w:ascii="仿宋_GB2312" w:hAnsi="仿宋_GB2312" w:eastAsia="仿宋_GB2312" w:cs="仿宋_GB2312"/>
                <w:color w:val="auto"/>
                <w:kern w:val="0"/>
                <w:sz w:val="32"/>
                <w:szCs w:val="32"/>
              </w:rPr>
            </w:pPr>
          </w:p>
        </w:tc>
      </w:tr>
      <w:tr w14:paraId="1585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7D77182B">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5C331512">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7000D7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7.2 禁止使用电炉和灯泡防潮、烘烤和采暖；禁止吸烟</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BAE7238">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《金属非金属矿山安全规程》（GB16423-2006）6.7.1.8</w:t>
            </w:r>
            <w:r>
              <w:rPr>
                <w:rFonts w:hint="eastAsia" w:ascii="仿宋_GB2312" w:hAnsi="仿宋_GB2312" w:eastAsia="仿宋_GB2312" w:cs="仿宋_GB2312"/>
                <w:color w:val="auto"/>
                <w:kern w:val="0"/>
                <w:sz w:val="32"/>
                <w:szCs w:val="32"/>
              </w:rPr>
              <w:t>不得用火炉或明火直接加热井下空气，或用明火烘烤井口冻结的管道。</w:t>
            </w:r>
          </w:p>
          <w:p w14:paraId="1200825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井下不得使用电炉和灯泡防潮、烘烤和采暖。</w:t>
            </w:r>
          </w:p>
          <w:p w14:paraId="400CC08D">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《金属非金属矿山安全规程》（GB16423-2006）5.6.2.11第（九）项</w:t>
            </w:r>
            <w:r>
              <w:rPr>
                <w:rFonts w:hint="eastAsia" w:ascii="仿宋_GB2312" w:hAnsi="仿宋_GB2312" w:eastAsia="仿宋_GB2312" w:cs="仿宋_GB2312"/>
                <w:color w:val="auto"/>
                <w:kern w:val="0"/>
                <w:sz w:val="32"/>
                <w:szCs w:val="32"/>
              </w:rPr>
              <w:t>钻井、修井作业，应遵守下列规定：……</w:t>
            </w:r>
          </w:p>
          <w:p w14:paraId="1C31937A">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——有易燃气体的作业场所，不应吸烟，动火作业应办理动火作业证;……</w:t>
            </w:r>
          </w:p>
          <w:p w14:paraId="7B10582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6.7.1.8</w:t>
            </w:r>
          </w:p>
          <w:p w14:paraId="5F27E92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4065B7EC">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井下不得使用电炉和灯泡防潮、烘烤和采暖。</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B4BB6D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A0944B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76111EB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2E0410D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38A4AD2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182B848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6AECD69">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生产经营单位及其主要负责人或者其他人员有下列行为之一的，给予警告，并可以对生产经营单位处1万元以上3万元以下罚款，对其主要负责人、其他有关人员处1000元以上1万元以下的罚款：</w:t>
            </w:r>
          </w:p>
          <w:p w14:paraId="668F20F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（一）违反操作规程或者安全管理规定作业的；……   </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7A50C19">
            <w:pPr>
              <w:widowControl/>
              <w:adjustRightInd w:val="0"/>
              <w:snapToGrid w:val="0"/>
              <w:rPr>
                <w:rFonts w:hint="eastAsia" w:ascii="仿宋_GB2312" w:hAnsi="仿宋_GB2312" w:eastAsia="仿宋_GB2312" w:cs="仿宋_GB2312"/>
                <w:color w:val="auto"/>
                <w:kern w:val="0"/>
                <w:sz w:val="32"/>
                <w:szCs w:val="32"/>
              </w:rPr>
            </w:pPr>
          </w:p>
        </w:tc>
      </w:tr>
      <w:tr w14:paraId="4C5A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22736EE2">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136814FE">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6C2D29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7.3 油类管理</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499AB6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7872A546">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《金属非金属矿山安全规程》（GB16423-2006）6.7.1.6</w:t>
            </w:r>
            <w:r>
              <w:rPr>
                <w:rFonts w:hint="eastAsia" w:ascii="仿宋_GB2312" w:hAnsi="仿宋_GB2312" w:eastAsia="仿宋_GB2312" w:cs="仿宋_GB2312"/>
                <w:color w:val="auto"/>
                <w:kern w:val="0"/>
                <w:sz w:val="32"/>
                <w:szCs w:val="32"/>
              </w:rPr>
              <w:t>井下各种油类，应单独存放于安全地点。装油的铁桶应有严密的封盖。应采用输油泵或唧管输油，尽量减少漏油。储存动力油的硐室应有独立回风道，其储油量应不超过三昼夜的需用量。</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0DDCB6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7E8C0AB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3C29394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72F9BC2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48F4504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2854B35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0A4BE31">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07B121FF">
            <w:pPr>
              <w:adjustRightInd w:val="0"/>
              <w:snapToGrid w:val="0"/>
              <w:ind w:firstLine="321"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7A45B228">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527DDCB">
            <w:pPr>
              <w:widowControl/>
              <w:adjustRightInd w:val="0"/>
              <w:snapToGrid w:val="0"/>
              <w:rPr>
                <w:rFonts w:hint="eastAsia" w:ascii="仿宋_GB2312" w:hAnsi="仿宋_GB2312" w:eastAsia="仿宋_GB2312" w:cs="仿宋_GB2312"/>
                <w:color w:val="auto"/>
                <w:kern w:val="0"/>
                <w:sz w:val="32"/>
                <w:szCs w:val="32"/>
              </w:rPr>
            </w:pPr>
          </w:p>
        </w:tc>
      </w:tr>
      <w:tr w14:paraId="47FF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092EA621">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4C5B1174">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80019A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7.4禁止使用油断路器、非阻燃电缆（含强、弱电）、非阻燃风筒、非阻燃输送带、主要井巷木支护、火雷管、导火索</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8586D42">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第三十八条</w:t>
            </w:r>
            <w:r>
              <w:rPr>
                <w:rFonts w:hint="eastAsia" w:ascii="仿宋_GB2312" w:hAnsi="仿宋_GB2312" w:eastAsia="仿宋_GB2312" w:cs="仿宋_GB2312"/>
                <w:bCs/>
                <w:snapToGrid w:val="0"/>
                <w:color w:val="auto"/>
                <w:kern w:val="0"/>
                <w:sz w:val="32"/>
                <w:szCs w:val="32"/>
              </w:rPr>
              <w:t>国家对严重危及生产安全的工艺、设备实行淘汰制度，具体目录由国务院应急管理部门会同国务院有关部门制定并公布。法律、行政法规对目录的制定另有规定的，适用其规定。</w:t>
            </w:r>
          </w:p>
          <w:p w14:paraId="4061EC4C">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省、自治区、直辖市人民政府可以根据本地区实际情况制定并公布具体目录，对前款规定以外的危及生产安全的工艺、设备予以淘汰。</w:t>
            </w:r>
          </w:p>
          <w:p w14:paraId="5B4B6ACC">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生产经营单位不得使用应当淘汰的危及生产安全的工艺、设备。</w:t>
            </w:r>
          </w:p>
          <w:p w14:paraId="5509599B">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《国家安全监管总局关于发布金属非金属矿山禁止使用的设备及工艺目录（第一批）的通知》</w:t>
            </w:r>
          </w:p>
          <w:p w14:paraId="7A87E5C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新建、改建、扩建的金属非金属地下矿山一律禁止使用下列设备及工艺，现有生产地下矿山在用的下列设备及工艺，按照规定时限予以强制淘汰。</w:t>
            </w:r>
          </w:p>
          <w:p w14:paraId="30E75C9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7BB0612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9．油断路器（自发布之日起立即禁止使用）</w:t>
            </w:r>
          </w:p>
          <w:p w14:paraId="1ADD5FB0">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10．非阻燃电缆（含强、弱电）（自发布之日起一年后禁止使用）</w:t>
            </w:r>
          </w:p>
          <w:p w14:paraId="05A499FE">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11．非阻燃风筒（自发布之日起半年后禁止使用）</w:t>
            </w:r>
          </w:p>
          <w:p w14:paraId="54CF578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12．非阻燃输送带（自发布之日起一年后禁止使用）</w:t>
            </w:r>
          </w:p>
          <w:p w14:paraId="6D67D01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61896E7C">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14．主要井巷木支护（新掘、维修井巷自发布之日起立即禁止使用）</w:t>
            </w:r>
          </w:p>
          <w:p w14:paraId="41770CA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15．火雷管、导火索（自发布之日起立即禁止使用）</w:t>
            </w:r>
          </w:p>
          <w:p w14:paraId="702E355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8F45ED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1C3D190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6575D0E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43154B6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5D8C524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53EB2A6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3936203">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《中华人民共和国安全生产法》  第九十九条</w:t>
            </w:r>
            <w:r>
              <w:rPr>
                <w:rFonts w:hint="eastAsia" w:ascii="仿宋_GB2312" w:hAnsi="仿宋_GB2312" w:eastAsia="仿宋_GB2312" w:cs="仿宋_GB2312"/>
                <w:b/>
                <w:bCs/>
                <w:color w:val="auto"/>
                <w:kern w:val="0"/>
                <w:sz w:val="32"/>
                <w:szCs w:val="32"/>
              </w:rPr>
              <w:t>第七项</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26D975D">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（七）使用应当淘汰的危及生产安全的工艺、设备的；</w:t>
            </w:r>
          </w:p>
          <w:p w14:paraId="743B2E24">
            <w:pPr>
              <w:adjustRightInd w:val="0"/>
              <w:snapToGrid w:val="0"/>
              <w:ind w:firstLine="640" w:firstLineChars="200"/>
              <w:rPr>
                <w:rFonts w:hint="eastAsia" w:ascii="仿宋_GB2312" w:hAnsi="仿宋_GB2312" w:eastAsia="仿宋_GB2312" w:cs="仿宋_GB2312"/>
                <w:color w:val="auto"/>
                <w:kern w:val="0"/>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082A20B">
            <w:pPr>
              <w:widowControl/>
              <w:adjustRightInd w:val="0"/>
              <w:snapToGrid w:val="0"/>
              <w:rPr>
                <w:rFonts w:hint="eastAsia" w:ascii="仿宋_GB2312" w:hAnsi="仿宋_GB2312" w:eastAsia="仿宋_GB2312" w:cs="仿宋_GB2312"/>
                <w:color w:val="auto"/>
                <w:kern w:val="0"/>
                <w:sz w:val="32"/>
                <w:szCs w:val="32"/>
              </w:rPr>
            </w:pPr>
          </w:p>
        </w:tc>
      </w:tr>
      <w:tr w14:paraId="7CA3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F8D38F5">
            <w:pPr>
              <w:widowControl/>
              <w:adjustRightInd w:val="0"/>
              <w:snapToGrid w:val="0"/>
              <w:jc w:val="center"/>
              <w:rPr>
                <w:rFonts w:hint="eastAsia" w:ascii="仿宋_GB2312" w:hAnsi="仿宋_GB2312" w:eastAsia="仿宋_GB2312" w:cs="仿宋_GB2312"/>
                <w:color w:val="auto"/>
                <w:kern w:val="0"/>
                <w:sz w:val="32"/>
                <w:szCs w:val="32"/>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070A355">
            <w:pPr>
              <w:adjustRightInd w:val="0"/>
              <w:snapToGrid w:val="0"/>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3F3774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7.5有自燃发火危险的矿山，未按照国家标准、行业标准或设计采取防火措施</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525CC75">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E865137">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《金属非金属矿山安全规程》（GB16423-2006）6.7.2.2</w:t>
            </w:r>
            <w:r>
              <w:rPr>
                <w:rFonts w:hint="eastAsia" w:ascii="仿宋_GB2312" w:hAnsi="仿宋_GB2312" w:eastAsia="仿宋_GB2312" w:cs="仿宋_GB2312"/>
                <w:color w:val="auto"/>
                <w:kern w:val="0"/>
                <w:sz w:val="32"/>
                <w:szCs w:val="32"/>
              </w:rPr>
              <w:t>开采有自燃发火危险的矿床，应采取以下防火措施：</w:t>
            </w:r>
          </w:p>
          <w:p w14:paraId="53831CE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——主要运输巷道和总回风道，应布置在无自然发火危险的围岩中，并采取预防性灌浆或者其他有效的防止自燃发火的措施；</w:t>
            </w:r>
          </w:p>
          <w:p w14:paraId="42EC1DE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正确选择采矿方法，合理划分矿块，并采用后退式回采顺序。根据采取防火措施后矿床最短的发火期，确定采区开采期限。充填法采矿时，应采用惰性充填材料。采用其他采矿方法时，应确保在矿岩发火之前完成回采与放矿工作，以免矿岩自燃；</w:t>
            </w:r>
          </w:p>
          <w:p w14:paraId="3FDBD658">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——采用黄泥灌浆灭火时，钻孔网度、泥浆浓度和灌浆系数(指浆中固体体积占采空区体积的百分比)，应在设计中规定；</w:t>
            </w:r>
          </w:p>
          <w:p w14:paraId="1DE3E962">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——尽可能提高矿石回收率，坑内不留或少留碎块矿石，工作面不应留存坑木等易燃物；</w:t>
            </w:r>
          </w:p>
          <w:p w14:paraId="2DE72D3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——及时充填需要充填的采空区；</w:t>
            </w:r>
          </w:p>
          <w:p w14:paraId="1E979E7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——严密封闭采空区的所有透气部位；</w:t>
            </w:r>
          </w:p>
          <w:p w14:paraId="5439F60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——防止上部中段的水泄漏到采矿场，并防止水管在采场漏水。《国家安全监管总局关于印发〈金属非金属矿山重大生产安全事故隐患判定标准（试行）〉的通知》(安监总管一〔2017〕98号)</w:t>
            </w:r>
          </w:p>
          <w:p w14:paraId="2D8A5FE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w:t>
            </w:r>
          </w:p>
          <w:p w14:paraId="677B0E47">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（十一）有自燃发火危险的矿山，未按照国家标准、行业标准或设计采取防火措施。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2EB120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C4B3DA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76845B8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57E2ACA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1A7F667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59BC2F2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E21BC6F">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780A56ED">
            <w:pPr>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2F8F6EB2">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（一）违法操作规程或者安全管理规定作业的；……</w:t>
            </w:r>
          </w:p>
          <w:p w14:paraId="78DE428B">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496D353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8293D02">
            <w:pPr>
              <w:widowControl/>
              <w:adjustRightInd w:val="0"/>
              <w:snapToGrid w:val="0"/>
              <w:rPr>
                <w:rFonts w:hint="eastAsia" w:ascii="仿宋_GB2312" w:hAnsi="仿宋_GB2312" w:eastAsia="仿宋_GB2312" w:cs="仿宋_GB2312"/>
                <w:color w:val="auto"/>
                <w:kern w:val="0"/>
                <w:sz w:val="32"/>
                <w:szCs w:val="32"/>
              </w:rPr>
            </w:pPr>
          </w:p>
        </w:tc>
      </w:tr>
      <w:tr w14:paraId="01FD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654866C">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BBD403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防排水系统</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EC4F94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8.1地表水系穿过矿区未按设计要求采取防水措施</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7D207D0">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699CC7E">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《金属非金属矿山安全规程》（GB16423-2006）6.6.2.5</w:t>
            </w:r>
            <w:r>
              <w:rPr>
                <w:rFonts w:hint="eastAsia" w:ascii="仿宋_GB2312" w:hAnsi="仿宋_GB2312" w:eastAsia="仿宋_GB2312" w:cs="仿宋_GB2312"/>
                <w:color w:val="auto"/>
                <w:kern w:val="0"/>
                <w:sz w:val="32"/>
                <w:szCs w:val="32"/>
              </w:rPr>
              <w:t>矿区及其附近的积水或雨水有可能侵入井下时，应根据具体情况，采取下列措施：</w:t>
            </w:r>
          </w:p>
          <w:p w14:paraId="556D74FC">
            <w:pPr>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 容易积水的地点，应修筑泄水沟；泄水沟应避开矿层露头、裂缝和透水岩层；不能修筑沟渠时，可用泥土填平压实；范围太大无法填平时，可安装水泵排水；</w:t>
            </w:r>
          </w:p>
          <w:p w14:paraId="4217421E">
            <w:pPr>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 矿区受河流、洪水威胁时，应修筑防水堤坝；河流穿过矿区的，应采用留保安矿柱或充填法采矿的方法保护河床不塌陷，或将河流改道至开采影响范围以外；</w:t>
            </w:r>
          </w:p>
          <w:p w14:paraId="54E87083">
            <w:pPr>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 漏水的沟渠和河流，应及时防水、堵水或改道；</w:t>
            </w:r>
          </w:p>
          <w:p w14:paraId="3969C853">
            <w:pPr>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 排到地面的井下水及地表集中排水，应引出矿区；</w:t>
            </w:r>
          </w:p>
          <w:p w14:paraId="46E250A9">
            <w:pPr>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 雨季应设专人检查矿区防洪情况；</w:t>
            </w:r>
          </w:p>
          <w:p w14:paraId="54C721B0">
            <w:pPr>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 地面塌陷、裂缝区的周围，应设截水沟或挡水围堤；</w:t>
            </w:r>
          </w:p>
          <w:p w14:paraId="452407C3">
            <w:pPr>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 不应往塌陷区引水；</w:t>
            </w:r>
          </w:p>
          <w:p w14:paraId="5C9FB6DA">
            <w:pPr>
              <w:adjustRightInd w:val="0"/>
              <w:snapToGrid w:val="0"/>
              <w:ind w:firstLine="960" w:firstLineChars="3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有用的钻孔，应妥善封盖。报废的竖井、斜井、探矿井、钻孔和平硐等，应封闭，并在周围挖掘排水沟，防止地表水进入地下采区；</w:t>
            </w:r>
          </w:p>
          <w:p w14:paraId="7E9F7F53">
            <w:pPr>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 影响矿区安全的落水洞、岩溶漏斗、溶洞等，均应严密封闭。</w:t>
            </w:r>
          </w:p>
          <w:p w14:paraId="63604BAB">
            <w:pPr>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《国家安全监管总局关于印发〈金属非金属矿山重大生产安全事故隐患判定标准（试行）〉的通知》(安监总管一〔2017〕98号)</w:t>
            </w:r>
          </w:p>
          <w:p w14:paraId="328D26B1">
            <w:pPr>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w:t>
            </w:r>
          </w:p>
          <w:p w14:paraId="2CA05AA8">
            <w:pPr>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（六）地表水系穿过矿区，未按照设计要求采取防治水措施。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23E84A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199EDF7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5B10DC3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04151C5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（4）安全设计文件、排水系统设计文件、水文地质图等相关资料；</w:t>
            </w:r>
          </w:p>
          <w:p w14:paraId="3C82680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45E1E0D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8CB8F7E">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091A6BB6">
            <w:pPr>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42BD3D55">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（一）违法操作规程或者安全管理规定作业的；</w:t>
            </w:r>
          </w:p>
          <w:p w14:paraId="3DE0132E">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35661BF5">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128C01A">
            <w:pPr>
              <w:widowControl/>
              <w:adjustRightInd w:val="0"/>
              <w:snapToGrid w:val="0"/>
              <w:jc w:val="center"/>
              <w:rPr>
                <w:rFonts w:hint="eastAsia" w:ascii="仿宋_GB2312" w:hAnsi="仿宋_GB2312" w:eastAsia="仿宋_GB2312" w:cs="仿宋_GB2312"/>
                <w:color w:val="auto"/>
                <w:kern w:val="0"/>
                <w:sz w:val="32"/>
                <w:szCs w:val="32"/>
              </w:rPr>
            </w:pPr>
          </w:p>
        </w:tc>
      </w:tr>
      <w:tr w14:paraId="3D2A9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5952C4C2">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0AFB1E66">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D631F4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8.2 水害隐患排查</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437F5F3">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110EDDE5">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《金属非金属矿山安全规程》（GB16423-2006）6.6.3.1</w:t>
            </w:r>
            <w:r>
              <w:rPr>
                <w:rFonts w:hint="eastAsia" w:ascii="仿宋_GB2312" w:hAnsi="仿宋_GB2312" w:eastAsia="仿宋_GB2312" w:cs="仿宋_GB2312"/>
                <w:color w:val="auto"/>
                <w:kern w:val="0"/>
                <w:sz w:val="32"/>
                <w:szCs w:val="32"/>
              </w:rPr>
              <w:t>矿山企业应调查核实矿区范围内的小矿井、老井、老采空区，现有生产井中的积水区、含水层、岩溶带、地质构造等详细情况，并填绘矿区水文地质图。</w:t>
            </w:r>
          </w:p>
          <w:p w14:paraId="1A7B67C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应查明矿坑水的来源，掌握矿区水的运动规律，摸清矿井水与地下水、地表水和大气降雨的水力关系，判断矿井突然涌水的可能性。</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96A7EB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7263516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382A0FE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11074D4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（4）安全设计文件、排水系统设计文件、水文地质图等相关资料；</w:t>
            </w:r>
          </w:p>
          <w:p w14:paraId="1432D6D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3B53AEF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C0AD56E">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EB26B12">
            <w:pPr>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077A53F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CB4E88F">
            <w:pPr>
              <w:widowControl/>
              <w:adjustRightInd w:val="0"/>
              <w:snapToGrid w:val="0"/>
              <w:jc w:val="center"/>
              <w:rPr>
                <w:rFonts w:hint="eastAsia" w:ascii="仿宋_GB2312" w:hAnsi="仿宋_GB2312" w:eastAsia="仿宋_GB2312" w:cs="仿宋_GB2312"/>
                <w:color w:val="auto"/>
                <w:kern w:val="0"/>
                <w:sz w:val="32"/>
                <w:szCs w:val="32"/>
              </w:rPr>
            </w:pPr>
          </w:p>
        </w:tc>
      </w:tr>
      <w:tr w14:paraId="2A5D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D165D62">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3F1F2E0F">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043907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8.3井口标高</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B1235F9">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4D9F7DC">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 xml:space="preserve">《金属非金属矿山安全规程》（GB16423-2006）6.6.2.3 </w:t>
            </w:r>
            <w:r>
              <w:rPr>
                <w:rFonts w:hint="eastAsia" w:ascii="仿宋_GB2312" w:hAnsi="仿宋_GB2312" w:eastAsia="仿宋_GB2312" w:cs="仿宋_GB2312"/>
                <w:color w:val="auto"/>
                <w:kern w:val="0"/>
                <w:sz w:val="32"/>
                <w:szCs w:val="32"/>
              </w:rPr>
              <w:t>矿井(竖井、斜井、平硐等)井口的标高，应高于当地历史最高洪水位1m以上。工业场地的地面标高，应高于当地历史最高洪水位。特殊情况下达不到要求的，应以历史最高洪水位为防护标准修筑防洪堤，井口应筑人工岛，使井口高于最高洪水位1m以上。</w:t>
            </w: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6A6384E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一、金属非金属地下矿山重大生产安全事故隐患（八）井口标高在当地历史最高洪水位1米以下，未采取相应防护措施。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2710E2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7FDB7A9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1BF75BA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4EFD9AD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（4）安全设计文件、排水系统设计文件、水文地质图等相关资料；</w:t>
            </w:r>
          </w:p>
          <w:p w14:paraId="60609FF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2528895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1234D09">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2483E16C">
            <w:pPr>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42A6993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10CE93AC">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7BF36F5B">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D16EC8F">
            <w:pPr>
              <w:widowControl/>
              <w:adjustRightInd w:val="0"/>
              <w:snapToGrid w:val="0"/>
              <w:jc w:val="center"/>
              <w:rPr>
                <w:rFonts w:hint="eastAsia" w:ascii="仿宋_GB2312" w:hAnsi="仿宋_GB2312" w:eastAsia="仿宋_GB2312" w:cs="仿宋_GB2312"/>
                <w:color w:val="auto"/>
                <w:kern w:val="0"/>
                <w:sz w:val="32"/>
                <w:szCs w:val="32"/>
              </w:rPr>
            </w:pPr>
          </w:p>
        </w:tc>
      </w:tr>
      <w:tr w14:paraId="5ADB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19686730">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1163BDED">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0A9CED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8.4探放水作业管理及水文地质类型为中等及复杂的矿井没有设立专门防治水机构、配备探放水作业队伍或配齐专用探放水设备</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1614A57">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4415A1E">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《金属非金属矿山安全规程》（GB16423-2006）6.6.3.4 </w:t>
            </w:r>
            <w:r>
              <w:rPr>
                <w:rFonts w:hint="eastAsia" w:ascii="仿宋_GB2312" w:hAnsi="仿宋_GB2312" w:eastAsia="仿宋_GB2312" w:cs="仿宋_GB2312"/>
                <w:color w:val="auto"/>
                <w:kern w:val="0"/>
                <w:sz w:val="32"/>
                <w:szCs w:val="32"/>
              </w:rPr>
              <w:t>对接近水体的地带或可能与水体有联系的地段，应坚持“有疑必探，先探后掘"的原则，编制探水设计。探水孔的位置、方向、数目、孔径、每次钻进的深度和超前距离，应根据水头高低、岩石结构与硬度等条件在设计中规定。</w:t>
            </w:r>
          </w:p>
          <w:p w14:paraId="0F1283F4">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《国家安全监管总局关于印发〈金属非金属矿山重大生产安全事故隐患判定标准（试行）〉的通知》(安监总管一〔2017〕98号)</w:t>
            </w:r>
          </w:p>
          <w:p w14:paraId="408AEA1E">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一、金属非金属地下矿山重大生产安全事故隐患（九）水文地质类型为中等及复杂的矿井没有设立专门防治水机构、配备探放水作业队伍或配齐专用探放水设备。</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3668D0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13B7333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52E556F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6DB9F1A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（4）安全设计文件、排水系统设计文件、水文地质图等相关资料；</w:t>
            </w:r>
          </w:p>
          <w:p w14:paraId="5DB160B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2C84A3D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F0AAF1B">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AAF9212">
            <w:pPr>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4DA30C6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16DAE19F">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4B2CD0CE">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5C46833">
            <w:pPr>
              <w:widowControl/>
              <w:adjustRightInd w:val="0"/>
              <w:snapToGrid w:val="0"/>
              <w:rPr>
                <w:rFonts w:hint="eastAsia" w:ascii="仿宋_GB2312" w:hAnsi="仿宋_GB2312" w:eastAsia="仿宋_GB2312" w:cs="仿宋_GB2312"/>
                <w:color w:val="auto"/>
                <w:kern w:val="0"/>
                <w:sz w:val="32"/>
                <w:szCs w:val="32"/>
              </w:rPr>
            </w:pPr>
          </w:p>
        </w:tc>
      </w:tr>
      <w:tr w14:paraId="07AA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03221B34">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4285D0CB">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9FA683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8.5排水系统设置与设计不符</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8DB8691">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133DB305">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《金属非金属矿山安全规程》（GB16423-2006）5.9.1.3</w:t>
            </w:r>
            <w:r>
              <w:rPr>
                <w:rFonts w:hint="eastAsia" w:ascii="仿宋_GB2312" w:hAnsi="仿宋_GB2312" w:eastAsia="仿宋_GB2312" w:cs="仿宋_GB2312"/>
                <w:color w:val="auto"/>
                <w:kern w:val="0"/>
                <w:sz w:val="32"/>
                <w:szCs w:val="32"/>
              </w:rPr>
              <w:t>矿山应按设计要求建立排水系统。上方应设截水沟；有滑坡可能的矿山，应加强防排水措施；应防止地表、地下水渗漏到采场。</w:t>
            </w:r>
          </w:p>
          <w:p w14:paraId="51A564F7">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684966C2">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一、金属非金属地下矿山重大生产安全事故隐患（七）排水系统与设计要求不符，导致排水能力降低。</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F8072B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D3122B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0E346CF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766F01C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（4）安全设计文件、排水系统设计文件、水文地质图等相关资料；</w:t>
            </w:r>
          </w:p>
          <w:p w14:paraId="6B03405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68ED0F6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1B0D556">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2D410BAE">
            <w:pPr>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0BFA777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426882DF">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70503143">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AD95DC8">
            <w:pPr>
              <w:widowControl/>
              <w:adjustRightInd w:val="0"/>
              <w:snapToGrid w:val="0"/>
              <w:rPr>
                <w:rFonts w:hint="eastAsia" w:ascii="仿宋_GB2312" w:hAnsi="仿宋_GB2312" w:eastAsia="仿宋_GB2312" w:cs="仿宋_GB2312"/>
                <w:color w:val="auto"/>
                <w:kern w:val="0"/>
                <w:sz w:val="32"/>
                <w:szCs w:val="32"/>
              </w:rPr>
            </w:pPr>
          </w:p>
        </w:tc>
      </w:tr>
      <w:tr w14:paraId="22AB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427ED5F">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672E926C">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3044CB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8.6 排水泵设置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5DA8C48">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6FB3B59F">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《金属非金属矿山安全规程》（GB16423-2006）6.6.4.1</w:t>
            </w:r>
            <w:r>
              <w:rPr>
                <w:rFonts w:hint="eastAsia" w:ascii="仿宋_GB2312" w:hAnsi="仿宋_GB2312" w:eastAsia="仿宋_GB2312" w:cs="仿宋_GB2312"/>
                <w:color w:val="auto"/>
                <w:kern w:val="0"/>
                <w:sz w:val="32"/>
                <w:szCs w:val="32"/>
              </w:rPr>
              <w:t>井下主要排水设备，至少应由同类型的三台泵组成。工作水泵应能在20h内排出一昼夜的正常涌水量；除检修泵外，其他水泵应能在20h内排出一昼夜的最大涌水量。井筒内应装设两条相同的排水管，其中一条工作，一条备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4B8B98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63C22FC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5617DC3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7A90A30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（4）安全设计文件、排水系统设计文件、水文地质图等相关资料；</w:t>
            </w:r>
          </w:p>
          <w:p w14:paraId="2F257DF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235D0D8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095635B">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  第九十九条第二项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FFB4FD0">
            <w:pPr>
              <w:adjustRightInd w:val="0"/>
              <w:snapToGrid w:val="0"/>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（二）安全设备的安装、使用、检测、改造和报废不符合国家标准或者行业标准的；</w:t>
            </w:r>
          </w:p>
          <w:p w14:paraId="208AA926">
            <w:pPr>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1C587D7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（一）违法操作规程或者安全管理规定作业的；……</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795F380">
            <w:pPr>
              <w:widowControl/>
              <w:adjustRightInd w:val="0"/>
              <w:snapToGrid w:val="0"/>
              <w:rPr>
                <w:rFonts w:hint="eastAsia" w:ascii="仿宋_GB2312" w:hAnsi="仿宋_GB2312" w:eastAsia="仿宋_GB2312" w:cs="仿宋_GB2312"/>
                <w:color w:val="auto"/>
                <w:kern w:val="0"/>
                <w:sz w:val="32"/>
                <w:szCs w:val="32"/>
              </w:rPr>
            </w:pPr>
          </w:p>
        </w:tc>
      </w:tr>
      <w:tr w14:paraId="5C11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340EB262">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70A4923C">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E70080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8.7 防水门设置与运行</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687B430">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208AC20F">
            <w:pPr>
              <w:adjustRightInd w:val="0"/>
              <w:snapToGrid w:val="0"/>
              <w:ind w:firstLine="643"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《金属非金属矿山安全规》（GB16423-2006）6.6.3.3</w:t>
            </w:r>
            <w:r>
              <w:rPr>
                <w:rFonts w:hint="eastAsia" w:ascii="仿宋_GB2312" w:hAnsi="仿宋_GB2312" w:eastAsia="仿宋_GB2312" w:cs="仿宋_GB2312"/>
                <w:color w:val="auto"/>
                <w:kern w:val="0"/>
                <w:sz w:val="32"/>
                <w:szCs w:val="32"/>
              </w:rPr>
              <w:t>一般矿山的主要泵房，进口应装设防水门。</w:t>
            </w:r>
          </w:p>
          <w:p w14:paraId="5C73B602">
            <w:pPr>
              <w:adjustRightInd w:val="0"/>
              <w:snapToGrid w:val="0"/>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水文地质条件复杂的矿山，应在关键巷道内设置防水门，防止泵房、中央变电所和竖井等井下关键设施被淹。防水门的位置、设防水头高度等应在矿山设计中总体考虑。</w:t>
            </w:r>
          </w:p>
          <w:p w14:paraId="66112114">
            <w:pPr>
              <w:adjustRightInd w:val="0"/>
              <w:snapToGrid w:val="0"/>
              <w:ind w:firstLine="36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同一矿区的水文条件复杂程度明显不同的，在通往强含水带、积水区和有大量突然涌水可能区域的巷道，以及专用的截水、放水巷道，也应设置防水门。</w:t>
            </w:r>
          </w:p>
          <w:p w14:paraId="56006034">
            <w:pPr>
              <w:adjustRightInd w:val="0"/>
              <w:snapToGrid w:val="0"/>
              <w:ind w:firstLine="36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防水门应设置在岩石稳固的地点，由专人管理，定期维修，确保其经常处于良好的工作状态。</w:t>
            </w: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68F607B3">
            <w:pPr>
              <w:adjustRightInd w:val="0"/>
              <w:snapToGrid w:val="0"/>
              <w:ind w:firstLine="36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w:t>
            </w:r>
          </w:p>
          <w:p w14:paraId="2976DBD8">
            <w:pPr>
              <w:adjustRightInd w:val="0"/>
              <w:snapToGrid w:val="0"/>
              <w:ind w:firstLine="36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（十）水文地质类型复杂的矿山关键巷道防水门设置与设计要求不符。</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F45BB9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04B2678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075E7D0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4C2D054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（4）安全设计文件、排水系统设计文件、水文地质图等相关资料；</w:t>
            </w:r>
          </w:p>
          <w:p w14:paraId="4E45934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282FDC49">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0E61CE6">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  第九十九条第二项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0896071D">
            <w:pPr>
              <w:adjustRightInd w:val="0"/>
              <w:snapToGrid w:val="0"/>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（二）安全设备的安装、使用、检测、改造和报废不符合国家标准或者行业标准的；</w:t>
            </w:r>
          </w:p>
          <w:p w14:paraId="0E5713EC">
            <w:pPr>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712F32E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768149A9">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242385B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5A98678">
            <w:pPr>
              <w:widowControl/>
              <w:adjustRightInd w:val="0"/>
              <w:snapToGrid w:val="0"/>
              <w:rPr>
                <w:rFonts w:hint="eastAsia" w:ascii="仿宋_GB2312" w:hAnsi="仿宋_GB2312" w:eastAsia="仿宋_GB2312" w:cs="仿宋_GB2312"/>
                <w:color w:val="auto"/>
                <w:kern w:val="0"/>
                <w:sz w:val="32"/>
                <w:szCs w:val="32"/>
              </w:rPr>
            </w:pPr>
          </w:p>
        </w:tc>
      </w:tr>
      <w:tr w14:paraId="5AB6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FA21169">
            <w:pPr>
              <w:widowControl/>
              <w:adjustRightInd w:val="0"/>
              <w:snapToGrid w:val="0"/>
              <w:jc w:val="center"/>
              <w:rPr>
                <w:rFonts w:hint="eastAsia" w:ascii="仿宋_GB2312" w:hAnsi="仿宋_GB2312" w:eastAsia="仿宋_GB2312" w:cs="仿宋_GB2312"/>
                <w:color w:val="auto"/>
                <w:kern w:val="0"/>
                <w:sz w:val="32"/>
                <w:szCs w:val="32"/>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00F3358">
            <w:pPr>
              <w:adjustRightInd w:val="0"/>
              <w:snapToGrid w:val="0"/>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FECE94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8.8受地表水倒灌威胁的矿井在强降雨天气或其来水上游发生洪水期间，不实施停产撤人</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02BA0E5">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C9021F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《国家安全监管总局关于印发〈金属非金属矿山重大生产安全事故隐患判定标准（试行）〉的通知》</w:t>
            </w:r>
            <w:r>
              <w:rPr>
                <w:rFonts w:hint="eastAsia" w:ascii="仿宋_GB2312" w:hAnsi="仿宋_GB2312" w:eastAsia="仿宋_GB2312" w:cs="仿宋_GB2312"/>
                <w:color w:val="auto"/>
                <w:kern w:val="0"/>
                <w:sz w:val="32"/>
                <w:szCs w:val="32"/>
              </w:rPr>
              <w:t>(安监总管一〔2017〕98号)</w:t>
            </w:r>
          </w:p>
          <w:p w14:paraId="321ADF6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w:t>
            </w:r>
          </w:p>
          <w:p w14:paraId="45695B94">
            <w:p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（十三）受地表水倒灌威胁的矿井在强降雨天气或其来水上游发生洪水期间，不实施停产撤人。</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1A319D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45C8C48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5372073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3D759C9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（4）安全设计文件、排水系统设计文件、水文地质图等相关资料；</w:t>
            </w:r>
          </w:p>
          <w:p w14:paraId="5B63FFD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1EA598F8">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B8F1CAF">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8C11E42">
            <w:pPr>
              <w:adjustRightInd w:val="0"/>
              <w:snapToGrid w:val="0"/>
              <w:ind w:firstLine="640" w:firstLineChars="200"/>
              <w:rPr>
                <w:rFonts w:hint="eastAsia" w:ascii="仿宋_GB2312" w:hAnsi="仿宋_GB2312" w:eastAsia="仿宋_GB2312" w:cs="仿宋_GB2312"/>
                <w:color w:val="auto"/>
                <w:kern w:val="0"/>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C29FD54">
            <w:pPr>
              <w:widowControl/>
              <w:adjustRightInd w:val="0"/>
              <w:snapToGrid w:val="0"/>
              <w:rPr>
                <w:rFonts w:hint="eastAsia" w:ascii="仿宋_GB2312" w:hAnsi="仿宋_GB2312" w:eastAsia="仿宋_GB2312" w:cs="仿宋_GB2312"/>
                <w:color w:val="auto"/>
                <w:kern w:val="0"/>
                <w:sz w:val="32"/>
                <w:szCs w:val="32"/>
              </w:rPr>
            </w:pPr>
          </w:p>
        </w:tc>
      </w:tr>
      <w:tr w14:paraId="2ADA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027D5BD">
            <w:pPr>
              <w:widowControl/>
              <w:adjustRightInd w:val="0"/>
              <w:snapToGrid w:val="0"/>
              <w:jc w:val="center"/>
              <w:rPr>
                <w:rFonts w:hint="eastAsia" w:ascii="仿宋_GB2312" w:hAnsi="仿宋_GB2312" w:eastAsia="仿宋_GB2312" w:cs="仿宋_GB2312"/>
                <w:color w:val="auto"/>
                <w:kern w:val="0"/>
                <w:sz w:val="32"/>
                <w:szCs w:val="32"/>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D08443F">
            <w:pPr>
              <w:adjustRightInd w:val="0"/>
              <w:snapToGrid w:val="0"/>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4DDA30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8.9露天转地下开采，地表与井下形成贯通，未按照设计要求采取相应措施</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B84B432">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D989F04">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《国家安全监管总局关于印发&lt;金属非金属矿山重大生产安全事故隐患判定标准（试行）&gt;的通知》第一条第（五）项</w:t>
            </w:r>
            <w:r>
              <w:rPr>
                <w:rFonts w:hint="eastAsia" w:ascii="仿宋_GB2312" w:hAnsi="仿宋_GB2312" w:eastAsia="仿宋_GB2312" w:cs="仿宋_GB2312"/>
                <w:color w:val="auto"/>
                <w:kern w:val="0"/>
                <w:sz w:val="32"/>
                <w:szCs w:val="32"/>
              </w:rPr>
              <w:t xml:space="preserve">  (五)露天转地下开采，地表与井下形成贯通，未按照设计要求采取相应措施。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B78F6A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5AB33B7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45B0126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63AFCEF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（4）安全设计文件、排水系统设计文件、水文地质图等相关资料；</w:t>
            </w:r>
          </w:p>
          <w:p w14:paraId="6B75FD0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（5）相关装置的购买凭证、说明书、合格证明；</w:t>
            </w:r>
          </w:p>
          <w:p w14:paraId="5A5C71B7">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31F9F65">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4C05BC8">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678EB8E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3103E3B">
            <w:pPr>
              <w:widowControl/>
              <w:adjustRightInd w:val="0"/>
              <w:snapToGrid w:val="0"/>
              <w:rPr>
                <w:rFonts w:hint="eastAsia" w:ascii="仿宋_GB2312" w:hAnsi="仿宋_GB2312" w:eastAsia="仿宋_GB2312" w:cs="仿宋_GB2312"/>
                <w:color w:val="auto"/>
                <w:kern w:val="0"/>
                <w:sz w:val="32"/>
                <w:szCs w:val="32"/>
              </w:rPr>
            </w:pPr>
          </w:p>
        </w:tc>
      </w:tr>
      <w:tr w14:paraId="1297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9C3023E">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AF67DB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供配电系统</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D19FE7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9.1 双回路供电</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21C3CEE">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71AA3DE">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《金属非金属矿山安全规程》（GB16423-2006）6.5.1.3</w:t>
            </w:r>
            <w:r>
              <w:rPr>
                <w:rFonts w:hint="eastAsia" w:ascii="仿宋_GB2312" w:hAnsi="仿宋_GB2312" w:eastAsia="仿宋_GB2312" w:cs="仿宋_GB2312"/>
                <w:color w:val="auto"/>
                <w:kern w:val="0"/>
                <w:sz w:val="32"/>
                <w:szCs w:val="32"/>
              </w:rPr>
              <w:t>由地面到井下中央变电所或主排水泵房的电源电缆，至少应敷设两条独立线路，并应引自地面主变电所的不同母线段。其中任何一条线路停止供电时，其余线路的供电能力应能担负全部负荷。无淹没危险的小型矿山，可不受此限。</w:t>
            </w:r>
          </w:p>
          <w:p w14:paraId="326BEDF5">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25F7DAB0">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一、金属非金属地下矿山重大生产安全事故隐患（二十三）一级负荷没有采用双回路或双电源供电，或单一电源不能满足全部一级负荷需要。</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AC557D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782243A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584DA72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71A877F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196FC2A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C09B0EF">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5C49924">
            <w:pPr>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63595AB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537E516A">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5193C3FB">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3E6958C">
            <w:pPr>
              <w:widowControl/>
              <w:adjustRightInd w:val="0"/>
              <w:snapToGrid w:val="0"/>
              <w:rPr>
                <w:rFonts w:hint="eastAsia" w:ascii="仿宋_GB2312" w:hAnsi="仿宋_GB2312" w:eastAsia="仿宋_GB2312" w:cs="仿宋_GB2312"/>
                <w:color w:val="auto"/>
                <w:kern w:val="0"/>
                <w:sz w:val="32"/>
                <w:szCs w:val="32"/>
              </w:rPr>
            </w:pPr>
          </w:p>
        </w:tc>
      </w:tr>
      <w:tr w14:paraId="407A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006E3C6">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5548E8A7">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2431C7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9.2 中性点接地</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352FB7B">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79BA707B">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《金属非金属矿山安全规程》（GB16423-2006）6.5.1.4</w:t>
            </w:r>
            <w:r>
              <w:rPr>
                <w:rFonts w:hint="eastAsia" w:ascii="仿宋_GB2312" w:hAnsi="仿宋_GB2312" w:eastAsia="仿宋_GB2312" w:cs="仿宋_GB2312"/>
                <w:color w:val="auto"/>
                <w:kern w:val="0"/>
                <w:sz w:val="32"/>
                <w:szCs w:val="32"/>
              </w:rPr>
              <w:t>井下电气设备不应接零。井下应采用矿用变压器，若用普通变压器，其中性点不应直接接地，变压器二次侧的中性点不应引出载流中性线(N线)。地面中性点直接接地的变压器或发电机，不应用于向井下供电。</w:t>
            </w:r>
          </w:p>
          <w:p w14:paraId="60F4C495">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架线式电机车整流装置的专用变压器，视其作业要求而定。</w:t>
            </w:r>
          </w:p>
          <w:p w14:paraId="53B97302">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22E0D98B">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一、金属非金属地下矿山重大生产安全事故隐患（二十四）地面向井下供电的变压器或井下使用的普通变压器采用中性接地。</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4A27E0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0F80F36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085E641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1B0DC62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3E8B82A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A187A82">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71C31C18">
            <w:pPr>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7E748FB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310B3773">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17B8870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D262940">
            <w:pPr>
              <w:widowControl/>
              <w:adjustRightInd w:val="0"/>
              <w:snapToGrid w:val="0"/>
              <w:rPr>
                <w:rFonts w:hint="eastAsia" w:ascii="仿宋_GB2312" w:hAnsi="仿宋_GB2312" w:eastAsia="仿宋_GB2312" w:cs="仿宋_GB2312"/>
                <w:color w:val="auto"/>
                <w:kern w:val="0"/>
                <w:sz w:val="32"/>
                <w:szCs w:val="32"/>
              </w:rPr>
            </w:pPr>
          </w:p>
        </w:tc>
      </w:tr>
      <w:tr w14:paraId="7253B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C4C3182">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w:t>
            </w:r>
          </w:p>
        </w:tc>
        <w:tc>
          <w:tcPr>
            <w:tcW w:w="949"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8C84B3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地表错动区域管理</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02986A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10.1相邻矿山开采错动线重叠，未按照设计要求采取相应措施</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F57138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43D9BEA">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《国家安全监管总局关于印发&lt;金属非金属矿山重大生产安全事故隐患判定标准（试行）&gt;的通知》第一条第(十四)项</w:t>
            </w:r>
            <w:r>
              <w:rPr>
                <w:rFonts w:hint="eastAsia" w:ascii="仿宋_GB2312" w:hAnsi="仿宋_GB2312" w:eastAsia="仿宋_GB2312" w:cs="仿宋_GB2312"/>
                <w:color w:val="auto"/>
                <w:kern w:val="0"/>
                <w:sz w:val="32"/>
                <w:szCs w:val="32"/>
              </w:rPr>
              <w:t>(十四)相邻矿山开采错动线重叠，未按照设计要求采取相应措施。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25B34F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E9D85D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5D58CC0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1814A68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66B263A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059E217">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2A426F06">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3AA60CE3">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A7FE90E">
            <w:pPr>
              <w:widowControl/>
              <w:adjustRightInd w:val="0"/>
              <w:snapToGrid w:val="0"/>
              <w:rPr>
                <w:rFonts w:hint="eastAsia" w:ascii="仿宋_GB2312" w:hAnsi="仿宋_GB2312" w:eastAsia="仿宋_GB2312" w:cs="仿宋_GB2312"/>
                <w:color w:val="auto"/>
                <w:kern w:val="0"/>
                <w:sz w:val="32"/>
                <w:szCs w:val="32"/>
              </w:rPr>
            </w:pPr>
          </w:p>
        </w:tc>
      </w:tr>
      <w:tr w14:paraId="673A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353880A5">
            <w:pPr>
              <w:widowControl/>
              <w:jc w:val="left"/>
              <w:rPr>
                <w:rFonts w:hint="eastAsia" w:ascii="仿宋_GB2312" w:hAnsi="仿宋_GB2312" w:eastAsia="仿宋_GB2312" w:cs="仿宋_GB2312"/>
                <w:color w:val="auto"/>
                <w:kern w:val="0"/>
                <w:sz w:val="32"/>
                <w:szCs w:val="32"/>
              </w:rPr>
            </w:pPr>
          </w:p>
        </w:tc>
        <w:tc>
          <w:tcPr>
            <w:tcW w:w="949" w:type="dxa"/>
            <w:vMerge w:val="continue"/>
            <w:tcBorders>
              <w:top w:val="single" w:color="auto" w:sz="4" w:space="0"/>
              <w:left w:val="single" w:color="auto" w:sz="4" w:space="0"/>
              <w:bottom w:val="single" w:color="auto" w:sz="4" w:space="0"/>
              <w:right w:val="single" w:color="auto" w:sz="4" w:space="0"/>
            </w:tcBorders>
            <w:vAlign w:val="center"/>
          </w:tcPr>
          <w:p w14:paraId="1B5EC827">
            <w:pPr>
              <w:widowControl/>
              <w:jc w:val="left"/>
              <w:rPr>
                <w:rFonts w:hint="eastAsia" w:ascii="仿宋_GB2312" w:hAnsi="仿宋_GB2312" w:eastAsia="仿宋_GB2312" w:cs="仿宋_GB2312"/>
                <w:bCs/>
                <w:snapToGrid w:val="0"/>
                <w:color w:val="auto"/>
                <w:kern w:val="0"/>
                <w:sz w:val="32"/>
                <w:szCs w:val="32"/>
              </w:rPr>
            </w:pP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6203C4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10.2开采错动线以内存在居民村庄，或者存在重要设备设施时未按照设计要求采取相应措施</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3498E79">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1170852A">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《国家安全监管总局关于印发&lt;金属非金属矿山重大生产安全事故隐患判定标准（试行）&gt;的通知》第一条第(十五)项</w:t>
            </w:r>
            <w:r>
              <w:rPr>
                <w:rFonts w:hint="eastAsia" w:ascii="仿宋_GB2312" w:hAnsi="仿宋_GB2312" w:eastAsia="仿宋_GB2312" w:cs="仿宋_GB2312"/>
                <w:color w:val="auto"/>
                <w:kern w:val="0"/>
                <w:sz w:val="32"/>
                <w:szCs w:val="32"/>
              </w:rPr>
              <w:t>（十五)开采错动线以内存在居民村庄，或者存在重要设备设施时未按照设计要求采取相应措施。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470963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01A6BC5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68EBF6F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536F689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528A9BA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3D4B2A9">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1111368D">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2BD28DCE">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8481F1F">
            <w:pPr>
              <w:ind w:firstLine="640" w:firstLineChars="200"/>
              <w:rPr>
                <w:rFonts w:hint="eastAsia" w:ascii="仿宋_GB2312" w:hAnsi="仿宋_GB2312" w:eastAsia="仿宋_GB2312" w:cs="仿宋_GB2312"/>
                <w:color w:val="auto"/>
                <w:sz w:val="32"/>
                <w:szCs w:val="32"/>
              </w:rPr>
            </w:pPr>
          </w:p>
        </w:tc>
      </w:tr>
      <w:tr w14:paraId="48FF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CA1C26C">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5FCE7F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相邻矿山管理</w:t>
            </w:r>
          </w:p>
        </w:tc>
        <w:tc>
          <w:tcPr>
            <w:tcW w:w="95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F1F2DD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相邻矿山井巷互联互通</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4D119DE">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3670C555">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《国家安全监管总局关于印发&lt;金属非金属矿山重大生产安全事故隐患判定标准（试行）&gt;的通知》第一条第(三)项</w:t>
            </w:r>
            <w:r>
              <w:rPr>
                <w:rFonts w:hint="eastAsia" w:ascii="仿宋_GB2312" w:hAnsi="仿宋_GB2312" w:eastAsia="仿宋_GB2312" w:cs="仿宋_GB2312"/>
                <w:color w:val="auto"/>
                <w:kern w:val="0"/>
                <w:sz w:val="32"/>
                <w:szCs w:val="32"/>
              </w:rPr>
              <w:t xml:space="preserve">  (三)相邻矿山的井巷相互贯通。</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9C94B8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64F94D8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3CC1DEB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33683E8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w:t>
            </w:r>
          </w:p>
          <w:p w14:paraId="1CD03A3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8"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4F52306">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1B10772">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《中华人民共和国安全生产法》第六十五条第三项</w:t>
            </w:r>
            <w:r>
              <w:rPr>
                <w:rFonts w:hint="eastAsia" w:ascii="仿宋_GB2312" w:hAnsi="仿宋_GB2312" w:eastAsia="仿宋_GB2312" w:cs="仿宋_GB2312"/>
                <w:color w:val="auto"/>
                <w:sz w:val="32"/>
                <w:szCs w:val="32"/>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3EF5D46B">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B6D8475">
            <w:pPr>
              <w:widowControl/>
              <w:adjustRightInd w:val="0"/>
              <w:snapToGrid w:val="0"/>
              <w:rPr>
                <w:rFonts w:hint="eastAsia" w:ascii="仿宋_GB2312" w:hAnsi="仿宋_GB2312" w:eastAsia="仿宋_GB2312" w:cs="仿宋_GB2312"/>
                <w:color w:val="auto"/>
                <w:kern w:val="0"/>
                <w:sz w:val="32"/>
                <w:szCs w:val="32"/>
              </w:rPr>
            </w:pPr>
          </w:p>
        </w:tc>
      </w:tr>
      <w:tr w14:paraId="0659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15165" w:type="dxa"/>
            <w:gridSpan w:val="7"/>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E39BD1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说明：1、有关证照包括：企业的营业执照正副本、企业的采矿许可证、安全生产许可证、企业主要负责人和相关直接责任人员的身份证、相关作业人员的身份证、安全资格证、操作证、其他相关证照等；</w:t>
            </w:r>
          </w:p>
          <w:p w14:paraId="7F2410A9">
            <w:pPr>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2、其他相关证据：能够证明企业违法违规行为的其他相关资料；</w:t>
            </w:r>
          </w:p>
          <w:p w14:paraId="54F4025C">
            <w:pPr>
              <w:ind w:firstLine="960" w:firstLineChars="3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3、根据本清单提供的证照及资料有原件的，应核实原件后留存复印件；无原件的提供复印件。所有复印件资料均应加盖企业公章。证照及资料有正副本的，均核验留存复印件。</w:t>
            </w:r>
          </w:p>
        </w:tc>
      </w:tr>
    </w:tbl>
    <w:p w14:paraId="560028A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777D4FE1">
      <w:pPr>
        <w:pStyle w:val="3"/>
        <w:spacing w:line="240" w:lineRule="auto"/>
        <w:jc w:val="center"/>
        <w:rPr>
          <w:rFonts w:hint="eastAsia" w:ascii="仿宋_GB2312" w:hAnsi="仿宋_GB2312" w:eastAsia="仿宋_GB2312" w:cs="仿宋_GB2312"/>
          <w:color w:val="auto"/>
          <w:sz w:val="32"/>
          <w:szCs w:val="32"/>
        </w:rPr>
      </w:pPr>
      <w:bookmarkStart w:id="13" w:name="_Toc6981"/>
      <w:r>
        <w:rPr>
          <w:rFonts w:hint="eastAsia" w:ascii="仿宋_GB2312" w:hAnsi="仿宋_GB2312" w:eastAsia="仿宋_GB2312" w:cs="仿宋_GB2312"/>
          <w:color w:val="auto"/>
          <w:sz w:val="32"/>
          <w:szCs w:val="32"/>
        </w:rPr>
        <w:t>金属非金属露天矿山重点检查清单</w:t>
      </w:r>
      <w:bookmarkEnd w:id="13"/>
    </w:p>
    <w:tbl>
      <w:tblPr>
        <w:tblStyle w:val="8"/>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54"/>
        <w:gridCol w:w="954"/>
        <w:gridCol w:w="3907"/>
        <w:gridCol w:w="3882"/>
        <w:gridCol w:w="3902"/>
        <w:gridCol w:w="949"/>
      </w:tblGrid>
      <w:tr w14:paraId="7107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blHeader/>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A026A4C">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序号</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A82C5A8">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检查事项</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A25668C">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检查内容</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E3F34B6">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检查依据</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247802F">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主要证据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9333F21">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法律责任</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EFBD894">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检查结果</w:t>
            </w:r>
          </w:p>
        </w:tc>
      </w:tr>
      <w:tr w14:paraId="6DD0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6F8ADD7">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p>
        </w:tc>
        <w:tc>
          <w:tcPr>
            <w:tcW w:w="95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6BAA35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许可情况</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38CF2A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1.1安全生产许可证取得</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C5E382D">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《安全生产许可证条例》第二条</w:t>
            </w:r>
            <w:r>
              <w:rPr>
                <w:rFonts w:hint="eastAsia" w:ascii="仿宋_GB2312" w:hAnsi="仿宋_GB2312" w:eastAsia="仿宋_GB2312" w:cs="仿宋_GB2312"/>
                <w:color w:val="auto"/>
                <w:kern w:val="0"/>
                <w:sz w:val="32"/>
                <w:szCs w:val="32"/>
              </w:rPr>
              <w:t>国家对矿山企业、建筑施工企业和危险化学品、烟花爆竹、民用爆炸物品生产企业（以下统称企业）实行安全生产许可制度。</w:t>
            </w:r>
          </w:p>
          <w:p w14:paraId="762133E8">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企业未取得安全生产许可证的，不得从事生产活动。</w:t>
            </w:r>
          </w:p>
          <w:p w14:paraId="4600D169">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《非煤矿矿山企业安全生产许可证实施办法》第二条</w:t>
            </w:r>
            <w:r>
              <w:rPr>
                <w:rFonts w:hint="eastAsia" w:ascii="仿宋_GB2312" w:hAnsi="仿宋_GB2312" w:eastAsia="仿宋_GB2312" w:cs="仿宋_GB2312"/>
                <w:color w:val="auto"/>
                <w:kern w:val="0"/>
                <w:sz w:val="32"/>
                <w:szCs w:val="32"/>
              </w:rPr>
              <w:t>非煤矿矿山企业必须依照本实施办法的规定取得安全生产许可证。</w:t>
            </w:r>
          </w:p>
          <w:p w14:paraId="1A0B974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未取得安全生产许可证的，不得从事生产活动。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F766F3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7B434D2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5C9BF5D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4F6105D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00EED7C">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《安全生产许可证条例》第十九条</w:t>
            </w:r>
            <w:r>
              <w:rPr>
                <w:rFonts w:hint="eastAsia" w:ascii="仿宋_GB2312" w:hAnsi="仿宋_GB2312" w:eastAsia="仿宋_GB2312" w:cs="仿宋_GB2312"/>
                <w:color w:val="auto"/>
                <w:kern w:val="0"/>
                <w:sz w:val="32"/>
                <w:szCs w:val="32"/>
              </w:rPr>
              <w:t>违反本条例规定，未取得安全生产许可证擅自进行生产的，责令停止生产，没收违法所得，并处10万元以上50万元以下的罚款；造成重大事故或者其他严重后果，构成犯罪的，依法追究刑事责任。</w:t>
            </w:r>
          </w:p>
          <w:p w14:paraId="6D7FAD7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《非煤矿矿山企业安全生产许可证实施办法》第四十二条</w:t>
            </w:r>
            <w:r>
              <w:rPr>
                <w:rFonts w:hint="eastAsia" w:ascii="仿宋_GB2312" w:hAnsi="仿宋_GB2312" w:eastAsia="仿宋_GB2312" w:cs="仿宋_GB2312"/>
                <w:color w:val="auto"/>
                <w:kern w:val="0"/>
                <w:sz w:val="32"/>
                <w:szCs w:val="32"/>
              </w:rPr>
              <w:t>非煤矿矿山企业有下列行为之一的，责令停止生产，没收违法所得，并处10万元以上50万元以下的罚款：</w:t>
            </w:r>
          </w:p>
          <w:p w14:paraId="352F5971">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（一）未取得安全生产许可证，擅自进行生产的；</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A0C5799">
            <w:pPr>
              <w:widowControl/>
              <w:adjustRightInd w:val="0"/>
              <w:snapToGrid w:val="0"/>
              <w:rPr>
                <w:rFonts w:hint="eastAsia" w:ascii="仿宋_GB2312" w:hAnsi="仿宋_GB2312" w:eastAsia="仿宋_GB2312" w:cs="仿宋_GB2312"/>
                <w:color w:val="auto"/>
                <w:kern w:val="0"/>
                <w:sz w:val="32"/>
                <w:szCs w:val="32"/>
              </w:rPr>
            </w:pPr>
          </w:p>
        </w:tc>
      </w:tr>
      <w:tr w14:paraId="7FAB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7BE42186">
            <w:pPr>
              <w:widowControl/>
              <w:jc w:val="left"/>
              <w:rPr>
                <w:rFonts w:hint="eastAsia" w:ascii="仿宋_GB2312" w:hAnsi="仿宋_GB2312" w:eastAsia="仿宋_GB2312" w:cs="仿宋_GB2312"/>
                <w:color w:val="auto"/>
                <w:kern w:val="0"/>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3AF2EA55">
            <w:pPr>
              <w:widowControl/>
              <w:jc w:val="left"/>
              <w:rPr>
                <w:rFonts w:hint="eastAsia" w:ascii="仿宋_GB2312" w:hAnsi="仿宋_GB2312" w:eastAsia="仿宋_GB2312" w:cs="仿宋_GB2312"/>
                <w:color w:val="auto"/>
                <w:kern w:val="0"/>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303056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1.2 安全生产许可证延期</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EEF8E9A">
            <w:pPr>
              <w:widowControl/>
              <w:adjustRightInd w:val="0"/>
              <w:snapToGrid w:val="0"/>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《安全生产许可证条例》第九条第一款</w:t>
            </w:r>
            <w:r>
              <w:rPr>
                <w:rFonts w:hint="eastAsia" w:ascii="仿宋_GB2312" w:hAnsi="仿宋_GB2312" w:eastAsia="仿宋_GB2312" w:cs="仿宋_GB2312"/>
                <w:color w:val="auto"/>
                <w:kern w:val="0"/>
                <w:sz w:val="32"/>
                <w:szCs w:val="32"/>
              </w:rPr>
              <w:t>安全生产许可证的有效期为3年。安全生产许可证有效期满需要延期的，企业应当于期满前3个月向原安全生产许可证颁发管理机关办理延期手续。……</w:t>
            </w:r>
          </w:p>
          <w:p w14:paraId="6DD78324">
            <w:pPr>
              <w:widowControl/>
              <w:adjustRightInd w:val="0"/>
              <w:snapToGrid w:val="0"/>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《非煤矿矿山企业安全生产许可证实施办法》第十九条</w:t>
            </w:r>
            <w:r>
              <w:rPr>
                <w:rFonts w:hint="eastAsia" w:ascii="仿宋_GB2312" w:hAnsi="仿宋_GB2312" w:eastAsia="仿宋_GB2312" w:cs="仿宋_GB2312"/>
                <w:color w:val="auto"/>
                <w:kern w:val="0"/>
                <w:sz w:val="32"/>
                <w:szCs w:val="32"/>
              </w:rPr>
              <w:t>安全生产许可证的有效期为3年。安全生产许可证有效期满后需要延期的，非煤矿矿山企业应当在安全生产许可证有效期届满前3个月向原安全生产许可证颁发管理机关申请办理延期手续，并提交下列文件、资料：</w:t>
            </w:r>
          </w:p>
          <w:p w14:paraId="30FC27B2">
            <w:pPr>
              <w:widowControl/>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（一）延期申请书；</w:t>
            </w:r>
          </w:p>
          <w:p w14:paraId="080F5C90">
            <w:pPr>
              <w:widowControl/>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（二）安全生产许可证正本和副本；</w:t>
            </w:r>
          </w:p>
          <w:p w14:paraId="00D8E8BA">
            <w:pPr>
              <w:widowControl/>
              <w:adjustRightInd w:val="0"/>
              <w:snapToGrid w:val="0"/>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（三）本实施办法第二章规定的相应文件、资料。……</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041C07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0E7F49E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3437010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4712ABE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0701A4C">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《安全生产许可证条例》第二十条</w:t>
            </w:r>
            <w:r>
              <w:rPr>
                <w:rFonts w:hint="eastAsia" w:ascii="仿宋_GB2312" w:hAnsi="仿宋_GB2312" w:eastAsia="仿宋_GB2312" w:cs="仿宋_GB2312"/>
                <w:color w:val="auto"/>
                <w:kern w:val="0"/>
                <w:sz w:val="32"/>
                <w:szCs w:val="32"/>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14:paraId="1184EB48">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《非煤矿矿山企业安全生产许可证实施办法》第四十五条</w:t>
            </w:r>
            <w:r>
              <w:rPr>
                <w:rFonts w:hint="eastAsia" w:ascii="仿宋_GB2312" w:hAnsi="仿宋_GB2312" w:eastAsia="仿宋_GB2312" w:cs="仿宋_GB2312"/>
                <w:color w:val="auto"/>
                <w:kern w:val="0"/>
                <w:sz w:val="32"/>
                <w:szCs w:val="32"/>
              </w:rPr>
              <w:t>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处罚。</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ED8311F">
            <w:pPr>
              <w:widowControl/>
              <w:adjustRightInd w:val="0"/>
              <w:snapToGrid w:val="0"/>
              <w:rPr>
                <w:rFonts w:hint="eastAsia" w:ascii="仿宋_GB2312" w:hAnsi="仿宋_GB2312" w:eastAsia="仿宋_GB2312" w:cs="仿宋_GB2312"/>
                <w:color w:val="auto"/>
                <w:kern w:val="0"/>
                <w:sz w:val="32"/>
                <w:szCs w:val="32"/>
              </w:rPr>
            </w:pPr>
          </w:p>
        </w:tc>
      </w:tr>
      <w:tr w14:paraId="7F0D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CF7CAF6">
            <w:pPr>
              <w:widowControl/>
              <w:jc w:val="left"/>
              <w:rPr>
                <w:rFonts w:hint="eastAsia" w:ascii="仿宋_GB2312" w:hAnsi="仿宋_GB2312" w:eastAsia="仿宋_GB2312" w:cs="仿宋_GB2312"/>
                <w:color w:val="auto"/>
                <w:kern w:val="0"/>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63F46BE2">
            <w:pPr>
              <w:widowControl/>
              <w:jc w:val="left"/>
              <w:rPr>
                <w:rFonts w:hint="eastAsia" w:ascii="仿宋_GB2312" w:hAnsi="仿宋_GB2312" w:eastAsia="仿宋_GB2312" w:cs="仿宋_GB2312"/>
                <w:color w:val="auto"/>
                <w:kern w:val="0"/>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7D0647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1.3 安全生产许可证变更</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FCFACB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《非煤矿矿山企业安全生产许可证实施办法》第二十一条</w:t>
            </w:r>
            <w:r>
              <w:rPr>
                <w:rFonts w:hint="eastAsia" w:ascii="仿宋_GB2312" w:hAnsi="仿宋_GB2312" w:eastAsia="仿宋_GB2312" w:cs="仿宋_GB2312"/>
                <w:color w:val="auto"/>
                <w:kern w:val="0"/>
                <w:sz w:val="32"/>
                <w:szCs w:val="32"/>
              </w:rPr>
              <w:t>非煤矿矿山企业在安全生产许可证有效期内有下列情形之一的，应当自工商营业执照变更之日起30个工作日内向原安全生产许可证颁发管理机关申请变更安全生产许可证：</w:t>
            </w:r>
          </w:p>
          <w:p w14:paraId="60BECAE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（一）变更单位名称的；</w:t>
            </w:r>
          </w:p>
          <w:p w14:paraId="0E2C4947">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（二）变更主要负责人的；</w:t>
            </w:r>
          </w:p>
          <w:p w14:paraId="5CE80F2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（三）变更单位地址的；</w:t>
            </w:r>
          </w:p>
          <w:p w14:paraId="5FF2C578">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（四）变更经济类型的；</w:t>
            </w:r>
          </w:p>
          <w:p w14:paraId="2E1CD632">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（五）变更许可范围的。</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3C27B6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5BB14B1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6AD1637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5CE149D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（4）企业变更登记资料；</w:t>
            </w:r>
          </w:p>
          <w:p w14:paraId="1839946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AEA9EA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《非煤矿矿山企业安全生产许可证实施办法》第四十四条第一款</w:t>
            </w:r>
            <w:r>
              <w:rPr>
                <w:rFonts w:hint="eastAsia" w:ascii="仿宋_GB2312" w:hAnsi="仿宋_GB2312" w:eastAsia="仿宋_GB2312" w:cs="仿宋_GB2312"/>
                <w:color w:val="auto"/>
                <w:kern w:val="0"/>
                <w:sz w:val="32"/>
                <w:szCs w:val="32"/>
              </w:rPr>
              <w:t>非煤矿矿山企业在安全生产许可证有效期内，出现需要变更安全生产许可证的情形，未按本实施办法第二十一条的规定申请、办理变更手续的，责令限期办理变更手续，并处1万元以上3万元以下罚款。</w:t>
            </w:r>
          </w:p>
          <w:p w14:paraId="654B3203">
            <w:pPr>
              <w:adjustRightInd w:val="0"/>
              <w:snapToGrid w:val="0"/>
              <w:ind w:firstLine="640" w:firstLineChars="200"/>
              <w:rPr>
                <w:rFonts w:hint="eastAsia" w:ascii="仿宋_GB2312" w:hAnsi="仿宋_GB2312" w:eastAsia="仿宋_GB2312" w:cs="仿宋_GB2312"/>
                <w:color w:val="auto"/>
                <w:kern w:val="0"/>
                <w:sz w:val="32"/>
                <w:szCs w:val="32"/>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A28D9C7">
            <w:pPr>
              <w:widowControl/>
              <w:adjustRightInd w:val="0"/>
              <w:snapToGrid w:val="0"/>
              <w:rPr>
                <w:rFonts w:hint="eastAsia" w:ascii="仿宋_GB2312" w:hAnsi="仿宋_GB2312" w:eastAsia="仿宋_GB2312" w:cs="仿宋_GB2312"/>
                <w:color w:val="auto"/>
                <w:kern w:val="0"/>
                <w:sz w:val="32"/>
                <w:szCs w:val="32"/>
              </w:rPr>
            </w:pPr>
          </w:p>
        </w:tc>
      </w:tr>
      <w:tr w14:paraId="6860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2B96B23C">
            <w:pPr>
              <w:widowControl/>
              <w:jc w:val="left"/>
              <w:rPr>
                <w:rFonts w:hint="eastAsia" w:ascii="仿宋_GB2312" w:hAnsi="仿宋_GB2312" w:eastAsia="仿宋_GB2312" w:cs="仿宋_GB2312"/>
                <w:color w:val="auto"/>
                <w:kern w:val="0"/>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509A89D9">
            <w:pPr>
              <w:widowControl/>
              <w:jc w:val="left"/>
              <w:rPr>
                <w:rFonts w:hint="eastAsia" w:ascii="仿宋_GB2312" w:hAnsi="仿宋_GB2312" w:eastAsia="仿宋_GB2312" w:cs="仿宋_GB2312"/>
                <w:color w:val="auto"/>
                <w:kern w:val="0"/>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C2548D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1.4因采矿许可证到期及被暂扣、撤销、吊销和注销等交回安全生产许可证</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EA35C10">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《非煤矿矿山企业安全生产许可证实施办法》第二十八条</w:t>
            </w:r>
            <w:r>
              <w:rPr>
                <w:rFonts w:hint="eastAsia" w:ascii="仿宋_GB2312" w:hAnsi="仿宋_GB2312" w:eastAsia="仿宋_GB2312" w:cs="仿宋_GB2312"/>
                <w:color w:val="auto"/>
                <w:kern w:val="0"/>
                <w:sz w:val="32"/>
                <w:szCs w:val="32"/>
              </w:rPr>
              <w:t>非煤矿矿山企业发现在安全生产许可证有效期内采矿许可证到期失效的，应当在采矿许可证到期前15日内向原安全生产许可证颁发管理机关报告，并交回安全生产许可证正本和副本。</w:t>
            </w:r>
          </w:p>
          <w:p w14:paraId="4404B6AC">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采矿许可证被暂扣、撤销、吊销和注销的，非煤矿矿山企业应当在暂扣、撤销、吊销和注销后5日内向原安全生产许可证颁发管理机关报告，并交回安全生产许可证正本和副本。</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795CD5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585476C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709544D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07D5403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603BFD2">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《非煤矿矿山企业安全生产许可证实施办法》第四十三条</w:t>
            </w:r>
            <w:r>
              <w:rPr>
                <w:rFonts w:hint="eastAsia" w:ascii="仿宋_GB2312" w:hAnsi="仿宋_GB2312" w:eastAsia="仿宋_GB2312" w:cs="仿宋_GB2312"/>
                <w:color w:val="auto"/>
                <w:kern w:val="0"/>
                <w:sz w:val="32"/>
                <w:szCs w:val="32"/>
              </w:rPr>
              <w:t>非煤矿矿山企业在安全生产许可证有效期内出现采矿许可证有效期届满和采矿许可证被暂扣、撤销、吊销、注销的情况，未依照本实施办法第二十八条的规定向安全生产许可证颁发管理机关报告并交回安全生产许可证的，处1万元以上3万元以下罚款。</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C009CD6">
            <w:pPr>
              <w:widowControl/>
              <w:adjustRightInd w:val="0"/>
              <w:snapToGrid w:val="0"/>
              <w:rPr>
                <w:rFonts w:hint="eastAsia" w:ascii="仿宋_GB2312" w:hAnsi="仿宋_GB2312" w:eastAsia="仿宋_GB2312" w:cs="仿宋_GB2312"/>
                <w:color w:val="auto"/>
                <w:kern w:val="0"/>
                <w:sz w:val="32"/>
                <w:szCs w:val="32"/>
              </w:rPr>
            </w:pPr>
          </w:p>
        </w:tc>
      </w:tr>
      <w:tr w14:paraId="239A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6F4FE118">
            <w:pPr>
              <w:widowControl/>
              <w:jc w:val="left"/>
              <w:rPr>
                <w:rFonts w:hint="eastAsia" w:ascii="仿宋_GB2312" w:hAnsi="仿宋_GB2312" w:eastAsia="仿宋_GB2312" w:cs="仿宋_GB2312"/>
                <w:color w:val="auto"/>
                <w:kern w:val="0"/>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7034417B">
            <w:pPr>
              <w:widowControl/>
              <w:jc w:val="left"/>
              <w:rPr>
                <w:rFonts w:hint="eastAsia" w:ascii="仿宋_GB2312" w:hAnsi="仿宋_GB2312" w:eastAsia="仿宋_GB2312" w:cs="仿宋_GB2312"/>
                <w:color w:val="auto"/>
                <w:kern w:val="0"/>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F63B08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1.5 转让、冒用安全生产许可证或者使用伪造的安全生产许可证</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01E2AE6">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《安全生产许可证条例》第十三条</w:t>
            </w:r>
            <w:r>
              <w:rPr>
                <w:rFonts w:hint="eastAsia" w:ascii="仿宋_GB2312" w:hAnsi="仿宋_GB2312" w:eastAsia="仿宋_GB2312" w:cs="仿宋_GB2312"/>
                <w:color w:val="auto"/>
                <w:kern w:val="0"/>
                <w:sz w:val="32"/>
                <w:szCs w:val="32"/>
              </w:rPr>
              <w:t>企业不得转让、冒用安全生产许可证或者使用伪造的安全生产许可证。</w:t>
            </w:r>
          </w:p>
          <w:p w14:paraId="37A4C9C9">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《非煤矿矿山企业安全生产许可证实施办法》第二十七条</w:t>
            </w:r>
            <w:r>
              <w:rPr>
                <w:rFonts w:hint="eastAsia" w:ascii="仿宋_GB2312" w:hAnsi="仿宋_GB2312" w:eastAsia="仿宋_GB2312" w:cs="仿宋_GB2312"/>
                <w:color w:val="auto"/>
                <w:kern w:val="0"/>
                <w:sz w:val="32"/>
                <w:szCs w:val="32"/>
              </w:rPr>
              <w:t>非煤矿矿山企业不得转让、冒用、买卖、出租、出借或者使用伪造的安全生产许可证。</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B36E10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2845670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6B48DDC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18F6845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（4）转让、买卖、出租、出借的相关合同/协议以及经济往来相关证明资料；</w:t>
            </w:r>
          </w:p>
          <w:p w14:paraId="6C759D2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8CB5E36">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《安全生产许可证条例》第二十一条</w:t>
            </w:r>
            <w:r>
              <w:rPr>
                <w:rFonts w:hint="eastAsia" w:ascii="仿宋_GB2312" w:hAnsi="仿宋_GB2312" w:eastAsia="仿宋_GB2312" w:cs="仿宋_GB2312"/>
                <w:color w:val="auto"/>
                <w:kern w:val="0"/>
                <w:sz w:val="32"/>
                <w:szCs w:val="32"/>
              </w:rPr>
              <w:t>违反本条例规定，转让安全生产许可证的，没收违法所得，处10万元以上50万元以下的罚款，并吊销其安全生产许可证；构成犯罪的，依法追究刑事责任；接受转让的，依照本条例第十九条的规定处罚。</w:t>
            </w:r>
          </w:p>
          <w:p w14:paraId="2031E5FC">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冒用安全生产许可证或者使用伪造的安全生产许可证的，依照本条例第十九条的规定处罚。</w:t>
            </w:r>
          </w:p>
          <w:p w14:paraId="35CF3D9C">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《非煤矿矿山企业安全生产许可证实施办法》第四十一条</w:t>
            </w:r>
            <w:r>
              <w:rPr>
                <w:rFonts w:hint="eastAsia" w:ascii="仿宋_GB2312" w:hAnsi="仿宋_GB2312" w:eastAsia="仿宋_GB2312" w:cs="仿宋_GB2312"/>
                <w:color w:val="auto"/>
                <w:kern w:val="0"/>
                <w:sz w:val="32"/>
                <w:szCs w:val="32"/>
              </w:rPr>
              <w:t>取得安全生产许可证的非煤矿矿山企业有下列行为之一的，吊销其安全生产许可证：</w:t>
            </w:r>
          </w:p>
          <w:p w14:paraId="604FBC57">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（一）倒卖、出租、出借或者以其他形式非法转让安全生产许可证的；</w:t>
            </w:r>
          </w:p>
          <w:p w14:paraId="3F53FEF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0BE6EE02">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第四十二条非煤矿矿山企业有下列行为之一的，责令停止生产，没收违法所得，并处10万元以上50万元以下的罚款：</w:t>
            </w:r>
          </w:p>
          <w:p w14:paraId="5DCD34C5">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（二）接受转让的安全生产许可证的；</w:t>
            </w:r>
          </w:p>
          <w:p w14:paraId="216F9035">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（三）冒用安全生产许可证的；</w:t>
            </w:r>
          </w:p>
          <w:p w14:paraId="2B03559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（四）使用伪造的安全生产许可证的。</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F96ED96">
            <w:pPr>
              <w:widowControl/>
              <w:adjustRightInd w:val="0"/>
              <w:snapToGrid w:val="0"/>
              <w:rPr>
                <w:rFonts w:hint="eastAsia" w:ascii="仿宋_GB2312" w:hAnsi="仿宋_GB2312" w:eastAsia="仿宋_GB2312" w:cs="仿宋_GB2312"/>
                <w:color w:val="auto"/>
                <w:kern w:val="0"/>
                <w:sz w:val="32"/>
                <w:szCs w:val="32"/>
              </w:rPr>
            </w:pPr>
          </w:p>
        </w:tc>
      </w:tr>
      <w:tr w14:paraId="7B39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DDD694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565E85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基本图纸及与实际符合情况。</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F03CF3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未保存基本图纸或图实不符</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6963D82">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04523002">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《金属非金属矿山安全规程》（GB16423-2006）4.15</w:t>
            </w:r>
            <w:r>
              <w:rPr>
                <w:rFonts w:hint="eastAsia" w:ascii="仿宋_GB2312" w:hAnsi="仿宋_GB2312" w:eastAsia="仿宋_GB2312" w:cs="仿宋_GB2312"/>
                <w:color w:val="auto"/>
                <w:kern w:val="0"/>
                <w:sz w:val="32"/>
                <w:szCs w:val="32"/>
              </w:rPr>
              <w:t>露天矿山，应保存下列图纸，并根据实际情况的变化及时更新：</w:t>
            </w:r>
          </w:p>
          <w:p w14:paraId="0ECDE762">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——地形地质图；</w:t>
            </w:r>
          </w:p>
          <w:p w14:paraId="20946C55">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——采剥工程年末图；</w:t>
            </w:r>
          </w:p>
          <w:p w14:paraId="1C25E87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——防排水系统及排水设备布置图。</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A6F4B3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7931F7B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4E44D86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29CF7DD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（4）相关图纸资料；</w:t>
            </w:r>
          </w:p>
          <w:p w14:paraId="01BF723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1D43CBA">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1D78D3A3">
            <w:pPr>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《安全生产违法行为行政处罚办法》第四十五条第一项、第六项</w:t>
            </w:r>
            <w:r>
              <w:rPr>
                <w:rFonts w:hint="eastAsia" w:ascii="仿宋_GB2312" w:hAnsi="仿宋_GB2312" w:eastAsia="仿宋_GB2312" w:cs="仿宋_GB2312"/>
                <w:color w:val="auto"/>
                <w:sz w:val="32"/>
                <w:szCs w:val="32"/>
              </w:rPr>
              <w:t>生产经营单位及其主要负责人或者其他人员有下列兴文之一的，给予警告，并可以对生产经营单位处以1万元以上3万元以下罚款，对其主要负责人、其他有关人员处以1千元以上1万元以下的罚款：</w:t>
            </w:r>
          </w:p>
          <w:p w14:paraId="022ACBD5">
            <w:pPr>
              <w:numPr>
                <w:ilvl w:val="0"/>
                <w:numId w:val="9"/>
              </w:numPr>
              <w:adjustRightInd w:val="0"/>
              <w:snapToGri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违法操作规程或者安全管理规定作业的；......</w:t>
            </w:r>
          </w:p>
          <w:p w14:paraId="1001B05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（六）故意提供虚假情况或者隐瞒存在的事故隐患以及其他安全问题的；......</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9E67F52">
            <w:pPr>
              <w:widowControl/>
              <w:adjustRightInd w:val="0"/>
              <w:snapToGrid w:val="0"/>
              <w:rPr>
                <w:rFonts w:hint="eastAsia" w:ascii="仿宋_GB2312" w:hAnsi="仿宋_GB2312" w:eastAsia="仿宋_GB2312" w:cs="仿宋_GB2312"/>
                <w:color w:val="auto"/>
                <w:kern w:val="0"/>
                <w:sz w:val="32"/>
                <w:szCs w:val="32"/>
              </w:rPr>
            </w:pPr>
          </w:p>
        </w:tc>
      </w:tr>
      <w:tr w14:paraId="37B1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5E3D3C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95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F4CC196">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开采方式情况</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831228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3.1 分台阶开采</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20F06D4">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742EAC50">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《金属非金属矿山安全规程》（GB16423-2006）5.1.2</w:t>
            </w:r>
            <w:r>
              <w:rPr>
                <w:rFonts w:hint="eastAsia" w:ascii="仿宋_GB2312" w:hAnsi="仿宋_GB2312" w:eastAsia="仿宋_GB2312" w:cs="仿宋_GB2312"/>
                <w:color w:val="auto"/>
                <w:kern w:val="0"/>
                <w:sz w:val="32"/>
                <w:szCs w:val="32"/>
              </w:rPr>
              <w:t>露天开采应遵循自上而下的开采顺序，分台阶开采，并坚持“采剥并举，剥离先行”的原则。</w:t>
            </w:r>
          </w:p>
          <w:p w14:paraId="210A58F0">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43A6EC05">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二、金属非金属露天矿山重大生产安全事故隐患（三）未采用自上而下、分台阶或分层的方式进行开采。</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F3E1BC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68C623D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3359FAF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2F24983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7573A29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（5）安全管理制度；</w:t>
            </w:r>
          </w:p>
          <w:p w14:paraId="069FB86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64E9F2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04DF5E1">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1E226C0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2B1F5754">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8FC2DF0">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FD1F490">
            <w:pPr>
              <w:widowControl/>
              <w:adjustRightInd w:val="0"/>
              <w:snapToGrid w:val="0"/>
              <w:rPr>
                <w:rFonts w:hint="eastAsia" w:ascii="仿宋_GB2312" w:hAnsi="仿宋_GB2312" w:eastAsia="仿宋_GB2312" w:cs="仿宋_GB2312"/>
                <w:color w:val="auto"/>
                <w:kern w:val="0"/>
                <w:sz w:val="32"/>
                <w:szCs w:val="32"/>
              </w:rPr>
            </w:pPr>
          </w:p>
        </w:tc>
      </w:tr>
      <w:tr w14:paraId="12B6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044B78AA">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1FB43DF9">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E28025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3.2 台阶参数</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D6895CB">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A24965E">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《金属非金属矿山安全规程》（GB16423-2006）5.2.1.1</w:t>
            </w:r>
            <w:r>
              <w:rPr>
                <w:rFonts w:hint="eastAsia" w:ascii="仿宋_GB2312" w:hAnsi="仿宋_GB2312" w:eastAsia="仿宋_GB2312" w:cs="仿宋_GB2312"/>
                <w:color w:val="auto"/>
                <w:kern w:val="0"/>
                <w:sz w:val="32"/>
                <w:szCs w:val="32"/>
              </w:rPr>
              <w:t>生产台阶高度应符合表1的规定。</w:t>
            </w:r>
          </w:p>
          <w:p w14:paraId="6DA9ECE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开采结束，并段后的台阶高度超过表1的规定时，应经过技术论证，在保证安全的前提下，由设计确定。</w:t>
            </w:r>
          </w:p>
          <w:p w14:paraId="30DDAC2E">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6E73145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二、金属非金属露天矿山重大生产安全事故隐患（四）工作帮坡角大于设计工作帮坡角，或台阶（分层）高度超过设计高度。</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2B0837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4E7B29A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3106AA7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320D861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1BAA631D">
            <w:pPr>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（5）安全管理制度；</w:t>
            </w:r>
          </w:p>
          <w:p w14:paraId="3521C73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42D45E7">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E21A04E">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1F87FB4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22EEBD14">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F5B401E">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AC0365B">
            <w:pPr>
              <w:widowControl/>
              <w:adjustRightInd w:val="0"/>
              <w:snapToGrid w:val="0"/>
              <w:rPr>
                <w:rFonts w:hint="eastAsia" w:ascii="仿宋_GB2312" w:hAnsi="仿宋_GB2312" w:eastAsia="仿宋_GB2312" w:cs="仿宋_GB2312"/>
                <w:color w:val="auto"/>
                <w:kern w:val="0"/>
                <w:sz w:val="32"/>
                <w:szCs w:val="32"/>
              </w:rPr>
            </w:pPr>
          </w:p>
        </w:tc>
      </w:tr>
      <w:tr w14:paraId="5993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6DF00BE8">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1167BDD7">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C9E55A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3.3 凹陷露天矿山的防洪、排洪设施</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3D1569D">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F4A8103">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《金属非金属矿山安全规程》（GB16423-2006）5.1.4</w:t>
            </w:r>
            <w:r>
              <w:rPr>
                <w:rFonts w:hint="eastAsia" w:ascii="仿宋_GB2312" w:hAnsi="仿宋_GB2312" w:eastAsia="仿宋_GB2312" w:cs="仿宋_GB2312"/>
                <w:color w:val="auto"/>
                <w:kern w:val="0"/>
                <w:sz w:val="32"/>
                <w:szCs w:val="32"/>
              </w:rPr>
              <w:t>采剥和排土作业，不应对深部开采或邻近矿山造成水害和其他潜在安全隐患。</w:t>
            </w:r>
          </w:p>
          <w:p w14:paraId="7CADF21E">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露天矿山，尤其是深凹露天矿山，应设置专用的防洪、排洪设施。</w:t>
            </w:r>
          </w:p>
          <w:p w14:paraId="4064F467">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46DE27D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二、金属非金属露天矿山重大生产安全事故隐患（十）封闭圈深度30米及以上的凹陷露天矿山，未按照设计要求建设防洪、排洪设施。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5962A9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7277510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1FD86C3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1131989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04937A7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（5）安全管理制度；</w:t>
            </w:r>
          </w:p>
          <w:p w14:paraId="4CF2A99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（6）防洪、排洪设施设备购买凭证、说明书、合格证明；</w:t>
            </w:r>
          </w:p>
          <w:p w14:paraId="70B83B8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9BCC178">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CCAC513">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《安全生产违法行为行政处罚办法》第四十五条第一项</w:t>
            </w:r>
            <w:r>
              <w:rPr>
                <w:rFonts w:hint="eastAsia" w:ascii="仿宋_GB2312" w:hAnsi="仿宋_GB2312" w:eastAsia="仿宋_GB2312" w:cs="仿宋_GB2312"/>
                <w:color w:val="auto"/>
                <w:sz w:val="32"/>
                <w:szCs w:val="32"/>
              </w:rPr>
              <w:t>生产经营单位及其主要负责人或者其他人员有下列行为之一的，给予警告，并可以对生产经营单位处1万元以上3万元以下罚款，对其主要负责人、其他有关人员处1千元以上1万元以下的罚款：</w:t>
            </w:r>
          </w:p>
          <w:p w14:paraId="1B5FCEC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（一）违法操作规程或者安全管理规定作业的；……</w:t>
            </w:r>
          </w:p>
          <w:p w14:paraId="12F6395F">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55E07A4">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D6F57C5">
            <w:pPr>
              <w:widowControl/>
              <w:adjustRightInd w:val="0"/>
              <w:snapToGrid w:val="0"/>
              <w:rPr>
                <w:rFonts w:hint="eastAsia" w:ascii="仿宋_GB2312" w:hAnsi="仿宋_GB2312" w:eastAsia="仿宋_GB2312" w:cs="仿宋_GB2312"/>
                <w:color w:val="auto"/>
                <w:kern w:val="0"/>
                <w:sz w:val="32"/>
                <w:szCs w:val="32"/>
              </w:rPr>
            </w:pPr>
          </w:p>
        </w:tc>
      </w:tr>
      <w:tr w14:paraId="4449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50329D66">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59F1FCFA">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9546B6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3.4 小型露天采石场安全距离</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5454180">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《小型露天采石场安全管理与监督检查规定》第十二条</w:t>
            </w:r>
            <w:r>
              <w:rPr>
                <w:rFonts w:hint="eastAsia" w:ascii="仿宋_GB2312" w:hAnsi="仿宋_GB2312" w:eastAsia="仿宋_GB2312" w:cs="仿宋_GB2312"/>
                <w:color w:val="auto"/>
                <w:kern w:val="0"/>
                <w:sz w:val="32"/>
                <w:szCs w:val="32"/>
              </w:rPr>
              <w:t>相邻的采石场开采范围之间最小距离应当大于300米。对可能危及对方生产安全的,双方应当签订安全生产管理协议,明确各自的安全生产管理职责和应当采取的安全措施,指定专门人员进行安全检查与协调。</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AD1457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19425E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241B9A7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631A569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4B6E20AD">
            <w:pPr>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（5）安全管理制度；</w:t>
            </w:r>
          </w:p>
          <w:p w14:paraId="42AEF7C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016A23D">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《小型露天采石场安全管理与监督检查规定》第三十九条</w:t>
            </w:r>
            <w:r>
              <w:rPr>
                <w:rFonts w:hint="eastAsia" w:ascii="仿宋_GB2312" w:hAnsi="仿宋_GB2312" w:eastAsia="仿宋_GB2312" w:cs="仿宋_GB2312"/>
                <w:color w:val="auto"/>
                <w:kern w:val="0"/>
                <w:sz w:val="32"/>
                <w:szCs w:val="32"/>
              </w:rPr>
              <w:t>违反本规定第十二条、第十三条第一、二款、第十四条、第十五条、第十六条、第十七条、第十九条、第二十条第一款、第二十一条、第二十二条规定的，给予警告，并处1万元以上3万元以下的罚款。</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880FBF2">
            <w:pPr>
              <w:widowControl/>
              <w:adjustRightInd w:val="0"/>
              <w:snapToGrid w:val="0"/>
              <w:rPr>
                <w:rFonts w:hint="eastAsia" w:ascii="仿宋_GB2312" w:hAnsi="仿宋_GB2312" w:eastAsia="仿宋_GB2312" w:cs="仿宋_GB2312"/>
                <w:color w:val="auto"/>
                <w:kern w:val="0"/>
                <w:sz w:val="32"/>
                <w:szCs w:val="32"/>
              </w:rPr>
            </w:pPr>
          </w:p>
        </w:tc>
      </w:tr>
      <w:tr w14:paraId="766F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2B6A7C8A">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48391584">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99C21D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3.5 小型露天采石场分层开采</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86EBA28">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《小型露天采石场安全管理与监督检查规定》第十五条第一款</w:t>
            </w:r>
            <w:r>
              <w:rPr>
                <w:rFonts w:hint="eastAsia" w:ascii="仿宋_GB2312" w:hAnsi="仿宋_GB2312" w:eastAsia="仿宋_GB2312" w:cs="仿宋_GB2312"/>
                <w:color w:val="auto"/>
                <w:kern w:val="0"/>
                <w:sz w:val="32"/>
                <w:szCs w:val="32"/>
              </w:rPr>
              <w:t>小型露天采石场应当采用台阶式开采。不能采用台阶式开采的，应当自上而下分层顺序开采。</w:t>
            </w:r>
          </w:p>
          <w:p w14:paraId="5EEE4F85">
            <w:pPr>
              <w:adjustRightInd w:val="0"/>
              <w:snapToGrid w:val="0"/>
              <w:ind w:firstLine="640" w:firstLineChars="200"/>
              <w:rPr>
                <w:rFonts w:hint="eastAsia" w:ascii="仿宋_GB2312" w:hAnsi="仿宋_GB2312" w:eastAsia="仿宋_GB2312" w:cs="仿宋_GB2312"/>
                <w:color w:val="auto"/>
                <w:kern w:val="0"/>
                <w:sz w:val="32"/>
                <w:szCs w:val="32"/>
              </w:rPr>
            </w:pP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DEAE31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0A6ACF0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09F83DA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37F3219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2F45C87F">
            <w:pPr>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（5）安全管理制度；</w:t>
            </w:r>
          </w:p>
          <w:p w14:paraId="02441C1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46EF15D">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《小型露天采石场安全管理与监督检查规定》第三十九条</w:t>
            </w:r>
            <w:r>
              <w:rPr>
                <w:rFonts w:hint="eastAsia" w:ascii="仿宋_GB2312" w:hAnsi="仿宋_GB2312" w:eastAsia="仿宋_GB2312" w:cs="仿宋_GB2312"/>
                <w:color w:val="auto"/>
                <w:kern w:val="0"/>
                <w:sz w:val="32"/>
                <w:szCs w:val="32"/>
              </w:rPr>
              <w:t>违反本规定第十二条、第十三条第一、二款、第十四条、第十五条、第十六条、第十七条、第十九条、第二十条第一款、第二十一条、第二十二条规定的，给予警告，并处1万元以上3万元以下的罚款。</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0DFB904">
            <w:pPr>
              <w:widowControl/>
              <w:adjustRightInd w:val="0"/>
              <w:snapToGrid w:val="0"/>
              <w:rPr>
                <w:rFonts w:hint="eastAsia" w:ascii="仿宋_GB2312" w:hAnsi="仿宋_GB2312" w:eastAsia="仿宋_GB2312" w:cs="仿宋_GB2312"/>
                <w:color w:val="auto"/>
                <w:kern w:val="0"/>
                <w:sz w:val="32"/>
                <w:szCs w:val="32"/>
              </w:rPr>
            </w:pPr>
          </w:p>
        </w:tc>
      </w:tr>
      <w:tr w14:paraId="3CB5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266F2566">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2A1F3A5F">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BECDE0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3.6 小型露天采石场分层参数</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4E3909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《小型露天采石场安全管理与监督检查规定》第十五条</w:t>
            </w:r>
            <w:r>
              <w:rPr>
                <w:rFonts w:hint="eastAsia" w:ascii="仿宋_GB2312" w:hAnsi="仿宋_GB2312" w:eastAsia="仿宋_GB2312" w:cs="仿宋_GB2312"/>
                <w:color w:val="auto"/>
                <w:kern w:val="0"/>
                <w:sz w:val="32"/>
                <w:szCs w:val="32"/>
              </w:rPr>
              <w:t>小型露天采石场应当采用台阶式开采。不能采用台阶式开采的，应当自上而下分层顺序开采。</w:t>
            </w:r>
          </w:p>
          <w:p w14:paraId="37E644ED">
            <w:pPr>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p>
          <w:p w14:paraId="0670B801">
            <w:pPr>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分层开采的凿岩平台宽度由设计确定，最小凿岩平台宽度不得小于4米。</w:t>
            </w:r>
          </w:p>
          <w:p w14:paraId="313DD38B">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分层开采的底部装运平台宽度由设计确定，且应当满足调车作业所需的最小平台宽度要求。</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8F8C9B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046C33D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79F37CA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2D8FDA8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4951605A">
            <w:pPr>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（5）安全管理制度；</w:t>
            </w:r>
          </w:p>
          <w:p w14:paraId="645282B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9CA2447">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《小型露天采石场安全管理与监督检查规定》第三十九条</w:t>
            </w:r>
            <w:r>
              <w:rPr>
                <w:rFonts w:hint="eastAsia" w:ascii="仿宋_GB2312" w:hAnsi="仿宋_GB2312" w:eastAsia="仿宋_GB2312" w:cs="仿宋_GB2312"/>
                <w:color w:val="auto"/>
                <w:kern w:val="0"/>
                <w:sz w:val="32"/>
                <w:szCs w:val="32"/>
              </w:rPr>
              <w:t>违反本规定第十二条、第十三条第一、二款、第十四条、第十五条、第十六条、第十七条、第十九条、第二十条第一款、第二十一条、第二十二条规定的，给予警告，并处1万元以上3万元以下的罚款。</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C41AAAD">
            <w:pPr>
              <w:widowControl/>
              <w:adjustRightInd w:val="0"/>
              <w:snapToGrid w:val="0"/>
              <w:rPr>
                <w:rFonts w:hint="eastAsia" w:ascii="仿宋_GB2312" w:hAnsi="仿宋_GB2312" w:eastAsia="仿宋_GB2312" w:cs="仿宋_GB2312"/>
                <w:color w:val="auto"/>
                <w:kern w:val="0"/>
                <w:sz w:val="32"/>
                <w:szCs w:val="32"/>
              </w:rPr>
            </w:pPr>
          </w:p>
        </w:tc>
      </w:tr>
      <w:tr w14:paraId="3656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83F6464">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 </w:t>
            </w:r>
          </w:p>
        </w:tc>
        <w:tc>
          <w:tcPr>
            <w:tcW w:w="95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4A6A01B">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采掘作业管理情况</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E33E70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4.1 穿孔作业行为</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F4BC4B3">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第五十七条</w:t>
            </w:r>
            <w:r>
              <w:rPr>
                <w:rFonts w:hint="eastAsia" w:ascii="仿宋_GB2312" w:hAnsi="仿宋_GB2312" w:eastAsia="仿宋_GB2312" w:cs="仿宋_GB2312"/>
                <w:bCs/>
                <w:snapToGrid w:val="0"/>
                <w:color w:val="auto"/>
                <w:kern w:val="0"/>
                <w:sz w:val="32"/>
                <w:szCs w:val="32"/>
              </w:rPr>
              <w:t>从业人员在作业过程中，应当严格落实岗位安全责任，遵守本单位的安全生产规章制度和操作规程，服从管理，正确佩戴和使用劳动防护用品。</w:t>
            </w:r>
          </w:p>
          <w:p w14:paraId="00B46E47">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《金属非金属矿山安全规程》（GB16423-2006）5.2.2.4</w:t>
            </w:r>
            <w:r>
              <w:rPr>
                <w:rFonts w:hint="eastAsia" w:ascii="仿宋_GB2312" w:hAnsi="仿宋_GB2312" w:eastAsia="仿宋_GB2312" w:cs="仿宋_GB2312"/>
                <w:color w:val="auto"/>
                <w:kern w:val="0"/>
                <w:sz w:val="32"/>
                <w:szCs w:val="32"/>
              </w:rPr>
              <w:t>移动电缆和停、切、送电源时，应严格穿戴好高压绝缘手套和绝缘鞋，使用符合安全要求的电缆钩；跨越公路的电缆，应埋设在地下。钻机发生接地故障时，应立即停机，同时任何人均不应上、下钻机。打雷、暴雨、大雪或大风天气，不应上钻架顶作业。不应双层作业。高空作业时，应系好安全带。</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4F2DF0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64B5B61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3D9AE5E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7BEFB06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24934AF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（5）安全管理制度；</w:t>
            </w:r>
          </w:p>
          <w:p w14:paraId="0522B86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3936386">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《中华人民共和国安全生产法》第一百零七条</w:t>
            </w:r>
            <w:r>
              <w:rPr>
                <w:rFonts w:hint="eastAsia" w:ascii="仿宋_GB2312" w:hAnsi="仿宋_GB2312" w:eastAsia="仿宋_GB2312" w:cs="仿宋_GB2312"/>
                <w:color w:val="auto"/>
                <w:kern w:val="0"/>
                <w:sz w:val="32"/>
                <w:szCs w:val="32"/>
              </w:rPr>
              <w:t>生产经营单位的从业人员不落实岗位安全责任，不服从管理，违反安全生产规章制度或者操作规程的，由生产经营单位给予批评教育，依照有关规章制度给予处分；构成犯罪的，依照刑法有关规定追究刑事责任。</w:t>
            </w:r>
          </w:p>
          <w:p w14:paraId="7DED3E9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生产经营单位及其主要负责人或者其他人员有下列行为之一的，给予警告，并可以对生产经营单位处1万元以上3万元以下罚款，对其主要负责人、其他有关人员处1000元以上1万元以下的罚款：</w:t>
            </w:r>
          </w:p>
          <w:p w14:paraId="5057797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0C2C98E">
            <w:pPr>
              <w:widowControl/>
              <w:adjustRightInd w:val="0"/>
              <w:snapToGrid w:val="0"/>
              <w:rPr>
                <w:rFonts w:hint="eastAsia" w:ascii="仿宋_GB2312" w:hAnsi="仿宋_GB2312" w:eastAsia="仿宋_GB2312" w:cs="仿宋_GB2312"/>
                <w:color w:val="auto"/>
                <w:kern w:val="0"/>
                <w:sz w:val="32"/>
                <w:szCs w:val="32"/>
              </w:rPr>
            </w:pPr>
          </w:p>
        </w:tc>
      </w:tr>
      <w:tr w14:paraId="1515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1A6B4071">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6CBBACAF">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244B7B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4.2铲装作业行为</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CF7CE95">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第五十七条</w:t>
            </w:r>
            <w:r>
              <w:rPr>
                <w:rFonts w:hint="eastAsia" w:ascii="仿宋_GB2312" w:hAnsi="仿宋_GB2312" w:eastAsia="仿宋_GB2312" w:cs="仿宋_GB2312"/>
                <w:bCs/>
                <w:snapToGrid w:val="0"/>
                <w:color w:val="auto"/>
                <w:kern w:val="0"/>
                <w:sz w:val="32"/>
                <w:szCs w:val="32"/>
              </w:rPr>
              <w:t>从业人员在作业过程中，应当严格落实岗位安全责任，遵守本单位的安全生产规章制度和操作规程，服从管理，正确佩戴和使用劳动防护用品。</w:t>
            </w:r>
          </w:p>
          <w:p w14:paraId="039F0F77">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《金属非金属矿山安全规程》（GB16423-2006）5.2.3.7</w:t>
            </w:r>
            <w:r>
              <w:rPr>
                <w:rFonts w:hint="eastAsia" w:ascii="仿宋_GB2312" w:hAnsi="仿宋_GB2312" w:eastAsia="仿宋_GB2312" w:cs="仿宋_GB2312"/>
                <w:color w:val="auto"/>
                <w:kern w:val="0"/>
                <w:sz w:val="32"/>
                <w:szCs w:val="32"/>
              </w:rPr>
              <w:t>两台以上的挖掘机在同一平台上作业时，挖掘机的间距：汽车运输时，应不小于其最大挖掘半径的3倍，且应不小于50m；机车运输时，应不小于二列列车的长度。</w:t>
            </w:r>
          </w:p>
          <w:p w14:paraId="05AD318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《金属非金属矿山安全规程》（GB16423-2006）5.2.3.8 </w:t>
            </w:r>
            <w:r>
              <w:rPr>
                <w:rFonts w:hint="eastAsia" w:ascii="仿宋_GB2312" w:hAnsi="仿宋_GB2312" w:eastAsia="仿宋_GB2312" w:cs="仿宋_GB2312"/>
                <w:color w:val="auto"/>
                <w:kern w:val="0"/>
                <w:sz w:val="32"/>
                <w:szCs w:val="32"/>
              </w:rPr>
              <w:t>上、下台阶同时作业的挖掘机，应沿台阶走向错开一定的距离；在上部台阶边缘安全带进行辅助作业的挖掘机，应超前下部台阶正常作业的挖掘机最大挖掘半径3倍的距离，且不小于50m。</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01365D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49E5D8A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15E1C17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7C087F6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5F8C317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（5）安全管理制度；</w:t>
            </w:r>
          </w:p>
          <w:p w14:paraId="0DE23EB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9F22CE3">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《中华人民共和国安全生产法》第一百零七条</w:t>
            </w:r>
            <w:r>
              <w:rPr>
                <w:rFonts w:hint="eastAsia" w:ascii="仿宋_GB2312" w:hAnsi="仿宋_GB2312" w:eastAsia="仿宋_GB2312" w:cs="仿宋_GB2312"/>
                <w:color w:val="auto"/>
                <w:kern w:val="0"/>
                <w:sz w:val="32"/>
                <w:szCs w:val="32"/>
              </w:rPr>
              <w:t>生产经营单位的从业人员不落实岗位安全责任，不服从管理，违反安全生产规章制度或者操作规程的，由生产经营单位给予批评教育，依照有关规章制度给予处分；构成犯罪的，依照刑法有关规定追究刑事责任。</w:t>
            </w:r>
          </w:p>
          <w:p w14:paraId="07EF9F82">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生产经营单位及其主要负责人或者其他人员有下列行为之一的，给予警告，并可以对生产经营单位处1万元以上3万元以下罚款，对其主要负责人、其他有关人员处1000元以上1万元以下的罚款：</w:t>
            </w:r>
          </w:p>
          <w:p w14:paraId="2DB56E6E">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9122E89">
            <w:pPr>
              <w:widowControl/>
              <w:adjustRightInd w:val="0"/>
              <w:snapToGrid w:val="0"/>
              <w:rPr>
                <w:rFonts w:hint="eastAsia" w:ascii="仿宋_GB2312" w:hAnsi="仿宋_GB2312" w:eastAsia="仿宋_GB2312" w:cs="仿宋_GB2312"/>
                <w:color w:val="auto"/>
                <w:kern w:val="0"/>
                <w:sz w:val="32"/>
                <w:szCs w:val="32"/>
              </w:rPr>
            </w:pPr>
          </w:p>
        </w:tc>
      </w:tr>
      <w:tr w14:paraId="6BD4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239E0684">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44BBE192">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9A667E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4.3 护栏、挡车墙设置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A2DF785">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7AD619D">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《金属非金属矿山安全规程》（GB16423-2006）5.3.2.6 </w:t>
            </w:r>
            <w:r>
              <w:rPr>
                <w:rFonts w:hint="eastAsia" w:ascii="仿宋_GB2312" w:hAnsi="仿宋_GB2312" w:eastAsia="仿宋_GB2312" w:cs="仿宋_GB2312"/>
                <w:color w:val="auto"/>
                <w:kern w:val="0"/>
                <w:sz w:val="32"/>
                <w:szCs w:val="32"/>
              </w:rPr>
              <w:t>山坡填方的弯道、坡度较大的填方地段以及高堤路基路段，外侧应设置护栏、挡车墙等。</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BBBE90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64DF0AE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6779812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12F77F5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2E85918E">
            <w:pPr>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（5）安全管理制度；</w:t>
            </w:r>
          </w:p>
          <w:p w14:paraId="1180B4F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EA91617">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7015BAA5">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生产经营单位及其主要负责人或者其他人员有下列行为之一的，给予警告，并可以对生产经营单位处1万元以上3万元以下罚款，对其主要负责人、其他有关人员处1000元以上1万元以下的罚款：</w:t>
            </w:r>
          </w:p>
          <w:p w14:paraId="48AE18A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1ACC288">
            <w:pPr>
              <w:widowControl/>
              <w:adjustRightInd w:val="0"/>
              <w:snapToGrid w:val="0"/>
              <w:rPr>
                <w:rFonts w:hint="eastAsia" w:ascii="仿宋_GB2312" w:hAnsi="仿宋_GB2312" w:eastAsia="仿宋_GB2312" w:cs="仿宋_GB2312"/>
                <w:color w:val="auto"/>
                <w:kern w:val="0"/>
                <w:sz w:val="32"/>
                <w:szCs w:val="32"/>
              </w:rPr>
            </w:pPr>
          </w:p>
        </w:tc>
      </w:tr>
      <w:tr w14:paraId="7BA3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73C6927">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123B749E">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0B52B9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4.4 禁止使用扩壶爆破、掏底崩落、掏挖开采、不分层的“一面墙”开采、爆破方式对大块矿岩进行二次破碎、无稳压装置的中深孔凿岩设备、集中铲装作业时人工装卸矿岩、未安装捕尘装置的干式凿岩作业</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A977C11">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第三十八条</w:t>
            </w:r>
            <w:r>
              <w:rPr>
                <w:rFonts w:hint="eastAsia" w:ascii="仿宋_GB2312" w:hAnsi="仿宋_GB2312" w:eastAsia="仿宋_GB2312" w:cs="仿宋_GB2312"/>
                <w:bCs/>
                <w:snapToGrid w:val="0"/>
                <w:color w:val="auto"/>
                <w:kern w:val="0"/>
                <w:sz w:val="32"/>
                <w:szCs w:val="32"/>
              </w:rPr>
              <w:t>国家对严重危及生产安全的工艺、设备实行淘汰制度，具体目录由国务院应急管理部门会同国务院有关部门制定并公布。法律、行政法规对目录的制定另有规定的，适用其规定。</w:t>
            </w:r>
          </w:p>
          <w:p w14:paraId="33460A54">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省、自治区、直辖市人民政府可以根据本地区实际情况制定并公布具体目录，对前款规定以外的危及生产安全的工艺、设备予以淘汰。</w:t>
            </w:r>
          </w:p>
          <w:p w14:paraId="5F15DD07">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生产经营单位不得使用应当淘汰的危及生产安全的工艺、设备。</w:t>
            </w:r>
          </w:p>
          <w:p w14:paraId="7FABE033">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rPr>
              <w:t>国家安全监管总局关于发布金属非金属矿山禁止使用的设备及工艺目录（第二批）的通知》</w:t>
            </w:r>
          </w:p>
          <w:p w14:paraId="66426C93">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新建、改建、扩建的矿山从本目录发布之日起，一律禁止使用下列设备及工艺。现有生产矿山在用下列设备及工艺的，按照本目录规定的时限予以强制淘汰。</w:t>
            </w:r>
          </w:p>
          <w:p w14:paraId="59B806EC">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1．扩壶爆破（金属非金属露天矿山自发布之日起立即禁止使用）；</w:t>
            </w:r>
          </w:p>
          <w:p w14:paraId="796E094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2．掏底崩落、掏挖开采、不分层的“一面墙”开采（金属非金属露天矿山自发布之日起立即禁止使用）；</w:t>
            </w:r>
          </w:p>
          <w:p w14:paraId="596979D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3．使用爆破方式对大块矿岩进行二次破碎（金属非金属露天矿山自发布之日起立即禁止使用）；</w:t>
            </w:r>
          </w:p>
          <w:p w14:paraId="6649475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 无稳压装置的中深孔凿岩设备（金属非金属露天矿山自发布之日起一年后禁止使用）；</w:t>
            </w:r>
          </w:p>
          <w:p w14:paraId="2DC7697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 集中铲装作业时人工装卸矿岩（金属非金属露天矿山自发布之日起立即禁止使用，地下矿山自发布之日起一年半后禁止使用）；</w:t>
            </w:r>
          </w:p>
          <w:p w14:paraId="7A05B202">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6．未安装捕尘装置的干式凿岩作业（金属非金属地下矿山自发布之日起立即禁止使用，露天矿山自发布之日起半年后禁止使用）；......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1DC430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731CA9D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40F4395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08835ED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0CD37A7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（5）安全管理制度；</w:t>
            </w:r>
          </w:p>
          <w:p w14:paraId="28F9C1A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（6）工艺及流程相关制度；</w:t>
            </w:r>
          </w:p>
          <w:p w14:paraId="2E644EB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（7）设施设备的购买凭证、说明书、合格证明；</w:t>
            </w:r>
          </w:p>
          <w:p w14:paraId="6E3E9D64">
            <w:pPr>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（8）其他相关证据。</w:t>
            </w:r>
          </w:p>
          <w:p w14:paraId="06A22C7F">
            <w:pPr>
              <w:adjustRightInd w:val="0"/>
              <w:snapToGrid w:val="0"/>
              <w:rPr>
                <w:rFonts w:hint="eastAsia" w:ascii="仿宋_GB2312" w:hAnsi="仿宋_GB2312" w:eastAsia="仿宋_GB2312" w:cs="仿宋_GB2312"/>
                <w:bCs/>
                <w:snapToGrid w:val="0"/>
                <w:color w:val="auto"/>
                <w:kern w:val="0"/>
                <w:sz w:val="32"/>
                <w:szCs w:val="32"/>
              </w:rPr>
            </w:pP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6E7B469">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第九十九条第七项</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C3A0C8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（七）使用应当淘汰的危及生产安全的工艺、设备的；</w:t>
            </w:r>
          </w:p>
          <w:p w14:paraId="4DAA4441">
            <w:pPr>
              <w:widowControl/>
              <w:shd w:val="clear" w:color="auto" w:fill="FFFFFF"/>
              <w:rPr>
                <w:rFonts w:hint="eastAsia" w:ascii="仿宋_GB2312" w:hAnsi="仿宋_GB2312" w:eastAsia="仿宋_GB2312" w:cs="仿宋_GB2312"/>
                <w:color w:val="auto"/>
                <w:kern w:val="0"/>
                <w:sz w:val="32"/>
                <w:szCs w:val="32"/>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9E26B07">
            <w:pPr>
              <w:widowControl/>
              <w:adjustRightInd w:val="0"/>
              <w:snapToGrid w:val="0"/>
              <w:rPr>
                <w:rFonts w:hint="eastAsia" w:ascii="仿宋_GB2312" w:hAnsi="仿宋_GB2312" w:eastAsia="仿宋_GB2312" w:cs="仿宋_GB2312"/>
                <w:color w:val="auto"/>
                <w:kern w:val="0"/>
                <w:sz w:val="32"/>
                <w:szCs w:val="32"/>
              </w:rPr>
            </w:pPr>
          </w:p>
        </w:tc>
      </w:tr>
      <w:tr w14:paraId="331F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64A213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95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27F0ED8">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运输系统</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0378E8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5.1 铁路运输</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0EA1DE2">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《金属非金属矿山安全规程》（GB16423-2006）5.3.1.9</w:t>
            </w:r>
            <w:r>
              <w:rPr>
                <w:rFonts w:hint="eastAsia" w:ascii="仿宋_GB2312" w:hAnsi="仿宋_GB2312" w:eastAsia="仿宋_GB2312" w:cs="仿宋_GB2312"/>
                <w:color w:val="auto"/>
                <w:kern w:val="0"/>
                <w:sz w:val="32"/>
                <w:szCs w:val="32"/>
              </w:rPr>
              <w:t>同一调车线路，不应两端同时进行调车。采取溜放方式调车时，应有相应的安全制动措施。在运行区间内不准甩车。在站线坡度大于2.5‰(滚动轴承车辆大于1.5‰，窄轨大于3‰)的坡道上进行甩车作业时，应采取防溜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F13904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4AC1D8C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6B86282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700EDDB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0090F99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（5）安全管理制度；</w:t>
            </w:r>
          </w:p>
          <w:p w14:paraId="55289EA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9E4D7B9">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0C12AC9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828164F">
            <w:pPr>
              <w:widowControl/>
              <w:adjustRightInd w:val="0"/>
              <w:snapToGrid w:val="0"/>
              <w:rPr>
                <w:rFonts w:hint="eastAsia" w:ascii="仿宋_GB2312" w:hAnsi="仿宋_GB2312" w:eastAsia="仿宋_GB2312" w:cs="仿宋_GB2312"/>
                <w:color w:val="auto"/>
                <w:kern w:val="0"/>
                <w:sz w:val="32"/>
                <w:szCs w:val="32"/>
              </w:rPr>
            </w:pPr>
          </w:p>
        </w:tc>
      </w:tr>
      <w:tr w14:paraId="4355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1FF3A594">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1902D7D0">
            <w:pPr>
              <w:widowControl/>
              <w:jc w:val="left"/>
              <w:rPr>
                <w:rFonts w:hint="eastAsia" w:ascii="仿宋_GB2312" w:hAnsi="仿宋_GB2312" w:eastAsia="仿宋_GB2312" w:cs="仿宋_GB2312"/>
                <w:color w:val="auto"/>
                <w:sz w:val="32"/>
                <w:szCs w:val="32"/>
              </w:rPr>
            </w:pPr>
          </w:p>
        </w:tc>
        <w:tc>
          <w:tcPr>
            <w:tcW w:w="95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9225DA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5.2 道路运输</w:t>
            </w:r>
          </w:p>
        </w:tc>
        <w:tc>
          <w:tcPr>
            <w:tcW w:w="390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F15F730">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3BC87169">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《金属非金属矿山安全规程》（GB16423-2006）5.3.2.5</w:t>
            </w:r>
            <w:r>
              <w:rPr>
                <w:rFonts w:hint="eastAsia" w:ascii="仿宋_GB2312" w:hAnsi="仿宋_GB2312" w:eastAsia="仿宋_GB2312" w:cs="仿宋_GB2312"/>
                <w:color w:val="auto"/>
                <w:kern w:val="0"/>
                <w:sz w:val="32"/>
                <w:szCs w:val="32"/>
              </w:rPr>
              <w:t>冰雪或多雨季节道路较滑时，应有防滑措施并减速行驶；前后车距应不小于40m；拖挂其他车辆时，应采取有效的安全措施，并有专人指挥。</w:t>
            </w:r>
          </w:p>
          <w:p w14:paraId="555B81B5">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《金属非金属矿山安全规程》（GB16423-2006）5.3.2.6</w:t>
            </w:r>
            <w:r>
              <w:rPr>
                <w:rFonts w:hint="eastAsia" w:ascii="仿宋_GB2312" w:hAnsi="仿宋_GB2312" w:eastAsia="仿宋_GB2312" w:cs="仿宋_GB2312"/>
                <w:color w:val="auto"/>
                <w:kern w:val="0"/>
                <w:sz w:val="32"/>
                <w:szCs w:val="32"/>
              </w:rPr>
              <w:t>山坡填方的弯道、坡度较大的填方地段以及高堤路基路段，外侧应设置护栏、挡车墙等。</w:t>
            </w:r>
          </w:p>
        </w:tc>
        <w:tc>
          <w:tcPr>
            <w:tcW w:w="3882"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15CF4A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FCD4EC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7B0EC74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4C1D237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32D27371">
            <w:pPr>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（5）安全管理制度；</w:t>
            </w:r>
          </w:p>
          <w:p w14:paraId="4B01F7C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p w14:paraId="6C76FC75">
            <w:pPr>
              <w:adjustRightInd w:val="0"/>
              <w:snapToGrid w:val="0"/>
              <w:rPr>
                <w:rFonts w:hint="eastAsia" w:ascii="仿宋_GB2312" w:hAnsi="仿宋_GB2312" w:eastAsia="仿宋_GB2312" w:cs="仿宋_GB2312"/>
                <w:bCs/>
                <w:snapToGrid w:val="0"/>
                <w:color w:val="auto"/>
                <w:kern w:val="0"/>
                <w:sz w:val="32"/>
                <w:szCs w:val="32"/>
              </w:rPr>
            </w:pPr>
          </w:p>
        </w:tc>
        <w:tc>
          <w:tcPr>
            <w:tcW w:w="3902"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A1F2B89">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1EDE367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p w14:paraId="01B3E702">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493C44A">
            <w:pPr>
              <w:widowControl/>
              <w:adjustRightInd w:val="0"/>
              <w:snapToGrid w:val="0"/>
              <w:rPr>
                <w:rFonts w:hint="eastAsia" w:ascii="仿宋_GB2312" w:hAnsi="仿宋_GB2312" w:eastAsia="仿宋_GB2312" w:cs="仿宋_GB2312"/>
                <w:color w:val="auto"/>
                <w:kern w:val="0"/>
                <w:sz w:val="32"/>
                <w:szCs w:val="32"/>
              </w:rPr>
            </w:pPr>
          </w:p>
        </w:tc>
      </w:tr>
      <w:tr w14:paraId="564D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65161941">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04E96C46">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251EEEB1">
            <w:pPr>
              <w:widowControl/>
              <w:jc w:val="left"/>
              <w:rPr>
                <w:rFonts w:hint="eastAsia" w:ascii="仿宋_GB2312" w:hAnsi="仿宋_GB2312" w:eastAsia="仿宋_GB2312" w:cs="仿宋_GB2312"/>
                <w:bCs/>
                <w:snapToGrid w:val="0"/>
                <w:color w:val="auto"/>
                <w:kern w:val="0"/>
                <w:sz w:val="32"/>
                <w:szCs w:val="32"/>
              </w:rPr>
            </w:pPr>
          </w:p>
        </w:tc>
        <w:tc>
          <w:tcPr>
            <w:tcW w:w="3907" w:type="dxa"/>
            <w:vMerge w:val="continue"/>
            <w:tcBorders>
              <w:top w:val="single" w:color="auto" w:sz="4" w:space="0"/>
              <w:left w:val="single" w:color="auto" w:sz="4" w:space="0"/>
              <w:bottom w:val="single" w:color="auto" w:sz="4" w:space="0"/>
              <w:right w:val="single" w:color="auto" w:sz="4" w:space="0"/>
            </w:tcBorders>
            <w:vAlign w:val="center"/>
          </w:tcPr>
          <w:p w14:paraId="49FC3A5E">
            <w:pPr>
              <w:widowControl/>
              <w:jc w:val="left"/>
              <w:rPr>
                <w:rFonts w:hint="eastAsia" w:ascii="仿宋_GB2312" w:hAnsi="仿宋_GB2312" w:eastAsia="仿宋_GB2312" w:cs="仿宋_GB2312"/>
                <w:color w:val="auto"/>
                <w:kern w:val="0"/>
                <w:sz w:val="32"/>
                <w:szCs w:val="32"/>
              </w:rPr>
            </w:pPr>
          </w:p>
        </w:tc>
        <w:tc>
          <w:tcPr>
            <w:tcW w:w="3882" w:type="dxa"/>
            <w:vMerge w:val="continue"/>
            <w:tcBorders>
              <w:top w:val="single" w:color="auto" w:sz="4" w:space="0"/>
              <w:left w:val="single" w:color="auto" w:sz="4" w:space="0"/>
              <w:bottom w:val="single" w:color="auto" w:sz="4" w:space="0"/>
              <w:right w:val="single" w:color="auto" w:sz="4" w:space="0"/>
            </w:tcBorders>
            <w:vAlign w:val="center"/>
          </w:tcPr>
          <w:p w14:paraId="28472905">
            <w:pPr>
              <w:widowControl/>
              <w:jc w:val="left"/>
              <w:rPr>
                <w:rFonts w:hint="eastAsia" w:ascii="仿宋_GB2312" w:hAnsi="仿宋_GB2312" w:eastAsia="仿宋_GB2312" w:cs="仿宋_GB2312"/>
                <w:bCs/>
                <w:snapToGrid w:val="0"/>
                <w:color w:val="auto"/>
                <w:kern w:val="0"/>
                <w:sz w:val="32"/>
                <w:szCs w:val="32"/>
              </w:rPr>
            </w:pPr>
          </w:p>
        </w:tc>
        <w:tc>
          <w:tcPr>
            <w:tcW w:w="3902" w:type="dxa"/>
            <w:vMerge w:val="continue"/>
            <w:tcBorders>
              <w:top w:val="single" w:color="auto" w:sz="4" w:space="0"/>
              <w:left w:val="single" w:color="auto" w:sz="4" w:space="0"/>
              <w:bottom w:val="single" w:color="auto" w:sz="4" w:space="0"/>
              <w:right w:val="single" w:color="auto" w:sz="4" w:space="0"/>
            </w:tcBorders>
            <w:vAlign w:val="center"/>
          </w:tcPr>
          <w:p w14:paraId="5A3034C6">
            <w:pPr>
              <w:widowControl/>
              <w:jc w:val="left"/>
              <w:rPr>
                <w:rFonts w:hint="eastAsia" w:ascii="仿宋_GB2312" w:hAnsi="仿宋_GB2312" w:eastAsia="仿宋_GB2312" w:cs="仿宋_GB2312"/>
                <w:color w:val="auto"/>
                <w:kern w:val="0"/>
                <w:sz w:val="32"/>
                <w:szCs w:val="32"/>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0DA60A3">
            <w:pPr>
              <w:widowControl/>
              <w:adjustRightInd w:val="0"/>
              <w:snapToGrid w:val="0"/>
              <w:rPr>
                <w:rFonts w:hint="eastAsia" w:ascii="仿宋_GB2312" w:hAnsi="仿宋_GB2312" w:eastAsia="仿宋_GB2312" w:cs="仿宋_GB2312"/>
                <w:color w:val="auto"/>
                <w:kern w:val="0"/>
                <w:sz w:val="32"/>
                <w:szCs w:val="32"/>
              </w:rPr>
            </w:pPr>
          </w:p>
        </w:tc>
      </w:tr>
      <w:tr w14:paraId="254D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1E1C51B7">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3BB6F266">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BDE1C0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5.3溜槽、平硐溜井运输</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26EDCA4">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48CDD62">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《金属非金属矿山安全规程》（GB16423-2006）5.3.3.5</w:t>
            </w:r>
            <w:r>
              <w:rPr>
                <w:rFonts w:hint="eastAsia" w:ascii="仿宋_GB2312" w:hAnsi="仿宋_GB2312" w:eastAsia="仿宋_GB2312" w:cs="仿宋_GB2312"/>
                <w:color w:val="auto"/>
                <w:kern w:val="0"/>
                <w:sz w:val="32"/>
                <w:szCs w:val="32"/>
              </w:rPr>
              <w:t>溜井的卸矿口应设挡墙，并设明显标志、良好照明和安全护栏，以防人员和卸矿车辆坠人。机动车辆卸矿时，应有专人指挥。</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19477D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E32BD1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67D3D32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6D039CC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201DCA0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（5）安全管理制度；</w:t>
            </w:r>
          </w:p>
          <w:p w14:paraId="1F809F2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73DEB81">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0ACB79CF">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4B0166F0">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62AB05C">
            <w:pPr>
              <w:widowControl/>
              <w:adjustRightInd w:val="0"/>
              <w:snapToGrid w:val="0"/>
              <w:rPr>
                <w:rFonts w:hint="eastAsia" w:ascii="仿宋_GB2312" w:hAnsi="仿宋_GB2312" w:eastAsia="仿宋_GB2312" w:cs="仿宋_GB2312"/>
                <w:color w:val="auto"/>
                <w:kern w:val="0"/>
                <w:sz w:val="32"/>
                <w:szCs w:val="32"/>
              </w:rPr>
            </w:pPr>
          </w:p>
        </w:tc>
      </w:tr>
      <w:tr w14:paraId="7478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5B9EC220">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50102C7C">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B9C775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5.4 带式输送机运输</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6A8FFEE">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bCs/>
                <w:snapToGrid w:val="0"/>
                <w:color w:val="auto"/>
                <w:kern w:val="0"/>
                <w:sz w:val="32"/>
                <w:szCs w:val="32"/>
              </w:rPr>
              <w:t>安全设备的设计、制造、安装、使用、检测、维修、改造和报废，应当符合国家标准或者行业标准。</w:t>
            </w:r>
          </w:p>
          <w:p w14:paraId="39140E52">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《金属非金属矿山安全规程》（GB16423-2006）5.3.4.6</w:t>
            </w:r>
            <w:r>
              <w:rPr>
                <w:rFonts w:hint="eastAsia" w:ascii="仿宋_GB2312" w:hAnsi="仿宋_GB2312" w:eastAsia="仿宋_GB2312" w:cs="仿宋_GB2312"/>
                <w:color w:val="auto"/>
                <w:kern w:val="0"/>
                <w:sz w:val="32"/>
                <w:szCs w:val="32"/>
              </w:rPr>
              <w:t>各装、卸料点，应设有与输送机联锁的空仓、满仓等保护装置，并设有声光信号。</w:t>
            </w:r>
          </w:p>
          <w:p w14:paraId="165ABDD9">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《金属非金属矿山安全规程》（GB16423-2006）5.3.4.7</w:t>
            </w:r>
            <w:r>
              <w:rPr>
                <w:rFonts w:hint="eastAsia" w:ascii="仿宋_GB2312" w:hAnsi="仿宋_GB2312" w:eastAsia="仿宋_GB2312" w:cs="仿宋_GB2312"/>
                <w:color w:val="auto"/>
                <w:kern w:val="0"/>
                <w:sz w:val="32"/>
                <w:szCs w:val="32"/>
              </w:rPr>
              <w:t>带式输送机应设有防止胶带跑偏、撕裂、断带的装置，并有可靠的制动、胶带和卷筒清扫以及过速保护、过载保护、防大块冲击等装置；线路上应有信号、电气联锁和紧急停车装置；上行的输送机，应设防逆转装置。</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16ED1F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3088AF1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3EEEF4A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2F6B7F8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04512871">
            <w:pPr>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（5）安全管理制度；</w:t>
            </w:r>
          </w:p>
          <w:p w14:paraId="2FF14FE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D07226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C989AB4">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（二）安全设备的安装、使用、检测、改造和报废不符合国家标准或者行业标准的；</w:t>
            </w:r>
          </w:p>
          <w:p w14:paraId="17F1AA1F">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2C2E2DF0">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89BE392">
            <w:pPr>
              <w:widowControl/>
              <w:adjustRightInd w:val="0"/>
              <w:snapToGrid w:val="0"/>
              <w:rPr>
                <w:rFonts w:hint="eastAsia" w:ascii="仿宋_GB2312" w:hAnsi="仿宋_GB2312" w:eastAsia="仿宋_GB2312" w:cs="仿宋_GB2312"/>
                <w:color w:val="auto"/>
                <w:kern w:val="0"/>
                <w:sz w:val="32"/>
                <w:szCs w:val="32"/>
              </w:rPr>
            </w:pPr>
          </w:p>
        </w:tc>
      </w:tr>
      <w:tr w14:paraId="3E82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7ED2AD44">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770E6B18">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36D7AB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5.5 主要无轨运输巷道及露天采场禁止采用人力或畜力运输矿岩</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31031C9">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第三十八条</w:t>
            </w:r>
            <w:r>
              <w:rPr>
                <w:rFonts w:hint="eastAsia" w:ascii="仿宋_GB2312" w:hAnsi="仿宋_GB2312" w:eastAsia="仿宋_GB2312" w:cs="仿宋_GB2312"/>
                <w:bCs/>
                <w:snapToGrid w:val="0"/>
                <w:color w:val="auto"/>
                <w:kern w:val="0"/>
                <w:sz w:val="32"/>
                <w:szCs w:val="32"/>
              </w:rPr>
              <w:t>国家对严重危及生产安全的工艺、设备实行淘汰制度，具体目录由国务院应急管理部门会同国务院有关部门制定并公布。法律、行政法规对目录的制定另有规定的，适用其规定。</w:t>
            </w:r>
          </w:p>
          <w:p w14:paraId="74983F83">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省、自治区、直辖市人民政府可以根据本地区实际情况制定并公布具体目录，对前款规定以外的危及生产安全的工艺、设备予以淘汰。</w:t>
            </w:r>
          </w:p>
          <w:p w14:paraId="694CEE3F">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生产经营单位不得使用应当淘汰的危及生产安全的工艺、设备。</w:t>
            </w:r>
          </w:p>
          <w:p w14:paraId="62D9015D">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《国家安全监管总局关于发布金属非金属矿山禁止使用的设备及工艺目录（第二批）的通知》</w:t>
            </w:r>
          </w:p>
          <w:p w14:paraId="1CFFB4F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新建、改建、扩建的矿山从本目录发布之日起，一律禁止使用下列设备及工艺。现有生产矿山在用下列设备及工艺的，按照本目录规定的时限予以强制淘汰。</w:t>
            </w:r>
          </w:p>
          <w:p w14:paraId="6E13AF1F">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6E9C9E5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7．主要无轨运输巷道及露天采场采用人力或畜力运输矿岩（金属非金属地下矿山及露天矿山自发布之日起一年后禁止使用）；......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E513E1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4727B6E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6B73D25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43223D5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（4）工艺及流程相关制度；</w:t>
            </w:r>
          </w:p>
          <w:p w14:paraId="128EBB7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（5）设施设备的购买凭证、说明书、合格证明；</w:t>
            </w:r>
          </w:p>
          <w:p w14:paraId="24683AA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E682D27">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第九十九条第（七）项</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3A8569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（七）使用应当淘汰的危及生产安全的工艺、设备的；</w:t>
            </w:r>
          </w:p>
          <w:p w14:paraId="3A741B69">
            <w:pPr>
              <w:adjustRightInd w:val="0"/>
              <w:snapToGrid w:val="0"/>
              <w:ind w:firstLine="640" w:firstLineChars="200"/>
              <w:rPr>
                <w:rFonts w:hint="eastAsia" w:ascii="仿宋_GB2312" w:hAnsi="仿宋_GB2312" w:eastAsia="仿宋_GB2312" w:cs="仿宋_GB2312"/>
                <w:color w:val="auto"/>
                <w:kern w:val="0"/>
                <w:sz w:val="32"/>
                <w:szCs w:val="32"/>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94A07D6">
            <w:pPr>
              <w:widowControl/>
              <w:adjustRightInd w:val="0"/>
              <w:snapToGrid w:val="0"/>
              <w:rPr>
                <w:rFonts w:hint="eastAsia" w:ascii="仿宋_GB2312" w:hAnsi="仿宋_GB2312" w:eastAsia="仿宋_GB2312" w:cs="仿宋_GB2312"/>
                <w:color w:val="auto"/>
                <w:kern w:val="0"/>
                <w:sz w:val="32"/>
                <w:szCs w:val="32"/>
              </w:rPr>
            </w:pPr>
          </w:p>
        </w:tc>
      </w:tr>
      <w:tr w14:paraId="0B86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790D33A">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p>
        </w:tc>
        <w:tc>
          <w:tcPr>
            <w:tcW w:w="95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8257857">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边坡现场管理情况</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CE6FEC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6.1 采场工作帮和高陡边帮不稳定区段异常情况处理</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144614B">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26FC86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《金属非金属矿山安全规程》（GB16423-2006）5.2.5.3 </w:t>
            </w:r>
            <w:r>
              <w:rPr>
                <w:rFonts w:hint="eastAsia" w:ascii="仿宋_GB2312" w:hAnsi="仿宋_GB2312" w:eastAsia="仿宋_GB2312" w:cs="仿宋_GB2312"/>
                <w:color w:val="auto"/>
                <w:kern w:val="0"/>
                <w:sz w:val="32"/>
                <w:szCs w:val="32"/>
              </w:rPr>
              <w:t>对采场工作帮应每季度检查一次，高陡边帮应每月检查一次，不稳定区段在暴雨过后应及时检查，发现异常应立即处理。</w:t>
            </w:r>
          </w:p>
          <w:p w14:paraId="2DEA37A5">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3229E70E">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二、金属非金属露天矿山重大生产安全事故隐患（六）未按国家标准或行业标准对采场边坡、排土场稳定性进行评估。</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BECFE0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1C80CA9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2477ED7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26156E6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（4）安全管理制度；</w:t>
            </w:r>
          </w:p>
          <w:p w14:paraId="1C37A74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（5）检查记录；</w:t>
            </w:r>
          </w:p>
          <w:p w14:paraId="5F53B42E">
            <w:pPr>
              <w:adjustRightInd w:val="0"/>
              <w:snapToGrid w:val="0"/>
              <w:rPr>
                <w:rFonts w:hint="eastAsia" w:ascii="仿宋_GB2312" w:hAnsi="仿宋_GB2312" w:eastAsia="仿宋_GB2312" w:cs="仿宋_GB2312"/>
                <w:b/>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4CAACCD">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069C99C9">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4824D478">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p w14:paraId="500AFCF6">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6F12F2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DB9CE6B">
            <w:pPr>
              <w:widowControl/>
              <w:adjustRightInd w:val="0"/>
              <w:snapToGrid w:val="0"/>
              <w:rPr>
                <w:rFonts w:hint="eastAsia" w:ascii="仿宋_GB2312" w:hAnsi="仿宋_GB2312" w:eastAsia="仿宋_GB2312" w:cs="仿宋_GB2312"/>
                <w:color w:val="auto"/>
                <w:kern w:val="0"/>
                <w:sz w:val="32"/>
                <w:szCs w:val="32"/>
              </w:rPr>
            </w:pPr>
          </w:p>
        </w:tc>
      </w:tr>
      <w:tr w14:paraId="2C39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7B54534C">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5C7706E8">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17BA9A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6.2 运输和行人的非工作帮管理</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DC304D6">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《金属非金属矿山安全规程》（GB16423-2006）5.2.5.5</w:t>
            </w:r>
            <w:r>
              <w:rPr>
                <w:rFonts w:hint="eastAsia" w:ascii="仿宋_GB2312" w:hAnsi="仿宋_GB2312" w:eastAsia="仿宋_GB2312" w:cs="仿宋_GB2312"/>
                <w:color w:val="auto"/>
                <w:kern w:val="0"/>
                <w:sz w:val="32"/>
                <w:szCs w:val="32"/>
              </w:rPr>
              <w:t>对运输和行人的非工作帮，应定期进行安全稳定性检查(雨季应加强)，发现坍塌或滑落征兆，应立即停止采剥作业，撤出人员和设备，查明原因，及时采取安全措施，并报告矿有关主管部门。</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901FB6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7D42EAA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38782D2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422C3B3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（4）安全管理制度；</w:t>
            </w:r>
          </w:p>
          <w:p w14:paraId="607C216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（5）检查记录；</w:t>
            </w:r>
          </w:p>
          <w:p w14:paraId="50F0EFD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B5A9FA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生产经营单位及其主要负责人或者其他人员有下列行为之一的，给予警告，并可以对生产经营单位处1万元以上3万元以下罚款，对其主要负责人、其他有关人员处1000元以上1万元以下的罚款：</w:t>
            </w:r>
          </w:p>
          <w:p w14:paraId="5FA19F4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 ……</w:t>
            </w:r>
          </w:p>
          <w:p w14:paraId="23DFC324">
            <w:pPr>
              <w:adjustRightInd w:val="0"/>
              <w:snapToGrid w:val="0"/>
              <w:ind w:firstLine="640" w:firstLineChars="200"/>
              <w:rPr>
                <w:rFonts w:hint="eastAsia" w:ascii="仿宋_GB2312" w:hAnsi="仿宋_GB2312" w:eastAsia="仿宋_GB2312" w:cs="仿宋_GB2312"/>
                <w:color w:val="auto"/>
                <w:kern w:val="0"/>
                <w:sz w:val="32"/>
                <w:szCs w:val="32"/>
              </w:rPr>
            </w:pP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169D366">
            <w:pPr>
              <w:widowControl/>
              <w:adjustRightInd w:val="0"/>
              <w:snapToGrid w:val="0"/>
              <w:rPr>
                <w:rFonts w:hint="eastAsia" w:ascii="仿宋_GB2312" w:hAnsi="仿宋_GB2312" w:eastAsia="仿宋_GB2312" w:cs="仿宋_GB2312"/>
                <w:color w:val="auto"/>
                <w:kern w:val="0"/>
                <w:sz w:val="32"/>
                <w:szCs w:val="32"/>
              </w:rPr>
            </w:pPr>
          </w:p>
        </w:tc>
      </w:tr>
      <w:tr w14:paraId="649F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616094A">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6CC9C168">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C3134A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6.3 采剥工作面形成伞檐、空洞等</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05D4EC6">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18B2CF08">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《金属非金属矿山安全规程》（GB16423-2006）5.2.5.7</w:t>
            </w:r>
            <w:r>
              <w:rPr>
                <w:rFonts w:hint="eastAsia" w:ascii="仿宋_GB2312" w:hAnsi="仿宋_GB2312" w:eastAsia="仿宋_GB2312" w:cs="仿宋_GB2312"/>
                <w:color w:val="auto"/>
                <w:kern w:val="0"/>
                <w:sz w:val="32"/>
                <w:szCs w:val="32"/>
              </w:rPr>
              <w:t>露天采场各作业水平上、下台阶之间的超前距离，应在设计中明确规定。不应从下部不分台阶掏采。采剥工作面不应形成伞檐、空洞等。</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F0EE07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568FFE0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2D8F868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4BD98A5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738E9A9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（5）安全管理制度；</w:t>
            </w:r>
          </w:p>
          <w:p w14:paraId="2083381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E60432B">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B1E911A">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4C676A88">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91D52F9">
            <w:pPr>
              <w:widowControl/>
              <w:adjustRightInd w:val="0"/>
              <w:snapToGrid w:val="0"/>
              <w:rPr>
                <w:rFonts w:hint="eastAsia" w:ascii="仿宋_GB2312" w:hAnsi="仿宋_GB2312" w:eastAsia="仿宋_GB2312" w:cs="仿宋_GB2312"/>
                <w:color w:val="auto"/>
                <w:kern w:val="0"/>
                <w:sz w:val="32"/>
                <w:szCs w:val="32"/>
              </w:rPr>
            </w:pPr>
          </w:p>
        </w:tc>
      </w:tr>
      <w:tr w14:paraId="0637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20208EAC">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4F8789AA">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7AFF46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6.4 开采矿柱或岩柱</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44773A1">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F3B2313">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《金属非金属矿山安全规程》（GB16423-2006）5.1.3</w:t>
            </w:r>
            <w:r>
              <w:rPr>
                <w:rFonts w:hint="eastAsia" w:ascii="仿宋_GB2312" w:hAnsi="仿宋_GB2312" w:eastAsia="仿宋_GB2312" w:cs="仿宋_GB2312"/>
                <w:color w:val="auto"/>
                <w:kern w:val="0"/>
                <w:sz w:val="32"/>
                <w:szCs w:val="32"/>
              </w:rPr>
              <w:t>设计规定保留的矿(岩)柱、挂帮矿体，在规定的期限内，未经技术论证不应开采或破坏。</w:t>
            </w:r>
          </w:p>
          <w:p w14:paraId="01BA27D1">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1F7B20C4">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二、金属非金属露天矿山重大生产安全事故隐患（五）擅自开采或破坏设计规定保留的矿柱、岩柱和挂帮矿体。</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474998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1BDA60A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41CE21C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482CE62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（4）安全设计文件等相关资料；</w:t>
            </w:r>
          </w:p>
          <w:p w14:paraId="3A124318">
            <w:pPr>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（5）安全管理制度；</w:t>
            </w:r>
          </w:p>
          <w:p w14:paraId="5BC03E9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C1E6551">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BF7F3CC">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color w:val="auto"/>
                <w:kern w:val="0"/>
                <w:sz w:val="32"/>
                <w:szCs w:val="32"/>
              </w:rPr>
              <w:t>生产经营单位及其主要负责人或者其他人员有下列行为之一的，给予警告，并可以对生产经营单位处1万元以上3万元以下罚款，对其主要负责人、其他有关人员处1000元以上1万元以下的罚款：</w:t>
            </w:r>
          </w:p>
          <w:p w14:paraId="4DBB4643">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p w14:paraId="304AD53A">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E917069">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E814F82">
            <w:pPr>
              <w:widowControl/>
              <w:adjustRightInd w:val="0"/>
              <w:snapToGrid w:val="0"/>
              <w:rPr>
                <w:rFonts w:hint="eastAsia" w:ascii="仿宋_GB2312" w:hAnsi="仿宋_GB2312" w:eastAsia="仿宋_GB2312" w:cs="仿宋_GB2312"/>
                <w:color w:val="auto"/>
                <w:kern w:val="0"/>
                <w:sz w:val="32"/>
                <w:szCs w:val="32"/>
              </w:rPr>
            </w:pPr>
          </w:p>
        </w:tc>
      </w:tr>
      <w:tr w14:paraId="6315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518A6F44">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5E560826">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03DA88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6.5 废弃巷道、采空区和溶洞处理及警示标志设置</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9E05A4C">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第三十五条</w:t>
            </w:r>
            <w:r>
              <w:rPr>
                <w:rFonts w:hint="eastAsia" w:ascii="仿宋_GB2312" w:hAnsi="仿宋_GB2312" w:eastAsia="仿宋_GB2312" w:cs="仿宋_GB2312"/>
                <w:color w:val="auto"/>
                <w:kern w:val="0"/>
                <w:sz w:val="32"/>
                <w:szCs w:val="32"/>
              </w:rPr>
              <w:t>生产经营单位应当在有较大危险因素的生产经营场所和有关设施、设备上，设置明显的安全警示标志。</w:t>
            </w:r>
          </w:p>
          <w:p w14:paraId="5026E314">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《金属非金属矿山安全规程》（GB16423-2006）5.2.5.1</w:t>
            </w:r>
            <w:r>
              <w:rPr>
                <w:rFonts w:hint="eastAsia" w:ascii="仿宋_GB2312" w:hAnsi="仿宋_GB2312" w:eastAsia="仿宋_GB2312" w:cs="仿宋_GB2312"/>
                <w:color w:val="auto"/>
                <w:kern w:val="0"/>
                <w:sz w:val="32"/>
                <w:szCs w:val="32"/>
              </w:rPr>
              <w:t>开采境界内和最终边坡邻近地段的废弃巷道、采空区和溶洞，应及时标在矿山平面图上，并随着采掘作业的进行，及时设置明显的警示标志。</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79C998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5EDCA1E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24A4853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4AF7918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（4）安全设计文件和平面图等相关资料；</w:t>
            </w:r>
          </w:p>
          <w:p w14:paraId="2369CDC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（5）安全管理制度；</w:t>
            </w:r>
          </w:p>
          <w:p w14:paraId="6BF357A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5E22203">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第九十九条第一项</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F09552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（一）未在有较大危险因素的生产经营场所和有关设施、设备上设置明显的安全警示标志的；</w:t>
            </w:r>
          </w:p>
          <w:p w14:paraId="66446FF3">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572108C7">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CB66314">
            <w:pPr>
              <w:widowControl/>
              <w:adjustRightInd w:val="0"/>
              <w:snapToGrid w:val="0"/>
              <w:rPr>
                <w:rFonts w:hint="eastAsia" w:ascii="仿宋_GB2312" w:hAnsi="仿宋_GB2312" w:eastAsia="仿宋_GB2312" w:cs="仿宋_GB2312"/>
                <w:color w:val="auto"/>
                <w:kern w:val="0"/>
                <w:sz w:val="32"/>
                <w:szCs w:val="32"/>
              </w:rPr>
            </w:pPr>
          </w:p>
        </w:tc>
      </w:tr>
      <w:tr w14:paraId="3640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3581ADA">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0EEE1C75">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DA9599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6.6地下开采改为露天开采形成的采空区</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86A8B38">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0AAFEAB3">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《金属非金属矿山安全规程》（GB16423-2006）5.2.6.4 </w:t>
            </w:r>
            <w:r>
              <w:rPr>
                <w:rFonts w:hint="eastAsia" w:ascii="仿宋_GB2312" w:hAnsi="仿宋_GB2312" w:eastAsia="仿宋_GB2312" w:cs="仿宋_GB2312"/>
                <w:color w:val="auto"/>
                <w:kern w:val="0"/>
                <w:sz w:val="32"/>
                <w:szCs w:val="32"/>
              </w:rPr>
              <w:t>地下开采改为露天开采时，应将全部地下巷道、采空区和矿柱的位置，绘制在矿山平、剖面对照图上。地下巷道和采空区的处理方法，应在设计中确定。地下开采的塌陷区范围内，不应布置重要矿山工程。</w:t>
            </w:r>
          </w:p>
          <w:p w14:paraId="0FF45332">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765B64DC">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二、金属非金属露天矿山重大生产安全事故隐患（一）地下转露天开采，未探明采空区或未对采空区实施专项安全技术措施。</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D4CFB6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76E6611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497C3C3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2C13809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（4）安全设计文件和平面图等相关资料；</w:t>
            </w:r>
          </w:p>
          <w:p w14:paraId="623ABD2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（5）安全管理制度；</w:t>
            </w:r>
          </w:p>
          <w:p w14:paraId="2DB5E0D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1D54B00">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64D6186">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1AAE53B6">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p w14:paraId="4E62A368">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467BC26">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82E88BA">
            <w:pPr>
              <w:widowControl/>
              <w:adjustRightInd w:val="0"/>
              <w:snapToGrid w:val="0"/>
              <w:rPr>
                <w:rFonts w:hint="eastAsia" w:ascii="仿宋_GB2312" w:hAnsi="仿宋_GB2312" w:eastAsia="仿宋_GB2312" w:cs="仿宋_GB2312"/>
                <w:color w:val="auto"/>
                <w:kern w:val="0"/>
                <w:sz w:val="32"/>
                <w:szCs w:val="32"/>
              </w:rPr>
            </w:pPr>
          </w:p>
        </w:tc>
      </w:tr>
      <w:tr w14:paraId="0764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1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6F8DDB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1C7F9FB">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边坡监测监与稳定性专项分析</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1C9DEF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边坡监测系统设计及定期监测及稳定性分析</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18D14ADE">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0091D0A8">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《金属非金属矿山安全规程》（GB16423-2006）5.2.5.10</w:t>
            </w:r>
            <w:r>
              <w:rPr>
                <w:rFonts w:hint="eastAsia" w:ascii="仿宋_GB2312" w:hAnsi="仿宋_GB2312" w:eastAsia="仿宋_GB2312" w:cs="仿宋_GB2312"/>
                <w:color w:val="auto"/>
                <w:kern w:val="0"/>
                <w:sz w:val="32"/>
                <w:szCs w:val="32"/>
              </w:rPr>
              <w:t>边坡监测系统设计，应根据最终边坡的稳定类型、分区特点确定各区监测级别。对边坡应进行定点定期观测，包括坡体表面和内部位移观测、地下水位动态观测、爆破震动观测等。技术管理部门应及时整理边坡观测资料，据以指导采场安全生产。对存在不稳定因素的最终边坡应长期监测，发现问题及时处理。</w:t>
            </w:r>
          </w:p>
          <w:p w14:paraId="01982C83">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《金属非金属矿山安全规程》（GB16423-2006）5.2.5.11</w:t>
            </w:r>
            <w:r>
              <w:rPr>
                <w:rFonts w:hint="eastAsia" w:ascii="仿宋_GB2312" w:hAnsi="仿宋_GB2312" w:eastAsia="仿宋_GB2312" w:cs="仿宋_GB2312"/>
                <w:color w:val="auto"/>
                <w:kern w:val="0"/>
                <w:sz w:val="32"/>
                <w:szCs w:val="32"/>
              </w:rPr>
              <w:t>大、中型矿山或边坡潜在危害性大的矿山，除应建立健全边坡管理和检查制度，对边坡重点部位和有潜在滑坡危险的地段采取有效的防治措施外，还应每5年由有资质的中介机构进行一次检测和稳定性分析。</w:t>
            </w:r>
          </w:p>
          <w:p w14:paraId="6F1AE772">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《非煤矿山领域遏制重特大事故工作方案的通知》第一条第四款第6项</w:t>
            </w:r>
            <w:r>
              <w:rPr>
                <w:rFonts w:hint="eastAsia" w:ascii="仿宋_GB2312" w:hAnsi="仿宋_GB2312" w:eastAsia="仿宋_GB2312" w:cs="仿宋_GB2312"/>
                <w:color w:val="auto"/>
                <w:kern w:val="0"/>
                <w:sz w:val="32"/>
                <w:szCs w:val="32"/>
              </w:rPr>
              <w:t>6.边坡高度200米以上的露天矿山高陡边坡、堆置高度200米以上的排土场、三等及以上等级的尾矿库，必须进行在线监测，定期进行稳定性专项分析。</w:t>
            </w:r>
          </w:p>
          <w:p w14:paraId="62B809FC">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5FCAA678">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二、金属非金属露天矿山重大生产安全事故隐患（七）高度200米及以上的边坡或排土场未进行在线监测。</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D239FF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57346A0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52D3059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3FB6B42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（4）安全管理制度；</w:t>
            </w:r>
          </w:p>
          <w:p w14:paraId="1EB3019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（5）监测系统设计文件；</w:t>
            </w:r>
          </w:p>
          <w:p w14:paraId="2D27BB7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（6）观测记录和观测资料；</w:t>
            </w:r>
          </w:p>
          <w:p w14:paraId="3DA694C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76F11A8">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68481362">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7E9AAF5F">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p w14:paraId="6C4DF0FF">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1C58805">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0521D751">
            <w:pPr>
              <w:widowControl/>
              <w:adjustRightInd w:val="0"/>
              <w:snapToGrid w:val="0"/>
              <w:rPr>
                <w:rFonts w:hint="eastAsia" w:ascii="仿宋_GB2312" w:hAnsi="仿宋_GB2312" w:eastAsia="仿宋_GB2312" w:cs="仿宋_GB2312"/>
                <w:color w:val="auto"/>
                <w:kern w:val="0"/>
                <w:sz w:val="32"/>
                <w:szCs w:val="32"/>
              </w:rPr>
            </w:pPr>
          </w:p>
        </w:tc>
      </w:tr>
      <w:tr w14:paraId="60A69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617"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C2F73D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p>
        </w:tc>
        <w:tc>
          <w:tcPr>
            <w:tcW w:w="954" w:type="dxa"/>
            <w:vMerge w:val="restart"/>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8C1E7ED">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排土场安全管理</w:t>
            </w: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1C99EC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8.1 非正常级排土场处理</w:t>
            </w:r>
            <w:r>
              <w:rPr>
                <w:rFonts w:hint="eastAsia" w:ascii="仿宋_GB2312" w:hAnsi="仿宋_GB2312" w:eastAsia="仿宋_GB2312" w:cs="仿宋_GB2312"/>
                <w:color w:val="auto"/>
                <w:sz w:val="32"/>
                <w:szCs w:val="32"/>
              </w:rPr>
              <w:t>（重大生产安全事故隐患）</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5754C367">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FED8B14">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《金属非金属矿山排土场安全生产规则》(AQ2005-2005</w:t>
            </w:r>
          </w:p>
          <w:p w14:paraId="46AFBEC1">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10.6  对于危险级排土场，企业必须停产整治，并采取以下措施：</w:t>
            </w:r>
          </w:p>
          <w:p w14:paraId="1FCCC6A1">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a、处理不良地基;</w:t>
            </w:r>
          </w:p>
          <w:p w14:paraId="79C701A1">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b、处理滑坡,将各排土参数修复到设计范围内;</w:t>
            </w:r>
          </w:p>
          <w:p w14:paraId="7AA6CB35">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c、疏通、加固或修复排水沟。</w:t>
            </w:r>
          </w:p>
          <w:p w14:paraId="00BB58F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10.7  对于“病级”排土场，企业应采取以下措施限期消除隐患：</w:t>
            </w:r>
          </w:p>
          <w:p w14:paraId="68D145D8">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a、采取措施控制排土沉降;</w:t>
            </w:r>
          </w:p>
          <w:p w14:paraId="00EA834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b、将各排土参数修复到设计范围内。</w:t>
            </w:r>
          </w:p>
          <w:p w14:paraId="29248A8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10.8  企业对非正常级排土场的检查周期：a、对“危险”级排土场每周不少于1次;</w:t>
            </w:r>
          </w:p>
          <w:p w14:paraId="1EAFA90A">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b、对“病级”排土场每月不少于1次。</w:t>
            </w:r>
          </w:p>
          <w:p w14:paraId="66A1C7F7">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在暴雨和汛期,应根据实际情况对排土场增加检查次数。检查中如发现重大隐患,必须立即采取措施进行整改,并向安全生产监督部门报告。</w:t>
            </w:r>
          </w:p>
          <w:p w14:paraId="64193BF0">
            <w:pPr>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1A78CAD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二、金属非金属露天矿山重大生产安全事故隐患（十二）危险级排土场。</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4A7BBA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1DC175A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7076822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6DD617B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（4）非正常级排土场处理制度；</w:t>
            </w:r>
          </w:p>
          <w:p w14:paraId="475B3AF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（5）检查记录；</w:t>
            </w:r>
          </w:p>
          <w:p w14:paraId="71C491A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3B5C68F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033EDD20">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328E5CBF">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p w14:paraId="34FB7532">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CA6913D">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99554A8">
            <w:pPr>
              <w:widowControl/>
              <w:adjustRightInd w:val="0"/>
              <w:snapToGrid w:val="0"/>
              <w:rPr>
                <w:rFonts w:hint="eastAsia" w:ascii="仿宋_GB2312" w:hAnsi="仿宋_GB2312" w:eastAsia="仿宋_GB2312" w:cs="仿宋_GB2312"/>
                <w:color w:val="auto"/>
                <w:kern w:val="0"/>
                <w:sz w:val="32"/>
                <w:szCs w:val="32"/>
              </w:rPr>
            </w:pPr>
          </w:p>
        </w:tc>
      </w:tr>
      <w:tr w14:paraId="3166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17" w:type="dxa"/>
            <w:vMerge w:val="continue"/>
            <w:tcBorders>
              <w:top w:val="single" w:color="auto" w:sz="4" w:space="0"/>
              <w:left w:val="single" w:color="auto" w:sz="4" w:space="0"/>
              <w:bottom w:val="single" w:color="auto" w:sz="4" w:space="0"/>
              <w:right w:val="single" w:color="auto" w:sz="4" w:space="0"/>
            </w:tcBorders>
            <w:vAlign w:val="center"/>
          </w:tcPr>
          <w:p w14:paraId="469A3F3B">
            <w:pPr>
              <w:widowControl/>
              <w:jc w:val="left"/>
              <w:rPr>
                <w:rFonts w:hint="eastAsia" w:ascii="仿宋_GB2312" w:hAnsi="仿宋_GB2312" w:eastAsia="仿宋_GB2312" w:cs="仿宋_GB2312"/>
                <w:color w:val="auto"/>
                <w:sz w:val="32"/>
                <w:szCs w:val="32"/>
              </w:rPr>
            </w:pPr>
          </w:p>
        </w:tc>
        <w:tc>
          <w:tcPr>
            <w:tcW w:w="954" w:type="dxa"/>
            <w:vMerge w:val="continue"/>
            <w:tcBorders>
              <w:top w:val="single" w:color="auto" w:sz="4" w:space="0"/>
              <w:left w:val="single" w:color="auto" w:sz="4" w:space="0"/>
              <w:bottom w:val="single" w:color="auto" w:sz="4" w:space="0"/>
              <w:right w:val="single" w:color="auto" w:sz="4" w:space="0"/>
            </w:tcBorders>
            <w:vAlign w:val="center"/>
          </w:tcPr>
          <w:p w14:paraId="7128950D">
            <w:pPr>
              <w:widowControl/>
              <w:jc w:val="left"/>
              <w:rPr>
                <w:rFonts w:hint="eastAsia" w:ascii="仿宋_GB2312" w:hAnsi="仿宋_GB2312" w:eastAsia="仿宋_GB2312" w:cs="仿宋_GB2312"/>
                <w:color w:val="auto"/>
                <w:sz w:val="32"/>
                <w:szCs w:val="32"/>
              </w:rPr>
            </w:pPr>
          </w:p>
        </w:tc>
        <w:tc>
          <w:tcPr>
            <w:tcW w:w="954"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1951E9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8.2 排土场和下游泥石流拦挡坝的汛期巡视及修复</w:t>
            </w:r>
          </w:p>
        </w:tc>
        <w:tc>
          <w:tcPr>
            <w:tcW w:w="3907"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2CAD588B">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41295CC2">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《金属非金属矿山排土场安全生产规则》(AQ2005-2005)7.5</w:t>
            </w:r>
            <w:r>
              <w:rPr>
                <w:rFonts w:hint="eastAsia" w:ascii="仿宋_GB2312" w:hAnsi="仿宋_GB2312" w:eastAsia="仿宋_GB2312" w:cs="仿宋_GB2312"/>
                <w:color w:val="auto"/>
                <w:kern w:val="0"/>
                <w:sz w:val="32"/>
                <w:szCs w:val="32"/>
              </w:rPr>
              <w:t>汛期应对排土场和下游泥石流拦挡坝进行巡视，发现问题应及时修复，防止连续暴雨后发生泥石流和垮坝事故。</w:t>
            </w:r>
          </w:p>
        </w:tc>
        <w:tc>
          <w:tcPr>
            <w:tcW w:w="388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4D4CE6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（1）有关证照；</w:t>
            </w:r>
          </w:p>
          <w:p w14:paraId="573B17A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（2）现场拍摄的图片或影像资料；</w:t>
            </w:r>
          </w:p>
          <w:p w14:paraId="4E68408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（3）《现场检查记录》《责令限期整改指令书》《询问通知书》《询问笔录》等相关执法文书；</w:t>
            </w:r>
          </w:p>
          <w:p w14:paraId="08CB77F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（4）巡视、修复记录；</w:t>
            </w:r>
          </w:p>
          <w:p w14:paraId="09D9D0A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902"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498C5FF4">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79510D31">
            <w:p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b/>
                <w:bCs/>
                <w:color w:val="auto"/>
                <w:sz w:val="32"/>
                <w:szCs w:val="32"/>
              </w:rPr>
              <w:t>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0D7EC757">
            <w:p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tc>
        <w:tc>
          <w:tcPr>
            <w:tcW w:w="949" w:type="dxa"/>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783AE527">
            <w:pPr>
              <w:widowControl/>
              <w:adjustRightInd w:val="0"/>
              <w:snapToGrid w:val="0"/>
              <w:rPr>
                <w:rFonts w:hint="eastAsia" w:ascii="仿宋_GB2312" w:hAnsi="仿宋_GB2312" w:eastAsia="仿宋_GB2312" w:cs="仿宋_GB2312"/>
                <w:color w:val="auto"/>
                <w:kern w:val="0"/>
                <w:sz w:val="32"/>
                <w:szCs w:val="32"/>
              </w:rPr>
            </w:pPr>
          </w:p>
        </w:tc>
      </w:tr>
      <w:tr w14:paraId="2A95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165" w:type="dxa"/>
            <w:gridSpan w:val="7"/>
            <w:tcBorders>
              <w:top w:val="single" w:color="auto" w:sz="4" w:space="0"/>
              <w:left w:val="single" w:color="auto" w:sz="4" w:space="0"/>
              <w:bottom w:val="single" w:color="auto" w:sz="4" w:space="0"/>
              <w:right w:val="single" w:color="auto" w:sz="4" w:space="0"/>
            </w:tcBorders>
            <w:tcMar>
              <w:top w:w="15" w:type="dxa"/>
              <w:left w:w="108" w:type="dxa"/>
              <w:bottom w:w="15" w:type="dxa"/>
              <w:right w:w="108" w:type="dxa"/>
            </w:tcMar>
            <w:vAlign w:val="center"/>
          </w:tcPr>
          <w:p w14:paraId="6C6065AD">
            <w:pPr>
              <w:ind w:left="720" w:hanging="1280" w:hanging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说明：1、有关证照包括：企业的营业执照正副本、企业的采矿许可证、安全生产许可证、企业主要负责人和相关直接责任人员的身份证、相关作业人员的身份证、安全资格证、操作证、其他相关证照等；</w:t>
            </w:r>
          </w:p>
          <w:p w14:paraId="6D6A2156">
            <w:pPr>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2、其他相关证据：能够证明企业违法违规行为的其他相关资料；</w:t>
            </w:r>
          </w:p>
          <w:p w14:paraId="1EAA51D9">
            <w:pPr>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3、根据本清单提供的证照及资料有原件的，应核实原件后留存复印件；无原件的提供复印件。所有复印件资料均应加盖企业公章。证照及资料有正副本的，均核验留存复印件。</w:t>
            </w:r>
          </w:p>
        </w:tc>
      </w:tr>
    </w:tbl>
    <w:p w14:paraId="5084038D">
      <w:pPr>
        <w:rPr>
          <w:rFonts w:hint="eastAsia" w:ascii="仿宋_GB2312" w:hAnsi="仿宋_GB2312" w:eastAsia="仿宋_GB2312" w:cs="仿宋_GB2312"/>
          <w:color w:val="auto"/>
          <w:sz w:val="32"/>
          <w:szCs w:val="32"/>
        </w:rPr>
      </w:pPr>
    </w:p>
    <w:p w14:paraId="38BCE4CC">
      <w:pPr>
        <w:pStyle w:val="3"/>
        <w:spacing w:line="240" w:lineRule="auto"/>
        <w:jc w:val="center"/>
        <w:rPr>
          <w:rFonts w:hint="eastAsia" w:ascii="仿宋_GB2312" w:hAnsi="仿宋_GB2312" w:eastAsia="仿宋_GB2312" w:cs="仿宋_GB2312"/>
          <w:color w:val="auto"/>
          <w:sz w:val="32"/>
          <w:szCs w:val="32"/>
        </w:rPr>
      </w:pPr>
      <w:bookmarkStart w:id="14" w:name="_Toc10291"/>
      <w:r>
        <w:rPr>
          <w:rFonts w:hint="eastAsia" w:ascii="仿宋_GB2312" w:hAnsi="仿宋_GB2312" w:eastAsia="仿宋_GB2312" w:cs="仿宋_GB2312"/>
          <w:color w:val="auto"/>
          <w:sz w:val="32"/>
          <w:szCs w:val="32"/>
        </w:rPr>
        <w:t>尾矿库检查清单</w:t>
      </w:r>
      <w:bookmarkEnd w:id="14"/>
    </w:p>
    <w:tbl>
      <w:tblPr>
        <w:tblStyle w:val="8"/>
        <w:tblW w:w="15165" w:type="dxa"/>
        <w:jc w:val="center"/>
        <w:tblLayout w:type="fixed"/>
        <w:tblCellMar>
          <w:top w:w="0" w:type="dxa"/>
          <w:left w:w="0" w:type="dxa"/>
          <w:bottom w:w="0" w:type="dxa"/>
          <w:right w:w="0" w:type="dxa"/>
        </w:tblCellMar>
      </w:tblPr>
      <w:tblGrid>
        <w:gridCol w:w="624"/>
        <w:gridCol w:w="964"/>
        <w:gridCol w:w="1061"/>
        <w:gridCol w:w="3789"/>
        <w:gridCol w:w="3887"/>
        <w:gridCol w:w="3876"/>
        <w:gridCol w:w="964"/>
      </w:tblGrid>
      <w:tr w14:paraId="6761A329">
        <w:tblPrEx>
          <w:tblCellMar>
            <w:top w:w="0" w:type="dxa"/>
            <w:left w:w="0" w:type="dxa"/>
            <w:bottom w:w="0" w:type="dxa"/>
            <w:right w:w="0" w:type="dxa"/>
          </w:tblCellMar>
        </w:tblPrEx>
        <w:trPr>
          <w:trHeight w:val="516" w:hRule="atLeast"/>
          <w:tblHeader/>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EB1AAD">
            <w:pPr>
              <w:widowControl/>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序号</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F3EFB9">
            <w:pPr>
              <w:widowControl/>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检查事项</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6C763E">
            <w:pPr>
              <w:widowControl/>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检查内容</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0401DD">
            <w:pPr>
              <w:widowControl/>
              <w:ind w:firstLine="643" w:firstLineChars="200"/>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检查依据</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622BF0">
            <w:pPr>
              <w:widowControl/>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主要证据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D128DD">
            <w:pPr>
              <w:widowControl/>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法律责任</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3A14A8">
            <w:pPr>
              <w:widowControl/>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检查结果</w:t>
            </w:r>
          </w:p>
        </w:tc>
      </w:tr>
      <w:tr w14:paraId="702D49E3">
        <w:tblPrEx>
          <w:tblCellMar>
            <w:top w:w="0" w:type="dxa"/>
            <w:left w:w="0" w:type="dxa"/>
            <w:bottom w:w="0" w:type="dxa"/>
            <w:right w:w="0" w:type="dxa"/>
          </w:tblCellMar>
        </w:tblPrEx>
        <w:trPr>
          <w:trHeight w:val="90"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3299C7">
            <w:pPr>
              <w:widowControl/>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1</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D96D5F">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安全管理规章制度</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6F3428">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尾矿库生产经营单位建立健全安全生产规章制度的情况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ABCEF9">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第二十一条第二项</w:t>
            </w:r>
            <w:r>
              <w:rPr>
                <w:rFonts w:hint="eastAsia" w:ascii="仿宋_GB2312" w:hAnsi="仿宋_GB2312" w:eastAsia="仿宋_GB2312" w:cs="仿宋_GB2312"/>
                <w:color w:val="auto"/>
                <w:kern w:val="0"/>
                <w:sz w:val="32"/>
                <w:szCs w:val="32"/>
              </w:rPr>
              <w:t>生产经营单位的主要负责人对本单位安全生产工作负有下列职责：</w:t>
            </w:r>
          </w:p>
          <w:p w14:paraId="74F55AC2">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（二）组织制定并实施本单位安全生产规章制度和操作规程；</w:t>
            </w:r>
          </w:p>
          <w:p w14:paraId="1ADC41AC">
            <w:pPr>
              <w:widowControl/>
              <w:ind w:firstLine="643"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《四川省生产经营单位安全生产责任规定》                第七条</w:t>
            </w:r>
            <w:r>
              <w:rPr>
                <w:rStyle w:val="12"/>
                <w:rFonts w:hint="eastAsia" w:ascii="仿宋_GB2312" w:hAnsi="仿宋_GB2312" w:eastAsia="仿宋_GB2312" w:cs="仿宋_GB2312"/>
                <w:color w:val="auto"/>
                <w:sz w:val="32"/>
                <w:szCs w:val="32"/>
              </w:rPr>
              <w:t xml:space="preserve">   生产经营单位应当建立健全下列安全生产规章制度：</w:t>
            </w:r>
          </w:p>
          <w:p w14:paraId="468A2036">
            <w:pPr>
              <w:widowControl/>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(一)安全生产投入保障制度；</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(二)新建、改建、扩建工程项目的安全论证、评价和管理制度；</w:t>
            </w:r>
          </w:p>
          <w:p w14:paraId="0C172A42">
            <w:pPr>
              <w:widowControl/>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(三)设施、设备综合安全管理制度以及安全设施、设备维护、保养和检修、维修制度；</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(四)有较大危险、危害因素的生产经营场所、设施、设备安全管理制度；</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(五)重大危险源安全管理制度；</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(六)职业卫生管理制度；</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(七)劳动防护用品使用和管理制度；</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(八)安全生产检查及事故隐患排查、整改制度；</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(九)安全生产目标管理和责任追究制度；</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(十)安全生产教育培训管理考核制度；</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(十一)特种作业人员管理制度；</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(十二)现场安全管理和岗位安全生产标准化操作制度；</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(十三)安全生产会议管理制度；</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(十四)应急救援预案和应急体系管理制度；</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(十五)生产安全事故报告和调查处理制度；</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 xml:space="preserve">(十六)消防、运输、储存、防灾等其他安全生产规章制度。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EABD32">
            <w:pPr>
              <w:widowControl/>
              <w:numPr>
                <w:ilvl w:val="0"/>
                <w:numId w:val="10"/>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相关证照；                                           （2）企业已建立的安全生产规章制度；                                    （3）安全生产规章制度编制、发布、培训等有关记录或资料；     </w:t>
            </w:r>
          </w:p>
          <w:p w14:paraId="16C0AC30">
            <w:pPr>
              <w:widowControl/>
              <w:numPr>
                <w:ilvl w:val="0"/>
                <w:numId w:val="11"/>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主要负责人相关会议记录；               （5）主要负责人签审记录；     </w:t>
            </w:r>
          </w:p>
          <w:p w14:paraId="63C89C0D">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572A502F">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AA50E2">
            <w:pPr>
              <w:widowControl/>
              <w:ind w:firstLine="643"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《中华人民共和国安全生产法》  第九十四条第一款</w:t>
            </w:r>
            <w:r>
              <w:rPr>
                <w:rFonts w:hint="eastAsia" w:ascii="仿宋_GB2312" w:hAnsi="仿宋_GB2312" w:eastAsia="仿宋_GB2312" w:cs="仿宋_GB2312"/>
                <w:color w:val="auto"/>
                <w:kern w:val="0"/>
                <w:sz w:val="32"/>
                <w:szCs w:val="32"/>
              </w:rPr>
              <w:t xml:space="preserve">生产经营单位的主要负责人未履行本法规定的安全生产管理职责的，责令限期改正，处二万元以上五万元以下的罚款；逾期未改正的，处五万元以上十万元以下的罚款，责令生产经营单位停产停业整顿。 </w:t>
            </w:r>
            <w:r>
              <w:rPr>
                <w:rStyle w:val="12"/>
                <w:rFonts w:hint="eastAsia" w:ascii="仿宋_GB2312" w:hAnsi="仿宋_GB2312" w:eastAsia="仿宋_GB2312" w:cs="仿宋_GB2312"/>
                <w:color w:val="auto"/>
                <w:sz w:val="32"/>
                <w:szCs w:val="32"/>
              </w:rPr>
              <w:t xml:space="preserve">                               </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b/>
                <w:bCs/>
                <w:color w:val="auto"/>
                <w:sz w:val="32"/>
                <w:szCs w:val="32"/>
              </w:rPr>
              <w:t xml:space="preserve">  《四川省生产经营单位安全生产责任规定》             第三十八条</w:t>
            </w:r>
            <w:r>
              <w:rPr>
                <w:rStyle w:val="12"/>
                <w:rFonts w:hint="eastAsia" w:ascii="仿宋_GB2312" w:hAnsi="仿宋_GB2312" w:eastAsia="仿宋_GB2312" w:cs="仿宋_GB2312"/>
                <w:color w:val="auto"/>
                <w:sz w:val="32"/>
                <w:szCs w:val="32"/>
              </w:rPr>
              <w:t xml:space="preserve">   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00D48F">
            <w:pPr>
              <w:jc w:val="center"/>
              <w:rPr>
                <w:rFonts w:hint="eastAsia" w:ascii="仿宋_GB2312" w:hAnsi="仿宋_GB2312" w:eastAsia="仿宋_GB2312" w:cs="仿宋_GB2312"/>
                <w:b/>
                <w:color w:val="auto"/>
                <w:sz w:val="32"/>
                <w:szCs w:val="32"/>
              </w:rPr>
            </w:pPr>
          </w:p>
        </w:tc>
      </w:tr>
      <w:tr w14:paraId="4466DA3C">
        <w:tblPrEx>
          <w:tblCellMar>
            <w:top w:w="0" w:type="dxa"/>
            <w:left w:w="0" w:type="dxa"/>
            <w:bottom w:w="0" w:type="dxa"/>
            <w:right w:w="0" w:type="dxa"/>
          </w:tblCellMar>
        </w:tblPrEx>
        <w:trPr>
          <w:trHeight w:val="90"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1E78A6D">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10A930">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安全生产责任制</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0E9EC4">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尾矿库生产经营单位建立健全安全生产责任制的情况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07FE10">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第二十一条第一项</w:t>
            </w:r>
            <w:r>
              <w:rPr>
                <w:rFonts w:hint="eastAsia" w:ascii="仿宋_GB2312" w:hAnsi="仿宋_GB2312" w:eastAsia="仿宋_GB2312" w:cs="仿宋_GB2312"/>
                <w:color w:val="auto"/>
                <w:kern w:val="0"/>
                <w:sz w:val="32"/>
                <w:szCs w:val="32"/>
              </w:rPr>
              <w:t>生产经营单位的主要负责人对本单位安全生产工作负有下列职责：</w:t>
            </w:r>
          </w:p>
          <w:p w14:paraId="40059C80">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（一）建立健全并落实本单位全员安全生产责任制，加强安全生产标准化建设；</w:t>
            </w:r>
          </w:p>
          <w:p w14:paraId="227E6843">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第二十二条第一款</w:t>
            </w:r>
            <w:r>
              <w:rPr>
                <w:rFonts w:hint="eastAsia" w:ascii="仿宋_GB2312" w:hAnsi="仿宋_GB2312" w:eastAsia="仿宋_GB2312" w:cs="仿宋_GB2312"/>
                <w:color w:val="auto"/>
                <w:kern w:val="0"/>
                <w:sz w:val="32"/>
                <w:szCs w:val="32"/>
              </w:rPr>
              <w:t>生产经营单位的全员安全生产责任制应当明确各岗位的责任人员、责任范围和考核标准等内容。</w:t>
            </w:r>
          </w:p>
          <w:p w14:paraId="44538080">
            <w:pPr>
              <w:widowControl/>
              <w:ind w:firstLine="643"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 xml:space="preserve">   《四川省生产经营单位安全生产责任规定》             第八条</w:t>
            </w:r>
            <w:r>
              <w:rPr>
                <w:rStyle w:val="12"/>
                <w:rFonts w:hint="eastAsia" w:ascii="仿宋_GB2312" w:hAnsi="仿宋_GB2312" w:eastAsia="仿宋_GB2312" w:cs="仿宋_GB2312"/>
                <w:color w:val="auto"/>
                <w:sz w:val="32"/>
                <w:szCs w:val="32"/>
              </w:rPr>
              <w:t xml:space="preserve">   生产经营单位必须依法建立健全本单位安全生产责任制度、安全生产目标管理制度，并将本单位的安全生产责任目标分解到各部门、各岗位，明确责任人员、责任内容和考核奖惩要求。 </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 xml:space="preserve">    安全生产责任制度、安全生产目标管理制度包括以下内容：</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 xml:space="preserve">    (一)主要负责人的安全生产责任、目标；</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 xml:space="preserve">    (二)分管安全生产的负责人和其他负责人的安全生产责任、目标；</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 xml:space="preserve">    （三）管理科室、车间、分公司等部门及其负责人的安全生产责任、目标；</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 xml:space="preserve">    (四)班组和班组长的安全生产责任、目标；</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 xml:space="preserve">    (五)岗位从业人员的安全生产责任、目标。</w:t>
            </w:r>
            <w:r>
              <w:rPr>
                <w:rStyle w:val="12"/>
                <w:rFonts w:hint="eastAsia" w:ascii="仿宋_GB2312" w:hAnsi="仿宋_GB2312" w:eastAsia="仿宋_GB2312" w:cs="仿宋_GB2312"/>
                <w:color w:val="auto"/>
                <w:sz w:val="32"/>
                <w:szCs w:val="32"/>
              </w:rPr>
              <w:br w:type="textWrapping"/>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9D2671">
            <w:pPr>
              <w:widowControl/>
              <w:numPr>
                <w:ilvl w:val="0"/>
                <w:numId w:val="12"/>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相关证照；                                  （2）企业建立的安全生产责任制；                               （3）安全生产目标责任体系建设相关资料；                   （4）主要负责人相关责任制审签记录；                       （5）主要负责人相关安全目标签审记录；                             （6）主要负责人与分管领导和各部门签订的《安全生产目标责任书》；                                       （7）安全生产责任制考核标准及落实监督考核资料；                                    </w:t>
            </w:r>
          </w:p>
          <w:p w14:paraId="58AE619C">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07511059">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ADBBB6">
            <w:pPr>
              <w:widowControl/>
              <w:ind w:firstLine="643" w:firstLineChars="200"/>
              <w:jc w:val="left"/>
              <w:textAlignment w:val="center"/>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第九十四条第一款</w:t>
            </w:r>
            <w:r>
              <w:rPr>
                <w:rFonts w:hint="eastAsia" w:ascii="仿宋_GB2312" w:hAnsi="仿宋_GB2312" w:eastAsia="仿宋_GB2312" w:cs="仿宋_GB2312"/>
                <w:color w:val="auto"/>
                <w:kern w:val="0"/>
                <w:sz w:val="32"/>
                <w:szCs w:val="32"/>
              </w:rPr>
              <w:t>生产经营单位的主要负责人未履行本法规定的安全生产管理职责的，责令限期改正，处二万元以上五万元以下的罚款；逾期未改正的，处五万元以上十万元以下的罚款，责令生产经营单位停产停业整顿。</w:t>
            </w:r>
          </w:p>
          <w:p w14:paraId="05A93866">
            <w:pPr>
              <w:widowControl/>
              <w:ind w:firstLine="643"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《四川省生产经营单位安全生产责任规定》              第三十八条</w:t>
            </w:r>
            <w:r>
              <w:rPr>
                <w:rStyle w:val="12"/>
                <w:rFonts w:hint="eastAsia" w:ascii="仿宋_GB2312" w:hAnsi="仿宋_GB2312" w:eastAsia="仿宋_GB2312" w:cs="仿宋_GB2312"/>
                <w:color w:val="auto"/>
                <w:sz w:val="32"/>
                <w:szCs w:val="32"/>
              </w:rPr>
              <w:t xml:space="preserve">   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AB4482">
            <w:pPr>
              <w:rPr>
                <w:rFonts w:hint="eastAsia" w:ascii="仿宋_GB2312" w:hAnsi="仿宋_GB2312" w:eastAsia="仿宋_GB2312" w:cs="仿宋_GB2312"/>
                <w:color w:val="auto"/>
                <w:sz w:val="32"/>
                <w:szCs w:val="32"/>
              </w:rPr>
            </w:pPr>
          </w:p>
        </w:tc>
      </w:tr>
      <w:tr w14:paraId="659B42F8">
        <w:tblPrEx>
          <w:tblCellMar>
            <w:top w:w="0" w:type="dxa"/>
            <w:left w:w="0" w:type="dxa"/>
            <w:bottom w:w="0" w:type="dxa"/>
            <w:right w:w="0" w:type="dxa"/>
          </w:tblCellMar>
        </w:tblPrEx>
        <w:trPr>
          <w:trHeight w:val="288"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4A7D4B">
            <w:pPr>
              <w:widowControl/>
              <w:jc w:val="righ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p>
        </w:tc>
        <w:tc>
          <w:tcPr>
            <w:tcW w:w="964" w:type="dxa"/>
            <w:vMerge w:val="restart"/>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14:paraId="00D9F754">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安全生产投入及使用</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C2315C">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3.1尾矿库生产经营单位安全生产投入保障制度建立的情况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5EF80A">
            <w:pPr>
              <w:widowControl/>
              <w:ind w:firstLine="643"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《四川省生产经营单位安全生产责任规定》              第七条第（一）项</w:t>
            </w:r>
            <w:r>
              <w:rPr>
                <w:rStyle w:val="12"/>
                <w:rFonts w:hint="eastAsia" w:ascii="仿宋_GB2312" w:hAnsi="仿宋_GB2312" w:eastAsia="仿宋_GB2312" w:cs="仿宋_GB2312"/>
                <w:color w:val="auto"/>
                <w:sz w:val="32"/>
                <w:szCs w:val="32"/>
              </w:rPr>
              <w:t xml:space="preserve">  生产经营单位应当建立健全下列安全生产规章制度：</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 xml:space="preserve">    (一)安全生产投入保障制度；</w:t>
            </w:r>
          </w:p>
          <w:p w14:paraId="14C5A452">
            <w:pPr>
              <w:widowControl/>
              <w:ind w:firstLine="643"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《企业安全生产费用提取和使用管理办法》第十八条</w:t>
            </w:r>
            <w:r>
              <w:rPr>
                <w:rFonts w:hint="eastAsia" w:ascii="仿宋_GB2312" w:hAnsi="仿宋_GB2312" w:eastAsia="仿宋_GB2312" w:cs="仿宋_GB2312"/>
                <w:color w:val="auto"/>
                <w:kern w:val="0"/>
                <w:sz w:val="32"/>
                <w:szCs w:val="32"/>
              </w:rPr>
              <w:t> </w:t>
            </w:r>
            <w:r>
              <w:rPr>
                <w:rStyle w:val="12"/>
                <w:rFonts w:hint="eastAsia" w:ascii="仿宋_GB2312" w:hAnsi="仿宋_GB2312" w:eastAsia="仿宋_GB2312" w:cs="仿宋_GB2312"/>
                <w:color w:val="auto"/>
                <w:sz w:val="32"/>
                <w:szCs w:val="32"/>
              </w:rPr>
              <w:t>非煤矿山开采企业安全费用应当按照以下范围使用：</w:t>
            </w:r>
          </w:p>
          <w:p w14:paraId="541884EB">
            <w:pPr>
              <w:widowControl/>
              <w:ind w:firstLine="640"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一）完善、改造和维护安全防护设施设备（不含“三同时”要求初期投入的安全设施）和重大安全隐患治理支出，包括矿山综合防尘、防灭火、防治水、危险气体监测、通风系统、支护及防治边帮滑坡设备、机电设备、供配电系统、运输（提升）系统和尾矿库等完善、改造和维护支出以及实施地压监测监控、露天矿边坡治理、采空区治理等支出；</w:t>
            </w:r>
          </w:p>
          <w:p w14:paraId="4C4472D6">
            <w:pPr>
              <w:widowControl/>
              <w:ind w:firstLine="640"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二）完善非煤矿山监测监控、人员定位、紧急避险、压风自救、供水施救和通信联络等安全避险“六大系统”支出，完善尾矿库全过程在线监控系统和海上石油开采出海人员动态跟踪系统支出，应急救援技术装备、设施配置及维护保养支出，事故逃生和紧急避难设施设备的配置和应急演练支出；</w:t>
            </w:r>
          </w:p>
          <w:p w14:paraId="7046BCFC">
            <w:pPr>
              <w:widowControl/>
              <w:ind w:firstLine="640"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（三）开展重大危险源和事故隐患评估、监控和整改支出；</w:t>
            </w:r>
          </w:p>
          <w:p w14:paraId="1B44E4EB">
            <w:pPr>
              <w:widowControl/>
              <w:ind w:firstLine="640"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（四）安全生产检查、评价（不包括新建、改建、扩建项目安全评价）、咨询、标准化建设支出；</w:t>
            </w:r>
          </w:p>
          <w:p w14:paraId="43A55A0A">
            <w:pPr>
              <w:widowControl/>
              <w:ind w:firstLine="640"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（五）配备和更新现场作业人员安全防护用品支出；</w:t>
            </w:r>
          </w:p>
          <w:p w14:paraId="41C328D2">
            <w:pPr>
              <w:widowControl/>
              <w:ind w:firstLine="640"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（六）安全生产宣传、教育、培训支出；</w:t>
            </w:r>
          </w:p>
          <w:p w14:paraId="63D39180">
            <w:pPr>
              <w:widowControl/>
              <w:ind w:firstLine="640"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（七）安全生产适用的新技术、新标准、新工艺、新装备的推广应用支出；</w:t>
            </w:r>
          </w:p>
          <w:p w14:paraId="1CE5AFA3">
            <w:pPr>
              <w:widowControl/>
              <w:ind w:firstLine="640"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（八）安全设施及特种设备检测检验支出；</w:t>
            </w:r>
          </w:p>
          <w:p w14:paraId="5EBC53F8">
            <w:pPr>
              <w:widowControl/>
              <w:ind w:firstLine="640"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（九）尾矿库闭库及闭库后维护费用支出；</w:t>
            </w:r>
          </w:p>
          <w:p w14:paraId="13F369F8">
            <w:pPr>
              <w:widowControl/>
              <w:ind w:firstLine="640"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（十）地质勘探单位野外应急食品、应急器械、应急药品支出；</w:t>
            </w:r>
          </w:p>
          <w:p w14:paraId="1CF6C296">
            <w:pPr>
              <w:widowControl/>
              <w:ind w:firstLine="640"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（十一）其他与安全生产直接相关的支出。。</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0178CC">
            <w:pPr>
              <w:widowControl/>
              <w:numPr>
                <w:ilvl w:val="0"/>
                <w:numId w:val="13"/>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（2）安全生产规章制度；                               （3）安全投入的审批流程资料；                         （4）安全生产责任制；                                  （5）年度安全投入计划；                                （6）安全投入台账；                                   （7）投入验收记录；                                                                     （8）《现场检查记录》《责令限期整改指令书》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7AA6838F">
            <w:pPr>
              <w:widowControl/>
              <w:numPr>
                <w:ilvl w:val="0"/>
                <w:numId w:val="14"/>
              </w:numPr>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E4C403">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《四川省生产经营单位安全生产责任规定》第三十八条 </w:t>
            </w:r>
            <w:r>
              <w:rPr>
                <w:rFonts w:hint="eastAsia" w:ascii="仿宋_GB2312" w:hAnsi="仿宋_GB2312" w:eastAsia="仿宋_GB2312" w:cs="仿宋_GB2312"/>
                <w:color w:val="auto"/>
                <w:kern w:val="0"/>
                <w:sz w:val="32"/>
                <w:szCs w:val="32"/>
              </w:rPr>
              <w:t xml:space="preserve">  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79B6345">
            <w:pPr>
              <w:rPr>
                <w:rFonts w:hint="eastAsia" w:ascii="仿宋_GB2312" w:hAnsi="仿宋_GB2312" w:eastAsia="仿宋_GB2312" w:cs="仿宋_GB2312"/>
                <w:color w:val="auto"/>
                <w:sz w:val="32"/>
                <w:szCs w:val="32"/>
              </w:rPr>
            </w:pPr>
          </w:p>
        </w:tc>
      </w:tr>
      <w:tr w14:paraId="0F6B0FAD">
        <w:tblPrEx>
          <w:tblCellMar>
            <w:top w:w="0" w:type="dxa"/>
            <w:left w:w="0" w:type="dxa"/>
            <w:bottom w:w="0" w:type="dxa"/>
            <w:right w:w="0" w:type="dxa"/>
          </w:tblCellMar>
        </w:tblPrEx>
        <w:trPr>
          <w:trHeight w:val="14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086315CA">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nil"/>
              <w:right w:val="single" w:color="000000" w:sz="4" w:space="0"/>
            </w:tcBorders>
            <w:vAlign w:val="center"/>
          </w:tcPr>
          <w:p w14:paraId="24DCB4C2">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3471EF">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3.2尾矿库生产经营单位安全生产费用提取使用的情况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CDCC9A">
            <w:pPr>
              <w:widowControl/>
              <w:shd w:val="clear" w:color="auto" w:fill="FFFFFF"/>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第二十三条第二款</w:t>
            </w:r>
            <w:r>
              <w:rPr>
                <w:rFonts w:hint="eastAsia" w:ascii="仿宋_GB2312" w:hAnsi="仿宋_GB2312" w:eastAsia="仿宋_GB2312" w:cs="仿宋_GB2312"/>
                <w:color w:val="auto"/>
                <w:kern w:val="0"/>
                <w:sz w:val="32"/>
                <w:szCs w:val="32"/>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14:paraId="4E3BCBCA">
            <w:pPr>
              <w:widowControl/>
              <w:ind w:firstLine="640"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 xml:space="preserve"> </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b/>
                <w:bCs/>
                <w:color w:val="auto"/>
                <w:sz w:val="32"/>
                <w:szCs w:val="32"/>
              </w:rPr>
              <w:t xml:space="preserve">  《四川省安全生产条例》第十六条第一款</w:t>
            </w:r>
            <w:r>
              <w:rPr>
                <w:rStyle w:val="12"/>
                <w:rFonts w:hint="eastAsia" w:ascii="仿宋_GB2312" w:hAnsi="仿宋_GB2312" w:eastAsia="仿宋_GB2312" w:cs="仿宋_GB2312"/>
                <w:color w:val="auto"/>
                <w:sz w:val="32"/>
                <w:szCs w:val="32"/>
              </w:rPr>
              <w:t xml:space="preserve">   建立矿山、危险化学品、建设施工、烟花爆竹、民用爆炸物品等高危行业生产经营单位提取安全生产费用的制度。安全生产费用由生产经营单位按规定提取，专户储存，专项用于安全生产。安全生产实际发生的费用列入生产经营成本。具体管理办法由省安全生产监督管理部门会同省财政、税务等部门制定。</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b/>
                <w:bCs/>
                <w:color w:val="auto"/>
                <w:sz w:val="32"/>
                <w:szCs w:val="32"/>
              </w:rPr>
              <w:t xml:space="preserve">  《企业安全生产费用提取和使用管理办法》第六条第一款第（七）项</w:t>
            </w:r>
            <w:r>
              <w:rPr>
                <w:rFonts w:hint="eastAsia" w:ascii="仿宋_GB2312" w:hAnsi="仿宋_GB2312" w:eastAsia="仿宋_GB2312" w:cs="仿宋_GB2312"/>
                <w:color w:val="auto"/>
                <w:kern w:val="0"/>
                <w:sz w:val="32"/>
                <w:szCs w:val="32"/>
              </w:rPr>
              <w:t> </w:t>
            </w:r>
            <w:r>
              <w:rPr>
                <w:rStyle w:val="12"/>
                <w:rFonts w:hint="eastAsia" w:ascii="仿宋_GB2312" w:hAnsi="仿宋_GB2312" w:eastAsia="仿宋_GB2312" w:cs="仿宋_GB2312"/>
                <w:color w:val="auto"/>
                <w:sz w:val="32"/>
                <w:szCs w:val="32"/>
              </w:rPr>
              <w:t xml:space="preserve"> 非煤矿山开采企业依据开采的原矿产量按月提取。各类矿山原矿单位产量安全费用提取标准如下：（七）尾矿库按入库尾矿量计算，三等及三等以上尾矿库每吨1元，四等及五等尾矿库每吨1.5元。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B98BCB">
            <w:pPr>
              <w:widowControl/>
              <w:numPr>
                <w:ilvl w:val="0"/>
                <w:numId w:val="15"/>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相关证照；                            （2）安全生产费用提取及专户储存资料；                                （3）主要负责人对安全生产费用使用审签资料；                                   （4）安全生产费用列支清单； </w:t>
            </w:r>
          </w:p>
          <w:p w14:paraId="6A46417B">
            <w:pPr>
              <w:widowControl/>
              <w:numPr>
                <w:ilvl w:val="0"/>
                <w:numId w:val="11"/>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7ABA9590">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A768C7">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bCs/>
                <w:color w:val="auto"/>
                <w:kern w:val="0"/>
                <w:sz w:val="32"/>
                <w:szCs w:val="32"/>
              </w:rPr>
              <w:t xml:space="preserve">  《四川省安全生产条例》第六十九条  </w:t>
            </w:r>
            <w:r>
              <w:rPr>
                <w:rFonts w:hint="eastAsia" w:ascii="仿宋_GB2312" w:hAnsi="仿宋_GB2312" w:eastAsia="仿宋_GB2312" w:cs="仿宋_GB2312"/>
                <w:color w:val="auto"/>
                <w:kern w:val="0"/>
                <w:sz w:val="32"/>
                <w:szCs w:val="32"/>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5ED4E12">
            <w:pPr>
              <w:rPr>
                <w:rFonts w:hint="eastAsia" w:ascii="仿宋_GB2312" w:hAnsi="仿宋_GB2312" w:eastAsia="仿宋_GB2312" w:cs="仿宋_GB2312"/>
                <w:color w:val="auto"/>
                <w:sz w:val="32"/>
                <w:szCs w:val="32"/>
              </w:rPr>
            </w:pPr>
          </w:p>
        </w:tc>
      </w:tr>
      <w:tr w14:paraId="3A5B6CD3">
        <w:tblPrEx>
          <w:tblCellMar>
            <w:top w:w="0" w:type="dxa"/>
            <w:left w:w="0" w:type="dxa"/>
            <w:bottom w:w="0" w:type="dxa"/>
            <w:right w:w="0" w:type="dxa"/>
          </w:tblCellMar>
        </w:tblPrEx>
        <w:trPr>
          <w:trHeight w:val="9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027B5187">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nil"/>
              <w:right w:val="single" w:color="000000" w:sz="4" w:space="0"/>
            </w:tcBorders>
            <w:vAlign w:val="center"/>
          </w:tcPr>
          <w:p w14:paraId="78494B7A">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C9087F">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3.3尾矿库生产经营单位为从业人员提供符合国家标准或者行业标准的劳动防护用品的情况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EBB317">
            <w:pPr>
              <w:widowControl/>
              <w:ind w:firstLine="643"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《中华人民共和国安全生产法》  第四十五条</w:t>
            </w:r>
            <w:r>
              <w:rPr>
                <w:rFonts w:hint="eastAsia" w:ascii="仿宋_GB2312" w:hAnsi="仿宋_GB2312" w:eastAsia="仿宋_GB2312" w:cs="仿宋_GB2312"/>
                <w:color w:val="auto"/>
                <w:kern w:val="0"/>
                <w:sz w:val="32"/>
                <w:szCs w:val="32"/>
              </w:rPr>
              <w:t>生产经营单位必须为从业人员提供符合国家标准或者行业标准的劳动防护用品，并监督、教育从业人员按照使用规则佩戴、使用。</w:t>
            </w:r>
            <w:r>
              <w:rPr>
                <w:rStyle w:val="12"/>
                <w:rFonts w:hint="eastAsia" w:ascii="仿宋_GB2312" w:hAnsi="仿宋_GB2312" w:eastAsia="仿宋_GB2312" w:cs="仿宋_GB2312"/>
                <w:color w:val="auto"/>
                <w:sz w:val="32"/>
                <w:szCs w:val="32"/>
              </w:rPr>
              <w:t xml:space="preserve">      </w:t>
            </w:r>
          </w:p>
          <w:p w14:paraId="36E0AC6B">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 xml:space="preserve">《中华人民共和国安全生产法》  第四十七条  </w:t>
            </w:r>
            <w:r>
              <w:rPr>
                <w:rFonts w:hint="eastAsia" w:ascii="仿宋_GB2312" w:hAnsi="仿宋_GB2312" w:eastAsia="仿宋_GB2312" w:cs="仿宋_GB2312"/>
                <w:color w:val="auto"/>
                <w:kern w:val="0"/>
                <w:sz w:val="32"/>
                <w:szCs w:val="32"/>
              </w:rPr>
              <w:t>生产经营单位应当安排用于配备劳动防护用品、进行安全生产培训的经费。</w:t>
            </w:r>
          </w:p>
          <w:p w14:paraId="0252BE9D">
            <w:pPr>
              <w:widowControl/>
              <w:ind w:firstLine="643"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《安全生产违法行为行政处罚办法》四十三条第一款第（二）项</w:t>
            </w:r>
            <w:r>
              <w:rPr>
                <w:rStyle w:val="12"/>
                <w:rFonts w:hint="eastAsia" w:ascii="仿宋_GB2312" w:hAnsi="仿宋_GB2312" w:eastAsia="仿宋_GB2312" w:cs="仿宋_GB2312"/>
                <w:color w:val="auto"/>
                <w:sz w:val="32"/>
                <w:szCs w:val="32"/>
              </w:rPr>
              <w:t xml:space="preserve">   生产经营单位的决策机构、主要负责人、个人经营的投资人（包括实际控制人，下同）未依法保证下列安全生产所必需的资金投入，致使生产经营单位不具备安全生产条件的，责令限期改正，提供必需的资金，并可以对生产经营单位处1万元以上3万元以下罚款，对生产经营单位的主要负责人、个人经营的投资人处5000元以上1万元以下罚款；逾期未改正的，责令生产经营单位停产停业整顿：</w:t>
            </w:r>
          </w:p>
          <w:p w14:paraId="10690798">
            <w:pPr>
              <w:widowControl/>
              <w:ind w:firstLine="640"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（二）用于配备劳动防护用品的经费；</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8B88B4">
            <w:pPr>
              <w:widowControl/>
              <w:numPr>
                <w:ilvl w:val="0"/>
                <w:numId w:val="16"/>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相关证照；                                （2）配备劳动防护用品经费预决算财务资料；                      </w:t>
            </w:r>
          </w:p>
          <w:p w14:paraId="23552AA0">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（3）劳动防护用品的计划、审批、报废程序和措施；</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（4）劳动防护用品购买合同；</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（5）劳动防护用品发放登记表；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（6）劳动防护用品合格证；                             （7）《现场检查记录》《责令限期整改指令书》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等相关执法文书；</w:t>
            </w:r>
          </w:p>
          <w:p w14:paraId="0F41DEF9">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2BC7D7">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第九十九条第五项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AABF4B9">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（五）未为从业人员提供符合国家标准或者行业标准的劳动防护用品的；</w:t>
            </w:r>
          </w:p>
          <w:p w14:paraId="45601FCE">
            <w:pPr>
              <w:widowControl/>
              <w:ind w:firstLine="643"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《安全生产违法行为行政处罚办法》 第四十三条第一款第（二）项</w:t>
            </w:r>
            <w:r>
              <w:rPr>
                <w:rStyle w:val="12"/>
                <w:rFonts w:hint="eastAsia" w:ascii="仿宋_GB2312" w:hAnsi="仿宋_GB2312" w:eastAsia="仿宋_GB2312" w:cs="仿宋_GB2312"/>
                <w:color w:val="auto"/>
                <w:sz w:val="32"/>
                <w:szCs w:val="32"/>
              </w:rPr>
              <w:t xml:space="preserve">  生产经营单位的决策机构、主要负责人、个人经营的投资人（包括实际控制人，下同）未依法保证下列安全生产所必需的资金投入，致使生产经营单位不具备安全生产条件的，责令限期改正，提供必需的资金，并可以对生产经营单位处1万元以上3万元以下罚款，对生产经营单位的主要负责人、个人经营的投资人处5000元以上1万元以下罚款；逾期未改正的，责令生产经营单位停产停业整顿：</w:t>
            </w:r>
          </w:p>
          <w:p w14:paraId="60C787EC">
            <w:pPr>
              <w:widowControl/>
              <w:ind w:firstLine="640"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（二）用于配备劳动防护用品的经费；</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0FBFEF8">
            <w:pPr>
              <w:rPr>
                <w:rFonts w:hint="eastAsia" w:ascii="仿宋_GB2312" w:hAnsi="仿宋_GB2312" w:eastAsia="仿宋_GB2312" w:cs="仿宋_GB2312"/>
                <w:color w:val="auto"/>
                <w:sz w:val="32"/>
                <w:szCs w:val="32"/>
              </w:rPr>
            </w:pPr>
          </w:p>
        </w:tc>
      </w:tr>
      <w:tr w14:paraId="1631A6F6">
        <w:tblPrEx>
          <w:tblCellMar>
            <w:top w:w="0" w:type="dxa"/>
            <w:left w:w="0" w:type="dxa"/>
            <w:bottom w:w="0" w:type="dxa"/>
            <w:right w:w="0" w:type="dxa"/>
          </w:tblCellMar>
        </w:tblPrEx>
        <w:trPr>
          <w:trHeight w:val="12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2F139637">
            <w:pPr>
              <w:widowControl/>
              <w:jc w:val="left"/>
              <w:rPr>
                <w:rFonts w:hint="eastAsia" w:ascii="仿宋_GB2312" w:hAnsi="仿宋_GB2312" w:eastAsia="仿宋_GB2312" w:cs="仿宋_GB2312"/>
                <w:color w:val="auto"/>
                <w:sz w:val="32"/>
                <w:szCs w:val="32"/>
              </w:rPr>
            </w:pPr>
          </w:p>
        </w:tc>
        <w:tc>
          <w:tcPr>
            <w:tcW w:w="964" w:type="dxa"/>
            <w:vMerge w:val="restart"/>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70CADE">
            <w:pPr>
              <w:jc w:val="center"/>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413B0C">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3.4尾矿库生产经营单位支付从业人员进行安全培训期间工资并承担安全培训费用的情况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C6A656">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《生产经营单位安全培训规定》第二十一条第一款</w:t>
            </w:r>
            <w:r>
              <w:rPr>
                <w:rFonts w:hint="eastAsia" w:ascii="仿宋_GB2312" w:hAnsi="仿宋_GB2312" w:eastAsia="仿宋_GB2312" w:cs="仿宋_GB2312"/>
                <w:color w:val="auto"/>
                <w:kern w:val="0"/>
                <w:sz w:val="32"/>
                <w:szCs w:val="32"/>
              </w:rPr>
              <w:t xml:space="preserve">   生产经营单位应当将安全培训工作纳入本单位年度工作计划。保证本单位安全培训工作所需资金。                       </w:t>
            </w:r>
          </w:p>
          <w:p w14:paraId="06E32EDE">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《生产经营单位安全培训规定》第二十三条</w:t>
            </w:r>
            <w:r>
              <w:rPr>
                <w:rFonts w:hint="eastAsia" w:ascii="仿宋_GB2312" w:hAnsi="仿宋_GB2312" w:eastAsia="仿宋_GB2312" w:cs="仿宋_GB2312"/>
                <w:color w:val="auto"/>
                <w:kern w:val="0"/>
                <w:sz w:val="32"/>
                <w:szCs w:val="32"/>
              </w:rPr>
              <w:t xml:space="preserve">   生产经营单位安排从业人员进行安全培训期间，应当支付工资和必要的费用。</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497057">
            <w:pPr>
              <w:widowControl/>
              <w:numPr>
                <w:ilvl w:val="0"/>
                <w:numId w:val="17"/>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（2）教育培训计划及经费预算；                         （3）工资发放表；                                      （4）安全培训费用报销有关凭据；                         （5）抽查询问有关参加培训的从业人员；                      （6）《现场检查记录》《责令限期整改指令书》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2CCEFF95">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766993">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《生产经营单位安全培训规定》第二十九条</w:t>
            </w:r>
            <w:r>
              <w:rPr>
                <w:rFonts w:hint="eastAsia" w:ascii="仿宋_GB2312" w:hAnsi="仿宋_GB2312" w:eastAsia="仿宋_GB2312" w:cs="仿宋_GB2312"/>
                <w:color w:val="auto"/>
                <w:kern w:val="0"/>
                <w:sz w:val="32"/>
                <w:szCs w:val="32"/>
              </w:rPr>
              <w:t xml:space="preserve">  生产经营单位有下列行为之一的，由安全生产监管监察部门责令其限期改正，可以处1万元以上3万元以下的罚款：</w:t>
            </w:r>
          </w:p>
          <w:p w14:paraId="7DB65E7C">
            <w:pPr>
              <w:widowControl/>
              <w:numPr>
                <w:ilvl w:val="0"/>
                <w:numId w:val="18"/>
              </w:numPr>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未将安全培训工作纳入本单位工作计划并保证安全培训工作所需资金的；</w:t>
            </w:r>
          </w:p>
          <w:p w14:paraId="5CF938E0">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（二）从业人员进行安全培训期间未支付工资并承担安全培训费用的。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9D96F8B">
            <w:pPr>
              <w:rPr>
                <w:rFonts w:hint="eastAsia" w:ascii="仿宋_GB2312" w:hAnsi="仿宋_GB2312" w:eastAsia="仿宋_GB2312" w:cs="仿宋_GB2312"/>
                <w:color w:val="auto"/>
                <w:sz w:val="32"/>
                <w:szCs w:val="32"/>
              </w:rPr>
            </w:pPr>
          </w:p>
        </w:tc>
      </w:tr>
      <w:tr w14:paraId="35269D4F">
        <w:tblPrEx>
          <w:tblCellMar>
            <w:top w:w="0" w:type="dxa"/>
            <w:left w:w="0" w:type="dxa"/>
            <w:bottom w:w="0" w:type="dxa"/>
            <w:right w:w="0" w:type="dxa"/>
          </w:tblCellMar>
        </w:tblPrEx>
        <w:trPr>
          <w:trHeight w:val="195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374E79B2">
            <w:pPr>
              <w:widowControl/>
              <w:jc w:val="left"/>
              <w:rPr>
                <w:rFonts w:hint="eastAsia" w:ascii="仿宋_GB2312" w:hAnsi="仿宋_GB2312" w:eastAsia="仿宋_GB2312" w:cs="仿宋_GB2312"/>
                <w:color w:val="auto"/>
                <w:sz w:val="32"/>
                <w:szCs w:val="32"/>
              </w:rPr>
            </w:pPr>
          </w:p>
        </w:tc>
        <w:tc>
          <w:tcPr>
            <w:tcW w:w="964" w:type="dxa"/>
            <w:vMerge w:val="continue"/>
            <w:tcBorders>
              <w:top w:val="nil"/>
              <w:left w:val="single" w:color="000000" w:sz="4" w:space="0"/>
              <w:bottom w:val="single" w:color="000000" w:sz="4" w:space="0"/>
              <w:right w:val="single" w:color="000000" w:sz="4" w:space="0"/>
            </w:tcBorders>
            <w:vAlign w:val="center"/>
          </w:tcPr>
          <w:p w14:paraId="34558D22">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571401">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3.5尾矿库生产经营单位决策机构、主要负责人或者个人经营的投资人保证安全生产所必需的资金投入的情况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1D715E">
            <w:pPr>
              <w:widowControl/>
              <w:ind w:firstLine="643"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《中华人民共和国安全生产法》  第二十三条第一款</w:t>
            </w:r>
            <w:r>
              <w:rPr>
                <w:rFonts w:hint="eastAsia" w:ascii="仿宋_GB2312" w:hAnsi="仿宋_GB2312" w:eastAsia="仿宋_GB2312" w:cs="仿宋_GB2312"/>
                <w:color w:val="auto"/>
                <w:kern w:val="0"/>
                <w:sz w:val="32"/>
                <w:szCs w:val="32"/>
              </w:rPr>
              <w:t>生产经营单位应当具备的安全生产条件所必需的资金投入，由生产经营单位的决策机构、主要负责人或者个人经营的投资人予以保证，并对由于安全生产所必需的资金投入不足导致的后果承担责任。</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33CD90">
            <w:pPr>
              <w:widowControl/>
              <w:numPr>
                <w:ilvl w:val="0"/>
                <w:numId w:val="19"/>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（2）年度安全生产投入计划；                               （3）投入资金预算资料；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（4）投入资金审批划拨资料；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（5）使用费用清单及结算财务资料；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（6）实际投入项目清单及验收资料；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（7）有关部门及责任人和主要负责人保证本单位安全生产投入有效实施的履职情况；                                  （8）《现场检查记录》《责令限期整改指令书》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6EF24833">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FE4BBD">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第九十三条第一款</w:t>
            </w:r>
            <w:r>
              <w:rPr>
                <w:rFonts w:hint="eastAsia" w:ascii="仿宋_GB2312" w:hAnsi="仿宋_GB2312" w:eastAsia="仿宋_GB2312" w:cs="仿宋_GB2312"/>
                <w:color w:val="auto"/>
                <w:kern w:val="0"/>
                <w:sz w:val="32"/>
                <w:szCs w:val="32"/>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6B6342BA">
            <w:pPr>
              <w:widowControl/>
              <w:ind w:firstLine="640" w:firstLineChars="200"/>
              <w:jc w:val="left"/>
              <w:textAlignment w:val="center"/>
              <w:rPr>
                <w:rFonts w:hint="eastAsia" w:ascii="仿宋_GB2312" w:hAnsi="仿宋_GB2312" w:eastAsia="仿宋_GB2312" w:cs="仿宋_GB2312"/>
                <w:color w:val="auto"/>
                <w:sz w:val="32"/>
                <w:szCs w:val="32"/>
              </w:rPr>
            </w:pP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775731">
            <w:pPr>
              <w:rPr>
                <w:rFonts w:hint="eastAsia" w:ascii="仿宋_GB2312" w:hAnsi="仿宋_GB2312" w:eastAsia="仿宋_GB2312" w:cs="仿宋_GB2312"/>
                <w:color w:val="auto"/>
                <w:sz w:val="32"/>
                <w:szCs w:val="32"/>
              </w:rPr>
            </w:pPr>
          </w:p>
        </w:tc>
      </w:tr>
      <w:tr w14:paraId="5B8417F3">
        <w:tblPrEx>
          <w:tblCellMar>
            <w:top w:w="0" w:type="dxa"/>
            <w:left w:w="0" w:type="dxa"/>
            <w:bottom w:w="0" w:type="dxa"/>
            <w:right w:w="0" w:type="dxa"/>
          </w:tblCellMar>
        </w:tblPrEx>
        <w:trPr>
          <w:trHeight w:val="2395"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2CAE77">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EECCA8">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尾矿库安全设施设计审查、备案及相关资质认定</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51F9F1">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4.1尾矿库生产经营单位安全生产许可取得情况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B284A7">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《安全生产许可证条例》第二条</w:t>
            </w:r>
            <w:r>
              <w:rPr>
                <w:rFonts w:hint="eastAsia" w:ascii="仿宋_GB2312" w:hAnsi="仿宋_GB2312" w:eastAsia="仿宋_GB2312" w:cs="仿宋_GB2312"/>
                <w:color w:val="auto"/>
                <w:kern w:val="0"/>
                <w:sz w:val="32"/>
                <w:szCs w:val="32"/>
              </w:rPr>
              <w:t xml:space="preserve">  国家对矿山企业、建筑施工企业和危险化学品、烟花爆竹、民用爆炸物品生产企业（以下统称企业）实行安全生产许可制度。企业未取得安全生产许可证的，不得从事生产活动。</w:t>
            </w:r>
          </w:p>
          <w:p w14:paraId="46527BA0">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《非煤矿矿山企业安全生产许可证实施办法》第五条第一款</w:t>
            </w:r>
            <w:r>
              <w:rPr>
                <w:rFonts w:hint="eastAsia" w:ascii="仿宋_GB2312" w:hAnsi="仿宋_GB2312" w:eastAsia="仿宋_GB2312" w:cs="仿宋_GB2312"/>
                <w:color w:val="auto"/>
                <w:kern w:val="0"/>
                <w:sz w:val="32"/>
                <w:szCs w:val="32"/>
              </w:rPr>
              <w:t xml:space="preserve">  本实施办法所称的非煤矿矿山企业包括金属非金属矿山企业及其尾矿库、地址勘探单位、采掘施工企业、石油天然气企业。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9FC473">
            <w:pPr>
              <w:widowControl/>
              <w:numPr>
                <w:ilvl w:val="0"/>
                <w:numId w:val="20"/>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（2）建设项目立项、审批文件；                          （3）安全评价或综合分析书面报告；                      （4）《现场检查记录》《责令限期整改指令书》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等相关执法文书；</w:t>
            </w:r>
          </w:p>
          <w:p w14:paraId="2B5532E3">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81894E">
            <w:pPr>
              <w:widowControl/>
              <w:spacing w:after="200"/>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《安全生产许可证条例》第十九条</w:t>
            </w:r>
            <w:r>
              <w:rPr>
                <w:rFonts w:hint="eastAsia" w:ascii="仿宋_GB2312" w:hAnsi="仿宋_GB2312" w:eastAsia="仿宋_GB2312" w:cs="仿宋_GB2312"/>
                <w:color w:val="auto"/>
                <w:kern w:val="0"/>
                <w:sz w:val="32"/>
                <w:szCs w:val="32"/>
              </w:rPr>
              <w:t xml:space="preserve">   违反本条例规定，未取得安全生产许可证擅自进行生产的，责令停止生产，没收违法所得，并处 10 万元以上 50 万元以下的罚款；造成重大事故或者其他严重后果，构成犯罪的，依法追究刑事责任。</w:t>
            </w:r>
          </w:p>
          <w:p w14:paraId="6FAF2B0E">
            <w:pPr>
              <w:widowControl/>
              <w:spacing w:after="200"/>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《安全生产许可证条例》第二十条</w:t>
            </w:r>
            <w:r>
              <w:rPr>
                <w:rFonts w:hint="eastAsia" w:ascii="仿宋_GB2312" w:hAnsi="仿宋_GB2312" w:eastAsia="仿宋_GB2312" w:cs="仿宋_GB2312"/>
                <w:color w:val="auto"/>
                <w:kern w:val="0"/>
                <w:sz w:val="32"/>
                <w:szCs w:val="32"/>
              </w:rPr>
              <w:t xml:space="preserve">   违反本条例规定，安全生产许可证有效期满未办理延期手续，继续进行生产的，责令停止生产，限期补办延期手续，没收违法所得，并处 5 万元以上 10 万元以下的罚款；逾期仍不办理延期手续，继续进行生产的，依照本条例第十九条的规定处罚。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B9F38D6">
            <w:pPr>
              <w:rPr>
                <w:rFonts w:hint="eastAsia" w:ascii="仿宋_GB2312" w:hAnsi="仿宋_GB2312" w:eastAsia="仿宋_GB2312" w:cs="仿宋_GB2312"/>
                <w:color w:val="auto"/>
                <w:sz w:val="32"/>
                <w:szCs w:val="32"/>
              </w:rPr>
            </w:pPr>
          </w:p>
        </w:tc>
      </w:tr>
      <w:tr w14:paraId="7E42BDF2">
        <w:tblPrEx>
          <w:tblCellMar>
            <w:top w:w="0" w:type="dxa"/>
            <w:left w:w="0" w:type="dxa"/>
            <w:bottom w:w="0" w:type="dxa"/>
            <w:right w:w="0" w:type="dxa"/>
          </w:tblCellMar>
        </w:tblPrEx>
        <w:trPr>
          <w:trHeight w:val="239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3272E95E">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0A49611C">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AE2820">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4.2 安全生产许可证延期</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E62FD4">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《安全生产许可证条例》第九条</w:t>
            </w:r>
            <w:r>
              <w:rPr>
                <w:rFonts w:hint="eastAsia" w:ascii="仿宋_GB2312" w:hAnsi="仿宋_GB2312" w:eastAsia="仿宋_GB2312" w:cs="仿宋_GB2312"/>
                <w:color w:val="auto"/>
                <w:kern w:val="0"/>
                <w:sz w:val="32"/>
                <w:szCs w:val="32"/>
              </w:rPr>
              <w:t>安全生产许可证的有效期为3年。安全生产许可证有效期满需要延期的，企业应当于期满前3个月向原安全生产许可证颁发管理机关办理延期手续。</w:t>
            </w:r>
          </w:p>
          <w:p w14:paraId="0A5DB8E4">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241FCC55">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《非煤矿矿山企业安全生产许可证实施办法》第十九条</w:t>
            </w:r>
            <w:r>
              <w:rPr>
                <w:rFonts w:hint="eastAsia" w:ascii="仿宋_GB2312" w:hAnsi="仿宋_GB2312" w:eastAsia="仿宋_GB2312" w:cs="仿宋_GB2312"/>
                <w:color w:val="auto"/>
                <w:kern w:val="0"/>
                <w:sz w:val="32"/>
                <w:szCs w:val="32"/>
              </w:rPr>
              <w:t xml:space="preserve"> 安全生产许可证的有效期为3年。安全生产许可证有效期满后需要延期的，非煤矿矿山企业应当在安全生产许可证有效期届满前3个月向原安全生产许可证颁发管理机关申请办理延期手续，并提交下列文件、资料：</w:t>
            </w:r>
          </w:p>
          <w:p w14:paraId="30117CB8">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（一）延期申请书；</w:t>
            </w:r>
          </w:p>
          <w:p w14:paraId="2190FEC5">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（二）安全生产许可证正本和副本；</w:t>
            </w:r>
          </w:p>
          <w:p w14:paraId="7E0552F6">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（三）本实施办法第二章规定的相应文件、资料。</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5C4391B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（1）生产企业营业执照；</w:t>
            </w:r>
          </w:p>
          <w:p w14:paraId="61EBEE8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（2）安全生产许可证；</w:t>
            </w:r>
          </w:p>
          <w:p w14:paraId="2E6AA35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（3）向发证机关查询安全生产许可证延期情况资料（申请资料、安全评价报告等）；</w:t>
            </w:r>
          </w:p>
          <w:p w14:paraId="4F2CDCC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（4）《现场检查记录》《责令限期整改指令书》《现场处理措施决定书》《查封扣押决定书》等相关执法文书；</w:t>
            </w:r>
          </w:p>
          <w:p w14:paraId="587F246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color w:val="auto"/>
                <w:sz w:val="32"/>
                <w:szCs w:val="32"/>
              </w:rPr>
              <w:t>企业相关人员任职文件、身份证明及其询问笔录；</w:t>
            </w:r>
          </w:p>
          <w:p w14:paraId="0EF0794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（6）其他相关证据。</w:t>
            </w:r>
          </w:p>
          <w:p w14:paraId="016A43C8">
            <w:pPr>
              <w:widowControl/>
              <w:adjustRightInd w:val="0"/>
              <w:snapToGrid w:val="0"/>
              <w:rPr>
                <w:rFonts w:hint="eastAsia" w:ascii="仿宋_GB2312" w:hAnsi="仿宋_GB2312" w:eastAsia="仿宋_GB2312" w:cs="仿宋_GB2312"/>
                <w:color w:val="auto"/>
                <w:sz w:val="32"/>
                <w:szCs w:val="32"/>
              </w:rPr>
            </w:pP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6E1F35">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《安全生产许可证条例》第二十条</w:t>
            </w:r>
            <w:r>
              <w:rPr>
                <w:rFonts w:hint="eastAsia" w:ascii="仿宋_GB2312" w:hAnsi="仿宋_GB2312" w:eastAsia="仿宋_GB2312" w:cs="仿宋_GB2312"/>
                <w:color w:val="auto"/>
                <w:kern w:val="0"/>
                <w:sz w:val="32"/>
                <w:szCs w:val="32"/>
              </w:rPr>
              <w:t xml:space="preserve">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14:paraId="4C343DDF">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《非煤矿矿山企业安全生产许可证实施办法》第四十五条</w:t>
            </w:r>
            <w:r>
              <w:rPr>
                <w:rFonts w:hint="eastAsia" w:ascii="仿宋_GB2312" w:hAnsi="仿宋_GB2312" w:eastAsia="仿宋_GB2312" w:cs="仿宋_GB2312"/>
                <w:color w:val="auto"/>
                <w:kern w:val="0"/>
                <w:sz w:val="32"/>
                <w:szCs w:val="32"/>
              </w:rPr>
              <w:t xml:space="preserve">  非煤矿矿山企业在安全生产许可证有效期满未办理延期手续，继续进行生产的，责令停止生产，限期补办延期手续，没收违法所得，并处5万元以上10万元以下的罚款；逾期仍不办理延期手续，继续进行生产的，依照本实施办法第四十二条的规定处罚。</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AB7659">
            <w:pPr>
              <w:rPr>
                <w:rFonts w:hint="eastAsia" w:ascii="仿宋_GB2312" w:hAnsi="仿宋_GB2312" w:eastAsia="仿宋_GB2312" w:cs="仿宋_GB2312"/>
                <w:color w:val="auto"/>
                <w:sz w:val="32"/>
                <w:szCs w:val="32"/>
              </w:rPr>
            </w:pPr>
          </w:p>
        </w:tc>
      </w:tr>
      <w:tr w14:paraId="1211E515">
        <w:tblPrEx>
          <w:tblCellMar>
            <w:top w:w="0" w:type="dxa"/>
            <w:left w:w="0" w:type="dxa"/>
            <w:bottom w:w="0" w:type="dxa"/>
            <w:right w:w="0" w:type="dxa"/>
          </w:tblCellMar>
        </w:tblPrEx>
        <w:trPr>
          <w:trHeight w:val="239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4F610975">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2E6B0989">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8FA246">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4.3 安全生产许可证变更</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E4ED01">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《非煤矿矿山企业安全生产许可证实施办法》第二十一条</w:t>
            </w:r>
            <w:r>
              <w:rPr>
                <w:rFonts w:hint="eastAsia" w:ascii="仿宋_GB2312" w:hAnsi="仿宋_GB2312" w:eastAsia="仿宋_GB2312" w:cs="仿宋_GB2312"/>
                <w:color w:val="auto"/>
                <w:kern w:val="0"/>
                <w:sz w:val="32"/>
                <w:szCs w:val="32"/>
              </w:rPr>
              <w:t>非煤矿矿山企业在安全生产许可证有效期内有下列情形之一的，应当自工商营业执照变更之日起30个工作日内向原安全生产许可证颁发管理机关申请变更安全生产许可证：</w:t>
            </w:r>
          </w:p>
          <w:p w14:paraId="65C32FA9">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（一）变更单位名称的；</w:t>
            </w:r>
          </w:p>
          <w:p w14:paraId="4CAAA0C7">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（二）变更主要负责人的；</w:t>
            </w:r>
          </w:p>
          <w:p w14:paraId="5C6E0D09">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（三）变更单位地址的；</w:t>
            </w:r>
          </w:p>
          <w:p w14:paraId="789C0A5A">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（四）变更经济类型的；</w:t>
            </w:r>
          </w:p>
          <w:p w14:paraId="2C3A95F1">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（五）变更许可范围的。</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3583DD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（1）变更前、后企业营业执照；</w:t>
            </w:r>
          </w:p>
          <w:p w14:paraId="0326494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（2）变更前、后安全生产许可证；</w:t>
            </w:r>
          </w:p>
          <w:p w14:paraId="2235E40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（3）营业执照、安全生产许可证主要负责人身份证；</w:t>
            </w:r>
          </w:p>
          <w:p w14:paraId="3027685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（4）主要负责人任职及职责分工文件；</w:t>
            </w:r>
          </w:p>
          <w:p w14:paraId="7200894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安全生产知识和管理能力培训合格证明文件；</w:t>
            </w:r>
          </w:p>
          <w:p w14:paraId="0E4E11A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（5）主要负责人为委托授权的，收集委托授权书、委托事项；</w:t>
            </w:r>
          </w:p>
          <w:p w14:paraId="554C4BE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（6）企业原生产装置新增产品或者改变工艺技术经审查、批准相关文件资料；</w:t>
            </w:r>
          </w:p>
          <w:p w14:paraId="30899A9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（7）企业原生产装置新增产品或者改变工艺技术专项安全评价报告；</w:t>
            </w:r>
          </w:p>
          <w:p w14:paraId="611170A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（8）危险化学品建设项目（新建、改建、扩建）安全设施竣工验收报告等相关文件、资料；</w:t>
            </w:r>
          </w:p>
          <w:p w14:paraId="1AB6635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（9）向发证机关查询安全生产许可证变更事项内容及相关资料；</w:t>
            </w:r>
          </w:p>
          <w:p w14:paraId="1DB815A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（10）《现场检查记录》《责令限期整改指令书》《现场处理措施决定书》《查封扣押决定书》等相关执法文书；</w:t>
            </w:r>
          </w:p>
          <w:p w14:paraId="40D8CF8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（11）销售合同及相关账务资料；</w:t>
            </w:r>
          </w:p>
          <w:p w14:paraId="0622210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（12）《询问笔录》；</w:t>
            </w:r>
          </w:p>
          <w:p w14:paraId="07EB395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0CCAF5">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《非煤矿矿山企业安全生产许可证实施办法》第四十四条</w:t>
            </w:r>
            <w:r>
              <w:rPr>
                <w:rFonts w:hint="eastAsia" w:ascii="仿宋_GB2312" w:hAnsi="仿宋_GB2312" w:eastAsia="仿宋_GB2312" w:cs="仿宋_GB2312"/>
                <w:color w:val="auto"/>
                <w:kern w:val="0"/>
                <w:sz w:val="32"/>
                <w:szCs w:val="32"/>
              </w:rPr>
              <w:t xml:space="preserve"> 非煤矿矿山企业在安全生产许可证有效期内，出现需要变更安全生产许可证的情形，未按本实施办法第二十一条的规定申请、办理变更手续的，责令限期办理变更手续，并处1万元以上3万元以下罚款。</w:t>
            </w:r>
          </w:p>
          <w:p w14:paraId="29BFD2D6">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9C62980">
            <w:pPr>
              <w:rPr>
                <w:rFonts w:hint="eastAsia" w:ascii="仿宋_GB2312" w:hAnsi="仿宋_GB2312" w:eastAsia="仿宋_GB2312" w:cs="仿宋_GB2312"/>
                <w:color w:val="auto"/>
                <w:sz w:val="32"/>
                <w:szCs w:val="32"/>
              </w:rPr>
            </w:pPr>
          </w:p>
        </w:tc>
      </w:tr>
      <w:tr w14:paraId="3F52FA31">
        <w:tblPrEx>
          <w:tblCellMar>
            <w:top w:w="0" w:type="dxa"/>
            <w:left w:w="0" w:type="dxa"/>
            <w:bottom w:w="0" w:type="dxa"/>
            <w:right w:w="0" w:type="dxa"/>
          </w:tblCellMar>
        </w:tblPrEx>
        <w:trPr>
          <w:trHeight w:val="63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48F50043">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0D91ECC9">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A4D613">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4.4 转让、冒用安全生产许可证或者使用伪造的安全生产许可证</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FA498F">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《安全生产许可证条例》第十三条</w:t>
            </w:r>
            <w:r>
              <w:rPr>
                <w:rFonts w:hint="eastAsia" w:ascii="仿宋_GB2312" w:hAnsi="仿宋_GB2312" w:eastAsia="仿宋_GB2312" w:cs="仿宋_GB2312"/>
                <w:color w:val="auto"/>
                <w:kern w:val="0"/>
                <w:sz w:val="32"/>
                <w:szCs w:val="32"/>
              </w:rPr>
              <w:t xml:space="preserve"> 企业不得转让、冒用安全生产许可证或者使用伪造的安全生产许可证。</w:t>
            </w:r>
          </w:p>
          <w:p w14:paraId="2AB9E8F9">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《非煤矿矿山企业安全生产许可证实施办法》第二十七条</w:t>
            </w:r>
            <w:r>
              <w:rPr>
                <w:rFonts w:hint="eastAsia" w:ascii="仿宋_GB2312" w:hAnsi="仿宋_GB2312" w:eastAsia="仿宋_GB2312" w:cs="仿宋_GB2312"/>
                <w:color w:val="auto"/>
                <w:kern w:val="0"/>
                <w:sz w:val="32"/>
                <w:szCs w:val="32"/>
              </w:rPr>
              <w:t xml:space="preserve"> 非煤矿矿山企业不得转让、冒用、买卖、出租、出借或者使用伪造的安全生产许可证。</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14:paraId="1AC8D9C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w:t>
            </w:r>
          </w:p>
          <w:p w14:paraId="453BB90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（2）安全生产许可证；</w:t>
            </w:r>
          </w:p>
          <w:p w14:paraId="2875B5B8">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（3）营业执照、安全生产许可证主要负责人身份证；</w:t>
            </w:r>
          </w:p>
          <w:p w14:paraId="564B463D">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（4）发证机关查询安全生产许可证有关情况资料；</w:t>
            </w:r>
          </w:p>
          <w:p w14:paraId="392BECB6">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（5）转让合同（或协议）；</w:t>
            </w:r>
          </w:p>
          <w:p w14:paraId="32AF474F">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（6）《现场检查记录》《现场处理措施决定书》《查封扣押决定书》等相关执法文书；</w:t>
            </w:r>
          </w:p>
          <w:p w14:paraId="55551F82">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（7）《询问笔录》；</w:t>
            </w:r>
          </w:p>
          <w:p w14:paraId="22F270CF">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（8）销售合同及相关账务资料；</w:t>
            </w:r>
          </w:p>
          <w:p w14:paraId="1ED30A20">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9B7D89">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《安全生产许可证条例》第二十一条</w:t>
            </w:r>
            <w:r>
              <w:rPr>
                <w:rFonts w:hint="eastAsia" w:ascii="仿宋_GB2312" w:hAnsi="仿宋_GB2312" w:eastAsia="仿宋_GB2312" w:cs="仿宋_GB2312"/>
                <w:color w:val="auto"/>
                <w:kern w:val="0"/>
                <w:sz w:val="32"/>
                <w:szCs w:val="32"/>
              </w:rPr>
              <w:t xml:space="preserve"> 违反本条例规定，转让安全生产许可证的，没收违法所得，处10万元以上50万元以下的罚款，并吊销其安全生产许可证；构成犯罪的，依法追究刑事责任；接受转让的，依照本条例第十九条的规定处罚。</w:t>
            </w:r>
          </w:p>
          <w:p w14:paraId="32F2553C">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冒用安全生产许可证或者使用伪造的安全生产许可证的，依照本条例第十九条的规定处罚。</w:t>
            </w:r>
          </w:p>
          <w:p w14:paraId="142213C6">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《非煤矿矿山企业安全生产许可证实施办法》第四十一条  取得安全生产许可证的非煤矿矿山企业有下列行为之一的，吊销其安全生产许可证：</w:t>
            </w:r>
          </w:p>
          <w:p w14:paraId="0480574C">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（一）倒卖、出租、出借或者以其他形式非法转让安全生产许可证的；</w:t>
            </w:r>
          </w:p>
          <w:p w14:paraId="5E03109A">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p w14:paraId="2DC6AEC9">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第四十二条  非煤矿矿山企业有下列行为之一的，责令停止生产，没收违法所得，并处10万元以上50万元以下的罚款：</w:t>
            </w:r>
          </w:p>
          <w:p w14:paraId="56754C51">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（二）接受转让的安全生产许可证的；</w:t>
            </w:r>
          </w:p>
          <w:p w14:paraId="2F045432">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（三）冒用安全生产许可证的；</w:t>
            </w:r>
          </w:p>
          <w:p w14:paraId="3B945146">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（四）使用伪造的安全生产许可证的。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01F893">
            <w:pPr>
              <w:rPr>
                <w:rFonts w:hint="eastAsia" w:ascii="仿宋_GB2312" w:hAnsi="仿宋_GB2312" w:eastAsia="仿宋_GB2312" w:cs="仿宋_GB2312"/>
                <w:color w:val="auto"/>
                <w:sz w:val="32"/>
                <w:szCs w:val="32"/>
              </w:rPr>
            </w:pPr>
          </w:p>
        </w:tc>
      </w:tr>
      <w:tr w14:paraId="02B32A39">
        <w:tblPrEx>
          <w:tblCellMar>
            <w:top w:w="0" w:type="dxa"/>
            <w:left w:w="0" w:type="dxa"/>
            <w:bottom w:w="0" w:type="dxa"/>
            <w:right w:w="0" w:type="dxa"/>
          </w:tblCellMar>
        </w:tblPrEx>
        <w:trPr>
          <w:trHeight w:val="24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6649730C">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6D156F77">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32CC2A">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4.2尾矿库生产经营单位建设项目进行安全评价的情况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C1A6AB">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《建设项目安全设施"三同时"监督管理暂行办法》第七条第（一）项  </w:t>
            </w:r>
            <w:r>
              <w:rPr>
                <w:rFonts w:hint="eastAsia" w:ascii="仿宋_GB2312" w:hAnsi="仿宋_GB2312" w:eastAsia="仿宋_GB2312" w:cs="仿宋_GB2312"/>
                <w:color w:val="auto"/>
                <w:kern w:val="0"/>
                <w:sz w:val="32"/>
                <w:szCs w:val="32"/>
              </w:rPr>
              <w:t>下列建设项目在进行可行性研究时，生产经营单位应当按照国家规定，进行安全预评价：</w:t>
            </w:r>
          </w:p>
          <w:p w14:paraId="5E0A31AF">
            <w:pPr>
              <w:widowControl/>
              <w:numPr>
                <w:ilvl w:val="0"/>
                <w:numId w:val="21"/>
              </w:numPr>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非煤矿矿山建设项目；</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bCs/>
                <w:color w:val="auto"/>
                <w:kern w:val="0"/>
                <w:sz w:val="32"/>
                <w:szCs w:val="32"/>
              </w:rPr>
              <w:t xml:space="preserve">   《建设项目安全设施"三同时"监督管理暂行办法》第八条</w:t>
            </w:r>
            <w:r>
              <w:rPr>
                <w:rFonts w:hint="eastAsia" w:ascii="仿宋_GB2312" w:hAnsi="仿宋_GB2312" w:eastAsia="仿宋_GB2312" w:cs="仿宋_GB2312"/>
                <w:color w:val="auto"/>
                <w:kern w:val="0"/>
                <w:sz w:val="32"/>
                <w:szCs w:val="32"/>
              </w:rPr>
              <w:t xml:space="preserve">  生产经营单位应当委托具有相应资质的安全评价机构，对其建设项目进行安全预评价，并编制安全预评价报告。</w:t>
            </w:r>
          </w:p>
          <w:p w14:paraId="1AB111B2">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建设项目安全预评价报告应当符合国家标准或者行业标准的规定。</w:t>
            </w:r>
          </w:p>
          <w:p w14:paraId="3F57A54D">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生产、储存危险化学品的建设项目和化工建设项目安全预评价报告除符合本条第二款的规定外，还应当符合有关危险化学品建设项目的规定。</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D63C54">
            <w:pPr>
              <w:widowControl/>
              <w:numPr>
                <w:ilvl w:val="0"/>
                <w:numId w:val="22"/>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（2）建设项目立项、审批文件；                          （3）安全评价或综合分析书面报告；                      （4）《现场检查记录》《责令限期整改指令书》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0F61256E">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F3CF8E">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《建设项目安全设施"三同时"监督管理暂行办法》第二十八条第一项</w:t>
            </w:r>
            <w:r>
              <w:rPr>
                <w:rFonts w:hint="eastAsia" w:ascii="仿宋_GB2312" w:hAnsi="仿宋_GB2312" w:eastAsia="仿宋_GB2312" w:cs="仿宋_GB2312"/>
                <w:color w:val="auto"/>
                <w:kern w:val="0"/>
                <w:sz w:val="32"/>
                <w:szCs w:val="32"/>
              </w:rPr>
              <w:t xml:space="preserve">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14:paraId="568B02D7">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（一）未按照本办法规定对建设项目进行安全评价的；......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ABFE99E">
            <w:pPr>
              <w:rPr>
                <w:rFonts w:hint="eastAsia" w:ascii="仿宋_GB2312" w:hAnsi="仿宋_GB2312" w:eastAsia="仿宋_GB2312" w:cs="仿宋_GB2312"/>
                <w:color w:val="auto"/>
                <w:sz w:val="32"/>
                <w:szCs w:val="32"/>
              </w:rPr>
            </w:pPr>
          </w:p>
        </w:tc>
      </w:tr>
      <w:tr w14:paraId="1230A166">
        <w:tblPrEx>
          <w:tblCellMar>
            <w:top w:w="0" w:type="dxa"/>
            <w:left w:w="0" w:type="dxa"/>
            <w:bottom w:w="0" w:type="dxa"/>
            <w:right w:w="0" w:type="dxa"/>
          </w:tblCellMar>
        </w:tblPrEx>
        <w:trPr>
          <w:trHeight w:val="83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27688791">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46A53D75">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E838ED">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4.3尾矿库生产经营单位建设项目进行安全设施设计或审查同意及开工建设的情况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23B44D">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《建设项目安全设施"三同时"监督管理暂行办法》第十条第一款  </w:t>
            </w:r>
            <w:r>
              <w:rPr>
                <w:rFonts w:hint="eastAsia" w:ascii="仿宋_GB2312" w:hAnsi="仿宋_GB2312" w:eastAsia="仿宋_GB2312" w:cs="仿宋_GB2312"/>
                <w:color w:val="auto"/>
                <w:kern w:val="0"/>
                <w:sz w:val="32"/>
                <w:szCs w:val="32"/>
              </w:rPr>
              <w:t>生产经营单位在建设项目初步设计时，应当委托有相应资质的初步设计单位对建设项目安全设施同时进行设计，编制安全设施设计。”</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bCs/>
                <w:color w:val="auto"/>
                <w:kern w:val="0"/>
                <w:sz w:val="32"/>
                <w:szCs w:val="32"/>
              </w:rPr>
              <w:t xml:space="preserve">  《建设项目安全设施"三同时"监督管理暂行办法》第十二条第一款</w:t>
            </w:r>
            <w:r>
              <w:rPr>
                <w:rFonts w:hint="eastAsia" w:ascii="仿宋_GB2312" w:hAnsi="仿宋_GB2312" w:eastAsia="仿宋_GB2312" w:cs="仿宋_GB2312"/>
                <w:color w:val="auto"/>
                <w:kern w:val="0"/>
                <w:sz w:val="32"/>
                <w:szCs w:val="32"/>
              </w:rPr>
              <w:t xml:space="preserve">  本办法第七条第一项、第二项、第三项、第四项规定的建设项目安全设施设计完成后，生产经营单位应当按照本办法第五条的规定向安全生产监督管理部门提出审查申请，并提交下列文件资料：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（一）建设项目审批、核准或者备案的文件；</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（二）建设项目安全设施设计审查申请；</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（三）设计单位的设计资质证明文件；</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（四）建设项目安全设施设计；</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（五）建设项目安全预评价报告及相关文件资料；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（六）法律、行政法规、规章规定的其他文件资料.</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9CB958">
            <w:pPr>
              <w:widowControl/>
              <w:numPr>
                <w:ilvl w:val="0"/>
                <w:numId w:val="23"/>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（2）建设项目初步设计资料;                            （3）安全设施设计；                                   （4）安全设施设计审查资料；                                                  （5）《现场检查记录》《责令限期整改指令书》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33E7C683">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867503">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《建设项目安全设施"三同时"监督管理暂行办法》第二十八条第二项</w:t>
            </w:r>
            <w:r>
              <w:rPr>
                <w:rFonts w:hint="eastAsia" w:ascii="仿宋_GB2312" w:hAnsi="仿宋_GB2312" w:eastAsia="仿宋_GB2312" w:cs="仿宋_GB2312"/>
                <w:color w:val="auto"/>
                <w:kern w:val="0"/>
                <w:sz w:val="32"/>
                <w:szCs w:val="32"/>
              </w:rPr>
              <w:t xml:space="preserve">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14:paraId="32930559">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（二）没有安全设施设计或者安全设施设计未按照规定报经安全生产监督管理部门审查同意，擅自开工的；......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9B3C698">
            <w:pPr>
              <w:rPr>
                <w:rFonts w:hint="eastAsia" w:ascii="仿宋_GB2312" w:hAnsi="仿宋_GB2312" w:eastAsia="仿宋_GB2312" w:cs="仿宋_GB2312"/>
                <w:color w:val="auto"/>
                <w:sz w:val="32"/>
                <w:szCs w:val="32"/>
              </w:rPr>
            </w:pPr>
          </w:p>
        </w:tc>
      </w:tr>
      <w:tr w14:paraId="34F29076">
        <w:tblPrEx>
          <w:tblCellMar>
            <w:top w:w="0" w:type="dxa"/>
            <w:left w:w="0" w:type="dxa"/>
            <w:bottom w:w="0" w:type="dxa"/>
            <w:right w:w="0" w:type="dxa"/>
          </w:tblCellMar>
        </w:tblPrEx>
        <w:trPr>
          <w:trHeight w:val="38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0D413A9E">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1FB4192F">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C64A5F">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4.4尾矿库生产经营单位施工单位按照批准的安全设施设计施工的情况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11F564">
            <w:pPr>
              <w:widowControl/>
              <w:ind w:firstLine="643"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《建设项目安全设施"三同时"监督管理暂行办法》第十七条第三款    </w:t>
            </w:r>
            <w:r>
              <w:rPr>
                <w:rFonts w:hint="eastAsia" w:ascii="仿宋_GB2312" w:hAnsi="仿宋_GB2312" w:eastAsia="仿宋_GB2312" w:cs="仿宋_GB2312"/>
                <w:color w:val="auto"/>
                <w:kern w:val="0"/>
                <w:sz w:val="32"/>
                <w:szCs w:val="32"/>
              </w:rPr>
              <w:t>施工单位应当严格按照安全设施设计和相关施工技术标准、规范施工，并对安全设施的工程质量负责。</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BBAD32">
            <w:pPr>
              <w:widowControl/>
              <w:numPr>
                <w:ilvl w:val="0"/>
                <w:numId w:val="24"/>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相关证照；                                   （2）施工单位资质；                                    （3）施工组织设计；                                    （4）专项施工方案及安全验算结果；                                       （5）施工单位技术负责人、总监理工程师签字审批资料；         </w:t>
            </w:r>
          </w:p>
          <w:p w14:paraId="0FAD9994">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（6）建设单位有关部门和相关责任人监管责任制及落实相关资料；                                                  （7）《现场检查记录》《责令限期整改指令书》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4D0F374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5CBFF2">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《建设项目安全设施"三同时"监督管理暂行办法》第二十八条第三项</w:t>
            </w:r>
            <w:r>
              <w:rPr>
                <w:rFonts w:hint="eastAsia" w:ascii="仿宋_GB2312" w:hAnsi="仿宋_GB2312" w:eastAsia="仿宋_GB2312" w:cs="仿宋_GB2312"/>
                <w:color w:val="auto"/>
                <w:kern w:val="0"/>
                <w:sz w:val="32"/>
                <w:szCs w:val="32"/>
              </w:rPr>
              <w:t xml:space="preserve">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14:paraId="102BDC19">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（三）施工单位未按照批准的安全设施设计施工的；......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F8BB66">
            <w:pPr>
              <w:rPr>
                <w:rFonts w:hint="eastAsia" w:ascii="仿宋_GB2312" w:hAnsi="仿宋_GB2312" w:eastAsia="仿宋_GB2312" w:cs="仿宋_GB2312"/>
                <w:color w:val="auto"/>
                <w:sz w:val="32"/>
                <w:szCs w:val="32"/>
              </w:rPr>
            </w:pPr>
          </w:p>
        </w:tc>
      </w:tr>
      <w:tr w14:paraId="76BDA1A1">
        <w:tblPrEx>
          <w:tblCellMar>
            <w:top w:w="0" w:type="dxa"/>
            <w:left w:w="0" w:type="dxa"/>
            <w:bottom w:w="0" w:type="dxa"/>
            <w:right w:w="0" w:type="dxa"/>
          </w:tblCellMar>
        </w:tblPrEx>
        <w:trPr>
          <w:trHeight w:val="18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3CF9BD3A">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0EEBA6C1">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4AD9E1">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4.5尾矿库生产经营单位建设项目投入生产或者使用前，安全设施竣工验收合格的情况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C4DFF9">
            <w:pPr>
              <w:widowControl/>
              <w:ind w:firstLine="643"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《建设项目安全设施"三同时"监督管理暂行办法》第二十三条第一款</w:t>
            </w:r>
            <w:r>
              <w:rPr>
                <w:rFonts w:hint="eastAsia" w:ascii="仿宋_GB2312" w:hAnsi="仿宋_GB2312" w:eastAsia="仿宋_GB2312" w:cs="仿宋_GB2312"/>
                <w:color w:val="auto"/>
                <w:kern w:val="0"/>
                <w:sz w:val="32"/>
                <w:szCs w:val="32"/>
              </w:rPr>
              <w:t xml:space="preserve">    建设项目竣工投入生产或者使用前，生产经营单位应当组织对安全设施进行竣工验收，并形成书面报告备查。安全设施竣工验收合格后，方可投入生产和使用。</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B5466C">
            <w:pPr>
              <w:widowControl/>
              <w:numPr>
                <w:ilvl w:val="0"/>
                <w:numId w:val="25"/>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（2）竣工验收有关资料；                                （3）竣工验收书面报告；                               （4）安全评价报告；                                     （5）施工组织设计等资料；                                                                                                 （6）《现场检查记录》《责令限期整改指令书》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6C4A5055">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D96BAB">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《建设项目安全设施"三同时"监督管理暂行办法》第二十八条第四项</w:t>
            </w:r>
            <w:r>
              <w:rPr>
                <w:rFonts w:hint="eastAsia" w:ascii="仿宋_GB2312" w:hAnsi="仿宋_GB2312" w:eastAsia="仿宋_GB2312" w:cs="仿宋_GB2312"/>
                <w:color w:val="auto"/>
                <w:kern w:val="0"/>
                <w:sz w:val="32"/>
                <w:szCs w:val="32"/>
              </w:rPr>
              <w:t xml:space="preserve">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14:paraId="48CA90E5">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（四）投入生产或者使用前，安全设施未经验收合格的。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41C5D1A">
            <w:pPr>
              <w:rPr>
                <w:rFonts w:hint="eastAsia" w:ascii="仿宋_GB2312" w:hAnsi="仿宋_GB2312" w:eastAsia="仿宋_GB2312" w:cs="仿宋_GB2312"/>
                <w:color w:val="auto"/>
                <w:sz w:val="32"/>
                <w:szCs w:val="32"/>
              </w:rPr>
            </w:pPr>
          </w:p>
        </w:tc>
      </w:tr>
      <w:tr w14:paraId="06955D12">
        <w:tblPrEx>
          <w:tblCellMar>
            <w:top w:w="0" w:type="dxa"/>
            <w:left w:w="0" w:type="dxa"/>
            <w:bottom w:w="0" w:type="dxa"/>
            <w:right w:w="0" w:type="dxa"/>
          </w:tblCellMar>
        </w:tblPrEx>
        <w:trPr>
          <w:trHeight w:val="92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6A24E8DE">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339446FF">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B2286A">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4.6尾矿库生产经营单位建设项目勘察、设计、安全评价、施工、监理等资质情况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0CD874">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《尾矿库安全监督管理规定》第十条</w:t>
            </w:r>
            <w:r>
              <w:rPr>
                <w:rFonts w:hint="eastAsia" w:ascii="仿宋_GB2312" w:hAnsi="仿宋_GB2312" w:eastAsia="仿宋_GB2312" w:cs="仿宋_GB2312"/>
                <w:color w:val="auto"/>
                <w:kern w:val="0"/>
                <w:sz w:val="32"/>
                <w:szCs w:val="32"/>
              </w:rPr>
              <w:t xml:space="preserve">  尾矿库的勘察单位应当具有矿山工程或者岩土工程类勘察资质。设计单位应当具有金属非金属矿山工程设计资质。安全评价单位应当具有尾矿库评价资质。施工单位应当具有矿山工程施工资质。施工监理单位应当具有矿山工程监理资质。</w:t>
            </w:r>
          </w:p>
          <w:p w14:paraId="72EC4F20">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尾矿库的勘察、设计、安全评价、施工、监理等单位除符合前款规定外，还应当按照尾矿库的等别符合下列规定：</w:t>
            </w:r>
          </w:p>
          <w:p w14:paraId="19D0F11D">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（一）一等、二等、三等尾矿库建设项目，其勘察、设计、安全评价、监理单位具有甲级资质，施工单位具有总承包一级或者特级资质；</w:t>
            </w:r>
          </w:p>
          <w:p w14:paraId="6141792C">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（二）四等、五等尾矿库建设项目，其勘察、设计、安全评价、监理单位具有乙级或者乙级以上资质，施工单位具有总承包三级或者三级以上资质，或者专业承包一级、二级资质。</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99C9EE">
            <w:pPr>
              <w:widowControl/>
              <w:numPr>
                <w:ilvl w:val="0"/>
                <w:numId w:val="26"/>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（2）相关勘察、设计、安全评价、施工、监理资质及业务范围资料；                                                                    （3）《现场检查记录》《责令限期整改指令书》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5AC3EF94">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D84925">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《安全评价检测检验机构管理办法》第三十条第六项</w:t>
            </w:r>
            <w:r>
              <w:rPr>
                <w:rFonts w:hint="eastAsia" w:ascii="仿宋_GB2312" w:hAnsi="仿宋_GB2312" w:eastAsia="仿宋_GB2312" w:cs="仿宋_GB2312"/>
                <w:color w:val="auto"/>
                <w:kern w:val="0"/>
                <w:sz w:val="32"/>
                <w:szCs w:val="32"/>
              </w:rPr>
              <w:t xml:space="preserve">    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（六）未按照有关法规标准的强制性规定从事安全评价、检测检验活动的；</w:t>
            </w:r>
          </w:p>
          <w:p w14:paraId="71173CCE">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（《安全评价检测检验机构管理办法》未对安全评价、检测原甲、乙级资质进行划分，承担安全评价及检测的业务范围按照新公布的《安全评价检测检验机构管理办法》的要求开展。                    </w:t>
            </w:r>
          </w:p>
          <w:p w14:paraId="5ACF21C2">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 勘察、设计、施工、监理资质不符的案件向相关部门移送。）</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36E2DA">
            <w:pPr>
              <w:rPr>
                <w:rFonts w:hint="eastAsia" w:ascii="仿宋_GB2312" w:hAnsi="仿宋_GB2312" w:eastAsia="仿宋_GB2312" w:cs="仿宋_GB2312"/>
                <w:color w:val="auto"/>
                <w:sz w:val="32"/>
                <w:szCs w:val="32"/>
              </w:rPr>
            </w:pPr>
          </w:p>
        </w:tc>
      </w:tr>
      <w:tr w14:paraId="48BBC485">
        <w:tblPrEx>
          <w:tblCellMar>
            <w:top w:w="0" w:type="dxa"/>
            <w:left w:w="0" w:type="dxa"/>
            <w:bottom w:w="0" w:type="dxa"/>
            <w:right w:w="0" w:type="dxa"/>
          </w:tblCellMar>
        </w:tblPrEx>
        <w:trPr>
          <w:trHeight w:val="272"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908EF24">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66FFC1">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尾矿库相关设备检查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3E643C">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5.1尾矿库生产经营单位建立健全机械设备使用、检查、维修、保养的情况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9FC2F9">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《四川省安全生产条例》第三十八条</w:t>
            </w:r>
            <w:r>
              <w:rPr>
                <w:rFonts w:hint="eastAsia" w:ascii="仿宋_GB2312" w:hAnsi="仿宋_GB2312" w:eastAsia="仿宋_GB2312" w:cs="仿宋_GB2312"/>
                <w:color w:val="auto"/>
                <w:kern w:val="0"/>
                <w:sz w:val="32"/>
                <w:szCs w:val="32"/>
              </w:rPr>
              <w:t xml:space="preserve">  生产经营单位应当建立健全机械设备使用、检查、维修、保养制度，不得超温、超压、超负荷和带故障运行机械设备。</w:t>
            </w:r>
          </w:p>
          <w:p w14:paraId="60B80EC5">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各种动力机械的转动、传动部位，压力机械的施压部位，切削机械的切削部位和其他机械对人体有伤害危险的部位，应当设置可靠的安全防护装置。</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E345F1">
            <w:pPr>
              <w:widowControl/>
              <w:numPr>
                <w:ilvl w:val="0"/>
                <w:numId w:val="27"/>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（2）机械设备管理台帐；                               （3）机械设备使用、检查、维修、保养记录；                        （4）设备管理部门和责任人及主要负责人安全生产责任制及落实资料；                                                （5）《现场检查记录》《责令限期整改指令书》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14E8CA29">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3616FC">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《四川省安全生产条例》第六十七条</w:t>
            </w:r>
            <w:r>
              <w:rPr>
                <w:rFonts w:hint="eastAsia" w:ascii="仿宋_GB2312" w:hAnsi="仿宋_GB2312" w:eastAsia="仿宋_GB2312" w:cs="仿宋_GB2312"/>
                <w:color w:val="auto"/>
                <w:kern w:val="0"/>
                <w:sz w:val="32"/>
                <w:szCs w:val="32"/>
              </w:rPr>
              <w:t xml:space="preserve">   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194605">
            <w:pPr>
              <w:rPr>
                <w:rFonts w:hint="eastAsia" w:ascii="仿宋_GB2312" w:hAnsi="仿宋_GB2312" w:eastAsia="仿宋_GB2312" w:cs="仿宋_GB2312"/>
                <w:color w:val="auto"/>
                <w:sz w:val="32"/>
                <w:szCs w:val="32"/>
              </w:rPr>
            </w:pPr>
          </w:p>
        </w:tc>
      </w:tr>
      <w:tr w14:paraId="271606F8">
        <w:tblPrEx>
          <w:tblCellMar>
            <w:top w:w="0" w:type="dxa"/>
            <w:left w:w="0" w:type="dxa"/>
            <w:bottom w:w="0" w:type="dxa"/>
            <w:right w:w="0" w:type="dxa"/>
          </w:tblCellMar>
        </w:tblPrEx>
        <w:trPr>
          <w:trHeight w:val="175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5032DCEF">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42405B94">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08AC5E">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5.2尾矿库生产经营单位场内机动车辆和其他机械检测检验合格的情况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4D58A7">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《四川省安全生产条例》第三十七条</w:t>
            </w:r>
            <w:r>
              <w:rPr>
                <w:rFonts w:hint="eastAsia" w:ascii="仿宋_GB2312" w:hAnsi="仿宋_GB2312" w:eastAsia="仿宋_GB2312" w:cs="仿宋_GB2312"/>
                <w:color w:val="auto"/>
                <w:kern w:val="0"/>
                <w:sz w:val="32"/>
                <w:szCs w:val="32"/>
              </w:rPr>
              <w:t xml:space="preserve">   生产经营单位使用的场内机动车辆、船舶和其他机械应当按规定检测检验合格，生产经营单位对其安全性和安全作业秩序负责。</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821A07">
            <w:pPr>
              <w:widowControl/>
              <w:numPr>
                <w:ilvl w:val="0"/>
                <w:numId w:val="28"/>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（2）机械设备管理台帐；                               （3）检测检验报告；                                     （4）使用、检查、维修、保养记录；                         （5）设备管理部门和责任人及主要负责人安全生产责任制及落实资料；                                                                              （6）《现场检查记录》《责令限期整改指令书》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6CF88590">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E40A70">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《四川省安全生产条例》第六十七条</w:t>
            </w:r>
            <w:r>
              <w:rPr>
                <w:rFonts w:hint="eastAsia" w:ascii="仿宋_GB2312" w:hAnsi="仿宋_GB2312" w:eastAsia="仿宋_GB2312" w:cs="仿宋_GB2312"/>
                <w:color w:val="auto"/>
                <w:kern w:val="0"/>
                <w:sz w:val="32"/>
                <w:szCs w:val="32"/>
              </w:rPr>
              <w:t xml:space="preserve">  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1F87BD">
            <w:pPr>
              <w:rPr>
                <w:rFonts w:hint="eastAsia" w:ascii="仿宋_GB2312" w:hAnsi="仿宋_GB2312" w:eastAsia="仿宋_GB2312" w:cs="仿宋_GB2312"/>
                <w:color w:val="auto"/>
                <w:sz w:val="32"/>
                <w:szCs w:val="32"/>
              </w:rPr>
            </w:pPr>
          </w:p>
        </w:tc>
      </w:tr>
      <w:tr w14:paraId="6A006F86">
        <w:tblPrEx>
          <w:tblCellMar>
            <w:top w:w="0" w:type="dxa"/>
            <w:left w:w="0" w:type="dxa"/>
            <w:bottom w:w="0" w:type="dxa"/>
            <w:right w:w="0" w:type="dxa"/>
          </w:tblCellMar>
        </w:tblPrEx>
        <w:trPr>
          <w:trHeight w:val="49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30443AA6">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2187CB95">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FB243D">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5.3尾矿库生产经营单位按照国家标准或者行业标准对安全设备进行安装、使用、检测、改造、报废的情况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A2EEAA">
            <w:pPr>
              <w:widowControl/>
              <w:ind w:firstLine="643" w:firstLineChars="200"/>
              <w:jc w:val="left"/>
              <w:textAlignment w:val="center"/>
              <w:rPr>
                <w:rFonts w:hint="eastAsia" w:ascii="仿宋_GB2312" w:hAnsi="仿宋_GB2312" w:eastAsia="仿宋_GB2312" w:cs="仿宋_GB2312"/>
                <w:color w:val="auto"/>
                <w:sz w:val="32"/>
                <w:szCs w:val="32"/>
              </w:rPr>
            </w:pPr>
            <w:r>
              <w:rPr>
                <w:rStyle w:val="13"/>
                <w:rFonts w:hint="eastAsia" w:ascii="仿宋_GB2312" w:hAnsi="仿宋_GB2312" w:eastAsia="仿宋_GB2312" w:cs="仿宋_GB2312"/>
                <w:b/>
                <w:bCs/>
                <w:color w:val="auto"/>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C68D52">
            <w:pPr>
              <w:widowControl/>
              <w:numPr>
                <w:ilvl w:val="0"/>
                <w:numId w:val="29"/>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相关证照；                             （2）安全设备购买合同；                                               （3）安全设备合格证及使用说明；                                           （4）安全设备登记表；                                       （5）安全设备运行记录；                                                                                          （6）安全设备检测报告；                                        （7）有关国家标准或者行业标准；                        （8）设备管理部门及相关责任人责任制及落实资料；           </w:t>
            </w:r>
          </w:p>
          <w:p w14:paraId="5E1AD0E8">
            <w:pPr>
              <w:widowControl/>
              <w:numPr>
                <w:ilvl w:val="0"/>
                <w:numId w:val="30"/>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3708E53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C5DF0C">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3"/>
                <w:rFonts w:hint="eastAsia" w:ascii="仿宋_GB2312" w:hAnsi="仿宋_GB2312" w:eastAsia="仿宋_GB2312" w:cs="仿宋_GB2312"/>
                <w:b/>
                <w:bCs/>
                <w:color w:val="auto"/>
                <w:sz w:val="32"/>
                <w:szCs w:val="32"/>
              </w:rPr>
              <w:t>《中华人民共和国安全生产法》  第九十九条第二项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0235628F">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13849C">
            <w:pPr>
              <w:rPr>
                <w:rFonts w:hint="eastAsia" w:ascii="仿宋_GB2312" w:hAnsi="仿宋_GB2312" w:eastAsia="仿宋_GB2312" w:cs="仿宋_GB2312"/>
                <w:color w:val="auto"/>
                <w:sz w:val="32"/>
                <w:szCs w:val="32"/>
              </w:rPr>
            </w:pPr>
          </w:p>
        </w:tc>
      </w:tr>
      <w:tr w14:paraId="0AA12A21">
        <w:tblPrEx>
          <w:tblCellMar>
            <w:top w:w="0" w:type="dxa"/>
            <w:left w:w="0" w:type="dxa"/>
            <w:bottom w:w="0" w:type="dxa"/>
            <w:right w:w="0" w:type="dxa"/>
          </w:tblCellMar>
        </w:tblPrEx>
        <w:trPr>
          <w:trHeight w:val="631"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01AB1B7C">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04587292">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14:paraId="6F007C14">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5.4尾矿库生产经营单位安全设备经常性维护、保养、定期检测的情况</w:t>
            </w:r>
          </w:p>
        </w:tc>
        <w:tc>
          <w:tcPr>
            <w:tcW w:w="3789"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14:paraId="04CABA0D">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第三十六条第二款</w:t>
            </w:r>
            <w:r>
              <w:rPr>
                <w:rFonts w:hint="eastAsia" w:ascii="仿宋_GB2312" w:hAnsi="仿宋_GB2312" w:eastAsia="仿宋_GB2312" w:cs="仿宋_GB2312"/>
                <w:color w:val="auto"/>
                <w:kern w:val="0"/>
                <w:sz w:val="32"/>
                <w:szCs w:val="32"/>
              </w:rPr>
              <w:t xml:space="preserve">  生产经营单位必须对安全设备进行经常性维护、保养，并定期检测，保证正常运转。维护、保养、检测应当作好记录，并由有关人员签字。</w:t>
            </w:r>
          </w:p>
          <w:p w14:paraId="585A2909">
            <w:pPr>
              <w:widowControl/>
              <w:ind w:firstLine="640" w:firstLineChars="200"/>
              <w:jc w:val="left"/>
              <w:textAlignment w:val="center"/>
              <w:rPr>
                <w:rFonts w:hint="eastAsia" w:ascii="仿宋_GB2312" w:hAnsi="仿宋_GB2312" w:eastAsia="仿宋_GB2312" w:cs="仿宋_GB2312"/>
                <w:color w:val="auto"/>
                <w:sz w:val="32"/>
                <w:szCs w:val="32"/>
              </w:rPr>
            </w:pPr>
          </w:p>
        </w:tc>
        <w:tc>
          <w:tcPr>
            <w:tcW w:w="3887"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14:paraId="76894569">
            <w:pPr>
              <w:widowControl/>
              <w:numPr>
                <w:ilvl w:val="0"/>
                <w:numId w:val="31"/>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（2）安全设备维修保养制度；                                 （3）安全设备定期检测报告；                            （4）设备管理部门及责任人责任制及落实资料；                                                （5）《现场检查记录》《责令限期整改指令书》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148FF5CE">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14:paraId="6D064A18">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第九十九条第三项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9F2A441">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（三）未对安全设备进行经常性维护、保养和定期检测的；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0670B7">
            <w:pPr>
              <w:rPr>
                <w:rFonts w:hint="eastAsia" w:ascii="仿宋_GB2312" w:hAnsi="仿宋_GB2312" w:eastAsia="仿宋_GB2312" w:cs="仿宋_GB2312"/>
                <w:color w:val="auto"/>
                <w:sz w:val="32"/>
                <w:szCs w:val="32"/>
              </w:rPr>
            </w:pPr>
          </w:p>
        </w:tc>
      </w:tr>
      <w:tr w14:paraId="59B295AE">
        <w:tblPrEx>
          <w:tblCellMar>
            <w:top w:w="0" w:type="dxa"/>
            <w:left w:w="0" w:type="dxa"/>
            <w:bottom w:w="0" w:type="dxa"/>
            <w:right w:w="0" w:type="dxa"/>
          </w:tblCellMar>
        </w:tblPrEx>
        <w:trPr>
          <w:trHeight w:val="182"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3757988E">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716D4DB2">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52EF6E">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5.5尾矿库生产经营单位电气设备采取相应的保护措施的情况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52A23A">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《四川省安全生产条例》第三十九条</w:t>
            </w:r>
            <w:r>
              <w:rPr>
                <w:rFonts w:hint="eastAsia" w:ascii="仿宋_GB2312" w:hAnsi="仿宋_GB2312" w:eastAsia="仿宋_GB2312" w:cs="仿宋_GB2312"/>
                <w:color w:val="auto"/>
                <w:kern w:val="0"/>
                <w:sz w:val="32"/>
                <w:szCs w:val="32"/>
              </w:rPr>
              <w:t xml:space="preserve">  电气设备的金属外壳，应当按照技术标准采取安全保护措施。可能造成人身触电事故的电气设备和设施，应当按国家规定采用安全电压或者装设漏电防护装置。</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AF5A49">
            <w:pPr>
              <w:widowControl/>
              <w:numPr>
                <w:ilvl w:val="0"/>
                <w:numId w:val="32"/>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（2）设备管理部门及相关责任人责任制及落实资料；                                          （3）《现场检查记录》《责令限期整改指令书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195C83FE">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75A69C">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《四川省安全生产条例》第六十七条</w:t>
            </w:r>
            <w:r>
              <w:rPr>
                <w:rFonts w:hint="eastAsia" w:ascii="仿宋_GB2312" w:hAnsi="仿宋_GB2312" w:eastAsia="仿宋_GB2312" w:cs="仿宋_GB2312"/>
                <w:color w:val="auto"/>
                <w:kern w:val="0"/>
                <w:sz w:val="32"/>
                <w:szCs w:val="32"/>
              </w:rPr>
              <w:t xml:space="preserve">   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C86316C">
            <w:pPr>
              <w:rPr>
                <w:rFonts w:hint="eastAsia" w:ascii="仿宋_GB2312" w:hAnsi="仿宋_GB2312" w:eastAsia="仿宋_GB2312" w:cs="仿宋_GB2312"/>
                <w:color w:val="auto"/>
                <w:sz w:val="32"/>
                <w:szCs w:val="32"/>
              </w:rPr>
            </w:pPr>
          </w:p>
        </w:tc>
      </w:tr>
      <w:tr w14:paraId="4BEBA083">
        <w:tblPrEx>
          <w:tblCellMar>
            <w:top w:w="0" w:type="dxa"/>
            <w:left w:w="0" w:type="dxa"/>
            <w:bottom w:w="0" w:type="dxa"/>
            <w:right w:w="0" w:type="dxa"/>
          </w:tblCellMar>
        </w:tblPrEx>
        <w:trPr>
          <w:trHeight w:val="275" w:hRule="atLeast"/>
          <w:jc w:val="center"/>
        </w:trPr>
        <w:tc>
          <w:tcPr>
            <w:tcW w:w="624" w:type="dxa"/>
            <w:tcBorders>
              <w:top w:val="single" w:color="000000" w:sz="4" w:space="0"/>
              <w:left w:val="single" w:color="000000" w:sz="4" w:space="0"/>
              <w:bottom w:val="nil"/>
              <w:right w:val="single" w:color="000000" w:sz="4" w:space="0"/>
            </w:tcBorders>
            <w:noWrap/>
            <w:tcMar>
              <w:top w:w="15" w:type="dxa"/>
              <w:left w:w="15" w:type="dxa"/>
              <w:bottom w:w="0" w:type="dxa"/>
              <w:right w:w="15" w:type="dxa"/>
            </w:tcMar>
            <w:vAlign w:val="center"/>
          </w:tcPr>
          <w:p w14:paraId="7E24C0DA">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AFBC37">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重大危险源检查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BCE0D5">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尾矿库生产经营单位重大危险源登记建档及定期检测、评估、监控的情况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AA31CA">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3"/>
                <w:rFonts w:hint="eastAsia" w:ascii="仿宋_GB2312" w:hAnsi="仿宋_GB2312" w:eastAsia="仿宋_GB2312" w:cs="仿宋_GB2312"/>
                <w:b/>
                <w:bCs/>
                <w:color w:val="auto"/>
                <w:sz w:val="32"/>
                <w:szCs w:val="32"/>
              </w:rPr>
              <w:t>《中华人民共和国安全生产法》  第四十条第一款</w:t>
            </w:r>
            <w:r>
              <w:rPr>
                <w:rStyle w:val="13"/>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0"/>
                <w:sz w:val="32"/>
                <w:szCs w:val="32"/>
              </w:rPr>
              <w:t>生产经营单位对重大危险源应当登记建档，进行定期检测、评估、监控，并制定应急预案，告知从业人员和相关人员在紧急情况下应当采取的应急措施。</w:t>
            </w:r>
          </w:p>
          <w:p w14:paraId="7438C3D4">
            <w:pPr>
              <w:widowControl/>
              <w:ind w:firstLine="640" w:firstLineChars="200"/>
              <w:jc w:val="left"/>
              <w:textAlignment w:val="center"/>
              <w:rPr>
                <w:rFonts w:hint="eastAsia" w:ascii="仿宋_GB2312" w:hAnsi="仿宋_GB2312" w:eastAsia="仿宋_GB2312" w:cs="仿宋_GB2312"/>
                <w:color w:val="auto"/>
                <w:sz w:val="32"/>
                <w:szCs w:val="32"/>
              </w:rPr>
            </w:pP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BDC5C9">
            <w:pPr>
              <w:widowControl/>
              <w:numPr>
                <w:ilvl w:val="0"/>
                <w:numId w:val="33"/>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（2）重大危险源管理制度；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（3）重大危险源登记表及评价备案资料；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460B420A">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B33778">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3"/>
                <w:rFonts w:hint="eastAsia" w:ascii="仿宋_GB2312" w:hAnsi="仿宋_GB2312" w:eastAsia="仿宋_GB2312" w:cs="仿宋_GB2312"/>
                <w:b/>
                <w:bCs/>
                <w:color w:val="auto"/>
                <w:sz w:val="32"/>
                <w:szCs w:val="32"/>
              </w:rPr>
              <w:t>《中华人民共和国安全生产法》  第一百零一条第二项</w:t>
            </w:r>
            <w:r>
              <w:rPr>
                <w:rFonts w:hint="eastAsia" w:ascii="仿宋_GB2312" w:hAnsi="仿宋_GB2312" w:eastAsia="仿宋_GB2312" w:cs="仿宋_GB2312"/>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5C625FD0">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（二）对重大危险源未登记建档，未进行定期检测、评估、监控，未制定应急预案，或者未告知应急措施的；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B7983A9">
            <w:pPr>
              <w:rPr>
                <w:rFonts w:hint="eastAsia" w:ascii="仿宋_GB2312" w:hAnsi="仿宋_GB2312" w:eastAsia="仿宋_GB2312" w:cs="仿宋_GB2312"/>
                <w:color w:val="auto"/>
                <w:sz w:val="32"/>
                <w:szCs w:val="32"/>
              </w:rPr>
            </w:pPr>
          </w:p>
        </w:tc>
      </w:tr>
      <w:tr w14:paraId="65E0AB6B">
        <w:tblPrEx>
          <w:tblCellMar>
            <w:top w:w="0" w:type="dxa"/>
            <w:left w:w="0" w:type="dxa"/>
            <w:bottom w:w="0" w:type="dxa"/>
            <w:right w:w="0" w:type="dxa"/>
          </w:tblCellMar>
        </w:tblPrEx>
        <w:trPr>
          <w:trHeight w:val="354" w:hRule="atLeast"/>
          <w:jc w:val="center"/>
        </w:trPr>
        <w:tc>
          <w:tcPr>
            <w:tcW w:w="624" w:type="dxa"/>
            <w:tcBorders>
              <w:top w:val="single" w:color="000000" w:sz="4" w:space="0"/>
              <w:left w:val="single" w:color="000000" w:sz="4" w:space="0"/>
              <w:bottom w:val="nil"/>
              <w:right w:val="single" w:color="000000" w:sz="4" w:space="0"/>
            </w:tcBorders>
            <w:noWrap/>
            <w:tcMar>
              <w:top w:w="15" w:type="dxa"/>
              <w:left w:w="15" w:type="dxa"/>
              <w:bottom w:w="0" w:type="dxa"/>
              <w:right w:w="15" w:type="dxa"/>
            </w:tcMar>
            <w:vAlign w:val="center"/>
          </w:tcPr>
          <w:p w14:paraId="3723C0C0">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5607F0">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个人劳动防护用品检查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104B3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尾矿库生产经营单位为从业人员提供符合国家标准或者行业标准的劳动防护用品的情况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156753">
            <w:pPr>
              <w:widowControl/>
              <w:ind w:firstLine="643"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《中华人民共和国安全生产法》  第四十五条</w:t>
            </w:r>
            <w:r>
              <w:rPr>
                <w:rFonts w:hint="eastAsia" w:ascii="仿宋_GB2312" w:hAnsi="仿宋_GB2312" w:eastAsia="仿宋_GB2312" w:cs="仿宋_GB2312"/>
                <w:color w:val="auto"/>
                <w:kern w:val="0"/>
                <w:sz w:val="32"/>
                <w:szCs w:val="32"/>
              </w:rPr>
              <w:t>生产经营单位必须为从业人员提供符合国家标准或者行业标准的劳动防护用品，并监督、教育从业人员按照使用规则佩戴、使用。</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6FB9E6">
            <w:pPr>
              <w:widowControl/>
              <w:numPr>
                <w:ilvl w:val="0"/>
                <w:numId w:val="34"/>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（2）配备劳动防护用品经费预决算财务资料；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（3）劳动防护用品购买合同；</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（4）劳动防护用品发放登记表；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（5）劳动防护用品合格证；                              （6）防护用品的计划、审批、报废的程序和措施；                                   （7）安全教育培训资料；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（8）主要负责人保证本单位安全生产投入的有效实施和实施安全教育培训计划履职资料；                                                                  （9）《现场检查记录》《责令限期整改指令书》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25F4526D">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CF2364">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第九十九条第五项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BC510EE">
            <w:pPr>
              <w:widowControl/>
              <w:shd w:val="clear" w:color="auto" w:fill="FFFFFF"/>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kern w:val="0"/>
                <w:sz w:val="32"/>
                <w:szCs w:val="32"/>
              </w:rPr>
              <w:t>（五）未为从业人员提供符合国家标准或者行业标准的劳动防护用品的；</w:t>
            </w:r>
            <w:r>
              <w:rPr>
                <w:rStyle w:val="12"/>
                <w:rFonts w:hint="eastAsia" w:ascii="仿宋_GB2312" w:hAnsi="仿宋_GB2312" w:eastAsia="仿宋_GB2312" w:cs="仿宋_GB2312"/>
                <w:color w:val="auto"/>
                <w:sz w:val="32"/>
                <w:szCs w:val="32"/>
              </w:rPr>
              <w:t xml:space="preserve">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35834FA">
            <w:pPr>
              <w:rPr>
                <w:rFonts w:hint="eastAsia" w:ascii="仿宋_GB2312" w:hAnsi="仿宋_GB2312" w:eastAsia="仿宋_GB2312" w:cs="仿宋_GB2312"/>
                <w:color w:val="auto"/>
                <w:sz w:val="32"/>
                <w:szCs w:val="32"/>
              </w:rPr>
            </w:pPr>
          </w:p>
        </w:tc>
      </w:tr>
      <w:tr w14:paraId="0B335ECD">
        <w:tblPrEx>
          <w:tblCellMar>
            <w:top w:w="0" w:type="dxa"/>
            <w:left w:w="0" w:type="dxa"/>
            <w:bottom w:w="0" w:type="dxa"/>
            <w:right w:w="0" w:type="dxa"/>
          </w:tblCellMar>
        </w:tblPrEx>
        <w:trPr>
          <w:trHeight w:val="419"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E6685CD">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8DF90B">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风险管控和隐患排查治理</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CB06BA">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8.1尾矿库生产经营单位建立风险分级管控制度、事故隐患排查治理等各项制度的情况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95BB22">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第四十一条第一款、第二款</w:t>
            </w:r>
            <w:r>
              <w:rPr>
                <w:rFonts w:hint="eastAsia" w:ascii="仿宋_GB2312" w:hAnsi="仿宋_GB2312" w:eastAsia="仿宋_GB2312" w:cs="仿宋_GB2312"/>
                <w:color w:val="auto"/>
                <w:kern w:val="0"/>
                <w:sz w:val="32"/>
                <w:szCs w:val="32"/>
              </w:rPr>
              <w:t>生产经营单位应当建立安全风险分级管控制度，按照安全风险分级采取相应的管控措施。</w:t>
            </w:r>
          </w:p>
          <w:p w14:paraId="569DCD9D">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979BC7F">
            <w:pPr>
              <w:widowControl/>
              <w:adjustRightInd w:val="0"/>
              <w:snapToGrid w:val="0"/>
              <w:ind w:firstLine="643" w:firstLineChars="200"/>
              <w:jc w:val="left"/>
              <w:textAlignment w:val="center"/>
              <w:rPr>
                <w:rStyle w:val="13"/>
                <w:rFonts w:hint="eastAsia" w:ascii="仿宋_GB2312" w:hAnsi="仿宋_GB2312" w:eastAsia="仿宋_GB2312" w:cs="仿宋_GB2312"/>
                <w:color w:val="auto"/>
                <w:sz w:val="32"/>
                <w:szCs w:val="32"/>
              </w:rPr>
            </w:pPr>
            <w:r>
              <w:rPr>
                <w:rStyle w:val="13"/>
                <w:rFonts w:hint="eastAsia" w:ascii="仿宋_GB2312" w:hAnsi="仿宋_GB2312" w:eastAsia="仿宋_GB2312" w:cs="仿宋_GB2312"/>
                <w:b/>
                <w:bCs/>
                <w:color w:val="auto"/>
                <w:sz w:val="32"/>
                <w:szCs w:val="32"/>
              </w:rPr>
              <w:t xml:space="preserve">《安全生产事故隐患排查治理暂行规定》第八条  </w:t>
            </w:r>
            <w:r>
              <w:rPr>
                <w:rStyle w:val="13"/>
                <w:rFonts w:hint="eastAsia" w:ascii="仿宋_GB2312" w:hAnsi="仿宋_GB2312" w:eastAsia="仿宋_GB2312" w:cs="仿宋_GB2312"/>
                <w:color w:val="auto"/>
                <w:sz w:val="32"/>
                <w:szCs w:val="32"/>
              </w:rPr>
              <w:t>生产经营单位是事故隐患排查、治理和防控的责任主体。</w:t>
            </w:r>
          </w:p>
          <w:p w14:paraId="2B289A85">
            <w:pPr>
              <w:widowControl/>
              <w:adjustRightInd w:val="0"/>
              <w:snapToGrid w:val="0"/>
              <w:ind w:firstLine="640" w:firstLineChars="200"/>
              <w:jc w:val="left"/>
              <w:textAlignment w:val="center"/>
              <w:rPr>
                <w:rStyle w:val="13"/>
                <w:rFonts w:hint="eastAsia" w:ascii="仿宋_GB2312" w:hAnsi="仿宋_GB2312" w:eastAsia="仿宋_GB2312" w:cs="仿宋_GB2312"/>
                <w:color w:val="auto"/>
                <w:sz w:val="32"/>
                <w:szCs w:val="32"/>
              </w:rPr>
            </w:pPr>
            <w:r>
              <w:rPr>
                <w:rStyle w:val="13"/>
                <w:rFonts w:hint="eastAsia" w:ascii="仿宋_GB2312" w:hAnsi="仿宋_GB2312" w:eastAsia="仿宋_GB2312" w:cs="仿宋_GB2312"/>
                <w:color w:val="auto"/>
                <w:sz w:val="32"/>
                <w:szCs w:val="32"/>
              </w:rPr>
              <w:t xml:space="preserve">生产经营单位应当建立健全事故隐患排查治理和建档监控等制度，逐级建立并落实从主要负责人到每个从业人员的隐患排查治理和监控责任制。 </w:t>
            </w:r>
            <w:r>
              <w:rPr>
                <w:rStyle w:val="13"/>
                <w:rFonts w:hint="eastAsia" w:ascii="仿宋_GB2312" w:hAnsi="仿宋_GB2312" w:eastAsia="仿宋_GB2312" w:cs="仿宋_GB2312"/>
                <w:color w:val="auto"/>
                <w:sz w:val="32"/>
                <w:szCs w:val="32"/>
              </w:rPr>
              <w:br w:type="textWrapping"/>
            </w:r>
            <w:r>
              <w:rPr>
                <w:rStyle w:val="13"/>
                <w:rFonts w:hint="eastAsia" w:ascii="仿宋_GB2312" w:hAnsi="仿宋_GB2312" w:eastAsia="仿宋_GB2312" w:cs="仿宋_GB2312"/>
                <w:b/>
                <w:bCs/>
                <w:color w:val="auto"/>
                <w:sz w:val="32"/>
                <w:szCs w:val="32"/>
              </w:rPr>
              <w:t xml:space="preserve">   《安全生产事故隐患排查治理暂行规定》第九条</w:t>
            </w:r>
            <w:r>
              <w:rPr>
                <w:rStyle w:val="13"/>
                <w:rFonts w:hint="eastAsia" w:ascii="仿宋_GB2312" w:hAnsi="仿宋_GB2312" w:eastAsia="仿宋_GB2312" w:cs="仿宋_GB2312"/>
                <w:color w:val="auto"/>
                <w:sz w:val="32"/>
                <w:szCs w:val="32"/>
              </w:rPr>
              <w:t xml:space="preserve">  生产经营单位应当保证事故隐患排查治理所需的资金，建立资金使用专项制度。</w:t>
            </w:r>
          </w:p>
          <w:p w14:paraId="545CD817">
            <w:pPr>
              <w:widowControl/>
              <w:adjustRightInd w:val="0"/>
              <w:snapToGrid w:val="0"/>
              <w:ind w:firstLine="643" w:firstLineChars="200"/>
              <w:jc w:val="left"/>
              <w:textAlignment w:val="center"/>
              <w:rPr>
                <w:rStyle w:val="13"/>
                <w:rFonts w:hint="eastAsia" w:ascii="仿宋_GB2312" w:hAnsi="仿宋_GB2312" w:eastAsia="仿宋_GB2312" w:cs="仿宋_GB2312"/>
                <w:color w:val="auto"/>
                <w:sz w:val="32"/>
                <w:szCs w:val="32"/>
              </w:rPr>
            </w:pPr>
            <w:r>
              <w:rPr>
                <w:rStyle w:val="13"/>
                <w:rFonts w:hint="eastAsia" w:ascii="仿宋_GB2312" w:hAnsi="仿宋_GB2312" w:eastAsia="仿宋_GB2312" w:cs="仿宋_GB2312"/>
                <w:b/>
                <w:bCs/>
                <w:color w:val="auto"/>
                <w:sz w:val="32"/>
                <w:szCs w:val="32"/>
              </w:rPr>
              <w:t>《安全生产事故隐患排查治理暂行规定》第十条</w:t>
            </w:r>
            <w:r>
              <w:rPr>
                <w:rStyle w:val="13"/>
                <w:rFonts w:hint="eastAsia" w:ascii="仿宋_GB2312" w:hAnsi="仿宋_GB2312" w:eastAsia="仿宋_GB2312" w:cs="仿宋_GB2312"/>
                <w:color w:val="auto"/>
                <w:sz w:val="32"/>
                <w:szCs w:val="32"/>
              </w:rPr>
              <w:t xml:space="preserve">  生产经营单位应当定期组织安全生产管理人员、工程技术人员和其他相关人员排查本单位的事故隐患。对排查出的事故隐患，应当按照事故隐患的等级进行登记，建立事故隐患信息档案，并按照职责分工实施监控治理。</w:t>
            </w:r>
          </w:p>
          <w:p w14:paraId="329C4D5F">
            <w:pPr>
              <w:widowControl/>
              <w:adjustRightInd w:val="0"/>
              <w:snapToGrid w:val="0"/>
              <w:ind w:firstLine="643" w:firstLineChars="200"/>
              <w:jc w:val="left"/>
              <w:textAlignment w:val="center"/>
              <w:rPr>
                <w:rFonts w:hint="eastAsia" w:ascii="仿宋_GB2312" w:hAnsi="仿宋_GB2312" w:eastAsia="仿宋_GB2312" w:cs="仿宋_GB2312"/>
                <w:color w:val="auto"/>
                <w:sz w:val="32"/>
                <w:szCs w:val="32"/>
              </w:rPr>
            </w:pPr>
            <w:r>
              <w:rPr>
                <w:rStyle w:val="13"/>
                <w:rFonts w:hint="eastAsia" w:ascii="仿宋_GB2312" w:hAnsi="仿宋_GB2312" w:eastAsia="仿宋_GB2312" w:cs="仿宋_GB2312"/>
                <w:b/>
                <w:bCs/>
                <w:color w:val="auto"/>
                <w:sz w:val="32"/>
                <w:szCs w:val="32"/>
              </w:rPr>
              <w:t xml:space="preserve">《安全生产事故隐患排查治理暂行规定》第十一条  </w:t>
            </w:r>
            <w:r>
              <w:rPr>
                <w:rStyle w:val="13"/>
                <w:rFonts w:hint="eastAsia" w:ascii="仿宋_GB2312" w:hAnsi="仿宋_GB2312" w:eastAsia="仿宋_GB2312" w:cs="仿宋_GB2312"/>
                <w:color w:val="auto"/>
                <w:sz w:val="32"/>
                <w:szCs w:val="32"/>
              </w:rPr>
              <w:t>生产经营单位应当建立事故隐患报告和举报奖励制度，鼓励、发动职工发现和排除事故隐患，鼓励社会公众举报。对发现、排除和举报事故隐患的有功人员，应当给予物质奖励和表彰。</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5E1F6D">
            <w:pPr>
              <w:widowControl/>
              <w:numPr>
                <w:ilvl w:val="0"/>
                <w:numId w:val="35"/>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（2）隐患排查治理制度等各项制度（包括事故隐患排查治理和建档监控制度、隐患排查治理和监控责任制、资金使用专项制度、事故隐患信息档案、事故报告和举报奖励制度、安全生产管理协议等）；                                                                                                                                                                              （3）《现场检查记录》《责令限期整改指令书》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7DC2390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A49A4B">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第一百零一条第四项</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4427F878">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（四）未建立安全风险分级管控制度或者未按照安全风险分级采取相应管控措施的；</w:t>
            </w:r>
          </w:p>
          <w:p w14:paraId="042A71D4">
            <w:pPr>
              <w:widowControl/>
              <w:ind w:firstLine="643"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 xml:space="preserve">《安全生产事故隐患排查治理暂行规定》第二十六条第（一）项  </w:t>
            </w:r>
            <w:r>
              <w:rPr>
                <w:rStyle w:val="12"/>
                <w:rFonts w:hint="eastAsia" w:ascii="仿宋_GB2312" w:hAnsi="仿宋_GB2312" w:eastAsia="仿宋_GB2312" w:cs="仿宋_GB2312"/>
                <w:color w:val="auto"/>
                <w:sz w:val="32"/>
                <w:szCs w:val="32"/>
              </w:rPr>
              <w:t xml:space="preserve">生产经营单位违反本规定,有下列行为之一的,由安全监管监察部门给予警告，并处三万元以下的罚款： </w:t>
            </w:r>
            <w:r>
              <w:rPr>
                <w:rStyle w:val="12"/>
                <w:rFonts w:hint="eastAsia" w:ascii="仿宋_GB2312" w:hAnsi="仿宋_GB2312" w:eastAsia="仿宋_GB2312" w:cs="仿宋_GB2312"/>
                <w:color w:val="auto"/>
                <w:sz w:val="32"/>
                <w:szCs w:val="32"/>
              </w:rPr>
              <w:br w:type="textWrapping"/>
            </w:r>
            <w:r>
              <w:rPr>
                <w:rStyle w:val="12"/>
                <w:rFonts w:hint="eastAsia" w:ascii="仿宋_GB2312" w:hAnsi="仿宋_GB2312" w:eastAsia="仿宋_GB2312" w:cs="仿宋_GB2312"/>
                <w:color w:val="auto"/>
                <w:sz w:val="32"/>
                <w:szCs w:val="32"/>
              </w:rPr>
              <w:t xml:space="preserve">    （一）未建立安全生产事故隐患排查治理等各项制度的；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6664BB0">
            <w:pPr>
              <w:rPr>
                <w:rFonts w:hint="eastAsia" w:ascii="仿宋_GB2312" w:hAnsi="仿宋_GB2312" w:eastAsia="仿宋_GB2312" w:cs="仿宋_GB2312"/>
                <w:color w:val="auto"/>
                <w:sz w:val="32"/>
                <w:szCs w:val="32"/>
              </w:rPr>
            </w:pPr>
          </w:p>
        </w:tc>
      </w:tr>
      <w:tr w14:paraId="5A6A1ACE">
        <w:tblPrEx>
          <w:tblCellMar>
            <w:top w:w="0" w:type="dxa"/>
            <w:left w:w="0" w:type="dxa"/>
            <w:bottom w:w="0" w:type="dxa"/>
            <w:right w:w="0" w:type="dxa"/>
          </w:tblCellMar>
        </w:tblPrEx>
        <w:trPr>
          <w:trHeight w:val="38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4F985253">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33FD92E9">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ECD572">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8.2尾矿库生产经营单位事故隐患排查治理情况如实记录的情况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6A59A4">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F87DCD9">
            <w:pPr>
              <w:widowControl/>
              <w:ind w:firstLine="640" w:firstLineChars="200"/>
              <w:jc w:val="left"/>
              <w:textAlignment w:val="center"/>
              <w:rPr>
                <w:rFonts w:hint="eastAsia" w:ascii="仿宋_GB2312" w:hAnsi="仿宋_GB2312" w:eastAsia="仿宋_GB2312" w:cs="仿宋_GB2312"/>
                <w:color w:val="auto"/>
                <w:sz w:val="32"/>
                <w:szCs w:val="32"/>
              </w:rPr>
            </w:pP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1CE2B9">
            <w:pPr>
              <w:widowControl/>
              <w:numPr>
                <w:ilvl w:val="0"/>
                <w:numId w:val="36"/>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（2）事故隐患排查治理资料及事故隐患信息档案；                                                                                              （3）隐患排查治理登记台账；                                                           （4）《现场检查记录》《责令限期整改指令书》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24E797DA">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E0B831">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第九十七条第五项</w:t>
            </w:r>
            <w:r>
              <w:rPr>
                <w:rFonts w:hint="eastAsia" w:ascii="仿宋_GB2312" w:hAnsi="仿宋_GB2312" w:eastAsia="仿宋_GB2312" w:cs="仿宋_GB2312"/>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w:t>
            </w:r>
          </w:p>
          <w:p w14:paraId="14205799">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（五）未将事故隐患排查治理情况如实记录或者未向从业人员通报的；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12D7C00">
            <w:pPr>
              <w:rPr>
                <w:rFonts w:hint="eastAsia" w:ascii="仿宋_GB2312" w:hAnsi="仿宋_GB2312" w:eastAsia="仿宋_GB2312" w:cs="仿宋_GB2312"/>
                <w:color w:val="auto"/>
                <w:sz w:val="32"/>
                <w:szCs w:val="32"/>
              </w:rPr>
            </w:pPr>
          </w:p>
        </w:tc>
      </w:tr>
      <w:tr w14:paraId="1BBCC7C8">
        <w:tblPrEx>
          <w:tblCellMar>
            <w:top w:w="0" w:type="dxa"/>
            <w:left w:w="0" w:type="dxa"/>
            <w:bottom w:w="0" w:type="dxa"/>
            <w:right w:w="0" w:type="dxa"/>
          </w:tblCellMar>
        </w:tblPrEx>
        <w:trPr>
          <w:trHeight w:val="102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35B236E3">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7DE32833">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CD1A59">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8.3尾矿库生产经营单位事故隐患排查治理情况向从业人员通报的情况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DC9434">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53F4362">
            <w:pPr>
              <w:widowControl/>
              <w:ind w:firstLine="640" w:firstLineChars="200"/>
              <w:jc w:val="left"/>
              <w:textAlignment w:val="center"/>
              <w:rPr>
                <w:rFonts w:hint="eastAsia" w:ascii="仿宋_GB2312" w:hAnsi="仿宋_GB2312" w:eastAsia="仿宋_GB2312" w:cs="仿宋_GB2312"/>
                <w:color w:val="auto"/>
                <w:sz w:val="32"/>
                <w:szCs w:val="32"/>
              </w:rPr>
            </w:pP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105683">
            <w:pPr>
              <w:widowControl/>
              <w:numPr>
                <w:ilvl w:val="0"/>
                <w:numId w:val="37"/>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相关证照；                             （2）企业向从业人员通报隐患排查治理情况资料；                   </w:t>
            </w:r>
          </w:p>
          <w:p w14:paraId="03ED3900">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757EB355">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A0F074">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第九十七条第五项</w:t>
            </w:r>
            <w:r>
              <w:rPr>
                <w:rFonts w:hint="eastAsia" w:ascii="仿宋_GB2312" w:hAnsi="仿宋_GB2312" w:eastAsia="仿宋_GB2312" w:cs="仿宋_GB2312"/>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w:t>
            </w:r>
          </w:p>
          <w:p w14:paraId="26FBDFA5">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（五）未将事故隐患排查治理情况如实记录或者未向从业人员通报的；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71FBF1F">
            <w:pPr>
              <w:rPr>
                <w:rFonts w:hint="eastAsia" w:ascii="仿宋_GB2312" w:hAnsi="仿宋_GB2312" w:eastAsia="仿宋_GB2312" w:cs="仿宋_GB2312"/>
                <w:color w:val="auto"/>
                <w:sz w:val="32"/>
                <w:szCs w:val="32"/>
              </w:rPr>
            </w:pPr>
          </w:p>
        </w:tc>
      </w:tr>
      <w:tr w14:paraId="626892B0">
        <w:tblPrEx>
          <w:tblCellMar>
            <w:top w:w="0" w:type="dxa"/>
            <w:left w:w="0" w:type="dxa"/>
            <w:bottom w:w="0" w:type="dxa"/>
            <w:right w:w="0" w:type="dxa"/>
          </w:tblCellMar>
        </w:tblPrEx>
        <w:trPr>
          <w:trHeight w:val="101"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349DEC68">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2658CDD4">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631DB2">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8.4尾矿库生产经营单位主要负责人每季度组织督促、检查本单位的安全生产，及时消除生产安全事故隐患，检查及处理及记录的情况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1AD7E1">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《四川省安全生产条例》第十四条第（五）项</w:t>
            </w:r>
            <w:r>
              <w:rPr>
                <w:rFonts w:hint="eastAsia" w:ascii="仿宋_GB2312" w:hAnsi="仿宋_GB2312" w:eastAsia="仿宋_GB2312" w:cs="仿宋_GB2312"/>
                <w:color w:val="auto"/>
                <w:kern w:val="0"/>
                <w:sz w:val="32"/>
                <w:szCs w:val="32"/>
              </w:rPr>
              <w:t xml:space="preserve">  生产经营单位主要负责人应当履行下列安全生产职责：......</w:t>
            </w:r>
          </w:p>
          <w:p w14:paraId="253BE176">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（五）配合政府及其有关部门的安全生产监督管理工作，每季度至少组织督促、检查一次本单位的安全生产，及时消除生产安全事故隐患，检查及处理情况应当记录在案；</w:t>
            </w:r>
          </w:p>
          <w:p w14:paraId="26E0082E">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B56AA3">
            <w:pPr>
              <w:widowControl/>
              <w:numPr>
                <w:ilvl w:val="0"/>
                <w:numId w:val="38"/>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（2）企业日常安全事故隐患排查治理资料；                                                                                                              （3）《现场检查记录》《责令限期整改指令书》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3BFD25FF">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62866C">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《四川省安全生产条例》第六十六条</w:t>
            </w:r>
            <w:r>
              <w:rPr>
                <w:rFonts w:hint="eastAsia" w:ascii="仿宋_GB2312" w:hAnsi="仿宋_GB2312" w:eastAsia="仿宋_GB2312" w:cs="仿宋_GB2312"/>
                <w:color w:val="auto"/>
                <w:kern w:val="0"/>
                <w:sz w:val="32"/>
                <w:szCs w:val="32"/>
              </w:rPr>
              <w:t xml:space="preserve">  生产经营单位主要负责人违反本条例第十四条规定的，责令限期改正；逾期未改正的，责令生产经营单位停产停业整顿。</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6824A8">
            <w:pPr>
              <w:rPr>
                <w:rFonts w:hint="eastAsia" w:ascii="仿宋_GB2312" w:hAnsi="仿宋_GB2312" w:eastAsia="仿宋_GB2312" w:cs="仿宋_GB2312"/>
                <w:color w:val="auto"/>
                <w:sz w:val="32"/>
                <w:szCs w:val="32"/>
              </w:rPr>
            </w:pPr>
          </w:p>
        </w:tc>
      </w:tr>
      <w:tr w14:paraId="695901B3">
        <w:tblPrEx>
          <w:tblCellMar>
            <w:top w:w="0" w:type="dxa"/>
            <w:left w:w="0" w:type="dxa"/>
            <w:bottom w:w="0" w:type="dxa"/>
            <w:right w:w="0" w:type="dxa"/>
          </w:tblCellMar>
        </w:tblPrEx>
        <w:trPr>
          <w:trHeight w:val="207" w:hRule="atLeast"/>
          <w:jc w:val="center"/>
        </w:trPr>
        <w:tc>
          <w:tcPr>
            <w:tcW w:w="624" w:type="dxa"/>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01C274E">
            <w:pPr>
              <w:jc w:val="center"/>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3D6D3E">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769E02">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8.5 尾矿库生产经营单位隐患排查治理、统计分析及上报的情况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00E5DD">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《安全生产事故隐患排查治理暂行规定》第八条第一款</w:t>
            </w:r>
            <w:r>
              <w:rPr>
                <w:rFonts w:hint="eastAsia" w:ascii="仿宋_GB2312" w:hAnsi="仿宋_GB2312" w:eastAsia="仿宋_GB2312" w:cs="仿宋_GB2312"/>
                <w:color w:val="auto"/>
                <w:kern w:val="0"/>
                <w:sz w:val="32"/>
                <w:szCs w:val="32"/>
              </w:rPr>
              <w:t xml:space="preserve">   生产经营单位是事故隐患排查、治理和防控的责任主体。</w:t>
            </w:r>
          </w:p>
          <w:p w14:paraId="1577E20A">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《安全生产事故隐患排查治理暂行规定》第十条</w:t>
            </w:r>
            <w:r>
              <w:rPr>
                <w:rFonts w:hint="eastAsia" w:ascii="仿宋_GB2312" w:hAnsi="仿宋_GB2312" w:eastAsia="仿宋_GB2312" w:cs="仿宋_GB2312"/>
                <w:color w:val="auto"/>
                <w:kern w:val="0"/>
                <w:sz w:val="32"/>
                <w:szCs w:val="32"/>
              </w:rPr>
              <w:t xml:space="preserve">   生产经营单位应当定期组织安全生产管理人员、工程技术人员和其他相关人员排查本单位的事故隐患。对排查出的事故隐患，应当按照事故隐患的等级进行登记，建立事故隐患信息档案，并按照职责分工实施监控治理。                      </w:t>
            </w:r>
          </w:p>
          <w:p w14:paraId="688A1E5D">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《安全生产事故隐患排查治理暂行规定》第十四条</w:t>
            </w:r>
            <w:r>
              <w:rPr>
                <w:rFonts w:hint="eastAsia" w:ascii="仿宋_GB2312" w:hAnsi="仿宋_GB2312" w:eastAsia="仿宋_GB2312" w:cs="仿宋_GB2312"/>
                <w:color w:val="auto"/>
                <w:kern w:val="0"/>
                <w:sz w:val="32"/>
                <w:szCs w:val="32"/>
              </w:rPr>
              <w:t xml:space="preserve">   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p w14:paraId="3EFA220D">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对于重大事故隐患，生产经营单位除依照前款规定报送外，应当及时向安全监管监察部门和有关部门报告。重大事故隐患报告内容应当包括：</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（一）隐患的现状及其产生原因；</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（二）隐患的危害程度和整改难易程度分析；</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（三）隐患的治理方案。</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0D28F2">
            <w:pPr>
              <w:widowControl/>
              <w:numPr>
                <w:ilvl w:val="0"/>
                <w:numId w:val="39"/>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（2）企业日常安全事故隐患排查治理资料；                   （3）隐患统计分析上报资料；                                                                                                              （4）《现场检查记录》《责令限期整改指令书》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5F12443F">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C84DC7">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《安全生产事故隐患排查治理暂行规定》第二十六条</w:t>
            </w:r>
            <w:r>
              <w:rPr>
                <w:rFonts w:hint="eastAsia" w:ascii="仿宋_GB2312" w:hAnsi="仿宋_GB2312" w:eastAsia="仿宋_GB2312" w:cs="仿宋_GB2312"/>
                <w:color w:val="auto"/>
                <w:kern w:val="0"/>
                <w:sz w:val="32"/>
                <w:szCs w:val="32"/>
              </w:rPr>
              <w:t xml:space="preserve">  生产经营单位违反本规定，有下列行为之一的，由安全监管监察部门给予警告，并处三万元以下的罚款：</w:t>
            </w:r>
          </w:p>
          <w:p w14:paraId="1EFEDEE8">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（一）未建立安全生产事故隐患排查治理等各项制度的；</w:t>
            </w:r>
          </w:p>
          <w:p w14:paraId="749F5BA7">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（二）未按规定上报事故隐患排查治理统计分析表的；</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（三）未制定事故隐患治理方案的；</w:t>
            </w:r>
          </w:p>
          <w:p w14:paraId="37C2C24F">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（四）重大事故隐患不报或者未及时报告的；</w:t>
            </w:r>
          </w:p>
          <w:p w14:paraId="510B1755">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（五）未对事故隐患进行排查治理擅自生产经营的；</w:t>
            </w:r>
          </w:p>
          <w:p w14:paraId="367E266B">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（六）整改不合格或者未经安全监管监察部门审查同意擅自恢复生产经营的。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966833">
            <w:pPr>
              <w:rPr>
                <w:rFonts w:hint="eastAsia" w:ascii="仿宋_GB2312" w:hAnsi="仿宋_GB2312" w:eastAsia="仿宋_GB2312" w:cs="仿宋_GB2312"/>
                <w:color w:val="auto"/>
                <w:sz w:val="32"/>
                <w:szCs w:val="32"/>
              </w:rPr>
            </w:pPr>
          </w:p>
        </w:tc>
      </w:tr>
      <w:tr w14:paraId="0EEB0E35">
        <w:tblPrEx>
          <w:tblCellMar>
            <w:top w:w="0" w:type="dxa"/>
            <w:left w:w="0" w:type="dxa"/>
            <w:bottom w:w="0" w:type="dxa"/>
            <w:right w:w="0" w:type="dxa"/>
          </w:tblCellMar>
        </w:tblPrEx>
        <w:trPr>
          <w:trHeight w:val="516" w:hRule="atLeast"/>
          <w:jc w:val="center"/>
        </w:trPr>
        <w:tc>
          <w:tcPr>
            <w:tcW w:w="624" w:type="dxa"/>
            <w:vMerge w:val="restart"/>
            <w:tcBorders>
              <w:top w:val="nil"/>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E8F62C4">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DB582A">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安全教育培训检查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A01AB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9.1尾矿库生产经营单位主要负责人和安全管理人员经安全生产知识和管理能力培训考核合格的情况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ACCB2E">
            <w:pPr>
              <w:widowControl/>
              <w:ind w:firstLine="643"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《中华人民共和国安全生产法》  第二十七条第二款</w:t>
            </w:r>
            <w:r>
              <w:rPr>
                <w:rFonts w:hint="eastAsia" w:ascii="仿宋_GB2312" w:hAnsi="仿宋_GB2312" w:eastAsia="仿宋_GB2312" w:cs="仿宋_GB2312"/>
                <w:color w:val="auto"/>
                <w:kern w:val="0"/>
                <w:sz w:val="32"/>
                <w:szCs w:val="32"/>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B2ED3F">
            <w:pPr>
              <w:widowControl/>
              <w:numPr>
                <w:ilvl w:val="0"/>
                <w:numId w:val="40"/>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（2）主要负责人和安全管理人员任命文件及岗位责任制资料；                                 （3）主要负责人和安全管理人员培训档案；                    （4）安全管理培训合格证明资料；                                                                                           （5）《现场检查记录》《责令限期整改指令书》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0297DD0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752A89">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第九十七条第二项</w:t>
            </w:r>
            <w:r>
              <w:rPr>
                <w:rStyle w:val="12"/>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B3D7860">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（二）危险物品的生产、经营、储存、装卸单位以及矿山、金属冶炼、建筑施工、运输单位的主要负责人和安全生产管理人员未按照规定经考核合格的；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BFB9909">
            <w:pPr>
              <w:rPr>
                <w:rFonts w:hint="eastAsia" w:ascii="仿宋_GB2312" w:hAnsi="仿宋_GB2312" w:eastAsia="仿宋_GB2312" w:cs="仿宋_GB2312"/>
                <w:color w:val="auto"/>
                <w:sz w:val="32"/>
                <w:szCs w:val="32"/>
              </w:rPr>
            </w:pPr>
          </w:p>
        </w:tc>
      </w:tr>
      <w:tr w14:paraId="3A3D8FD6">
        <w:tblPrEx>
          <w:tblCellMar>
            <w:top w:w="0" w:type="dxa"/>
            <w:left w:w="0" w:type="dxa"/>
            <w:bottom w:w="0" w:type="dxa"/>
            <w:right w:w="0" w:type="dxa"/>
          </w:tblCellMar>
        </w:tblPrEx>
        <w:trPr>
          <w:trHeight w:val="310" w:hRule="atLeast"/>
          <w:jc w:val="center"/>
        </w:trPr>
        <w:tc>
          <w:tcPr>
            <w:tcW w:w="624" w:type="dxa"/>
            <w:vMerge w:val="continue"/>
            <w:tcBorders>
              <w:top w:val="nil"/>
              <w:left w:val="single" w:color="000000" w:sz="4" w:space="0"/>
              <w:bottom w:val="single" w:color="000000" w:sz="4" w:space="0"/>
              <w:right w:val="single" w:color="000000" w:sz="4" w:space="0"/>
            </w:tcBorders>
            <w:vAlign w:val="center"/>
          </w:tcPr>
          <w:p w14:paraId="2B6055CE">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026C54D4">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42E99B">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 9.2尾矿库生产经营单位对从业人员、被派遣劳动者、实习学生进行安全生产教育和培训的情况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02D1FA">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第二十八条</w:t>
            </w:r>
            <w:r>
              <w:rPr>
                <w:rFonts w:hint="eastAsia" w:ascii="仿宋_GB2312" w:hAnsi="仿宋_GB2312" w:eastAsia="仿宋_GB2312" w:cs="仿宋_GB2312"/>
                <w:color w:val="auto"/>
                <w:kern w:val="0"/>
                <w:sz w:val="32"/>
                <w:szCs w:val="32"/>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15CE7899">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75841AA0">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14:paraId="4D4BD1DA">
            <w:pPr>
              <w:widowControl/>
              <w:shd w:val="clear" w:color="auto" w:fill="FFFFFF"/>
              <w:ind w:firstLine="640" w:firstLineChars="200"/>
              <w:rPr>
                <w:rStyle w:val="12"/>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生产经营单位应当建立安全生产教育和培训档案，如实记录安全生产教育和培训的时间、内容、参加人员以及考核结果等情况。</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C94BAA">
            <w:pPr>
              <w:widowControl/>
              <w:numPr>
                <w:ilvl w:val="0"/>
                <w:numId w:val="41"/>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（2）安全教育培训档案；                                                                      （3）安全教育培训签到表；                                  （4）安全教育培训学时和内容；                                                                                                                                              （5）《现场检查记录》《责令限期整改指令书》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2E6BFAAD">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E3428A">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第九十七条第三项</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44417BF3">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（三）未按照规定对从业人员、被派遣劳动者、实习学生进行安全生产教育和培训，或者未按照规定如实告知有关的安全生产事项的；</w:t>
            </w:r>
          </w:p>
          <w:p w14:paraId="04520E13">
            <w:pPr>
              <w:widowControl/>
              <w:ind w:firstLine="640" w:firstLineChars="200"/>
              <w:jc w:val="left"/>
              <w:textAlignment w:val="center"/>
              <w:rPr>
                <w:rFonts w:hint="eastAsia" w:ascii="仿宋_GB2312" w:hAnsi="仿宋_GB2312" w:eastAsia="仿宋_GB2312" w:cs="仿宋_GB2312"/>
                <w:color w:val="auto"/>
                <w:sz w:val="32"/>
                <w:szCs w:val="32"/>
              </w:rPr>
            </w:pP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261FC5C">
            <w:pPr>
              <w:rPr>
                <w:rFonts w:hint="eastAsia" w:ascii="仿宋_GB2312" w:hAnsi="仿宋_GB2312" w:eastAsia="仿宋_GB2312" w:cs="仿宋_GB2312"/>
                <w:color w:val="auto"/>
                <w:sz w:val="32"/>
                <w:szCs w:val="32"/>
              </w:rPr>
            </w:pPr>
          </w:p>
        </w:tc>
      </w:tr>
      <w:tr w14:paraId="52A07104">
        <w:tblPrEx>
          <w:tblCellMar>
            <w:top w:w="0" w:type="dxa"/>
            <w:left w:w="0" w:type="dxa"/>
            <w:bottom w:w="0" w:type="dxa"/>
            <w:right w:w="0" w:type="dxa"/>
          </w:tblCellMar>
        </w:tblPrEx>
        <w:trPr>
          <w:trHeight w:val="612" w:hRule="atLeast"/>
          <w:jc w:val="center"/>
        </w:trPr>
        <w:tc>
          <w:tcPr>
            <w:tcW w:w="624" w:type="dxa"/>
            <w:vMerge w:val="continue"/>
            <w:tcBorders>
              <w:top w:val="nil"/>
              <w:left w:val="single" w:color="000000" w:sz="4" w:space="0"/>
              <w:bottom w:val="single" w:color="000000" w:sz="4" w:space="0"/>
              <w:right w:val="single" w:color="000000" w:sz="4" w:space="0"/>
            </w:tcBorders>
            <w:vAlign w:val="center"/>
          </w:tcPr>
          <w:p w14:paraId="30338B24">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6011898D">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38FC29">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9.3尾矿库生产经营单位从业人员“四新”培训</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AD1900">
            <w:pPr>
              <w:widowControl/>
              <w:ind w:firstLine="643"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《中华人民共和国安全生产法》  第二十九条</w:t>
            </w:r>
            <w:r>
              <w:rPr>
                <w:rFonts w:hint="eastAsia" w:ascii="仿宋_GB2312" w:hAnsi="仿宋_GB2312" w:eastAsia="仿宋_GB2312" w:cs="仿宋_GB2312"/>
                <w:color w:val="auto"/>
                <w:kern w:val="0"/>
                <w:sz w:val="32"/>
                <w:szCs w:val="32"/>
              </w:rPr>
              <w:t>生产经营单位采用新工艺、新技术、新材料或者使用新设备，必须了解、掌握其安全技术特性，采取有效的安全防护措施，并对从业人员进行专门的安全生产教育和培训。</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E70FDE">
            <w:pPr>
              <w:widowControl/>
              <w:numPr>
                <w:ilvl w:val="0"/>
                <w:numId w:val="42"/>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相关证照；                          （2）采用新工艺、新技术、新材料或者使用新设备进行专门的安全生产教育和培训记录；                                </w:t>
            </w:r>
          </w:p>
          <w:p w14:paraId="48E1CA36">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（3）安全教育培训档案；                                                                             （4）《现场检查记录》《责令限期整改指令书》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56FAABF2">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21C6AA">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 xml:space="preserve">《中华人民共和国安全生产法》  第九十七条第三项  </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4F454C7A">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（三）未按照规定对从业人员、被派遣劳动者、实习学生进行安全生产教育和培训，或者未按照规定如实告知有关的安全生产事项的；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FB7E570">
            <w:pPr>
              <w:rPr>
                <w:rFonts w:hint="eastAsia" w:ascii="仿宋_GB2312" w:hAnsi="仿宋_GB2312" w:eastAsia="仿宋_GB2312" w:cs="仿宋_GB2312"/>
                <w:color w:val="auto"/>
                <w:sz w:val="32"/>
                <w:szCs w:val="32"/>
              </w:rPr>
            </w:pPr>
          </w:p>
        </w:tc>
      </w:tr>
      <w:tr w14:paraId="21078085">
        <w:tblPrEx>
          <w:tblCellMar>
            <w:top w:w="0" w:type="dxa"/>
            <w:left w:w="0" w:type="dxa"/>
            <w:bottom w:w="0" w:type="dxa"/>
            <w:right w:w="0" w:type="dxa"/>
          </w:tblCellMar>
        </w:tblPrEx>
        <w:trPr>
          <w:trHeight w:val="90" w:hRule="atLeast"/>
          <w:jc w:val="center"/>
        </w:trPr>
        <w:tc>
          <w:tcPr>
            <w:tcW w:w="624" w:type="dxa"/>
            <w:vMerge w:val="continue"/>
            <w:tcBorders>
              <w:top w:val="nil"/>
              <w:left w:val="single" w:color="000000" w:sz="4" w:space="0"/>
              <w:bottom w:val="single" w:color="000000" w:sz="4" w:space="0"/>
              <w:right w:val="single" w:color="000000" w:sz="4" w:space="0"/>
            </w:tcBorders>
            <w:vAlign w:val="center"/>
          </w:tcPr>
          <w:p w14:paraId="7CC7FDD6">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57979C80">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5F490A">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9.4尾矿库生产经营单位安全培训时间的情况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8F94FE">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《生产经营单位安全培训规定》第九条</w:t>
            </w:r>
            <w:r>
              <w:rPr>
                <w:rFonts w:hint="eastAsia" w:ascii="仿宋_GB2312" w:hAnsi="仿宋_GB2312" w:eastAsia="仿宋_GB2312" w:cs="仿宋_GB2312"/>
                <w:color w:val="auto"/>
                <w:kern w:val="0"/>
                <w:sz w:val="32"/>
                <w:szCs w:val="32"/>
              </w:rPr>
              <w:t xml:space="preserve">  生产经营单位主要负责人和安全生产管理人员初次安全培训时间不得少于32学时。每年再培训时间不得少于12学时。</w:t>
            </w:r>
          </w:p>
          <w:p w14:paraId="0D2D258F">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煤矿、非煤矿山、危险化学品、烟花爆竹、金属冶炼等生产经营单位主要负责人和安全生产管理人员初次安全培训时间不得少于48学时；每年再培训时间不得少于16学时。</w:t>
            </w:r>
          </w:p>
          <w:p w14:paraId="638D1EF3">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《生产经营单位安全培训规定》第十三条</w:t>
            </w:r>
            <w:r>
              <w:rPr>
                <w:rFonts w:hint="eastAsia" w:ascii="仿宋_GB2312" w:hAnsi="仿宋_GB2312" w:eastAsia="仿宋_GB2312" w:cs="仿宋_GB2312"/>
                <w:color w:val="auto"/>
                <w:kern w:val="0"/>
                <w:sz w:val="32"/>
                <w:szCs w:val="32"/>
              </w:rPr>
              <w:t xml:space="preserve">  生产经营单位新上岗的从业人员，岗前安全培训时间不得少于24学时。</w:t>
            </w:r>
          </w:p>
          <w:p w14:paraId="24C3D1F2">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煤矿、非煤矿山、危险化学品、烟花爆竹、金属冶炼等生产经营单位新上岗的从业人员安全培训时间不得少于72学时，每年再培训的时间不得少于20学时。</w:t>
            </w:r>
          </w:p>
          <w:p w14:paraId="1BC24CCF">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《安全生产培训管理办法》第十一条  </w:t>
            </w:r>
            <w:r>
              <w:rPr>
                <w:rFonts w:hint="eastAsia" w:ascii="仿宋_GB2312" w:hAnsi="仿宋_GB2312" w:eastAsia="仿宋_GB2312" w:cs="仿宋_GB2312"/>
                <w:color w:val="auto"/>
                <w:kern w:val="0"/>
                <w:sz w:val="32"/>
                <w:szCs w:val="32"/>
              </w:rPr>
              <w:t xml:space="preserve"> 生产经营单位从业人员的培训内容和培训时间，应当符合《生产经营单位安全培训规定》和有关标准的规定。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DF8BCB">
            <w:pPr>
              <w:widowControl/>
              <w:numPr>
                <w:ilvl w:val="0"/>
                <w:numId w:val="43"/>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（2）从业人员安全教育培训档案；                           （3）安全教育培训签到表；                                   （4）安全生产教育培训记录；                                                   （5）《现场检查记录》《责令限期整改指令书》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012DCD51">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BD62C1">
            <w:pPr>
              <w:widowControl/>
              <w:ind w:firstLine="643"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《安全生产培训管理办法》第三十六条第（一）项</w:t>
            </w:r>
            <w:r>
              <w:rPr>
                <w:rStyle w:val="12"/>
                <w:rFonts w:hint="eastAsia" w:ascii="仿宋_GB2312" w:hAnsi="仿宋_GB2312" w:eastAsia="仿宋_GB2312" w:cs="仿宋_GB2312"/>
                <w:color w:val="auto"/>
                <w:sz w:val="32"/>
                <w:szCs w:val="32"/>
              </w:rPr>
              <w:t xml:space="preserve">  生产经营单位有下列情形之一的，责令改正，处3万元以下的罚款：</w:t>
            </w:r>
          </w:p>
          <w:p w14:paraId="797E468D">
            <w:pPr>
              <w:widowControl/>
              <w:ind w:firstLine="640"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（一）从业人员安全培训的时间少于《生产经营单位安全培训规定》或者有关标准规定的；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042325">
            <w:pPr>
              <w:rPr>
                <w:rFonts w:hint="eastAsia" w:ascii="仿宋_GB2312" w:hAnsi="仿宋_GB2312" w:eastAsia="仿宋_GB2312" w:cs="仿宋_GB2312"/>
                <w:color w:val="auto"/>
                <w:sz w:val="32"/>
                <w:szCs w:val="32"/>
              </w:rPr>
            </w:pPr>
          </w:p>
        </w:tc>
      </w:tr>
      <w:tr w14:paraId="0493DC0B">
        <w:tblPrEx>
          <w:tblCellMar>
            <w:top w:w="0" w:type="dxa"/>
            <w:left w:w="0" w:type="dxa"/>
            <w:bottom w:w="0" w:type="dxa"/>
            <w:right w:w="0" w:type="dxa"/>
          </w:tblCellMar>
        </w:tblPrEx>
        <w:trPr>
          <w:trHeight w:val="147" w:hRule="atLeast"/>
          <w:jc w:val="center"/>
        </w:trPr>
        <w:tc>
          <w:tcPr>
            <w:tcW w:w="624" w:type="dxa"/>
            <w:vMerge w:val="continue"/>
            <w:tcBorders>
              <w:top w:val="nil"/>
              <w:left w:val="single" w:color="000000" w:sz="4" w:space="0"/>
              <w:bottom w:val="single" w:color="000000" w:sz="4" w:space="0"/>
              <w:right w:val="single" w:color="000000" w:sz="4" w:space="0"/>
            </w:tcBorders>
            <w:vAlign w:val="center"/>
          </w:tcPr>
          <w:p w14:paraId="717B71E9">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435B45ED">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CA8E84">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9.5尾矿库生产经营单位如实告知有关的安全生产事项的情况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61EF7E">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第四十四条第一款</w:t>
            </w:r>
            <w:r>
              <w:rPr>
                <w:rFonts w:hint="eastAsia" w:ascii="仿宋_GB2312" w:hAnsi="仿宋_GB2312" w:eastAsia="仿宋_GB2312" w:cs="仿宋_GB2312"/>
                <w:color w:val="auto"/>
                <w:kern w:val="0"/>
                <w:sz w:val="32"/>
                <w:szCs w:val="32"/>
              </w:rPr>
              <w:t>生产经营单位应当教育和督促从业人员严格执行本单位的安全生产规章制度和安全操作规程；并向从业人员如实告知作业场所和工作岗位存在的危险因素、防范措施以及事故应急措施。</w:t>
            </w:r>
          </w:p>
          <w:p w14:paraId="41B461C8">
            <w:pPr>
              <w:widowControl/>
              <w:shd w:val="clear" w:color="auto" w:fill="FFFFFF"/>
              <w:ind w:firstLine="640" w:firstLineChars="200"/>
              <w:rPr>
                <w:rFonts w:hint="eastAsia" w:ascii="仿宋_GB2312" w:hAnsi="仿宋_GB2312" w:eastAsia="仿宋_GB2312" w:cs="仿宋_GB2312"/>
                <w:color w:val="auto"/>
                <w:sz w:val="32"/>
                <w:szCs w:val="32"/>
              </w:rPr>
            </w:pP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88E301">
            <w:pPr>
              <w:widowControl/>
              <w:numPr>
                <w:ilvl w:val="0"/>
                <w:numId w:val="44"/>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（2）岗位安全生产相关事项告知记录；                                                                       （3）岗位安全教育培训内容；                                                                                                                    （4）《现场检查记录》《责令限期整改指令书》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0F2459A9">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DF7D4D">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 xml:space="preserve">《中华人民共和国安全生产法》  第九十七条第三项  </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2350FC0">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（三）未按照规定对从业人员、被派遣劳动者、实习学生进行安全生产教育和培训，或者未按照规定如实告知有关的安全生产事项的；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6455D2">
            <w:pPr>
              <w:rPr>
                <w:rFonts w:hint="eastAsia" w:ascii="仿宋_GB2312" w:hAnsi="仿宋_GB2312" w:eastAsia="仿宋_GB2312" w:cs="仿宋_GB2312"/>
                <w:color w:val="auto"/>
                <w:sz w:val="32"/>
                <w:szCs w:val="32"/>
              </w:rPr>
            </w:pPr>
          </w:p>
        </w:tc>
      </w:tr>
      <w:tr w14:paraId="5413BD16">
        <w:tblPrEx>
          <w:tblCellMar>
            <w:top w:w="0" w:type="dxa"/>
            <w:left w:w="0" w:type="dxa"/>
            <w:bottom w:w="0" w:type="dxa"/>
            <w:right w:w="0" w:type="dxa"/>
          </w:tblCellMar>
        </w:tblPrEx>
        <w:trPr>
          <w:trHeight w:val="535" w:hRule="atLeast"/>
          <w:jc w:val="center"/>
        </w:trPr>
        <w:tc>
          <w:tcPr>
            <w:tcW w:w="624" w:type="dxa"/>
            <w:vMerge w:val="continue"/>
            <w:tcBorders>
              <w:top w:val="nil"/>
              <w:left w:val="single" w:color="000000" w:sz="4" w:space="0"/>
              <w:bottom w:val="single" w:color="000000" w:sz="4" w:space="0"/>
              <w:right w:val="single" w:color="000000" w:sz="4" w:space="0"/>
            </w:tcBorders>
            <w:vAlign w:val="center"/>
          </w:tcPr>
          <w:p w14:paraId="50BEE98C">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50AF4549">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7B9C6F">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9.6尾矿库生产经营单位新进从业人员上岗实习作业的情况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F33FBC">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《安全生产培训管理办法》第十三条  </w:t>
            </w:r>
            <w:r>
              <w:rPr>
                <w:rFonts w:hint="eastAsia" w:ascii="仿宋_GB2312" w:hAnsi="仿宋_GB2312" w:eastAsia="仿宋_GB2312" w:cs="仿宋_GB2312"/>
                <w:color w:val="auto"/>
                <w:kern w:val="0"/>
                <w:sz w:val="32"/>
                <w:szCs w:val="32"/>
              </w:rPr>
              <w:t>国家鼓励生产经营单位实行师傅带徒弟制度。</w:t>
            </w:r>
          </w:p>
          <w:p w14:paraId="2C69EF8C">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矿山新招的井下作业人员和危险物品生产经营单位新招的危险工艺操作岗位人员，除按照规定进行安全培训外，还应当在有经验的职工带领下实习满2个月后，方可独立上岗作业。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9ED377">
            <w:pPr>
              <w:widowControl/>
              <w:numPr>
                <w:ilvl w:val="0"/>
                <w:numId w:val="45"/>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（2）岗前安全教育培训记录；                                   （3）安全教育培训考核结果；                                       （4）上岗前带领职工实习资料；                                        （5）《现场检查记录》《责令限期整改指令书》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2DE0DC19">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其他相关证据资料。</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8A1F89">
            <w:pPr>
              <w:widowControl/>
              <w:ind w:firstLine="640"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w:t>
            </w:r>
            <w:r>
              <w:rPr>
                <w:rStyle w:val="12"/>
                <w:rFonts w:hint="eastAsia" w:ascii="仿宋_GB2312" w:hAnsi="仿宋_GB2312" w:eastAsia="仿宋_GB2312" w:cs="仿宋_GB2312"/>
                <w:b/>
                <w:bCs/>
                <w:color w:val="auto"/>
                <w:sz w:val="32"/>
                <w:szCs w:val="32"/>
              </w:rPr>
              <w:t>安全生产培训管理办法》第三十六条第（二）项</w:t>
            </w:r>
            <w:r>
              <w:rPr>
                <w:rStyle w:val="12"/>
                <w:rFonts w:hint="eastAsia" w:ascii="仿宋_GB2312" w:hAnsi="仿宋_GB2312" w:eastAsia="仿宋_GB2312" w:cs="仿宋_GB2312"/>
                <w:color w:val="auto"/>
                <w:sz w:val="32"/>
                <w:szCs w:val="32"/>
              </w:rPr>
              <w:t xml:space="preserve">  生产经营单位有下列情形之一的，责令改正，处3万元以下的罚款：</w:t>
            </w:r>
          </w:p>
          <w:p w14:paraId="1D0BB977">
            <w:pPr>
              <w:widowControl/>
              <w:ind w:firstLine="640"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（二）矿山新招的井下作业人员和危险物品生产经营单位新招的危险工艺操作岗位人员，未经实习期满独立上岗作业的；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3D2E83">
            <w:pPr>
              <w:rPr>
                <w:rFonts w:hint="eastAsia" w:ascii="仿宋_GB2312" w:hAnsi="仿宋_GB2312" w:eastAsia="仿宋_GB2312" w:cs="仿宋_GB2312"/>
                <w:color w:val="auto"/>
                <w:sz w:val="32"/>
                <w:szCs w:val="32"/>
              </w:rPr>
            </w:pPr>
          </w:p>
        </w:tc>
      </w:tr>
      <w:tr w14:paraId="266255B2">
        <w:tblPrEx>
          <w:tblCellMar>
            <w:top w:w="0" w:type="dxa"/>
            <w:left w:w="0" w:type="dxa"/>
            <w:bottom w:w="0" w:type="dxa"/>
            <w:right w:w="0" w:type="dxa"/>
          </w:tblCellMar>
        </w:tblPrEx>
        <w:trPr>
          <w:trHeight w:val="90" w:hRule="atLeast"/>
          <w:jc w:val="center"/>
        </w:trPr>
        <w:tc>
          <w:tcPr>
            <w:tcW w:w="624" w:type="dxa"/>
            <w:vMerge w:val="continue"/>
            <w:tcBorders>
              <w:top w:val="nil"/>
              <w:left w:val="single" w:color="000000" w:sz="4" w:space="0"/>
              <w:bottom w:val="single" w:color="000000" w:sz="4" w:space="0"/>
              <w:right w:val="single" w:color="000000" w:sz="4" w:space="0"/>
            </w:tcBorders>
            <w:vAlign w:val="center"/>
          </w:tcPr>
          <w:p w14:paraId="252964B4">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5E8D1086">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B3DBC3">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9.7造成人员死亡事故的尾矿库生产经营单位主要负责人和安全生产管理人员重新参加安全培训的情况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C7A4A1">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《安全生产培训管理办法》第十二条</w:t>
            </w:r>
            <w:r>
              <w:rPr>
                <w:rFonts w:hint="eastAsia" w:ascii="仿宋_GB2312" w:hAnsi="仿宋_GB2312" w:eastAsia="仿宋_GB2312" w:cs="仿宋_GB2312"/>
                <w:color w:val="auto"/>
                <w:kern w:val="0"/>
                <w:sz w:val="32"/>
                <w:szCs w:val="32"/>
              </w:rPr>
              <w:t xml:space="preserve">  中央企业的分公司、子公司及其所属单位和其他生产经营单位，发生造成人员死亡的生产安全事故的，其主要负责人和安全生产管理人员应当重新参加安全培训。</w:t>
            </w:r>
          </w:p>
          <w:p w14:paraId="6407808E">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特种作业人员对造成人员死亡的生产安全事故负有直接责任的，应当按照《特种作业人员安全技术培训考核管理规定》重新参加安全培训。</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293C0B">
            <w:pPr>
              <w:widowControl/>
              <w:numPr>
                <w:ilvl w:val="0"/>
                <w:numId w:val="46"/>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（2）生产安全事故统计表；                                    （3）事故调查报告；                                   （4）安全教育培训记录；                                                                         （5）《现场检查记录》《责令限期整改指令书》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2D7BC539">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0BA40E">
            <w:pPr>
              <w:widowControl/>
              <w:ind w:firstLine="643"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 xml:space="preserve">《安全生产培训管理办法》第三十六条第（三）项 </w:t>
            </w:r>
            <w:r>
              <w:rPr>
                <w:rStyle w:val="12"/>
                <w:rFonts w:hint="eastAsia" w:ascii="仿宋_GB2312" w:hAnsi="仿宋_GB2312" w:eastAsia="仿宋_GB2312" w:cs="仿宋_GB2312"/>
                <w:color w:val="auto"/>
                <w:sz w:val="32"/>
                <w:szCs w:val="32"/>
              </w:rPr>
              <w:t xml:space="preserve">  生产经营单位有下列情形之一的，责令改正，处3万元以下的罚款：</w:t>
            </w:r>
          </w:p>
          <w:p w14:paraId="3974BB13">
            <w:pPr>
              <w:widowControl/>
              <w:ind w:firstLine="640"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 xml:space="preserve">（三）相关人员未按照本办法第十二条规定重新参加安全培训的。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216CE9">
            <w:pPr>
              <w:rPr>
                <w:rFonts w:hint="eastAsia" w:ascii="仿宋_GB2312" w:hAnsi="仿宋_GB2312" w:eastAsia="仿宋_GB2312" w:cs="仿宋_GB2312"/>
                <w:color w:val="auto"/>
                <w:sz w:val="32"/>
                <w:szCs w:val="32"/>
              </w:rPr>
            </w:pPr>
          </w:p>
        </w:tc>
      </w:tr>
      <w:tr w14:paraId="7B05C694">
        <w:tblPrEx>
          <w:tblCellMar>
            <w:top w:w="0" w:type="dxa"/>
            <w:left w:w="0" w:type="dxa"/>
            <w:bottom w:w="0" w:type="dxa"/>
            <w:right w:w="0" w:type="dxa"/>
          </w:tblCellMar>
        </w:tblPrEx>
        <w:trPr>
          <w:trHeight w:val="90" w:hRule="atLeast"/>
          <w:jc w:val="center"/>
        </w:trPr>
        <w:tc>
          <w:tcPr>
            <w:tcW w:w="624" w:type="dxa"/>
            <w:vMerge w:val="continue"/>
            <w:tcBorders>
              <w:top w:val="nil"/>
              <w:left w:val="single" w:color="000000" w:sz="4" w:space="0"/>
              <w:bottom w:val="single" w:color="000000" w:sz="4" w:space="0"/>
              <w:right w:val="single" w:color="000000" w:sz="4" w:space="0"/>
            </w:tcBorders>
            <w:vAlign w:val="center"/>
          </w:tcPr>
          <w:p w14:paraId="330E26F9">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3B004AAC">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387722">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9.8生产经营单位如实记录安全生产教育和培训的情况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27BDC3">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 xml:space="preserve"> 《中华人民共和国安全生产法》  第二十八条第四款</w:t>
            </w:r>
            <w:r>
              <w:rPr>
                <w:rFonts w:hint="eastAsia" w:ascii="仿宋_GB2312" w:hAnsi="仿宋_GB2312" w:eastAsia="仿宋_GB2312" w:cs="仿宋_GB2312"/>
                <w:color w:val="auto"/>
                <w:kern w:val="0"/>
                <w:sz w:val="32"/>
                <w:szCs w:val="32"/>
              </w:rPr>
              <w:t>生产经营单位应当建立安全生产教育和培训档案，如实记录安全生产教育和培训的时间、内容、参加人员以及考核结果等情况。</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50C371">
            <w:pPr>
              <w:widowControl/>
              <w:numPr>
                <w:ilvl w:val="0"/>
                <w:numId w:val="47"/>
              </w:numP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p>
          <w:p w14:paraId="43D6F158">
            <w:pPr>
              <w:widowControl/>
              <w:numPr>
                <w:ilvl w:val="0"/>
                <w:numId w:val="47"/>
              </w:numP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安全生产教育培训档案；         </w:t>
            </w:r>
          </w:p>
          <w:p w14:paraId="54DBC39D">
            <w:pPr>
              <w:widowControl/>
              <w:numPr>
                <w:ilvl w:val="0"/>
                <w:numId w:val="47"/>
              </w:numP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安全生产教育考勤签到表；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（4）安全生产教育课程表、任课老师及培训内容、学时相关资料：</w:t>
            </w:r>
          </w:p>
          <w:p w14:paraId="0704E683">
            <w:pPr>
              <w:widowControl/>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05E63B40">
            <w:pPr>
              <w:widowControl/>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2FAEF4">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第九十七条第四项</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39048C72">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（四）未如实记录安全生产教育和培训情况的；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434020">
            <w:pPr>
              <w:rPr>
                <w:rFonts w:hint="eastAsia" w:ascii="仿宋_GB2312" w:hAnsi="仿宋_GB2312" w:eastAsia="仿宋_GB2312" w:cs="仿宋_GB2312"/>
                <w:color w:val="auto"/>
                <w:sz w:val="32"/>
                <w:szCs w:val="32"/>
              </w:rPr>
            </w:pPr>
          </w:p>
        </w:tc>
      </w:tr>
      <w:tr w14:paraId="64A9E4F9">
        <w:tblPrEx>
          <w:tblCellMar>
            <w:top w:w="0" w:type="dxa"/>
            <w:left w:w="0" w:type="dxa"/>
            <w:bottom w:w="0" w:type="dxa"/>
            <w:right w:w="0" w:type="dxa"/>
          </w:tblCellMar>
        </w:tblPrEx>
        <w:trPr>
          <w:trHeight w:val="104" w:hRule="atLeast"/>
          <w:jc w:val="center"/>
        </w:trPr>
        <w:tc>
          <w:tcPr>
            <w:tcW w:w="624" w:type="dxa"/>
            <w:vMerge w:val="restart"/>
            <w:tcBorders>
              <w:top w:val="single" w:color="000000" w:sz="4" w:space="0"/>
              <w:left w:val="single" w:color="000000" w:sz="4" w:space="0"/>
              <w:bottom w:val="nil"/>
              <w:right w:val="single" w:color="000000" w:sz="4" w:space="0"/>
            </w:tcBorders>
            <w:noWrap/>
            <w:tcMar>
              <w:top w:w="15" w:type="dxa"/>
              <w:left w:w="15" w:type="dxa"/>
              <w:bottom w:w="0" w:type="dxa"/>
              <w:right w:w="15" w:type="dxa"/>
            </w:tcMar>
            <w:vAlign w:val="center"/>
          </w:tcPr>
          <w:p w14:paraId="246EF055">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42387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特种作业人员检查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42E497">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10.1尾矿库生产经营单位特种作业人员经专门的安全作业培训，取得相应资格的情况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20F77F">
            <w:pPr>
              <w:widowControl/>
              <w:shd w:val="clear" w:color="auto" w:fill="FFFFFF"/>
              <w:ind w:firstLine="321" w:firstLineChars="1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 xml:space="preserve">《中华人民共和国安全生产法》  第三十条 </w:t>
            </w:r>
            <w:r>
              <w:rPr>
                <w:rFonts w:hint="eastAsia" w:ascii="仿宋_GB2312" w:hAnsi="仿宋_GB2312" w:eastAsia="仿宋_GB2312" w:cs="仿宋_GB2312"/>
                <w:color w:val="auto"/>
                <w:kern w:val="0"/>
                <w:sz w:val="32"/>
                <w:szCs w:val="32"/>
              </w:rPr>
              <w:t xml:space="preserve"> 生产经营单位的特种作业人员必须按照国家有关规定经专门的安全作业培训，取得相应资格，方可上岗作业。</w:t>
            </w:r>
          </w:p>
          <w:p w14:paraId="1B19663E">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特种作业人员的范围由国务院应急管理部门会同国务院有关部门确定。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7F6FB9">
            <w:pPr>
              <w:widowControl/>
              <w:numPr>
                <w:ilvl w:val="0"/>
                <w:numId w:val="48"/>
              </w:numP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p>
          <w:p w14:paraId="727A6373">
            <w:pPr>
              <w:widowControl/>
              <w:numPr>
                <w:ilvl w:val="0"/>
                <w:numId w:val="48"/>
              </w:numP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特种作业人员培训档案；</w:t>
            </w:r>
          </w:p>
          <w:p w14:paraId="588A6FFE">
            <w:pPr>
              <w:widowControl/>
              <w:numPr>
                <w:ilvl w:val="0"/>
                <w:numId w:val="48"/>
              </w:numP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核查特种作业操作证；</w:t>
            </w:r>
          </w:p>
          <w:p w14:paraId="052DC368">
            <w:pPr>
              <w:widowControl/>
              <w:numPr>
                <w:ilvl w:val="0"/>
                <w:numId w:val="48"/>
              </w:numP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49BEA55D">
            <w:pPr>
              <w:widowControl/>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4B797C">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第九十四条第七项</w:t>
            </w:r>
            <w:r>
              <w:rPr>
                <w:rFonts w:hint="eastAsia" w:ascii="仿宋_GB2312" w:hAnsi="仿宋_GB2312" w:eastAsia="仿宋_GB2312" w:cs="仿宋_GB2312"/>
                <w:bCs/>
                <w:snapToGrid w:val="0"/>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742196C0">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（七）特种作业人员未按照规定经专门的安全作业培训并取得相应资格，上岗作业的。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C80DA97">
            <w:pPr>
              <w:rPr>
                <w:rFonts w:hint="eastAsia" w:ascii="仿宋_GB2312" w:hAnsi="仿宋_GB2312" w:eastAsia="仿宋_GB2312" w:cs="仿宋_GB2312"/>
                <w:color w:val="auto"/>
                <w:sz w:val="32"/>
                <w:szCs w:val="32"/>
              </w:rPr>
            </w:pPr>
          </w:p>
        </w:tc>
      </w:tr>
      <w:tr w14:paraId="22ADF353">
        <w:tblPrEx>
          <w:tblCellMar>
            <w:top w:w="0" w:type="dxa"/>
            <w:left w:w="0" w:type="dxa"/>
            <w:bottom w:w="0" w:type="dxa"/>
            <w:right w:w="0" w:type="dxa"/>
          </w:tblCellMar>
        </w:tblPrEx>
        <w:trPr>
          <w:trHeight w:val="446" w:hRule="atLeast"/>
          <w:jc w:val="center"/>
        </w:trPr>
        <w:tc>
          <w:tcPr>
            <w:tcW w:w="624" w:type="dxa"/>
            <w:vMerge w:val="continue"/>
            <w:tcBorders>
              <w:top w:val="single" w:color="000000" w:sz="4" w:space="0"/>
              <w:left w:val="single" w:color="000000" w:sz="4" w:space="0"/>
              <w:bottom w:val="nil"/>
              <w:right w:val="single" w:color="000000" w:sz="4" w:space="0"/>
            </w:tcBorders>
            <w:vAlign w:val="center"/>
          </w:tcPr>
          <w:p w14:paraId="51C8C463">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09901A6C">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392E87">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10.2尾矿库生产经营单位建立健全特种作业人员档案的情况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0A8137">
            <w:pPr>
              <w:widowControl/>
              <w:ind w:firstLine="643"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《特种作业人员安全技术培训考核管理规定》 第三十四条</w:t>
            </w:r>
            <w:r>
              <w:rPr>
                <w:rFonts w:hint="eastAsia" w:ascii="仿宋_GB2312" w:hAnsi="仿宋_GB2312" w:eastAsia="仿宋_GB2312" w:cs="仿宋_GB2312"/>
                <w:color w:val="auto"/>
                <w:kern w:val="0"/>
                <w:sz w:val="32"/>
                <w:szCs w:val="32"/>
              </w:rPr>
              <w:t xml:space="preserve">    生产经营单位应当加强对本单位特种作业人员的管理，建立健全特种作业人员培训、复审档案，做好申报、培训、考核、复审的组织工作和日常的检查工作。</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82B4BB">
            <w:pPr>
              <w:widowControl/>
              <w:numPr>
                <w:ilvl w:val="0"/>
                <w:numId w:val="49"/>
              </w:numP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p>
          <w:p w14:paraId="0B75B6DC">
            <w:pPr>
              <w:widowControl/>
              <w:numPr>
                <w:ilvl w:val="0"/>
                <w:numId w:val="49"/>
              </w:numP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特种作业人员登记表；</w:t>
            </w:r>
          </w:p>
          <w:p w14:paraId="24D9F9B6">
            <w:pPr>
              <w:widowControl/>
              <w:numPr>
                <w:ilvl w:val="0"/>
                <w:numId w:val="49"/>
              </w:numP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11BC8386">
            <w:pPr>
              <w:widowControl/>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Mar>
              <w:top w:w="15" w:type="dxa"/>
              <w:left w:w="15" w:type="dxa"/>
              <w:bottom w:w="0" w:type="dxa"/>
              <w:right w:w="15" w:type="dxa"/>
            </w:tcMar>
            <w:vAlign w:val="center"/>
          </w:tcPr>
          <w:p w14:paraId="012D8A2D">
            <w:pPr>
              <w:widowControl/>
              <w:ind w:firstLine="643"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《特种作业人员安全技术培训考核管理规定》第三十八条</w:t>
            </w:r>
            <w:r>
              <w:rPr>
                <w:rFonts w:hint="eastAsia" w:ascii="仿宋_GB2312" w:hAnsi="仿宋_GB2312" w:eastAsia="仿宋_GB2312" w:cs="仿宋_GB2312"/>
                <w:color w:val="auto"/>
                <w:kern w:val="0"/>
                <w:sz w:val="32"/>
                <w:szCs w:val="32"/>
              </w:rPr>
              <w:t xml:space="preserve">    生产经营单位未建立健全特种作业人员档案的，给予警告，并处1万元以下的罚款。</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38DC21">
            <w:pPr>
              <w:rPr>
                <w:rFonts w:hint="eastAsia" w:ascii="仿宋_GB2312" w:hAnsi="仿宋_GB2312" w:eastAsia="仿宋_GB2312" w:cs="仿宋_GB2312"/>
                <w:color w:val="auto"/>
                <w:sz w:val="32"/>
                <w:szCs w:val="32"/>
              </w:rPr>
            </w:pPr>
          </w:p>
        </w:tc>
      </w:tr>
      <w:tr w14:paraId="0BC4A597">
        <w:tblPrEx>
          <w:tblCellMar>
            <w:top w:w="0" w:type="dxa"/>
            <w:left w:w="0" w:type="dxa"/>
            <w:bottom w:w="0" w:type="dxa"/>
            <w:right w:w="0" w:type="dxa"/>
          </w:tblCellMar>
        </w:tblPrEx>
        <w:trPr>
          <w:trHeight w:val="1769" w:hRule="atLeast"/>
          <w:jc w:val="center"/>
        </w:trPr>
        <w:tc>
          <w:tcPr>
            <w:tcW w:w="624" w:type="dxa"/>
            <w:vMerge w:val="continue"/>
            <w:tcBorders>
              <w:top w:val="single" w:color="000000" w:sz="4" w:space="0"/>
              <w:left w:val="single" w:color="000000" w:sz="4" w:space="0"/>
              <w:bottom w:val="nil"/>
              <w:right w:val="single" w:color="000000" w:sz="4" w:space="0"/>
            </w:tcBorders>
            <w:vAlign w:val="center"/>
          </w:tcPr>
          <w:p w14:paraId="548B24A7">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1F5C2763">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CB8C6D">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 10.3尾矿库生产经营单位非法印制、伪造、倒卖特种作业操作证，或者使用非法印制、伪造、倒卖、转借、转让、冒用特种作业操作证、的情况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F89065">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rPr>
              <w:t>特种作业人员安全技术培训考核管理规定》 第三十六条</w:t>
            </w:r>
            <w:r>
              <w:rPr>
                <w:rFonts w:hint="eastAsia" w:ascii="仿宋_GB2312" w:hAnsi="仿宋_GB2312" w:eastAsia="仿宋_GB2312" w:cs="仿宋_GB2312"/>
                <w:color w:val="auto"/>
                <w:kern w:val="0"/>
                <w:sz w:val="32"/>
                <w:szCs w:val="32"/>
              </w:rPr>
              <w:t xml:space="preserve">  生产经营单位不得印制、伪造、倒卖特种作业操作证，或者使用非法印制、伪造、倒卖的特种作业操作证。</w:t>
            </w:r>
          </w:p>
          <w:p w14:paraId="69750706">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特种作业人员不得伪造、涂改、转借、转让、冒用特种作业操作证或者使用伪造的特种作业操作证。</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A07880">
            <w:pPr>
              <w:widowControl/>
              <w:numPr>
                <w:ilvl w:val="0"/>
                <w:numId w:val="50"/>
              </w:numP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p>
          <w:p w14:paraId="5D78E108">
            <w:pPr>
              <w:widowControl/>
              <w:numPr>
                <w:ilvl w:val="0"/>
                <w:numId w:val="50"/>
              </w:numP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特种作业人员登记表；</w:t>
            </w:r>
          </w:p>
          <w:p w14:paraId="597AB45A">
            <w:pPr>
              <w:widowControl/>
              <w:numPr>
                <w:ilvl w:val="0"/>
                <w:numId w:val="50"/>
              </w:numP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核查特种作业人员操作证；</w:t>
            </w:r>
          </w:p>
          <w:p w14:paraId="769C72ED">
            <w:pPr>
              <w:widowControl/>
              <w:numPr>
                <w:ilvl w:val="0"/>
                <w:numId w:val="50"/>
              </w:numPr>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67A09D48">
            <w:pPr>
              <w:widowControl/>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6594A4">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《特种作业人员安全技术培训考核管理规定》第四十条</w:t>
            </w:r>
            <w:r>
              <w:rPr>
                <w:rFonts w:hint="eastAsia" w:ascii="仿宋_GB2312" w:hAnsi="仿宋_GB2312" w:eastAsia="仿宋_GB2312" w:cs="仿宋_GB2312"/>
                <w:color w:val="auto"/>
                <w:kern w:val="0"/>
                <w:sz w:val="32"/>
                <w:szCs w:val="32"/>
              </w:rPr>
              <w:t xml:space="preserve">  生产经营单位非法印制、伪造、倒卖特种作业操作证，或者使用非法印制、伪造、倒卖的特种作业操作证的，给予警告，并处1万元以上3万元以下的罚款；构成犯罪的，依法追究刑事责任。</w:t>
            </w:r>
          </w:p>
          <w:p w14:paraId="769E0F8E">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《特种作业人员安全技术培训考核管理规定》第四十一条 </w:t>
            </w:r>
            <w:r>
              <w:rPr>
                <w:rFonts w:hint="eastAsia" w:ascii="仿宋_GB2312" w:hAnsi="仿宋_GB2312" w:eastAsia="仿宋_GB2312" w:cs="仿宋_GB2312"/>
                <w:color w:val="auto"/>
                <w:kern w:val="0"/>
                <w:sz w:val="32"/>
                <w:szCs w:val="32"/>
              </w:rPr>
              <w:t xml:space="preserve">  特种作业人员伪造、涂改特种作业操作证或者使用伪造的特种作业操作证的，给予警告，并处1000元以上5000元以下的罚款。</w:t>
            </w:r>
          </w:p>
          <w:p w14:paraId="5A6BC4FD">
            <w:pPr>
              <w:widowControl/>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    特种作业人员转借、转让、冒用特种作业操作证的，给予警告，并处2000元以上10000元以下的罚款。</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324EF09">
            <w:pPr>
              <w:rPr>
                <w:rFonts w:hint="eastAsia" w:ascii="仿宋_GB2312" w:hAnsi="仿宋_GB2312" w:eastAsia="仿宋_GB2312" w:cs="仿宋_GB2312"/>
                <w:color w:val="auto"/>
                <w:sz w:val="32"/>
                <w:szCs w:val="32"/>
              </w:rPr>
            </w:pPr>
          </w:p>
        </w:tc>
      </w:tr>
      <w:tr w14:paraId="3E24C4BE">
        <w:tblPrEx>
          <w:tblCellMar>
            <w:top w:w="0" w:type="dxa"/>
            <w:left w:w="0" w:type="dxa"/>
            <w:bottom w:w="0" w:type="dxa"/>
            <w:right w:w="0" w:type="dxa"/>
          </w:tblCellMar>
        </w:tblPrEx>
        <w:trPr>
          <w:trHeight w:val="302"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B3A3B41">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11</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49BB4A">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岗位操作规程及标准化操作检查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9FED04">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11.1尾矿库生产经营单位生产流程各环节、各岗位安全生产标准化操作的情况</w:t>
            </w:r>
          </w:p>
        </w:tc>
        <w:tc>
          <w:tcPr>
            <w:tcW w:w="3789"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14:paraId="505535DB">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第二十一条第二项</w:t>
            </w:r>
            <w:r>
              <w:rPr>
                <w:rFonts w:hint="eastAsia" w:ascii="仿宋_GB2312" w:hAnsi="仿宋_GB2312" w:eastAsia="仿宋_GB2312" w:cs="仿宋_GB2312"/>
                <w:color w:val="auto"/>
                <w:kern w:val="0"/>
                <w:sz w:val="32"/>
                <w:szCs w:val="32"/>
              </w:rPr>
              <w:t>生产经营单位的主要负责人对本单位安全生产工作负有下列职责：</w:t>
            </w:r>
          </w:p>
          <w:p w14:paraId="0ECB59D4">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（二）组织制定并实施本单位安全生产规章制度和操作规程；</w:t>
            </w:r>
          </w:p>
          <w:p w14:paraId="612087F2">
            <w:pPr>
              <w:widowControl/>
              <w:ind w:firstLine="643"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《四川省生产经营单位安全生产责任规定》                第十七条</w:t>
            </w:r>
            <w:r>
              <w:rPr>
                <w:rFonts w:hint="eastAsia" w:ascii="仿宋_GB2312" w:hAnsi="仿宋_GB2312" w:eastAsia="仿宋_GB2312" w:cs="仿宋_GB2312"/>
                <w:color w:val="auto"/>
                <w:kern w:val="0"/>
                <w:sz w:val="32"/>
                <w:szCs w:val="32"/>
              </w:rPr>
              <w:t xml:space="preserve">  生产经营单位应当在生产流程各环节、各岗位推行岗位安全生产标准化操作，教育从业人员严格遵守本岗位的安全生产规章制度、标准和操作规程。</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B50672">
            <w:pPr>
              <w:widowControl/>
              <w:numPr>
                <w:ilvl w:val="0"/>
                <w:numId w:val="51"/>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（2）岗位安全工作标准；                               （3）岗位操作规程；                                 （4）岗位管理措施；                                    （5）主要负责人相关安全操作规程签审记录；                                                                                       （6）《现场检查记录》《责令限期整改指令书》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08638B6F">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nil"/>
              <w:right w:val="single" w:color="000000" w:sz="4" w:space="0"/>
            </w:tcBorders>
            <w:tcMar>
              <w:top w:w="15" w:type="dxa"/>
              <w:left w:w="15" w:type="dxa"/>
              <w:bottom w:w="0" w:type="dxa"/>
              <w:right w:w="15" w:type="dxa"/>
            </w:tcMar>
            <w:vAlign w:val="center"/>
          </w:tcPr>
          <w:p w14:paraId="03FFDBFA">
            <w:pPr>
              <w:widowControl/>
              <w:shd w:val="clear" w:color="auto" w:fill="FFFFFF"/>
              <w:ind w:firstLine="643" w:firstLineChars="200"/>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《中华人民共和国安全生产法》  第九十四条</w:t>
            </w:r>
            <w:r>
              <w:rPr>
                <w:rStyle w:val="12"/>
                <w:rFonts w:hint="eastAsia" w:ascii="仿宋_GB2312" w:hAnsi="仿宋_GB2312" w:eastAsia="仿宋_GB2312" w:cs="仿宋_GB2312"/>
                <w:color w:val="auto"/>
                <w:sz w:val="32"/>
                <w:szCs w:val="32"/>
              </w:rPr>
              <w:t>生产经营单位的主要负责人未履行本法规定的安全生产管理职责的，责令限期改正，处二万元以上五万元以下的罚款；逾期未改正的，处五万元以上十万元以下的罚款，责令生产经营单位停产停业整顿。</w:t>
            </w:r>
          </w:p>
          <w:p w14:paraId="5946A73B">
            <w:pPr>
              <w:widowControl/>
              <w:shd w:val="clear" w:color="auto" w:fill="FFFFFF"/>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生产经营单位的主要负责人有前款违法行为，导致发生生产安全事故的，给予撤职处分；构成犯罪的，依照刑法有关规定追究刑事责任。</w:t>
            </w:r>
          </w:p>
          <w:p w14:paraId="0E9D019E">
            <w:pPr>
              <w:widowControl/>
              <w:shd w:val="clear" w:color="auto" w:fill="FFFFFF"/>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37B40B33">
            <w:pPr>
              <w:widowControl/>
              <w:ind w:firstLine="643" w:firstLineChars="200"/>
              <w:jc w:val="left"/>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《四川省生产经营单位安全生产责任规定》第四十二条</w:t>
            </w:r>
            <w:r>
              <w:rPr>
                <w:rStyle w:val="12"/>
                <w:rFonts w:hint="eastAsia" w:ascii="仿宋_GB2312" w:hAnsi="仿宋_GB2312" w:eastAsia="仿宋_GB2312" w:cs="仿宋_GB2312"/>
                <w:color w:val="auto"/>
                <w:sz w:val="32"/>
                <w:szCs w:val="32"/>
              </w:rPr>
              <w:t xml:space="preserve">  生产经营单位违反本规定第十五条第一款、第十七条，未按规定对从业人员进行安全生产教育培训的，根据《中华人民共和国安全生产法》第九十七条第三项的规定予以处罚。</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7D35DA">
            <w:pPr>
              <w:rPr>
                <w:rFonts w:hint="eastAsia" w:ascii="仿宋_GB2312" w:hAnsi="仿宋_GB2312" w:eastAsia="仿宋_GB2312" w:cs="仿宋_GB2312"/>
                <w:color w:val="auto"/>
                <w:sz w:val="32"/>
                <w:szCs w:val="32"/>
              </w:rPr>
            </w:pPr>
          </w:p>
        </w:tc>
      </w:tr>
      <w:tr w14:paraId="3FB09F3F">
        <w:tblPrEx>
          <w:tblCellMar>
            <w:top w:w="0" w:type="dxa"/>
            <w:left w:w="0" w:type="dxa"/>
            <w:bottom w:w="0" w:type="dxa"/>
            <w:right w:w="0" w:type="dxa"/>
          </w:tblCellMar>
        </w:tblPrEx>
        <w:trPr>
          <w:trHeight w:val="35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1440EDB4">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77E6C688">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26C568">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11.2尾矿库生产经营单位爆破、吊装以及国务院有关部门规定的其他危险作业安排专门人员进行现场安全管理的情况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35A50D">
            <w:pPr>
              <w:widowControl/>
              <w:ind w:firstLine="643" w:firstLineChars="200"/>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《中华人民共和国安全生产法》  第四十三条</w:t>
            </w:r>
            <w:r>
              <w:rPr>
                <w:rFonts w:hint="eastAsia" w:ascii="仿宋_GB2312" w:hAnsi="仿宋_GB2312" w:eastAsia="仿宋_GB2312" w:cs="仿宋_GB2312"/>
                <w:color w:val="auto"/>
                <w:kern w:val="0"/>
                <w:sz w:val="32"/>
                <w:szCs w:val="32"/>
              </w:rPr>
              <w:t>生产经营单位进行爆破、吊装、动火、临时用电以及国务院应急管理部门会同国务院有关部门规定的其他危险作业，应当安排专门人员进行现场安全管理，确保操作规程的遵守和安全措施的落实。</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A967E8">
            <w:pPr>
              <w:widowControl/>
              <w:numPr>
                <w:ilvl w:val="0"/>
                <w:numId w:val="52"/>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（2）危险作业管理制度；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（3）危险作业安全操作规程；</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（4）危险专项安全措施；</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（5）危险作业登记表及相关操作票；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（6）危险作业人员及安全管理部门履职情况和相关工作记录；                                                   （7）《现场检查记录》《责令限期整改指令书》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0057DB50">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53352C">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第一百零一条第三项</w:t>
            </w:r>
            <w:r>
              <w:rPr>
                <w:rStyle w:val="12"/>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Cs/>
                <w:snapToGrid w:val="0"/>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672B9A94">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bCs/>
                <w:snapToGrid w:val="0"/>
                <w:color w:val="auto"/>
                <w:kern w:val="0"/>
                <w:sz w:val="32"/>
                <w:szCs w:val="32"/>
              </w:rPr>
              <w:t>（三）进行爆破、吊装、动火、临时用电以及国务院应急管理部门会同国务院有关部门规定的其他危险作业，未安排专门人员进行现场安全管理的；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8F6A0E">
            <w:pPr>
              <w:rPr>
                <w:rFonts w:hint="eastAsia" w:ascii="仿宋_GB2312" w:hAnsi="仿宋_GB2312" w:eastAsia="仿宋_GB2312" w:cs="仿宋_GB2312"/>
                <w:color w:val="auto"/>
                <w:sz w:val="32"/>
                <w:szCs w:val="32"/>
              </w:rPr>
            </w:pPr>
          </w:p>
        </w:tc>
      </w:tr>
      <w:tr w14:paraId="741D72F7">
        <w:tblPrEx>
          <w:tblCellMar>
            <w:top w:w="0" w:type="dxa"/>
            <w:left w:w="0" w:type="dxa"/>
            <w:bottom w:w="0" w:type="dxa"/>
            <w:right w:w="0" w:type="dxa"/>
          </w:tblCellMar>
        </w:tblPrEx>
        <w:trPr>
          <w:trHeight w:val="1067"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9F8A565">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12</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46E37D">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安全生产会议检查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01A650">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尾矿库生产经营单位建立健全安全生产规章制度并按制度召开安全生产会议的情况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DD0637">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《四川省生产经营单位安全生产责任规定》                 第七条第（十三）项</w:t>
            </w:r>
            <w:r>
              <w:rPr>
                <w:rFonts w:hint="eastAsia" w:ascii="仿宋_GB2312" w:hAnsi="仿宋_GB2312" w:eastAsia="仿宋_GB2312" w:cs="仿宋_GB2312"/>
                <w:color w:val="auto"/>
                <w:kern w:val="0"/>
                <w:sz w:val="32"/>
                <w:szCs w:val="32"/>
              </w:rPr>
              <w:t xml:space="preserve">  生产经营单位应当建立健全下列安全生产规章制度：</w:t>
            </w:r>
          </w:p>
          <w:p w14:paraId="327BA1DE">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(十三)安全生产会议管理制度；</w:t>
            </w:r>
            <w:r>
              <w:rPr>
                <w:rFonts w:hint="eastAsia" w:ascii="仿宋_GB2312" w:hAnsi="仿宋_GB2312" w:eastAsia="仿宋_GB2312" w:cs="仿宋_GB2312"/>
                <w:color w:val="auto"/>
                <w:kern w:val="0"/>
                <w:sz w:val="32"/>
                <w:szCs w:val="32"/>
              </w:rPr>
              <w:br w:type="textWrapping"/>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02B04E">
            <w:pPr>
              <w:widowControl/>
              <w:numPr>
                <w:ilvl w:val="0"/>
                <w:numId w:val="53"/>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（2）安全生产会议管理制度；                                     （3）安全生产会议记录；                                                                （4）《现场检查记录》《责令限期整改指令书》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1FE730EA">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6F558A">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《四川省生产经营单位安全生产责任规定》第三十八条</w:t>
            </w:r>
            <w:r>
              <w:rPr>
                <w:rFonts w:hint="eastAsia" w:ascii="仿宋_GB2312" w:hAnsi="仿宋_GB2312" w:eastAsia="仿宋_GB2312" w:cs="仿宋_GB2312"/>
                <w:color w:val="auto"/>
                <w:kern w:val="0"/>
                <w:sz w:val="32"/>
                <w:szCs w:val="32"/>
              </w:rPr>
              <w:t xml:space="preserve">  生产经营单位违反本规定第七条、第八条，未建立健全和落实安全生产规章制度、分解落实安全生产责任目标的，由县级以上安全生产监督管理部门予以通报，责令限期改正，可以并处2000元以上2万元以下罚款。</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3096C8D">
            <w:pPr>
              <w:rPr>
                <w:rFonts w:hint="eastAsia" w:ascii="仿宋_GB2312" w:hAnsi="仿宋_GB2312" w:eastAsia="仿宋_GB2312" w:cs="仿宋_GB2312"/>
                <w:color w:val="auto"/>
                <w:sz w:val="32"/>
                <w:szCs w:val="32"/>
              </w:rPr>
            </w:pPr>
          </w:p>
        </w:tc>
      </w:tr>
      <w:tr w14:paraId="1185A415">
        <w:tblPrEx>
          <w:tblCellMar>
            <w:top w:w="0" w:type="dxa"/>
            <w:left w:w="0" w:type="dxa"/>
            <w:bottom w:w="0" w:type="dxa"/>
            <w:right w:w="0" w:type="dxa"/>
          </w:tblCellMar>
        </w:tblPrEx>
        <w:trPr>
          <w:trHeight w:val="90"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B72D71D">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13</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8004F8">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应急管理情况检查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BE3CA2">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13.1尾矿库生产经营单位编制应急预案前进行事故风险评估和应急资源调查的情况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BD4FB4">
            <w:pPr>
              <w:widowControl/>
              <w:ind w:firstLine="643"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《生产安全事故应急预案管理办法》                      第十条</w:t>
            </w:r>
            <w:r>
              <w:rPr>
                <w:rFonts w:hint="eastAsia" w:ascii="仿宋_GB2312" w:hAnsi="仿宋_GB2312" w:eastAsia="仿宋_GB2312" w:cs="仿宋_GB2312"/>
                <w:color w:val="auto"/>
                <w:kern w:val="0"/>
                <w:sz w:val="32"/>
                <w:szCs w:val="32"/>
              </w:rPr>
              <w:t xml:space="preserve">  编制应急预案前，编制单位应当进行事故风险辨识、评估和应急资源调查。</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事故风险辨识、评估，是指针对不同事故种类及特点，识别存在的危险危害因素，分析事故可能产生的直接后果以及次生、衍生后果，评估各种后果的危害程度和影响范围，提出防范和控制事故风险措施的过程。</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应急资源调查，是指全面调查本地区、本单位第一时间可以调用的应急资源状况和合作区域内可以请求援助的应急资源状况，并结合事故风险辨识评估结论制定应急措施的过程。</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878432">
            <w:pPr>
              <w:widowControl/>
              <w:numPr>
                <w:ilvl w:val="0"/>
                <w:numId w:val="54"/>
              </w:numPr>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相关证照；                             （2）风险评估和应急资源调查资料；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等相关执法文书；</w:t>
            </w:r>
          </w:p>
          <w:p w14:paraId="4A90F3D7">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D8281F">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《生产安全事故应急预案管理办法》第四十五条第（一）项</w:t>
            </w:r>
            <w:r>
              <w:rPr>
                <w:rFonts w:hint="eastAsia" w:ascii="仿宋_GB2312" w:hAnsi="仿宋_GB2312" w:eastAsia="仿宋_GB2312" w:cs="仿宋_GB2312"/>
                <w:color w:val="auto"/>
                <w:kern w:val="0"/>
                <w:sz w:val="32"/>
                <w:szCs w:val="32"/>
              </w:rPr>
              <w:t xml:space="preserve">  生产经营单位有下列情形之一的，由县级以上人民政府应急管理部门责令限期改正，可以处1万元以上3万元以下的罚款：</w:t>
            </w:r>
          </w:p>
          <w:p w14:paraId="76135802">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（一）在应急预案编制前未按照规定开展风险辨识、评估和应急资源调查的；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DB38F49">
            <w:pPr>
              <w:rPr>
                <w:rFonts w:hint="eastAsia" w:ascii="仿宋_GB2312" w:hAnsi="仿宋_GB2312" w:eastAsia="仿宋_GB2312" w:cs="仿宋_GB2312"/>
                <w:color w:val="auto"/>
                <w:sz w:val="32"/>
                <w:szCs w:val="32"/>
              </w:rPr>
            </w:pPr>
          </w:p>
        </w:tc>
      </w:tr>
      <w:tr w14:paraId="67F00F2C">
        <w:tblPrEx>
          <w:tblCellMar>
            <w:top w:w="0" w:type="dxa"/>
            <w:left w:w="0" w:type="dxa"/>
            <w:bottom w:w="0" w:type="dxa"/>
            <w:right w:w="0" w:type="dxa"/>
          </w:tblCellMar>
        </w:tblPrEx>
        <w:trPr>
          <w:trHeight w:val="42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61DF6DBB">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108FDD30">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3675B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13.2尾矿库生产经营单位制定本单位事故应急救援预案并定期组织演练的情况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859182">
            <w:pPr>
              <w:widowControl/>
              <w:shd w:val="clear" w:color="auto" w:fill="FFFFFF"/>
              <w:ind w:firstLine="643" w:firstLineChars="200"/>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《中华人民共和国安全生产法》  第八十一条</w:t>
            </w:r>
            <w:r>
              <w:rPr>
                <w:rStyle w:val="12"/>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0"/>
                <w:sz w:val="32"/>
                <w:szCs w:val="32"/>
              </w:rPr>
              <w:t>生产经营单位应当制定本单位生产安全事故应急救援预案，与所在地县级以上地方人民政府组织制定的生产安全事故应急救援预案相衔接，并定期组织演练。</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B46113">
            <w:pPr>
              <w:widowControl/>
              <w:numPr>
                <w:ilvl w:val="0"/>
                <w:numId w:val="55"/>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相关证照；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（2）综合及专项应急预案；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（3）应急救援预案备案、发布、培训、总结等资料；           </w:t>
            </w:r>
          </w:p>
          <w:p w14:paraId="5514DAC9">
            <w:pPr>
              <w:widowControl/>
              <w:numPr>
                <w:ilvl w:val="0"/>
                <w:numId w:val="56"/>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应急预案演练计划、方案、演练记录及总结；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0C426BBF">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BB5814">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第九十七条第六项</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7ED4400F">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（六）未按照规定制定生产安全事故应急救援预案或者未定期组织演练的；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8F8FFD8">
            <w:pPr>
              <w:rPr>
                <w:rFonts w:hint="eastAsia" w:ascii="仿宋_GB2312" w:hAnsi="仿宋_GB2312" w:eastAsia="仿宋_GB2312" w:cs="仿宋_GB2312"/>
                <w:color w:val="auto"/>
                <w:sz w:val="32"/>
                <w:szCs w:val="32"/>
              </w:rPr>
            </w:pPr>
          </w:p>
        </w:tc>
      </w:tr>
      <w:tr w14:paraId="3CF867AB">
        <w:tblPrEx>
          <w:tblCellMar>
            <w:top w:w="0" w:type="dxa"/>
            <w:left w:w="0" w:type="dxa"/>
            <w:bottom w:w="0" w:type="dxa"/>
            <w:right w:w="0" w:type="dxa"/>
          </w:tblCellMar>
        </w:tblPrEx>
        <w:trPr>
          <w:trHeight w:val="153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6CC3E99F">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16AF7C1C">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BFD337">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13.3尾矿库危险性较大行业及中等规模以上的其他生产经营单位进行应急预案评审，其他生产经营单位进行论证的情况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B9E653">
            <w:pPr>
              <w:widowControl/>
              <w:ind w:firstLine="643"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《生产安全事故应急预案管理办法》第二十一条</w:t>
            </w:r>
            <w:r>
              <w:rPr>
                <w:rFonts w:hint="eastAsia" w:ascii="仿宋_GB2312" w:hAnsi="仿宋_GB2312" w:eastAsia="仿宋_GB2312" w:cs="仿宋_GB2312"/>
                <w:color w:val="auto"/>
                <w:kern w:val="0"/>
                <w:sz w:val="32"/>
                <w:szCs w:val="32"/>
              </w:rPr>
              <w:t xml:space="preserve">   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    前款规定以外的其他生产经营单位可以根据自身需要，对本单位编制的应急预案进行论证。</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88C9F6">
            <w:pPr>
              <w:widowControl/>
              <w:numPr>
                <w:ilvl w:val="0"/>
                <w:numId w:val="57"/>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相关证照；                               （2）书面评审纪要或应急预案论证记录；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（3）应急预案备案文件或者备案表等资料；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5DCE8EB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1A7354">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《生产安全事故应急预案管理办法》第四十五条第一款第（二）项</w:t>
            </w:r>
            <w:r>
              <w:rPr>
                <w:rFonts w:hint="eastAsia" w:ascii="仿宋_GB2312" w:hAnsi="仿宋_GB2312" w:eastAsia="仿宋_GB2312" w:cs="仿宋_GB2312"/>
                <w:color w:val="auto"/>
                <w:kern w:val="0"/>
                <w:sz w:val="32"/>
                <w:szCs w:val="32"/>
              </w:rPr>
              <w:t xml:space="preserve">  生产经营单位有下列情形之一的，由县级以上人民政府应急管理部门责令限期改正，可以处1万元以上3万元以下的罚款：</w:t>
            </w:r>
          </w:p>
          <w:p w14:paraId="68C9AC0D">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（二）未按照规定开展应急预案评审的；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B41789">
            <w:pPr>
              <w:rPr>
                <w:rFonts w:hint="eastAsia" w:ascii="仿宋_GB2312" w:hAnsi="仿宋_GB2312" w:eastAsia="仿宋_GB2312" w:cs="仿宋_GB2312"/>
                <w:color w:val="auto"/>
                <w:sz w:val="32"/>
                <w:szCs w:val="32"/>
              </w:rPr>
            </w:pPr>
          </w:p>
        </w:tc>
      </w:tr>
      <w:tr w14:paraId="6ED0C726">
        <w:tblPrEx>
          <w:tblCellMar>
            <w:top w:w="0" w:type="dxa"/>
            <w:left w:w="0" w:type="dxa"/>
            <w:bottom w:w="0" w:type="dxa"/>
            <w:right w:w="0" w:type="dxa"/>
          </w:tblCellMar>
        </w:tblPrEx>
        <w:trPr>
          <w:trHeight w:val="9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28F600E4">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374F199A">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33AB4E">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13.4尾矿库生产经营单位按隶属关系、行业领域、规模等备案情况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1D7F05">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《生产安全事故应急条例》第七条</w:t>
            </w:r>
            <w:r>
              <w:rPr>
                <w:rFonts w:hint="eastAsia" w:ascii="仿宋_GB2312" w:hAnsi="仿宋_GB2312" w:eastAsia="仿宋_GB2312" w:cs="仿宋_GB2312"/>
                <w:color w:val="auto"/>
                <w:kern w:val="0"/>
                <w:sz w:val="32"/>
                <w:szCs w:val="32"/>
              </w:rPr>
              <w:t xml:space="preserve">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                                  </w:t>
            </w:r>
          </w:p>
          <w:p w14:paraId="703B5031">
            <w:pPr>
              <w:widowControl/>
              <w:ind w:firstLine="643"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《生产安全事故应急预案管理办法》                      第二十六条第一款</w:t>
            </w:r>
            <w:r>
              <w:rPr>
                <w:rFonts w:hint="eastAsia" w:ascii="仿宋_GB2312" w:hAnsi="仿宋_GB2312" w:eastAsia="仿宋_GB2312" w:cs="仿宋_GB2312"/>
                <w:color w:val="auto"/>
                <w:kern w:val="0"/>
                <w:sz w:val="32"/>
                <w:szCs w:val="32"/>
              </w:rPr>
              <w:t xml:space="preserve">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A88ADD">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（1）相关证照；</w:t>
            </w:r>
          </w:p>
          <w:p w14:paraId="5F7209AB">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（2）应急预案备案文件或者备案表等资料；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02453FE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D2EDCF">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《生产安全事故应急条例》第三十二条</w:t>
            </w:r>
            <w:r>
              <w:rPr>
                <w:rFonts w:hint="eastAsia" w:ascii="仿宋_GB2312" w:hAnsi="仿宋_GB2312" w:eastAsia="仿宋_GB2312" w:cs="仿宋_GB2312"/>
                <w:color w:val="auto"/>
                <w:kern w:val="0"/>
                <w:sz w:val="32"/>
                <w:szCs w:val="32"/>
              </w:rPr>
              <w:t xml:space="preserve">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14:paraId="0E7EAA75">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《生产安全事故应急预案管理办法》第四十五条第二款</w:t>
            </w:r>
            <w:r>
              <w:rPr>
                <w:rFonts w:hint="eastAsia" w:ascii="仿宋_GB2312" w:hAnsi="仿宋_GB2312" w:eastAsia="仿宋_GB2312" w:cs="仿宋_GB2312"/>
                <w:color w:val="auto"/>
                <w:kern w:val="0"/>
                <w:sz w:val="32"/>
                <w:szCs w:val="32"/>
              </w:rPr>
              <w:t xml:space="preserve">     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B066317">
            <w:pPr>
              <w:rPr>
                <w:rFonts w:hint="eastAsia" w:ascii="仿宋_GB2312" w:hAnsi="仿宋_GB2312" w:eastAsia="仿宋_GB2312" w:cs="仿宋_GB2312"/>
                <w:color w:val="auto"/>
                <w:sz w:val="32"/>
                <w:szCs w:val="32"/>
              </w:rPr>
            </w:pPr>
          </w:p>
        </w:tc>
      </w:tr>
      <w:tr w14:paraId="34FF14ED">
        <w:tblPrEx>
          <w:tblCellMar>
            <w:top w:w="0" w:type="dxa"/>
            <w:left w:w="0" w:type="dxa"/>
            <w:bottom w:w="0" w:type="dxa"/>
            <w:right w:w="0" w:type="dxa"/>
          </w:tblCellMar>
        </w:tblPrEx>
        <w:trPr>
          <w:trHeight w:val="29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2426DDFE">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7A06B33A">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0CFABF">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13.5尾矿库生产经营单位将有关事故风险的性质、影响范围和应急防范措施告知周边的其他单位和人员的情况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C6A3F6">
            <w:pPr>
              <w:widowControl/>
              <w:ind w:firstLine="643"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《生产安全事故应急预案管理办法》                              第二十四条第二款</w:t>
            </w:r>
            <w:r>
              <w:rPr>
                <w:rFonts w:hint="eastAsia" w:ascii="仿宋_GB2312" w:hAnsi="仿宋_GB2312" w:eastAsia="仿宋_GB2312" w:cs="仿宋_GB2312"/>
                <w:color w:val="auto"/>
                <w:kern w:val="0"/>
                <w:sz w:val="32"/>
                <w:szCs w:val="32"/>
              </w:rPr>
              <w:t xml:space="preserve">    事故风险可能影响周边其他单位、人员的，生产经营单位应当将有关事故风险的性质、影响范围和应急防范措施告知周边的其他单位和人员。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9AD150">
            <w:pPr>
              <w:widowControl/>
              <w:numPr>
                <w:ilvl w:val="0"/>
                <w:numId w:val="58"/>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相关证照；                           （2）事故风险的性质、影响范围、应急防范措施以及周边的其他单位和人员登记资料；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（3）风险告知卡或通知、公告等；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7CD77E04">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828DA4">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《生产安全事故应急预案管理办法》第四十五条第一款第（三）项</w:t>
            </w:r>
            <w:r>
              <w:rPr>
                <w:rFonts w:hint="eastAsia" w:ascii="仿宋_GB2312" w:hAnsi="仿宋_GB2312" w:eastAsia="仿宋_GB2312" w:cs="仿宋_GB2312"/>
                <w:color w:val="auto"/>
                <w:kern w:val="0"/>
                <w:sz w:val="32"/>
                <w:szCs w:val="32"/>
              </w:rPr>
              <w:t xml:space="preserve">   生产经营单位有下列情形之一的，由县级以上人民政府应急管理部门责令限期改正，可以处1万元以上3万元以下的罚款：</w:t>
            </w:r>
          </w:p>
          <w:p w14:paraId="5C32147A">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（三）事故风险可能影响周边单位、人员的，未将事故风险的性质、影响范围和应急防范措施告知周边单位和人员的；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F77F8D7">
            <w:pPr>
              <w:rPr>
                <w:rFonts w:hint="eastAsia" w:ascii="仿宋_GB2312" w:hAnsi="仿宋_GB2312" w:eastAsia="仿宋_GB2312" w:cs="仿宋_GB2312"/>
                <w:color w:val="auto"/>
                <w:sz w:val="32"/>
                <w:szCs w:val="32"/>
              </w:rPr>
            </w:pPr>
          </w:p>
        </w:tc>
      </w:tr>
      <w:tr w14:paraId="3369F350">
        <w:tblPrEx>
          <w:tblCellMar>
            <w:top w:w="0" w:type="dxa"/>
            <w:left w:w="0" w:type="dxa"/>
            <w:bottom w:w="0" w:type="dxa"/>
            <w:right w:w="0" w:type="dxa"/>
          </w:tblCellMar>
        </w:tblPrEx>
        <w:trPr>
          <w:trHeight w:val="91"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42D68915">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7E65ACE4">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5B8CF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13.6尾矿库生产经营单位建立应急预案定期评估制度，高危行业领域及中型规模以上生产经营单位每三年进行一次评估的情况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8C6301">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 第三十五条</w:t>
            </w:r>
            <w:r>
              <w:rPr>
                <w:rFonts w:hint="eastAsia" w:ascii="仿宋_GB2312" w:hAnsi="仿宋_GB2312" w:eastAsia="仿宋_GB2312" w:cs="仿宋_GB2312"/>
                <w:color w:val="auto"/>
                <w:kern w:val="0"/>
                <w:sz w:val="32"/>
                <w:szCs w:val="32"/>
              </w:rPr>
              <w:t xml:space="preserve">    应急预案编制单位应当建立应急预案定期评估制度，对预案内容的针对性和实用性进行分析，并对应急预案是否需要修订作出结论。</w:t>
            </w:r>
          </w:p>
          <w:p w14:paraId="1F2D1F16">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矿山、金属冶炼、建筑施工企业和易燃易爆物品、危险化学品等危险物品的生产、经营、储存企业、使用危险化学品达到国家规定数量的化工企业、烟花爆竹生产、批发经营企业和中型规模以上的其他生产经营单位，应当每三年进行一次应急预案评估。</w:t>
            </w:r>
          </w:p>
          <w:p w14:paraId="128CFA00">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应急预案评估可以邀请相关专业机构或者有关专家、有实际应急救援工作经验的人员参加，必要时可以委托安全生产技术服务机构实施。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E1FB5C">
            <w:pPr>
              <w:widowControl/>
              <w:numPr>
                <w:ilvl w:val="0"/>
                <w:numId w:val="59"/>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（2）应急预案定期评估制度；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（3）预案内容的针对性和实用性进行分析记录及修订结论；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（4）危险性较大和中型规模以上的其他生产经营单位每三年进行一次应急预案评估记录；                                 （5）《现场检查记录》《责令限期整改指令书》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69B0A45A">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D0A7D3">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《生产安全事故应急预案管理办法》第四十五条第一款第（四）项</w:t>
            </w:r>
            <w:r>
              <w:rPr>
                <w:rFonts w:hint="eastAsia" w:ascii="仿宋_GB2312" w:hAnsi="仿宋_GB2312" w:eastAsia="仿宋_GB2312" w:cs="仿宋_GB2312"/>
                <w:color w:val="auto"/>
                <w:kern w:val="0"/>
                <w:sz w:val="32"/>
                <w:szCs w:val="32"/>
              </w:rPr>
              <w:t xml:space="preserve">    生产经营单位有下列情形之一的，由县级以上人民政府应急管理部门责令限期改正，可以处1万元以上3万元以下的罚款：</w:t>
            </w:r>
          </w:p>
          <w:p w14:paraId="05D3F3F3">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（四）未按照规定开展应急预案评估的；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648F53">
            <w:pPr>
              <w:rPr>
                <w:rFonts w:hint="eastAsia" w:ascii="仿宋_GB2312" w:hAnsi="仿宋_GB2312" w:eastAsia="仿宋_GB2312" w:cs="仿宋_GB2312"/>
                <w:color w:val="auto"/>
                <w:sz w:val="32"/>
                <w:szCs w:val="32"/>
              </w:rPr>
            </w:pPr>
          </w:p>
        </w:tc>
      </w:tr>
      <w:tr w14:paraId="677E2531">
        <w:tblPrEx>
          <w:tblCellMar>
            <w:top w:w="0" w:type="dxa"/>
            <w:left w:w="0" w:type="dxa"/>
            <w:bottom w:w="0" w:type="dxa"/>
            <w:right w:w="0" w:type="dxa"/>
          </w:tblCellMar>
        </w:tblPrEx>
        <w:trPr>
          <w:trHeight w:val="33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4125F382">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4F2CC56E">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8C7344">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13.7尾矿库生产经营单位涉及组织指挥体系与职责、应急处置程序、主要处置措施、应急响应分级等内容变更按照报备程序重新备案的情况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76E620">
            <w:pPr>
              <w:widowControl/>
              <w:ind w:firstLine="643"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《生产安全事故应急预案管理办法》第三十七条</w:t>
            </w:r>
            <w:r>
              <w:rPr>
                <w:rFonts w:hint="eastAsia" w:ascii="仿宋_GB2312" w:hAnsi="仿宋_GB2312" w:eastAsia="仿宋_GB2312" w:cs="仿宋_GB2312"/>
                <w:color w:val="auto"/>
                <w:kern w:val="0"/>
                <w:sz w:val="32"/>
                <w:szCs w:val="32"/>
              </w:rPr>
              <w:t xml:space="preserve">    应急预案修订涉及组织指挥体系与职责、应急处置程序、主要处置措施、应急响应分级等内容变更的，修订工作应当参照本办法规定的应急预案编制程序进行，并按照有关应急预案报备程序重新备案。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911636">
            <w:pPr>
              <w:widowControl/>
              <w:numPr>
                <w:ilvl w:val="0"/>
                <w:numId w:val="60"/>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相关证照；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（2）组织指挥体系与职责、应急处置程序、主要处置措施、应急响应分级等内容变更的按照程序重新备案文件资料；                    </w:t>
            </w:r>
          </w:p>
          <w:p w14:paraId="3813ED38">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4CBE834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8BD259">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《生产安全事故应急预案管理办法》第四十五条第一款第（五）项</w:t>
            </w:r>
            <w:r>
              <w:rPr>
                <w:rFonts w:hint="eastAsia" w:ascii="仿宋_GB2312" w:hAnsi="仿宋_GB2312" w:eastAsia="仿宋_GB2312" w:cs="仿宋_GB2312"/>
                <w:color w:val="auto"/>
                <w:kern w:val="0"/>
                <w:sz w:val="32"/>
                <w:szCs w:val="32"/>
              </w:rPr>
              <w:t xml:space="preserve">   生产经营单位有下列情形之一的，由县级以上人民政府应急管理部门责令限期改正，可以处1万元以上3万元以下的罚款：</w:t>
            </w:r>
          </w:p>
          <w:p w14:paraId="4B2D396B">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（五）未按照规定进行应急预案修订的；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5BB3F8D">
            <w:pPr>
              <w:rPr>
                <w:rFonts w:hint="eastAsia" w:ascii="仿宋_GB2312" w:hAnsi="仿宋_GB2312" w:eastAsia="仿宋_GB2312" w:cs="仿宋_GB2312"/>
                <w:color w:val="auto"/>
                <w:sz w:val="32"/>
                <w:szCs w:val="32"/>
              </w:rPr>
            </w:pPr>
          </w:p>
        </w:tc>
      </w:tr>
      <w:tr w14:paraId="278D2948">
        <w:tblPrEx>
          <w:tblCellMar>
            <w:top w:w="0" w:type="dxa"/>
            <w:left w:w="0" w:type="dxa"/>
            <w:bottom w:w="0" w:type="dxa"/>
            <w:right w:w="0" w:type="dxa"/>
          </w:tblCellMar>
        </w:tblPrEx>
        <w:trPr>
          <w:trHeight w:val="1235"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0F17DCDA">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5C225667">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6EA0FB">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13.8尾矿库生产经营单位根据本单位可能发生的生产安全事故的特点和危害，配备的应急救援器材、设备和物资，并进行经常性维护、保养的情况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7B1484">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《中华人民共和国突发事件应对法》第二十四条第二款</w:t>
            </w:r>
            <w:r>
              <w:rPr>
                <w:rFonts w:hint="eastAsia" w:ascii="仿宋_GB2312" w:hAnsi="仿宋_GB2312" w:eastAsia="仿宋_GB2312" w:cs="仿宋_GB2312"/>
                <w:color w:val="auto"/>
                <w:kern w:val="0"/>
                <w:sz w:val="32"/>
                <w:szCs w:val="32"/>
              </w:rPr>
              <w:t xml:space="preserve">    有关单位应当定期检测、维护其报警装置和应急救援设备、设施，使其处于良好状态，确保正常使用。                                             </w:t>
            </w:r>
          </w:p>
          <w:p w14:paraId="2EC0FB5C">
            <w:pPr>
              <w:widowControl/>
              <w:ind w:firstLine="643"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《生产安全事故应急条例》第十三条第二款</w:t>
            </w:r>
            <w:r>
              <w:rPr>
                <w:rFonts w:hint="eastAsia" w:ascii="仿宋_GB2312" w:hAnsi="仿宋_GB2312" w:eastAsia="仿宋_GB2312" w:cs="仿宋_GB2312"/>
                <w:color w:val="auto"/>
                <w:kern w:val="0"/>
                <w:sz w:val="32"/>
                <w:szCs w:val="32"/>
              </w:rPr>
              <w:t xml:space="preserve">   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DC766D">
            <w:pPr>
              <w:widowControl/>
              <w:numPr>
                <w:ilvl w:val="0"/>
                <w:numId w:val="61"/>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相关证照；                          （2）应急救援器材、设备和物资清单及维护、保养记录；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（3）设备管理机构及维保人员责任落实资料；                     </w:t>
            </w:r>
          </w:p>
          <w:p w14:paraId="51C7E35E">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（4）主要负责人保证本单位应急物资投入履职资料；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432F6631">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 xml:space="preserve">其他相关证据。  </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6FD4D3">
            <w:pPr>
              <w:widowControl/>
              <w:spacing w:after="200"/>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《中华人民共和国突发事件应对法》第六十四条第一款第（三）项</w:t>
            </w:r>
            <w:r>
              <w:rPr>
                <w:rFonts w:hint="eastAsia" w:ascii="仿宋_GB2312" w:hAnsi="仿宋_GB2312" w:eastAsia="仿宋_GB2312" w:cs="仿宋_GB2312"/>
                <w:color w:val="auto"/>
                <w:kern w:val="0"/>
                <w:sz w:val="32"/>
                <w:szCs w:val="32"/>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p>
          <w:p w14:paraId="72BC01F6">
            <w:pPr>
              <w:widowControl/>
              <w:spacing w:after="200"/>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（三）未做好应急设备、设施日常维护、检测工作，导致发生严重突发事件或者突发事件危害扩大的；             </w:t>
            </w:r>
          </w:p>
          <w:p w14:paraId="490DF980">
            <w:pPr>
              <w:widowControl/>
              <w:spacing w:after="200"/>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《生产安全事故应急预案管理办法》第四十五条第一款第（六）项</w:t>
            </w:r>
            <w:r>
              <w:rPr>
                <w:rFonts w:hint="eastAsia" w:ascii="仿宋_GB2312" w:hAnsi="仿宋_GB2312" w:eastAsia="仿宋_GB2312" w:cs="仿宋_GB2312"/>
                <w:color w:val="auto"/>
                <w:kern w:val="0"/>
                <w:sz w:val="32"/>
                <w:szCs w:val="32"/>
              </w:rPr>
              <w:t xml:space="preserve">   生产经营单位有下列情形之一的，由县级以上人民政府应急管理部门责令限期改正，可以处1万元以上3万元以下罚款：</w:t>
            </w:r>
          </w:p>
          <w:p w14:paraId="24DE5046">
            <w:pPr>
              <w:widowControl/>
              <w:spacing w:after="200"/>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（六）未落实应急预案规定的应急物资及装备的。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1E0F7F">
            <w:pPr>
              <w:rPr>
                <w:rFonts w:hint="eastAsia" w:ascii="仿宋_GB2312" w:hAnsi="仿宋_GB2312" w:eastAsia="仿宋_GB2312" w:cs="仿宋_GB2312"/>
                <w:color w:val="auto"/>
                <w:sz w:val="32"/>
                <w:szCs w:val="32"/>
              </w:rPr>
            </w:pPr>
          </w:p>
        </w:tc>
      </w:tr>
      <w:tr w14:paraId="64491A55">
        <w:tblPrEx>
          <w:tblCellMar>
            <w:top w:w="0" w:type="dxa"/>
            <w:left w:w="0" w:type="dxa"/>
            <w:bottom w:w="0" w:type="dxa"/>
            <w:right w:w="0" w:type="dxa"/>
          </w:tblCellMar>
        </w:tblPrEx>
        <w:trPr>
          <w:trHeight w:val="9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035EC0B7">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49023BE5">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4442C0">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13.9尾矿库生产经营单位建立应急值班制度，配备应急值班人员及汛期防汛责任制、24小时监测监控和值班值守的情况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E867C5">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《生产安全事故应急条例》第十四条</w:t>
            </w:r>
            <w:r>
              <w:rPr>
                <w:rFonts w:hint="eastAsia" w:ascii="仿宋_GB2312" w:hAnsi="仿宋_GB2312" w:eastAsia="仿宋_GB2312" w:cs="仿宋_GB2312"/>
                <w:color w:val="auto"/>
                <w:kern w:val="0"/>
                <w:sz w:val="32"/>
                <w:szCs w:val="32"/>
              </w:rPr>
              <w:t xml:space="preserve">    下列单位应当建立应急值班制度，配备应急值班人员：</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（一）县级以上人民政府及其负有安全生产监督管理职责的部门；</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（二）危险物品的生产、经营、储存、运输单位以及矿山、金属冶炼、城市轨道交通运营、建筑施工单位；</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（三）应急救援队伍。</w:t>
            </w:r>
          </w:p>
          <w:p w14:paraId="344828C8">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规模较大、危险性较高的易燃易爆物品、危险化学品等危险物品的生产、经营、储存、运输单位应当成立应急处置技术组，实行24小时应急值班。                            </w:t>
            </w:r>
          </w:p>
          <w:p w14:paraId="73C0A94E">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《尾矿库安全监督管理规定》第二十一条</w:t>
            </w:r>
            <w:r>
              <w:rPr>
                <w:rFonts w:hint="eastAsia" w:ascii="仿宋_GB2312" w:hAnsi="仿宋_GB2312" w:eastAsia="仿宋_GB2312" w:cs="仿宋_GB2312"/>
                <w:color w:val="auto"/>
                <w:kern w:val="0"/>
                <w:sz w:val="32"/>
                <w:szCs w:val="32"/>
              </w:rPr>
              <w:t xml:space="preserve">    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                                    </w:t>
            </w:r>
          </w:p>
          <w:p w14:paraId="5CC91FD3">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应急预案应当按照规定报相应的安全生产监督管理部门备案，并每年至少进行一次演练。</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6DD91C">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（1）相关证照；</w:t>
            </w:r>
          </w:p>
          <w:p w14:paraId="6DD1D194">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（2）应急值班制度；        </w:t>
            </w:r>
          </w:p>
          <w:p w14:paraId="13FD480E">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（3）防汛责任制及24小时监测监控值班值守记录；</w:t>
            </w:r>
          </w:p>
          <w:p w14:paraId="7C8B4DA6">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（4）应急值班人员配备相关资料；                                                                    （5）主要负责人应急值守签审、发布记录；                      （6）应急救援器材、设备和物资清单；                         （7）应急救援器材、设备和物资维护、保养记录；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0FA688AA">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A278D5">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《生产安全事故应急条例》第三十二条</w:t>
            </w:r>
            <w:r>
              <w:rPr>
                <w:rFonts w:hint="eastAsia" w:ascii="仿宋_GB2312" w:hAnsi="仿宋_GB2312" w:eastAsia="仿宋_GB2312" w:cs="仿宋_GB2312"/>
                <w:color w:val="auto"/>
                <w:kern w:val="0"/>
                <w:sz w:val="32"/>
                <w:szCs w:val="32"/>
              </w:rPr>
              <w:t xml:space="preserve">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0B3778F">
            <w:pPr>
              <w:rPr>
                <w:rFonts w:hint="eastAsia" w:ascii="仿宋_GB2312" w:hAnsi="仿宋_GB2312" w:eastAsia="仿宋_GB2312" w:cs="仿宋_GB2312"/>
                <w:color w:val="auto"/>
                <w:sz w:val="32"/>
                <w:szCs w:val="32"/>
              </w:rPr>
            </w:pPr>
          </w:p>
        </w:tc>
      </w:tr>
      <w:tr w14:paraId="44775B8A">
        <w:tblPrEx>
          <w:tblCellMar>
            <w:top w:w="0" w:type="dxa"/>
            <w:left w:w="0" w:type="dxa"/>
            <w:bottom w:w="0" w:type="dxa"/>
            <w:right w:w="0" w:type="dxa"/>
          </w:tblCellMar>
        </w:tblPrEx>
        <w:trPr>
          <w:trHeight w:val="50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74E1AF02">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07B4ADBD">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202C8D">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13.10尾矿库生产经营单位按照国家有关规定对应急救援人员进行培训的情况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9B7C14">
            <w:pPr>
              <w:widowControl/>
              <w:ind w:firstLine="643" w:firstLineChars="200"/>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《生产安全事故应急条例》第十五条</w:t>
            </w:r>
            <w:r>
              <w:rPr>
                <w:rStyle w:val="12"/>
                <w:rFonts w:hint="eastAsia" w:ascii="仿宋_GB2312" w:hAnsi="仿宋_GB2312" w:eastAsia="仿宋_GB2312" w:cs="仿宋_GB2312"/>
                <w:color w:val="auto"/>
                <w:sz w:val="32"/>
                <w:szCs w:val="32"/>
              </w:rPr>
              <w:t xml:space="preserve">    生产经营单位应当对从业人员进行应急教育和培训，保证从业人员具备必要的应急知识，掌握风险防范技能和事故应急措施。</w:t>
            </w:r>
          </w:p>
          <w:p w14:paraId="10E0A053">
            <w:pPr>
              <w:widowControl/>
              <w:ind w:firstLine="643" w:firstLineChars="200"/>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《中华人民共和国安全生产法》  第二十八条第一款</w:t>
            </w:r>
            <w:r>
              <w:rPr>
                <w:rFonts w:hint="eastAsia" w:ascii="仿宋_GB2312" w:hAnsi="仿宋_GB2312" w:eastAsia="仿宋_GB2312" w:cs="仿宋_GB2312"/>
                <w:color w:val="auto"/>
                <w:kern w:val="0"/>
                <w:sz w:val="32"/>
                <w:szCs w:val="32"/>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102069">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（1）相关证照；                           （2）企业安全生产管理机构或有关教育培训机构组织应急教育和培训记录；                                     （3）培训人员、学时、内容、考核结果；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2A5F461D">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ABCE98">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第九十七条第三项</w:t>
            </w:r>
            <w:r>
              <w:rPr>
                <w:rStyle w:val="12"/>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C600E1E">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（三）未按照规定对从业人员、被派遣劳动者、实习学生进行安全生产教育和培训，或者未按照规定如实告知有关的安全生产事项的；</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F01B089">
            <w:pPr>
              <w:rPr>
                <w:rFonts w:hint="eastAsia" w:ascii="仿宋_GB2312" w:hAnsi="仿宋_GB2312" w:eastAsia="仿宋_GB2312" w:cs="仿宋_GB2312"/>
                <w:color w:val="auto"/>
                <w:sz w:val="32"/>
                <w:szCs w:val="32"/>
              </w:rPr>
            </w:pPr>
          </w:p>
        </w:tc>
      </w:tr>
      <w:tr w14:paraId="00C8C94D">
        <w:tblPrEx>
          <w:tblCellMar>
            <w:top w:w="0" w:type="dxa"/>
            <w:left w:w="0" w:type="dxa"/>
            <w:bottom w:w="0" w:type="dxa"/>
            <w:right w:w="0" w:type="dxa"/>
          </w:tblCellMar>
        </w:tblPrEx>
        <w:trPr>
          <w:trHeight w:val="198"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CF951A">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14</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DC6875">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安全生产事故报告处理检查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95E149">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尾矿库生产经营单位及时、如实报告生产安全事故的情况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FE5454">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第二十一条第七项</w:t>
            </w:r>
            <w:r>
              <w:rPr>
                <w:rStyle w:val="12"/>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0"/>
                <w:sz w:val="32"/>
                <w:szCs w:val="32"/>
              </w:rPr>
              <w:t>生产经营单位的主要负责人对本单位安全生产工作负有下列职责：</w:t>
            </w:r>
          </w:p>
          <w:p w14:paraId="2F62B787">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（七）及时、如实报告生产安全事故。</w:t>
            </w:r>
          </w:p>
          <w:p w14:paraId="09618E1E">
            <w:pPr>
              <w:widowControl/>
              <w:ind w:firstLine="640" w:firstLineChars="200"/>
              <w:textAlignment w:val="center"/>
              <w:rPr>
                <w:rFonts w:hint="eastAsia" w:ascii="仿宋_GB2312" w:hAnsi="仿宋_GB2312" w:eastAsia="仿宋_GB2312" w:cs="仿宋_GB2312"/>
                <w:color w:val="auto"/>
                <w:sz w:val="32"/>
                <w:szCs w:val="32"/>
              </w:rPr>
            </w:pP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949904">
            <w:pPr>
              <w:widowControl/>
              <w:numPr>
                <w:ilvl w:val="0"/>
                <w:numId w:val="62"/>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（2）生产安全事故统计报表；                            （3）生产安全事故上报资料；                                                                 （4）事故调查报告；                                   （5）主要负责人汇报事故相关记录；                      （6）《现场检查记录》《责令限期整改指令书》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60632FC2">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838A5E">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《中华人民共和国安全生产法》  第一百一十条</w:t>
            </w:r>
            <w:r>
              <w:rPr>
                <w:rFonts w:hint="eastAsia" w:ascii="仿宋_GB2312" w:hAnsi="仿宋_GB2312" w:eastAsia="仿宋_GB2312" w:cs="仿宋_GB2312"/>
                <w:color w:val="auto"/>
                <w:kern w:val="0"/>
                <w:sz w:val="32"/>
                <w:szCs w:val="32"/>
              </w:rPr>
              <w:t>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14:paraId="5F3F5696">
            <w:pPr>
              <w:widowControl/>
              <w:shd w:val="clear" w:color="auto" w:fill="FFFFFF"/>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生产经营单位的主要负责人对生产安全事故隐瞒不报、谎报或者迟报的，依照前款规定处罚。</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58B0EC9">
            <w:pPr>
              <w:rPr>
                <w:rFonts w:hint="eastAsia" w:ascii="仿宋_GB2312" w:hAnsi="仿宋_GB2312" w:eastAsia="仿宋_GB2312" w:cs="仿宋_GB2312"/>
                <w:color w:val="auto"/>
                <w:sz w:val="32"/>
                <w:szCs w:val="32"/>
              </w:rPr>
            </w:pPr>
          </w:p>
        </w:tc>
      </w:tr>
      <w:tr w14:paraId="786664A1">
        <w:tblPrEx>
          <w:tblCellMar>
            <w:top w:w="0" w:type="dxa"/>
            <w:left w:w="0" w:type="dxa"/>
            <w:bottom w:w="0" w:type="dxa"/>
            <w:right w:w="0" w:type="dxa"/>
          </w:tblCellMar>
        </w:tblPrEx>
        <w:trPr>
          <w:trHeight w:val="264"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9309CB">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15</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A6AC28">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稳定性专项评价检查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4CC374">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尾矿库生产经营单位开展安全现状评价及稳定性专项评价的情况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25D151">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《尾矿库安全监督管理规定》第十九条</w:t>
            </w:r>
            <w:r>
              <w:rPr>
                <w:rFonts w:hint="eastAsia" w:ascii="仿宋_GB2312" w:hAnsi="仿宋_GB2312" w:eastAsia="仿宋_GB2312" w:cs="仿宋_GB2312"/>
                <w:color w:val="auto"/>
                <w:kern w:val="0"/>
                <w:sz w:val="32"/>
                <w:szCs w:val="32"/>
              </w:rPr>
              <w:t xml:space="preserve">    尾矿库应当每三年至少进行一次安全现状评价。安全现状评价应当符合国家标准或者行业标准的要求。</w:t>
            </w:r>
          </w:p>
          <w:p w14:paraId="7CE5E9DE">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尾矿库安全现状评价工作应当有能够进行尾矿坝稳定性验算、尾矿库水文计算、构筑物计算的专业技术人员参加。</w:t>
            </w:r>
          </w:p>
          <w:p w14:paraId="6277686C">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上游式尾矿坝堆积至二分之一至三分之二最终设计坝高时，应当对坝体进行一次全面勘察，并进行稳定性专项评价。                          </w:t>
            </w:r>
          </w:p>
          <w:p w14:paraId="36285BEA">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《金属非金属矿山重大生产安全事故隐患判定标准（试行）》第三条尾矿库重大生产安全事故隐患</w:t>
            </w:r>
          </w:p>
          <w:p w14:paraId="02A6CFED">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（六）未按法规、国家标准或行业标准对坝体稳定性进行评估。</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25B552">
            <w:pPr>
              <w:widowControl/>
              <w:numPr>
                <w:ilvl w:val="0"/>
                <w:numId w:val="63"/>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相关证照；                                        （2）设计尾矿坝最终坝高数据及现堆积坝坝高数据；                  </w:t>
            </w:r>
          </w:p>
          <w:p w14:paraId="0913DB16">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（3）安全现状评价报告；                                                 （4）《现场检查记录》《责令限期整改指令书》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0AB559CC">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1A147B">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《尾矿库安全监督管理规定》第三十九条第一款</w:t>
            </w:r>
            <w:r>
              <w:rPr>
                <w:rFonts w:hint="eastAsia" w:ascii="仿宋_GB2312" w:hAnsi="仿宋_GB2312" w:eastAsia="仿宋_GB2312" w:cs="仿宋_GB2312"/>
                <w:color w:val="auto"/>
                <w:kern w:val="0"/>
                <w:sz w:val="32"/>
                <w:szCs w:val="32"/>
              </w:rPr>
              <w:t xml:space="preserve">    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14:paraId="78603EAF">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《安全生产事故隐患排查治理暂行规定》第二十六条第（四）项</w:t>
            </w:r>
            <w:r>
              <w:rPr>
                <w:rFonts w:hint="eastAsia" w:ascii="仿宋_GB2312" w:hAnsi="仿宋_GB2312" w:eastAsia="仿宋_GB2312" w:cs="仿宋_GB2312"/>
                <w:color w:val="auto"/>
                <w:kern w:val="0"/>
                <w:sz w:val="32"/>
                <w:szCs w:val="32"/>
              </w:rPr>
              <w:t xml:space="preserve">  生产经营单位违反本规定，有下列行为之一的，由安全监管监察部门给予警告，并处三万元以下的罚款：</w:t>
            </w:r>
          </w:p>
          <w:p w14:paraId="415D65FE">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（四）重大事故隐患不报或者未及时报告的；</w:t>
            </w:r>
          </w:p>
          <w:p w14:paraId="0387BFE5">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4A5A16B">
            <w:pPr>
              <w:pStyle w:val="2"/>
              <w:ind w:firstLine="3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13649D">
            <w:pPr>
              <w:rPr>
                <w:rFonts w:hint="eastAsia" w:ascii="仿宋_GB2312" w:hAnsi="仿宋_GB2312" w:eastAsia="仿宋_GB2312" w:cs="仿宋_GB2312"/>
                <w:color w:val="auto"/>
                <w:sz w:val="32"/>
                <w:szCs w:val="32"/>
              </w:rPr>
            </w:pPr>
          </w:p>
        </w:tc>
      </w:tr>
      <w:tr w14:paraId="05F1FA97">
        <w:tblPrEx>
          <w:tblCellMar>
            <w:top w:w="0" w:type="dxa"/>
            <w:left w:w="0" w:type="dxa"/>
            <w:bottom w:w="0" w:type="dxa"/>
            <w:right w:w="0" w:type="dxa"/>
          </w:tblCellMar>
        </w:tblPrEx>
        <w:trPr>
          <w:trHeight w:val="615"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FC3972C">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16</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114F9C">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年度、季度排尾作业检查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D228A5">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尾矿库生产经营单位年度、季度作业计划的编制及落实情况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90A99A">
            <w:pPr>
              <w:widowControl/>
              <w:ind w:firstLine="643"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《尾矿库安全监督管理规定》第二十二条</w:t>
            </w:r>
            <w:r>
              <w:rPr>
                <w:rFonts w:hint="eastAsia" w:ascii="仿宋_GB2312" w:hAnsi="仿宋_GB2312" w:eastAsia="仿宋_GB2312" w:cs="仿宋_GB2312"/>
                <w:color w:val="auto"/>
                <w:kern w:val="0"/>
                <w:sz w:val="32"/>
                <w:szCs w:val="32"/>
              </w:rPr>
              <w:t xml:space="preserve">    生产经营单位应当编制尾矿库年度、季度作业计划，严格按照作业计划生产运行，做好记录并长期保存。</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8A6D44">
            <w:pPr>
              <w:widowControl/>
              <w:numPr>
                <w:ilvl w:val="0"/>
                <w:numId w:val="64"/>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                                          （2）编制的年度、季度作业计划；                       （3）主要负责人签审、发布记录；                      （4）尾矿库生产运行记录；                                                 （5）《现场检查记录》、《责令限期整改指令书》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3B1AD7FC">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 xml:space="preserve">其他相关证据。 </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154261">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《尾矿库安全监督管理规定》第三十九条第一款</w:t>
            </w:r>
            <w:r>
              <w:rPr>
                <w:rFonts w:hint="eastAsia" w:ascii="仿宋_GB2312" w:hAnsi="仿宋_GB2312" w:eastAsia="仿宋_GB2312" w:cs="仿宋_GB2312"/>
                <w:color w:val="auto"/>
                <w:kern w:val="0"/>
                <w:sz w:val="32"/>
                <w:szCs w:val="32"/>
              </w:rPr>
              <w:t xml:space="preserve">  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AB6A542">
            <w:pPr>
              <w:rPr>
                <w:rFonts w:hint="eastAsia" w:ascii="仿宋_GB2312" w:hAnsi="仿宋_GB2312" w:eastAsia="仿宋_GB2312" w:cs="仿宋_GB2312"/>
                <w:color w:val="auto"/>
                <w:sz w:val="32"/>
                <w:szCs w:val="32"/>
              </w:rPr>
            </w:pPr>
          </w:p>
        </w:tc>
      </w:tr>
      <w:tr w14:paraId="409D8758">
        <w:tblPrEx>
          <w:tblCellMar>
            <w:top w:w="0" w:type="dxa"/>
            <w:left w:w="0" w:type="dxa"/>
            <w:bottom w:w="0" w:type="dxa"/>
            <w:right w:w="0" w:type="dxa"/>
          </w:tblCellMar>
        </w:tblPrEx>
        <w:trPr>
          <w:trHeight w:val="1237"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7DD4B3">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17</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38E4B2">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尾矿库库区周边检查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ED26A4">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尾矿库库区环境的情况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AA5BC3">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66CFD86">
            <w:pPr>
              <w:widowControl/>
              <w:ind w:firstLine="643" w:firstLineChars="200"/>
              <w:textAlignment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《尾矿库安全监督管理规定》第二十六条</w:t>
            </w:r>
          </w:p>
          <w:p w14:paraId="3D1107A2">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未经生产经营单位进行技术论证并同意，以及尾矿库建设项目安全设施设计原审批部门批准，任何单位和个人不得在库区从事爆破、采砂、地下采矿等危害尾矿库安全的作业。                                             </w:t>
            </w:r>
          </w:p>
          <w:p w14:paraId="514D408B">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《尾矿库安全技术规程》（征求意见稿）6.7库区及周边条件规定</w:t>
            </w:r>
          </w:p>
          <w:p w14:paraId="4B42C736">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6.7.1尾矿库下游不宜建设居住、生产等设施。</w:t>
            </w:r>
          </w:p>
          <w:p w14:paraId="1C2606A1">
            <w:pPr>
              <w:widowControl/>
              <w:ind w:firstLine="640" w:firstLineChars="200"/>
              <w:textAlignment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6.7.2 严禁在库区和尾矿坝上进行乱采、滥挖、爆破等非法作业。</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bCs/>
                <w:color w:val="auto"/>
                <w:kern w:val="0"/>
                <w:sz w:val="32"/>
                <w:szCs w:val="32"/>
              </w:rPr>
              <w:t>《金属非金属矿山重大生产安全事故隐患判定标准（试行）》第三条  尾矿库重大生产安全事故隐患</w:t>
            </w:r>
          </w:p>
          <w:p w14:paraId="478200CC">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 xml:space="preserve"> （一）库区和尾矿坝上存在未按批准的设计方案进行开采、挖掘、爆破等活动。 </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79EEAD">
            <w:pPr>
              <w:widowControl/>
              <w:numPr>
                <w:ilvl w:val="0"/>
                <w:numId w:val="65"/>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（2）尾矿库设计资料；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（3）尾矿库安全设施设计资料；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（4）尾矿库安全预评价及现状评价报告；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（5）尾矿库专家技术论证资料；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（6）尾矿库危险因素辨识表；       </w:t>
            </w:r>
          </w:p>
          <w:p w14:paraId="5F77DB8D">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（7）尾矿库较大危险因素场所和有关设施设备登记表；               </w:t>
            </w:r>
          </w:p>
          <w:p w14:paraId="56877C06">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（8）尾矿库安全警示标志设置登记表；                      （9）尾矿库安全隐患排查治理记录；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（10）现场照片或影像资料；   </w:t>
            </w:r>
          </w:p>
          <w:p w14:paraId="5F3BCF9B">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5466B5DC">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（12）其他相关证据。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350C19">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B21C332">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《尾矿库安全监督管理规定》第三十九条第一款</w:t>
            </w:r>
            <w:r>
              <w:rPr>
                <w:rFonts w:hint="eastAsia" w:ascii="仿宋_GB2312" w:hAnsi="仿宋_GB2312" w:eastAsia="仿宋_GB2312" w:cs="仿宋_GB2312"/>
                <w:color w:val="auto"/>
                <w:kern w:val="0"/>
                <w:sz w:val="32"/>
                <w:szCs w:val="32"/>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14:paraId="2D842BC6">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621DA9F9">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（一）违反操作规程或者安全管理规定作业的；          </w:t>
            </w:r>
          </w:p>
          <w:p w14:paraId="56695A3C">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              第二十六条第（四）项</w:t>
            </w:r>
            <w:r>
              <w:rPr>
                <w:rFonts w:hint="eastAsia" w:ascii="仿宋_GB2312" w:hAnsi="仿宋_GB2312" w:eastAsia="仿宋_GB2312" w:cs="仿宋_GB2312"/>
                <w:color w:val="auto"/>
                <w:kern w:val="0"/>
                <w:sz w:val="32"/>
                <w:szCs w:val="32"/>
              </w:rPr>
              <w:t xml:space="preserve">   生产经营单位违反本规定，有下列行为之一的，由安全监管监察部门给予警告，并处三万元以下的罚款：</w:t>
            </w:r>
          </w:p>
          <w:p w14:paraId="7A5E66C7">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（四）重大事故隐患不报或者未及时报告的；</w:t>
            </w:r>
          </w:p>
          <w:p w14:paraId="3CC82BE2">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759D3EE">
            <w:pPr>
              <w:pStyle w:val="2"/>
              <w:ind w:firstLine="3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511728">
            <w:pPr>
              <w:jc w:val="center"/>
              <w:rPr>
                <w:rFonts w:hint="eastAsia" w:ascii="仿宋_GB2312" w:hAnsi="仿宋_GB2312" w:eastAsia="仿宋_GB2312" w:cs="仿宋_GB2312"/>
                <w:b/>
                <w:color w:val="auto"/>
                <w:sz w:val="32"/>
                <w:szCs w:val="32"/>
              </w:rPr>
            </w:pPr>
          </w:p>
        </w:tc>
      </w:tr>
      <w:tr w14:paraId="0B5B10DB">
        <w:tblPrEx>
          <w:tblCellMar>
            <w:top w:w="0" w:type="dxa"/>
            <w:left w:w="0" w:type="dxa"/>
            <w:bottom w:w="0" w:type="dxa"/>
            <w:right w:w="0" w:type="dxa"/>
          </w:tblCellMar>
        </w:tblPrEx>
        <w:trPr>
          <w:trHeight w:val="90" w:hRule="atLeast"/>
          <w:jc w:val="center"/>
        </w:trPr>
        <w:tc>
          <w:tcPr>
            <w:tcW w:w="62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D0F995">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18</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CA9EE3">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尾矿库日常安全检查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C6C87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18.1尾矿库初期坝上下游坡比、堆积坡比情况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AE838F">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《尾矿库安全监督管理规定》第十八条第（四）项  </w:t>
            </w:r>
            <w:r>
              <w:rPr>
                <w:rFonts w:hint="eastAsia" w:ascii="仿宋_GB2312" w:hAnsi="仿宋_GB2312" w:eastAsia="仿宋_GB2312" w:cs="仿宋_GB2312"/>
                <w:color w:val="auto"/>
                <w:kern w:val="0"/>
                <w:sz w:val="32"/>
                <w:szCs w:val="32"/>
              </w:rPr>
              <w:t>对生产运行的尾矿库，未经技术论证和安全生产监督管理部门的批准，任何单位和个人不得对下列事项进行变更：</w:t>
            </w:r>
          </w:p>
          <w:p w14:paraId="00A9145E">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(四)坝型、坝外坡坡比、最终堆积标高和最终坝轴线的位置；</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bCs/>
                <w:color w:val="auto"/>
                <w:kern w:val="0"/>
                <w:sz w:val="32"/>
                <w:szCs w:val="32"/>
              </w:rPr>
              <w:t xml:space="preserve">  《尾矿库安全技术规程》（征求意见稿）5.3.14</w:t>
            </w:r>
            <w:r>
              <w:rPr>
                <w:rFonts w:hint="eastAsia" w:ascii="仿宋_GB2312" w:hAnsi="仿宋_GB2312" w:eastAsia="仿宋_GB2312" w:cs="仿宋_GB2312"/>
                <w:color w:val="auto"/>
                <w:kern w:val="0"/>
                <w:sz w:val="32"/>
                <w:szCs w:val="32"/>
              </w:rPr>
              <w:t xml:space="preserve">  上游式尾矿堆积坝的初期透水堆石坝坝高与总坝高之比值宜采用1/4～1/8。8度地震区的尾矿坝，该比值应适当提高。</w:t>
            </w:r>
          </w:p>
          <w:p w14:paraId="45AAB974">
            <w:pPr>
              <w:widowControl/>
              <w:ind w:firstLine="321" w:firstLineChars="1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《尾矿库安全技术规程》（征求意见稿）5.3.22  </w:t>
            </w:r>
            <w:r>
              <w:rPr>
                <w:rFonts w:hint="eastAsia" w:ascii="仿宋_GB2312" w:hAnsi="仿宋_GB2312" w:eastAsia="仿宋_GB2312" w:cs="仿宋_GB2312"/>
                <w:color w:val="auto"/>
                <w:kern w:val="0"/>
                <w:sz w:val="32"/>
                <w:szCs w:val="32"/>
              </w:rPr>
              <w:t>透水堆石坝堆石体上游坡坡比不宜陡于1：1.6；土坝上游坡坡比可略陡于或等于下游坡。初期坝下游坡比在初定时可按表8确定。</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bCs/>
                <w:color w:val="auto"/>
                <w:kern w:val="0"/>
                <w:sz w:val="32"/>
                <w:szCs w:val="32"/>
              </w:rPr>
              <w:t xml:space="preserve">  《尾矿库安全技术规程》（征求意见稿）6.3.2  </w:t>
            </w:r>
            <w:r>
              <w:rPr>
                <w:rFonts w:hint="eastAsia" w:ascii="仿宋_GB2312" w:hAnsi="仿宋_GB2312" w:eastAsia="仿宋_GB2312" w:cs="仿宋_GB2312"/>
                <w:color w:val="auto"/>
                <w:kern w:val="0"/>
                <w:sz w:val="32"/>
                <w:szCs w:val="32"/>
              </w:rPr>
              <w:t xml:space="preserve">尾矿坝滩顶高程必须满足生产、防汛、冬季冰下放矿和回水要求。尾矿坝堆积坡比不得陡于设计规定。               </w:t>
            </w:r>
          </w:p>
          <w:p w14:paraId="3FD1CAE2">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《金属非金属矿山重大生产安全事故隐患判定标准（试行）》第三条尾矿库重大生产安全事故隐患                 </w:t>
            </w:r>
          </w:p>
          <w:p w14:paraId="143AF6F6">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（三）坝外坡坡比陡于设计坡比。</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07DE08">
            <w:pPr>
              <w:widowControl/>
              <w:numPr>
                <w:ilvl w:val="0"/>
                <w:numId w:val="66"/>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（2）尾矿库安全设施设计（收集尾矿坝的相关内容）；</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（3）尾矿库安全预评价及现状评价报告；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（4）尾矿库安全隐患排查治理记录；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（5）现场照片或影像资料；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632CE895">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97EC65">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《尾矿库安全监督管理规定》第四十条</w:t>
            </w:r>
            <w:r>
              <w:rPr>
                <w:rFonts w:hint="eastAsia" w:ascii="仿宋_GB2312" w:hAnsi="仿宋_GB2312" w:eastAsia="仿宋_GB2312" w:cs="仿宋_GB2312"/>
                <w:color w:val="auto"/>
                <w:kern w:val="0"/>
                <w:sz w:val="32"/>
                <w:szCs w:val="32"/>
              </w:rPr>
              <w:t xml:space="preserve">  生产经营单位或者尾矿库管理单位违反本规定第十八条规定的，给予警告，并处3万元的罚款；情节严重的，依法责令停产整顿或者提请县级以上地方人民政府按照规定权限予以关闭。</w:t>
            </w:r>
          </w:p>
          <w:p w14:paraId="5457AA1B">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189373E8">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（一）违反操作规程或者安全管理规定作业的；          </w:t>
            </w:r>
          </w:p>
          <w:p w14:paraId="4A958805">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《安全生产事故隐患排查治理暂行规定》第二十六条第（四）项</w:t>
            </w:r>
            <w:r>
              <w:rPr>
                <w:rFonts w:hint="eastAsia" w:ascii="仿宋_GB2312" w:hAnsi="仿宋_GB2312" w:eastAsia="仿宋_GB2312" w:cs="仿宋_GB2312"/>
                <w:color w:val="auto"/>
                <w:kern w:val="0"/>
                <w:sz w:val="32"/>
                <w:szCs w:val="32"/>
              </w:rPr>
              <w:t xml:space="preserve">  生产经营单位违反本规定，有下列行为之一的，由安全监管监察部门给予警告，并处三万元以下的罚款：</w:t>
            </w:r>
          </w:p>
          <w:p w14:paraId="7EC2A60D">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（四）重大事故隐患不报或者未及时报告的；</w:t>
            </w:r>
          </w:p>
          <w:p w14:paraId="2F95BF28">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73B50B2C">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B0063FF">
            <w:pPr>
              <w:rPr>
                <w:rFonts w:hint="eastAsia" w:ascii="仿宋_GB2312" w:hAnsi="仿宋_GB2312" w:eastAsia="仿宋_GB2312" w:cs="仿宋_GB2312"/>
                <w:color w:val="auto"/>
                <w:sz w:val="32"/>
                <w:szCs w:val="32"/>
              </w:rPr>
            </w:pPr>
          </w:p>
        </w:tc>
      </w:tr>
      <w:tr w14:paraId="2F9FFC08">
        <w:tblPrEx>
          <w:tblCellMar>
            <w:top w:w="0" w:type="dxa"/>
            <w:left w:w="0" w:type="dxa"/>
            <w:bottom w:w="0" w:type="dxa"/>
            <w:right w:w="0" w:type="dxa"/>
          </w:tblCellMar>
        </w:tblPrEx>
        <w:trPr>
          <w:trHeight w:val="266"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207B7F2F">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0857EA89">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B34612">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18.2坝面维护</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F8D68D">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4BE77152">
            <w:pPr>
              <w:widowControl/>
              <w:ind w:firstLine="640" w:firstLineChars="200"/>
              <w:textAlignment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《尾矿库安全技术规程》(AQ 2006-2005）</w:t>
            </w:r>
          </w:p>
          <w:p w14:paraId="7C5CFB71">
            <w:pPr>
              <w:widowControl/>
              <w:ind w:firstLine="640" w:firstLineChars="200"/>
              <w:textAlignment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 xml:space="preserve">6.3.10  尾矿坝下游坡面上不得有积水坑。 </w:t>
            </w:r>
          </w:p>
          <w:p w14:paraId="0B90D7F8">
            <w:pPr>
              <w:widowControl/>
              <w:ind w:firstLine="640" w:firstLineChars="200"/>
              <w:textAlignment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 xml:space="preserve">6.3.13  坝体出现冲沟、裂缝、塌坑和滑坡等现象时，应及时妥善处理。 </w:t>
            </w:r>
          </w:p>
          <w:p w14:paraId="4D89409A">
            <w:pPr>
              <w:widowControl/>
              <w:ind w:firstLine="640" w:firstLineChars="200"/>
              <w:textAlignment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6.5.4  当坝面或坝肩出现集中渗流、流土、管涌、大面积沼泽化、渗水量增大或渗水变浑等异常现象时，可采取下列措施处理：a)在渗漏水部位铺设土工布或天然反滤料，其上再以堆石料压坡； b)增设排渗设施，降低浸润线。</w:t>
            </w:r>
          </w:p>
          <w:p w14:paraId="30BF41BA">
            <w:pPr>
              <w:widowControl/>
              <w:ind w:firstLine="640" w:firstLineChars="200"/>
              <w:textAlignment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8.2……</w:t>
            </w:r>
          </w:p>
          <w:p w14:paraId="0778B983">
            <w:pPr>
              <w:widowControl/>
              <w:ind w:firstLine="640" w:firstLineChars="200"/>
              <w:textAlignment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尾矿库有下列工况之一的为危库：……</w:t>
            </w:r>
          </w:p>
          <w:p w14:paraId="2755FC00">
            <w:pPr>
              <w:widowControl/>
              <w:ind w:firstLine="640" w:firstLineChars="200"/>
              <w:textAlignment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d)坝体出现贯穿性横向裂缝，且出现较大范围管涌、流土变形，坝体出现深层滑动迹象；</w:t>
            </w:r>
          </w:p>
          <w:p w14:paraId="54CC8C32">
            <w:pPr>
              <w:widowControl/>
              <w:ind w:firstLine="640" w:firstLineChars="200"/>
              <w:textAlignment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w:t>
            </w:r>
          </w:p>
          <w:p w14:paraId="5994B4D9">
            <w:pPr>
              <w:widowControl/>
              <w:ind w:firstLine="643" w:firstLineChars="200"/>
              <w:textAlignment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《国家安全监管总局关于印发〈金属非金属矿山重大生产安全事故隐患判定标准（试行）〉的通知》(安监总管一〔2017〕98号)</w:t>
            </w:r>
          </w:p>
          <w:p w14:paraId="7E1F9D1D">
            <w:pPr>
              <w:widowControl/>
              <w:ind w:firstLine="640" w:firstLineChars="200"/>
              <w:textAlignment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三、尾矿库重大生产安全事故隐患</w:t>
            </w:r>
          </w:p>
          <w:p w14:paraId="669A1D90">
            <w:pPr>
              <w:widowControl/>
              <w:ind w:firstLine="640" w:firstLineChars="200"/>
              <w:textAlignment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（二）坝体出现贯穿性横向裂缝，且出现较大范围管涌、流土变形，坝体出现深层滑动迹象。</w:t>
            </w:r>
          </w:p>
          <w:p w14:paraId="319E23F7">
            <w:pPr>
              <w:widowControl/>
              <w:ind w:firstLine="640" w:firstLineChars="200"/>
              <w:textAlignment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《尾矿库安全监督管理规定》第二十四条尾矿库出现下列重大险情之一的，生产经营单位应当按照安全监管权限和职责立即报告当地县级安全生产监督管理部门和人民政府，并启动应急预案，进行抢险：</w:t>
            </w:r>
          </w:p>
          <w:p w14:paraId="518DE624">
            <w:pPr>
              <w:widowControl/>
              <w:ind w:firstLine="640" w:firstLineChars="200"/>
              <w:textAlignment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（一）坝体出现严重的管涌、流土等现象的；</w:t>
            </w:r>
          </w:p>
          <w:p w14:paraId="79F57DF0">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（二）坝体出现严重裂缝、坍塌和滑动迹象的；……</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4211E0">
            <w:pPr>
              <w:widowControl/>
              <w:numPr>
                <w:ilvl w:val="0"/>
                <w:numId w:val="67"/>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（2）尾矿库安全设施设计（收集排洪设施的相关内容）；</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（3）尾矿库安全预评价及现状评价报告；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（4）尾矿库排洪设施检查维修记录；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（5）尾矿库水位观测标尺（标明警戒水位）；                     （6）尾矿库浸润线在线及人工监测记录；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（7）尾矿库安全隐患排查治理记录；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（8）现场照片或影像资料；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476E7238">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D8ED57">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8F06F9A">
            <w:pPr>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 xml:space="preserve">《尾矿库安全监督管理规定》第三十九条  </w:t>
            </w:r>
            <w:r>
              <w:rPr>
                <w:rFonts w:hint="eastAsia" w:ascii="仿宋_GB2312" w:hAnsi="仿宋_GB2312" w:eastAsia="仿宋_GB2312" w:cs="仿宋_GB2312"/>
                <w:bCs/>
                <w:color w:val="auto"/>
                <w:kern w:val="0"/>
                <w:sz w:val="32"/>
                <w:szCs w:val="32"/>
              </w:rPr>
              <w:t>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14:paraId="22B3143F">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D41E037">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96AE627">
            <w:pPr>
              <w:rPr>
                <w:rFonts w:hint="eastAsia" w:ascii="仿宋_GB2312" w:hAnsi="仿宋_GB2312" w:eastAsia="仿宋_GB2312" w:cs="仿宋_GB2312"/>
                <w:color w:val="auto"/>
                <w:sz w:val="32"/>
                <w:szCs w:val="32"/>
              </w:rPr>
            </w:pPr>
          </w:p>
        </w:tc>
      </w:tr>
      <w:tr w14:paraId="24DD829B">
        <w:tblPrEx>
          <w:tblCellMar>
            <w:top w:w="0" w:type="dxa"/>
            <w:left w:w="0" w:type="dxa"/>
            <w:bottom w:w="0" w:type="dxa"/>
            <w:right w:w="0" w:type="dxa"/>
          </w:tblCellMar>
        </w:tblPrEx>
        <w:trPr>
          <w:trHeight w:val="128"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2932C932">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2352AA65">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9F453B">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18.3尾矿库坝体坡面情况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B63A11">
            <w:pPr>
              <w:widowControl/>
              <w:ind w:firstLine="1285" w:firstLineChars="400"/>
              <w:textAlignment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w:t>
            </w:r>
          </w:p>
          <w:p w14:paraId="51A66F6B">
            <w:pPr>
              <w:widowControl/>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6.3.11  </w:t>
            </w:r>
            <w:r>
              <w:rPr>
                <w:rFonts w:hint="eastAsia" w:ascii="仿宋_GB2312" w:hAnsi="仿宋_GB2312" w:eastAsia="仿宋_GB2312" w:cs="仿宋_GB2312"/>
                <w:color w:val="auto"/>
                <w:kern w:val="0"/>
                <w:sz w:val="32"/>
                <w:szCs w:val="32"/>
              </w:rPr>
              <w:t>尾矿滩面及下游坡面上不得有积水坑。</w:t>
            </w:r>
          </w:p>
          <w:p w14:paraId="3D7F3F55">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《尾矿库安全技术规程》（征求意见稿）6.3.12</w:t>
            </w:r>
            <w:r>
              <w:rPr>
                <w:rFonts w:hint="eastAsia" w:ascii="仿宋_GB2312" w:hAnsi="仿宋_GB2312" w:eastAsia="仿宋_GB2312" w:cs="仿宋_GB2312"/>
                <w:color w:val="auto"/>
                <w:kern w:val="0"/>
                <w:sz w:val="32"/>
                <w:szCs w:val="32"/>
              </w:rPr>
              <w:t xml:space="preserve">  坝外坡面维护工作应按设计要求进行，或视具体情况选用以下维护措施：</w:t>
            </w:r>
          </w:p>
          <w:p w14:paraId="0E59EA16">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a)坡面修筑人字沟或网状排水沟；</w:t>
            </w:r>
          </w:p>
          <w:p w14:paraId="5083F6D8">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b)坡面植草或灌木类植物；</w:t>
            </w:r>
          </w:p>
          <w:p w14:paraId="611105F0">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c)采用碎石、废石或山坡土覆盖坝坡。</w:t>
            </w:r>
          </w:p>
          <w:p w14:paraId="283CB8CF">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《尾矿库安全技术规程》（征求意见稿）6.3.13</w:t>
            </w:r>
            <w:r>
              <w:rPr>
                <w:rFonts w:hint="eastAsia" w:ascii="仿宋_GB2312" w:hAnsi="仿宋_GB2312" w:eastAsia="仿宋_GB2312" w:cs="仿宋_GB2312"/>
                <w:color w:val="auto"/>
                <w:kern w:val="0"/>
                <w:sz w:val="32"/>
                <w:szCs w:val="32"/>
              </w:rPr>
              <w:t>每期子坝堆筑完毕，应进行质量检查，检查记录需经主管技术人员签字后存档备查。主要检查内容：</w:t>
            </w:r>
          </w:p>
          <w:p w14:paraId="704F25B0">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a)子坝剖面尺寸，长度、轴线位置及边坡坡比；</w:t>
            </w:r>
          </w:p>
          <w:p w14:paraId="062D94D6">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b)新筑子坝的坝顶及内坡趾滩面高程、库内水位；</w:t>
            </w:r>
          </w:p>
          <w:p w14:paraId="1DFE1DBA">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c)尾矿筑坝质量。</w:t>
            </w:r>
          </w:p>
          <w:p w14:paraId="0540AA0C">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《尾矿库安全技术规程》（征求意见稿）6.3.14</w:t>
            </w:r>
            <w:r>
              <w:rPr>
                <w:rFonts w:hint="eastAsia" w:ascii="仿宋_GB2312" w:hAnsi="仿宋_GB2312" w:eastAsia="仿宋_GB2312" w:cs="仿宋_GB2312"/>
                <w:color w:val="auto"/>
                <w:kern w:val="0"/>
                <w:sz w:val="32"/>
                <w:szCs w:val="32"/>
              </w:rPr>
              <w:t xml:space="preserve">  当坝坡出现冲沟时，应以土石及时分层夯实填平，并增设排水沟。</w:t>
            </w:r>
          </w:p>
          <w:p w14:paraId="22AEFE02">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《尾矿库安全技术规程》（征求意见稿）6.3.15</w:t>
            </w:r>
            <w:r>
              <w:rPr>
                <w:rFonts w:hint="eastAsia" w:ascii="仿宋_GB2312" w:hAnsi="仿宋_GB2312" w:eastAsia="仿宋_GB2312" w:cs="仿宋_GB2312"/>
                <w:color w:val="auto"/>
                <w:kern w:val="0"/>
                <w:sz w:val="32"/>
                <w:szCs w:val="32"/>
              </w:rPr>
              <w:t xml:space="preserve">  坝体出现裂缝，应通过表面观测和挖深坑、槽探，查明裂缝的部位、宽度、长度、深度、错距、走向等，分析裂缝的深度，可选用以下处理措施：</w:t>
            </w:r>
          </w:p>
          <w:p w14:paraId="6C1C7B28">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a)对于缝深小于5m的裂缝可采用开挖回填法处理。开挖深度应比裂缝尽头深0.3～0.5m，开挖长度应比缝端扩展约2m。回填土料宜与原土料相同，回填时要求分层夯实。</w:t>
            </w:r>
          </w:p>
          <w:p w14:paraId="697CCFAB">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b)对于较深的裂缝可采用灌浆法处理或上部开挖回填、下部灌浆的方法处理。灌浆的浆液可采用纯粘土浆或粘土水泥浆，浆液浓度为30～50%。</w:t>
            </w:r>
          </w:p>
          <w:p w14:paraId="10E6A894">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《尾矿库安全技术规程》（征求意见稿）6.3.16  </w:t>
            </w:r>
            <w:r>
              <w:rPr>
                <w:rFonts w:hint="eastAsia" w:ascii="仿宋_GB2312" w:hAnsi="仿宋_GB2312" w:eastAsia="仿宋_GB2312" w:cs="仿宋_GB2312"/>
                <w:color w:val="auto"/>
                <w:kern w:val="0"/>
                <w:sz w:val="32"/>
                <w:szCs w:val="32"/>
              </w:rPr>
              <w:t>坝体出现滑坡，可采取以下处理措施：</w:t>
            </w:r>
          </w:p>
          <w:p w14:paraId="3682B468">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a)下游坡压后戗加固坝体，后戗宜采用堆石料堆筑；</w:t>
            </w:r>
          </w:p>
          <w:p w14:paraId="382C4F14">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b)放缓坝坡；</w:t>
            </w:r>
          </w:p>
          <w:p w14:paraId="75AE08BD">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c)降低坝体浸润线。</w:t>
            </w:r>
          </w:p>
          <w:p w14:paraId="0F7FE4C6">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《尾矿库安全技术规程》（征求意见稿）6.3.17  </w:t>
            </w:r>
            <w:r>
              <w:rPr>
                <w:rFonts w:hint="eastAsia" w:ascii="仿宋_GB2312" w:hAnsi="仿宋_GB2312" w:eastAsia="仿宋_GB2312" w:cs="仿宋_GB2312"/>
                <w:color w:val="auto"/>
                <w:kern w:val="0"/>
                <w:sz w:val="32"/>
                <w:szCs w:val="32"/>
              </w:rPr>
              <w:t>坝体出现塌坑，应及时查明其成因，进行处理。对于沉陷塌坑，应进行回填夯实处理；对于管涌塌坑，应首先处理管涌后再进行回填。</w:t>
            </w:r>
          </w:p>
          <w:p w14:paraId="017CD8D6">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《尾矿库安全监督管理规定》第二十四条第（一）、（二）项</w:t>
            </w:r>
            <w:r>
              <w:rPr>
                <w:rFonts w:hint="eastAsia" w:ascii="仿宋_GB2312" w:hAnsi="仿宋_GB2312" w:eastAsia="仿宋_GB2312" w:cs="仿宋_GB2312"/>
                <w:color w:val="auto"/>
                <w:kern w:val="0"/>
                <w:sz w:val="32"/>
                <w:szCs w:val="32"/>
              </w:rPr>
              <w:t xml:space="preserve">   尾矿库出现下列重大险情之一的，生产经营单位应当按照安全监管权限和职责立即报告当地县级安全生产监督管理部门和人民政府，并启动应急预案，进行抢险：</w:t>
            </w:r>
          </w:p>
          <w:p w14:paraId="23761614">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(一)坝体出现严重的管涌、流土等现象的；</w:t>
            </w:r>
          </w:p>
          <w:p w14:paraId="0F7DF34F">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(二)坝体出现严重裂缝、坍塌和滑动迹象的；</w:t>
            </w:r>
          </w:p>
          <w:p w14:paraId="31D8BB79">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《金属非金属矿山重大生产安全事故隐患判定标准（试行）》第三条尾矿库重大生产安全事故隐患</w:t>
            </w:r>
          </w:p>
          <w:p w14:paraId="588D5538">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（二）坝体出现贯穿性横向裂缝，且出现较大范围管涌、流土变形，坝体出现深层滑动迹象。</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84BDF7">
            <w:pPr>
              <w:widowControl/>
              <w:numPr>
                <w:ilvl w:val="0"/>
                <w:numId w:val="68"/>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（2）尾矿库安全设施设计资料；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（3）尾矿库安全预评价及现状评价报告；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（4）尾矿库排洪设施检查维修记录；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（5）尾矿库水位观测标尺（标明警戒水位）；                     （6）尾矿库浸润线在线及人工监测记录；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（7）尾矿库安全隐患排查治理记录；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（8）现场照片或影像资料；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6CB5C9AC">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5EB041">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13A296FB">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（一）违反操作规程或者安全管理规定作业的；            </w:t>
            </w:r>
          </w:p>
          <w:p w14:paraId="6E645D70">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《尾矿库安全监督管理规定》第三十九条</w:t>
            </w:r>
            <w:r>
              <w:rPr>
                <w:rFonts w:hint="eastAsia" w:ascii="仿宋_GB2312" w:hAnsi="仿宋_GB2312" w:eastAsia="仿宋_GB2312" w:cs="仿宋_GB2312"/>
                <w:color w:val="auto"/>
                <w:kern w:val="0"/>
                <w:sz w:val="32"/>
                <w:szCs w:val="32"/>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14:paraId="49E8FAE6">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《安全生产事故隐患排查治理暂行规定》第二十六条第（四）项</w:t>
            </w:r>
            <w:r>
              <w:rPr>
                <w:rFonts w:hint="eastAsia" w:ascii="仿宋_GB2312" w:hAnsi="仿宋_GB2312" w:eastAsia="仿宋_GB2312" w:cs="仿宋_GB2312"/>
                <w:color w:val="auto"/>
                <w:kern w:val="0"/>
                <w:sz w:val="32"/>
                <w:szCs w:val="32"/>
              </w:rPr>
              <w:t xml:space="preserve">  生产经营单位违反本规定，有下列行为之一的，由安全监管监察部门给予警告，并处三万元以下的罚款：</w:t>
            </w:r>
          </w:p>
          <w:p w14:paraId="094C9054">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（四）重大事故隐患不报或者未及时报告的；</w:t>
            </w:r>
          </w:p>
          <w:p w14:paraId="0E9476E1">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D4FBE06">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2B7A93B">
            <w:pPr>
              <w:rPr>
                <w:rFonts w:hint="eastAsia" w:ascii="仿宋_GB2312" w:hAnsi="仿宋_GB2312" w:eastAsia="仿宋_GB2312" w:cs="仿宋_GB2312"/>
                <w:color w:val="auto"/>
                <w:sz w:val="32"/>
                <w:szCs w:val="32"/>
              </w:rPr>
            </w:pPr>
          </w:p>
        </w:tc>
      </w:tr>
      <w:tr w14:paraId="21B61E6C">
        <w:tblPrEx>
          <w:tblCellMar>
            <w:top w:w="0" w:type="dxa"/>
            <w:left w:w="0" w:type="dxa"/>
            <w:bottom w:w="0" w:type="dxa"/>
            <w:right w:w="0" w:type="dxa"/>
          </w:tblCellMar>
        </w:tblPrEx>
        <w:trPr>
          <w:trHeight w:val="259"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7C64336A">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61DC89FE">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0DB10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18.4尾矿库排排水沟、截水沟、排水井等排洪设施设置的情况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31E233">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《尾矿库安全技术规程》（征求意见稿）5.3.23</w:t>
            </w:r>
            <w:r>
              <w:rPr>
                <w:rFonts w:hint="eastAsia" w:ascii="仿宋_GB2312" w:hAnsi="仿宋_GB2312" w:eastAsia="仿宋_GB2312" w:cs="仿宋_GB2312"/>
                <w:color w:val="auto"/>
                <w:kern w:val="0"/>
                <w:sz w:val="32"/>
                <w:szCs w:val="32"/>
              </w:rPr>
              <w:t xml:space="preserve">  尾矿堆积坝下游坡与两岸山坡结合处的山坡应设置截水沟。                                             </w:t>
            </w:r>
          </w:p>
          <w:p w14:paraId="5DFA284A">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《尾矿库安全技术规程》（征求意见稿）5.3.24</w:t>
            </w:r>
            <w:r>
              <w:rPr>
                <w:rFonts w:hint="eastAsia" w:ascii="仿宋_GB2312" w:hAnsi="仿宋_GB2312" w:eastAsia="仿宋_GB2312" w:cs="仿宋_GB2312"/>
                <w:color w:val="auto"/>
                <w:kern w:val="0"/>
                <w:sz w:val="32"/>
                <w:szCs w:val="32"/>
              </w:rPr>
              <w:t xml:space="preserve">  上游式尾矿坝的堆积坝下游坡面上应以土石覆盖，并可结合排渗设施每隔6～10m高差设置排水沟。              </w:t>
            </w:r>
          </w:p>
          <w:p w14:paraId="666E08BD">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 《尾矿库安全技术规程》（征求意见稿）5.4.1</w:t>
            </w:r>
            <w:r>
              <w:rPr>
                <w:rFonts w:hint="eastAsia" w:ascii="仿宋_GB2312" w:hAnsi="仿宋_GB2312" w:eastAsia="仿宋_GB2312" w:cs="仿宋_GB2312"/>
                <w:color w:val="auto"/>
                <w:kern w:val="0"/>
                <w:sz w:val="32"/>
                <w:szCs w:val="32"/>
              </w:rPr>
              <w:t xml:space="preserve"> 尾矿库必须设置排洪设施，并满足防洪要求。尾矿库的排洪方式，应根据地形、地质条件、洪水量、调洪能力、回水方式、操作条件与使用年限等因素，经过技术比较确定。尾矿库宜采用排水井（斜槽）—排水管（隧洞）排洪系统。有条件时也可采用溢洪道或截洪沟等排洪设施。</w:t>
            </w:r>
          </w:p>
          <w:p w14:paraId="37AAD874">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7.2.9  检查坝面保护设施。检查坝肩截水沟和坝坡排水沟断面尺寸，沿线山坡稳定性，护砌变形、破损、断裂和磨蚀，沟内淤堵等；检查坝坡土石覆盖保护层实施情况。                      </w:t>
            </w:r>
          </w:p>
          <w:p w14:paraId="69059BFA">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排洪设施检查要点：</w:t>
            </w:r>
          </w:p>
          <w:p w14:paraId="2FBE1147">
            <w:pPr>
              <w:widowControl/>
              <w:ind w:firstLine="643" w:firstLineChars="200"/>
              <w:textAlignment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《尾矿库安全技术规程》（征求意见稿）9.1.9  </w:t>
            </w:r>
            <w:r>
              <w:rPr>
                <w:rFonts w:hint="eastAsia" w:ascii="仿宋_GB2312" w:hAnsi="仿宋_GB2312" w:eastAsia="仿宋_GB2312" w:cs="仿宋_GB2312"/>
                <w:color w:val="auto"/>
                <w:kern w:val="0"/>
                <w:sz w:val="32"/>
                <w:szCs w:val="32"/>
              </w:rPr>
              <w:t>排洪构筑物安全检查主要内容：构筑物有无变形、位移、损毁、淤堵，排水能力是否满足要求等。</w:t>
            </w:r>
          </w:p>
          <w:p w14:paraId="6EB8E00B">
            <w:pPr>
              <w:widowControl/>
              <w:ind w:firstLine="643" w:firstLineChars="200"/>
              <w:textAlignment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《尾矿库安全技术规程》（征求意见稿）9.1.10  </w:t>
            </w:r>
            <w:r>
              <w:rPr>
                <w:rFonts w:hint="eastAsia" w:ascii="仿宋_GB2312" w:hAnsi="仿宋_GB2312" w:eastAsia="仿宋_GB2312" w:cs="仿宋_GB2312"/>
                <w:color w:val="auto"/>
                <w:kern w:val="0"/>
                <w:sz w:val="32"/>
                <w:szCs w:val="32"/>
              </w:rPr>
              <w:t>排水井检查内容：井的内径、窗口尺寸及位置，井壁剥蚀、脱落、渗漏、最大裂缝开展宽度，井身倾斜度和变位，井、管联结部位，进水口水面漂浮物，停用井封盖方法等。</w:t>
            </w:r>
          </w:p>
          <w:p w14:paraId="2E02A56B">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《尾矿库安全技术规程》（征求意见稿）9.1.11  </w:t>
            </w:r>
            <w:r>
              <w:rPr>
                <w:rFonts w:hint="eastAsia" w:ascii="仿宋_GB2312" w:hAnsi="仿宋_GB2312" w:eastAsia="仿宋_GB2312" w:cs="仿宋_GB2312"/>
                <w:color w:val="auto"/>
                <w:kern w:val="0"/>
                <w:sz w:val="32"/>
                <w:szCs w:val="32"/>
              </w:rPr>
              <w:t>排水斜槽检查内容：断面尺寸、槽身变形、损坏或坍塌，盖板放置、断裂，最大裂缝开展宽度，盖板之间以及盖板与槽壁之间的防漏充填物，漏砂，斜槽内淤堵等。</w:t>
            </w:r>
          </w:p>
          <w:p w14:paraId="3A799289">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《尾矿库安全技术规程》（征求意见稿）9.1.12  </w:t>
            </w:r>
            <w:r>
              <w:rPr>
                <w:rFonts w:hint="eastAsia" w:ascii="仿宋_GB2312" w:hAnsi="仿宋_GB2312" w:eastAsia="仿宋_GB2312" w:cs="仿宋_GB2312"/>
                <w:color w:val="auto"/>
                <w:kern w:val="0"/>
                <w:sz w:val="32"/>
                <w:szCs w:val="32"/>
              </w:rPr>
              <w:t>排水涵管检查内容：断面尺寸，变形、破损、断裂和磨蚀，最大裂缝开展宽度，管间止水及充填物，涵管内淤堵等。</w:t>
            </w:r>
          </w:p>
          <w:p w14:paraId="6D2EE4DF">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《尾矿库安全技术规程》（征求意见稿）9.1.13  </w:t>
            </w:r>
            <w:r>
              <w:rPr>
                <w:rFonts w:hint="eastAsia" w:ascii="仿宋_GB2312" w:hAnsi="仿宋_GB2312" w:eastAsia="仿宋_GB2312" w:cs="仿宋_GB2312"/>
                <w:color w:val="auto"/>
                <w:kern w:val="0"/>
                <w:sz w:val="32"/>
                <w:szCs w:val="32"/>
              </w:rPr>
              <w:t>排水隧洞检查内容：断面尺寸，洞内塌方，衬砌变形、破损、断裂、剥落和磨蚀，最大裂缝开展宽度，伸缩缝、止水及充填物，洞内淤堵等。</w:t>
            </w:r>
          </w:p>
          <w:p w14:paraId="1D9D6FDA">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《尾矿库安全技术规程》（征求意见稿）9.1.14  </w:t>
            </w:r>
            <w:r>
              <w:rPr>
                <w:rFonts w:hint="eastAsia" w:ascii="仿宋_GB2312" w:hAnsi="仿宋_GB2312" w:eastAsia="仿宋_GB2312" w:cs="仿宋_GB2312"/>
                <w:color w:val="auto"/>
                <w:kern w:val="0"/>
                <w:sz w:val="32"/>
                <w:szCs w:val="32"/>
              </w:rPr>
              <w:t>溢洪道检查内容：断面尺寸，沿线山坡滑坡、塌方，护砌变形、破损、断裂和磨蚀，沟内淤堵，溢流坎顶高程，消力池及消力坎等。</w:t>
            </w:r>
          </w:p>
          <w:p w14:paraId="1DA9CC2A">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《尾矿库安全技术规程》（征求意见稿）9.1.15  </w:t>
            </w:r>
            <w:r>
              <w:rPr>
                <w:rFonts w:hint="eastAsia" w:ascii="仿宋_GB2312" w:hAnsi="仿宋_GB2312" w:eastAsia="仿宋_GB2312" w:cs="仿宋_GB2312"/>
                <w:color w:val="auto"/>
                <w:kern w:val="0"/>
                <w:sz w:val="32"/>
                <w:szCs w:val="32"/>
              </w:rPr>
              <w:t>截洪沟检查内容：断面尺寸，沿线山坡滑坡、塌方，护砌变形、破损、断裂和磨蚀，沟内淤堵等。</w:t>
            </w:r>
          </w:p>
          <w:p w14:paraId="4CA38DB2">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《尾矿库安全技术规程》（征求意见稿）9.2.9  </w:t>
            </w:r>
            <w:r>
              <w:rPr>
                <w:rFonts w:hint="eastAsia" w:ascii="仿宋_GB2312" w:hAnsi="仿宋_GB2312" w:eastAsia="仿宋_GB2312" w:cs="仿宋_GB2312"/>
                <w:color w:val="auto"/>
                <w:kern w:val="0"/>
                <w:sz w:val="32"/>
                <w:szCs w:val="32"/>
              </w:rPr>
              <w:t xml:space="preserve">检查坝面保护设施。检查坝肩截水沟和坝坡排水沟断面尺寸，沿线山坡稳定性，护砌变形、破损、断裂和磨蚀，沟内淤堵等；检查坝坡土石覆盖保护层实施情况。                   </w:t>
            </w:r>
          </w:p>
          <w:p w14:paraId="51E964AB">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《尾矿库安全监督管理规定》第十八条第（五）、（六）项</w:t>
            </w:r>
            <w:r>
              <w:rPr>
                <w:rFonts w:hint="eastAsia" w:ascii="仿宋_GB2312" w:hAnsi="仿宋_GB2312" w:eastAsia="仿宋_GB2312" w:cs="仿宋_GB2312"/>
                <w:color w:val="auto"/>
                <w:kern w:val="0"/>
                <w:sz w:val="32"/>
                <w:szCs w:val="32"/>
              </w:rPr>
              <w:t xml:space="preserve">  对生产运行的尾矿库，未经技术论证和安全生产监督管理部门的批准，任何单位和个人不得对下列事项进行变更：</w:t>
            </w:r>
          </w:p>
          <w:p w14:paraId="7AA055D8">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(五)坝体防渗、排渗及反滤层的设置；</w:t>
            </w:r>
          </w:p>
          <w:p w14:paraId="51175DE9">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(六)排洪系统的型式、布置及尺寸；</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F149A2">
            <w:pPr>
              <w:widowControl/>
              <w:numPr>
                <w:ilvl w:val="0"/>
                <w:numId w:val="69"/>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（2）尾矿库安全设施设计（收集排水沟、截水沟、排水井等排洪设施的相关内容）；</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（3）尾矿库安全预评价及现状评价报告；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（4）尾矿库排水沟、截水沟、排水井等排洪设施检查维修记录；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（5）尾矿库水位观测标尺（标明警戒水位）；                     （6）尾矿库浸润线在线及人工监测记录；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（7）尾矿库安全隐患排查治理记录；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（8）现场照片或影像资料；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5A71B3D8">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9B8972">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53D47679">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（一）违反操作规程或者安全管理规定作业的；           </w:t>
            </w:r>
          </w:p>
          <w:p w14:paraId="6E378A6E">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《尾矿库安全监督管理规定》第四十条</w:t>
            </w:r>
            <w:r>
              <w:rPr>
                <w:rFonts w:hint="eastAsia" w:ascii="仿宋_GB2312" w:hAnsi="仿宋_GB2312" w:eastAsia="仿宋_GB2312" w:cs="仿宋_GB2312"/>
                <w:color w:val="auto"/>
                <w:kern w:val="0"/>
                <w:sz w:val="32"/>
                <w:szCs w:val="32"/>
              </w:rPr>
              <w:t xml:space="preserve">  生产经营单位或者尾矿库管理单位违反本规定第十八条规定的，给予警告，并处3万元的罚款；情节严重的，依法责令停产整顿或者提请县级以上地方人民政府按照规定权限予以关闭。</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B8649D5">
            <w:pPr>
              <w:rPr>
                <w:rFonts w:hint="eastAsia" w:ascii="仿宋_GB2312" w:hAnsi="仿宋_GB2312" w:eastAsia="仿宋_GB2312" w:cs="仿宋_GB2312"/>
                <w:color w:val="auto"/>
                <w:sz w:val="32"/>
                <w:szCs w:val="32"/>
              </w:rPr>
            </w:pPr>
          </w:p>
        </w:tc>
      </w:tr>
      <w:tr w14:paraId="1659069E">
        <w:tblPrEx>
          <w:tblCellMar>
            <w:top w:w="0" w:type="dxa"/>
            <w:left w:w="0" w:type="dxa"/>
            <w:bottom w:w="0" w:type="dxa"/>
            <w:right w:w="0" w:type="dxa"/>
          </w:tblCellMar>
        </w:tblPrEx>
        <w:trPr>
          <w:trHeight w:val="167"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591BBCD3">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28E2BA88">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B73771">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18.5尾矿库挡水坝</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DFD08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41014811">
            <w:pPr>
              <w:widowControl/>
              <w:ind w:firstLine="643" w:firstLineChars="200"/>
              <w:textAlignment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w:t>
            </w:r>
          </w:p>
          <w:p w14:paraId="5721B7EE">
            <w:pPr>
              <w:widowControl/>
              <w:ind w:firstLine="643" w:firstLineChars="200"/>
              <w:textAlignment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《尾矿库安全技术规程》(AQ 2006-2005)</w:t>
            </w:r>
          </w:p>
          <w:p w14:paraId="12E8AAB0">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5.3.9  上游式尾矿坝沉积滩顶至设计洪水位的高差不得小于表3的最小安全超高值，同时，滩顶至设计洪水位边线距离不得小于表3的最小滩长值。</w:t>
            </w:r>
          </w:p>
          <w:p w14:paraId="25022831">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5.3.10  下游式和中线式尾矿坝坝顶外缘至设计洪水位水边线的距离不宜小于表4的最小滩长值。</w:t>
            </w:r>
          </w:p>
          <w:p w14:paraId="47BB47BA">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当坝体采取防渗余（心）墙时，坝顶至设计洪水位的高差亦不得小于表3的最小安全超高值。</w:t>
            </w:r>
          </w:p>
          <w:p w14:paraId="5B4C901D">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5.3.11</w:t>
            </w:r>
            <w:r>
              <w:rPr>
                <w:rFonts w:hint="eastAsia" w:ascii="仿宋_GB2312" w:hAnsi="仿宋_GB2312" w:eastAsia="仿宋_GB2312" w:cs="仿宋_GB2312"/>
                <w:color w:val="auto"/>
                <w:kern w:val="0"/>
                <w:sz w:val="32"/>
                <w:szCs w:val="32"/>
              </w:rPr>
              <w:t xml:space="preserve"> 地震区尾矿坝除应符合表3规定外，尚应符合下列规定：</w:t>
            </w:r>
          </w:p>
          <w:p w14:paraId="5ABF359C">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上游式尾矿坝沉积滩顶至正常高水位的高差不得小于表3最小安全超高值与地震涌浪高度之和，滩顶至正常高水位水边线的距离不得小于表3的最小滩长值与地震涌浪高度对应滩长之和。</w:t>
            </w:r>
          </w:p>
          <w:p w14:paraId="0E6B6243">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下游式与中线式尾矿坝坝顶外边缘至正常高水位水边线的距离不宜小于表4的最小滩长值与地震涌浪高度对应滩长之和。</w:t>
            </w:r>
          </w:p>
          <w:p w14:paraId="6B150DDB">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尾矿库挡水坝坝顶至正常高水位的高差不得小于表3最小安全超高值与地震涌浪高度之和。</w:t>
            </w:r>
          </w:p>
          <w:p w14:paraId="3FF2DCFE">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地震涌浪高度可根据设计地震烈度和水深确定，可采用0.5～1.5m。</w:t>
            </w:r>
          </w:p>
          <w:p w14:paraId="6B2EB1F9">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5.3.12  地震区尾矿坝应符合下列规定：</w:t>
            </w:r>
          </w:p>
          <w:p w14:paraId="48AE2C17">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上游式尾矿坝沉积滩顶至正常高水位的高差不得小于表3最小安全超高值与地震壅浪高度之和，滩顶至正常高水位水边线的距离不得小于表3的最小滩长值与地震壅浪高度对应滩长之和。</w:t>
            </w:r>
          </w:p>
          <w:p w14:paraId="04D2A68D">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下游式与中线式尾矿坝坝顶外边缘至正常高水位水边线的距离不宜小于表4的最小滩长值与地震壅浪高度对应滩长之和。</w:t>
            </w:r>
          </w:p>
          <w:p w14:paraId="40087DC0">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尾矿库挡水坝坝顶至正常高水位的高差不得小于表3最小安全超高值与地震壅浪高度之和。</w:t>
            </w:r>
          </w:p>
          <w:p w14:paraId="272228DA">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地震壅浪高度可根据抗震设防烈度和水深确定，可采用0.5-1.5m。</w:t>
            </w:r>
          </w:p>
          <w:p w14:paraId="35232856">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《国家安全监管总局关于印发〈金属非金属矿山重大生产安全事故隐患判定标准（试行）〉的通知》(安监总管一〔2017〕98号)</w:t>
            </w:r>
          </w:p>
          <w:p w14:paraId="1633E147">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三、尾矿库重大生产安全事故隐患</w:t>
            </w:r>
          </w:p>
          <w:p w14:paraId="356CED06">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（八）安全超高和干滩长度小于设计规定。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FD8F14">
            <w:pPr>
              <w:widowControl/>
              <w:numPr>
                <w:ilvl w:val="0"/>
                <w:numId w:val="70"/>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（2）尾矿库安全设施设计（收集挡水坝设计的相关内容）；</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（3）尾矿库安全预评价及现状评价报告；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（4）尾矿库安全隐患排查治理记录；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（5）现场照片或影像资料；                                 （6）《现场检查记录》《责令限期整改指令书》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247836A9">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6EDE11">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E90B4A">
            <w:pPr>
              <w:rPr>
                <w:rFonts w:hint="eastAsia" w:ascii="仿宋_GB2312" w:hAnsi="仿宋_GB2312" w:eastAsia="仿宋_GB2312" w:cs="仿宋_GB2312"/>
                <w:color w:val="auto"/>
                <w:sz w:val="32"/>
                <w:szCs w:val="32"/>
              </w:rPr>
            </w:pPr>
          </w:p>
        </w:tc>
      </w:tr>
      <w:tr w14:paraId="6D131E49">
        <w:tblPrEx>
          <w:tblCellMar>
            <w:top w:w="0" w:type="dxa"/>
            <w:left w:w="0" w:type="dxa"/>
            <w:bottom w:w="0" w:type="dxa"/>
            <w:right w:w="0" w:type="dxa"/>
          </w:tblCellMar>
        </w:tblPrEx>
        <w:trPr>
          <w:trHeight w:val="543"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069509DB">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24207A14">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E01C27">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18.6尾矿库坝体位移及浸润线监测的情况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11EE08">
            <w:pPr>
              <w:widowControl/>
              <w:ind w:firstLine="643" w:firstLineChars="200"/>
              <w:textAlignment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《尾矿库安全监督管理规定》第八条第二款</w:t>
            </w:r>
          </w:p>
          <w:p w14:paraId="03194088">
            <w:pPr>
              <w:widowControl/>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一等、二等、三等尾矿库应当安装在线监测系统。</w:t>
            </w:r>
          </w:p>
          <w:p w14:paraId="5C68D360">
            <w:pPr>
              <w:widowControl/>
              <w:ind w:firstLine="643" w:firstLineChars="200"/>
              <w:textAlignment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w:t>
            </w:r>
          </w:p>
          <w:p w14:paraId="0EB3DAC5">
            <w:pPr>
              <w:widowControl/>
              <w:ind w:firstLine="643" w:firstLineChars="200"/>
              <w:textAlignment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 xml:space="preserve">  4.4.1 </w:t>
            </w:r>
            <w:r>
              <w:rPr>
                <w:rFonts w:hint="eastAsia" w:ascii="仿宋_GB2312" w:hAnsi="仿宋_GB2312" w:eastAsia="仿宋_GB2312" w:cs="仿宋_GB2312"/>
                <w:bCs/>
                <w:color w:val="auto"/>
                <w:kern w:val="0"/>
                <w:sz w:val="32"/>
                <w:szCs w:val="32"/>
              </w:rPr>
              <w:t xml:space="preserve"> 尾矿库的安全监测，必须根据尾矿库设计等别、筑坝方式、地形和地质条件、地理环境等因素，设 置必要的监测项目及其相应设施，定期进行监测。</w:t>
            </w:r>
          </w:p>
          <w:p w14:paraId="28D492C1">
            <w:pPr>
              <w:widowControl/>
              <w:ind w:firstLine="640" w:firstLineChars="200"/>
              <w:textAlignment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——一等、二等、三等、四等尾矿库应监测位移、浸润线、干滩、库水位、降水量，必要时还应监测孔隙水压力、渗透水量、混浊度。五等尾矿库应监测位移、浸润线、干滩、库水位。</w:t>
            </w:r>
          </w:p>
          <w:p w14:paraId="52B18F4A">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5.3.25</w:t>
            </w:r>
            <w:r>
              <w:rPr>
                <w:rFonts w:hint="eastAsia" w:ascii="仿宋_GB2312" w:hAnsi="仿宋_GB2312" w:eastAsia="仿宋_GB2312" w:cs="仿宋_GB2312"/>
                <w:color w:val="auto"/>
                <w:kern w:val="0"/>
                <w:sz w:val="32"/>
                <w:szCs w:val="32"/>
              </w:rPr>
              <w:t xml:space="preserve">  4级以上尾矿坝应设置坝体位移和坝体浸润线观测设施。必要时还宜设置孔隙水压力、渗透水量及其混浊度的观测设施。</w:t>
            </w:r>
          </w:p>
          <w:p w14:paraId="2338F1C4">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《尾矿库安全技术规程》（征求意见稿）6.5.1</w:t>
            </w:r>
            <w:r>
              <w:rPr>
                <w:rFonts w:hint="eastAsia" w:ascii="仿宋_GB2312" w:hAnsi="仿宋_GB2312" w:eastAsia="仿宋_GB2312" w:cs="仿宋_GB2312"/>
                <w:color w:val="auto"/>
                <w:kern w:val="0"/>
                <w:sz w:val="32"/>
                <w:szCs w:val="32"/>
              </w:rPr>
              <w:t xml:space="preserve"> 尾矿库运行期间应加强观测，注意坝体浸润线埋深及其出逸点的变化情况和分布状态，严格按设计要求控制。</w:t>
            </w:r>
          </w:p>
          <w:p w14:paraId="160DAED7">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《尾矿库安全技术规程》（征求意见稿）6.5.2 </w:t>
            </w:r>
            <w:r>
              <w:rPr>
                <w:rFonts w:hint="eastAsia" w:ascii="仿宋_GB2312" w:hAnsi="仿宋_GB2312" w:eastAsia="仿宋_GB2312" w:cs="仿宋_GB2312"/>
                <w:color w:val="auto"/>
                <w:kern w:val="0"/>
                <w:sz w:val="32"/>
                <w:szCs w:val="32"/>
              </w:rPr>
              <w:t xml:space="preserve"> 在尾矿库运行过程中，如坝体浸润线超过控制线，应经技术论证和安全部门批准增设或更新排渗设施。排渗设施施工可参照《尾矿设施施工及验收规程》及有关规程。                      </w:t>
            </w:r>
          </w:p>
          <w:p w14:paraId="7E4918E4">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《金属非金属矿山重大生产安全事故隐患判定标准（试行）》第三条尾矿库重大生产安全事故隐患</w:t>
            </w:r>
          </w:p>
          <w:p w14:paraId="0B3BBF3A">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（七）浸润线埋深小于控制浸润线埋深。</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B9DBB7">
            <w:pPr>
              <w:widowControl/>
              <w:numPr>
                <w:ilvl w:val="0"/>
                <w:numId w:val="71"/>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（2）尾矿库安全设施设计（位移、清浸润线等内容）；</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（3）尾矿库安全预评价及现状评价报告；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（4）尾矿库排洪设施检查维修记录；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（5）尾矿库水位观测标尺（标明警戒水位）；                     （6）尾矿库位移、浸润线等在线及人工监测记录；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（7）尾矿库安全隐患排查治理记录；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（8）现场照片或影像资料；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59F6CE13">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4C5450">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《尾矿库安全监督管理规定》第三十九条</w:t>
            </w:r>
            <w:r>
              <w:rPr>
                <w:rFonts w:hint="eastAsia" w:ascii="仿宋_GB2312" w:hAnsi="仿宋_GB2312" w:eastAsia="仿宋_GB2312" w:cs="仿宋_GB2312"/>
                <w:color w:val="auto"/>
                <w:kern w:val="0"/>
                <w:sz w:val="32"/>
                <w:szCs w:val="32"/>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p w14:paraId="69F51E4D">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2FABAC7B">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（一）违反操作规程或者安全管理规定作业的；          </w:t>
            </w:r>
          </w:p>
          <w:p w14:paraId="584711F1">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《安全生产事故隐患排查治理暂行规定》第二十六条第（四）项</w:t>
            </w:r>
            <w:r>
              <w:rPr>
                <w:rFonts w:hint="eastAsia" w:ascii="仿宋_GB2312" w:hAnsi="仿宋_GB2312" w:eastAsia="仿宋_GB2312" w:cs="仿宋_GB2312"/>
                <w:color w:val="auto"/>
                <w:kern w:val="0"/>
                <w:sz w:val="32"/>
                <w:szCs w:val="32"/>
              </w:rPr>
              <w:t xml:space="preserve">  生产经营单位违反本规定，有下列行为之一的，由安全监管监察部门给予警告，并处三万元以下的罚款：</w:t>
            </w:r>
          </w:p>
          <w:p w14:paraId="4F1C9626">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（四）重大事故隐患不报或者未及时报告的；</w:t>
            </w:r>
          </w:p>
          <w:p w14:paraId="5016CFA5">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FCEF972">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2CB4B51">
            <w:pPr>
              <w:rPr>
                <w:rFonts w:hint="eastAsia" w:ascii="仿宋_GB2312" w:hAnsi="仿宋_GB2312" w:eastAsia="仿宋_GB2312" w:cs="仿宋_GB2312"/>
                <w:color w:val="auto"/>
                <w:sz w:val="32"/>
                <w:szCs w:val="32"/>
              </w:rPr>
            </w:pPr>
          </w:p>
        </w:tc>
      </w:tr>
      <w:tr w14:paraId="3C013912">
        <w:tblPrEx>
          <w:tblCellMar>
            <w:top w:w="0" w:type="dxa"/>
            <w:left w:w="0" w:type="dxa"/>
            <w:bottom w:w="0" w:type="dxa"/>
            <w:right w:w="0" w:type="dxa"/>
          </w:tblCellMar>
        </w:tblPrEx>
        <w:trPr>
          <w:trHeight w:val="290"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4668665F">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568C2E3A">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60F861">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18.7尾矿库尾矿排放情况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30A2EF">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《尾矿库安全技术规程》（征求意见稿）6.3.1  </w:t>
            </w:r>
            <w:r>
              <w:rPr>
                <w:rFonts w:hint="eastAsia" w:ascii="仿宋_GB2312" w:hAnsi="仿宋_GB2312" w:eastAsia="仿宋_GB2312" w:cs="仿宋_GB2312"/>
                <w:color w:val="auto"/>
                <w:kern w:val="0"/>
                <w:sz w:val="32"/>
                <w:szCs w:val="32"/>
              </w:rPr>
              <w:t>尾矿排放与筑坝，包括岸坡清理、尾矿排放、坝体堆筑、坝面维护和质量检测等环节，必须严格按设计要求和作业计划及本规程精心施工。</w:t>
            </w:r>
          </w:p>
          <w:p w14:paraId="79EEB9CA">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《尾矿库安全技术规程》（征求意见稿）6.3.4  </w:t>
            </w:r>
            <w:r>
              <w:rPr>
                <w:rFonts w:hint="eastAsia" w:ascii="仿宋_GB2312" w:hAnsi="仿宋_GB2312" w:eastAsia="仿宋_GB2312" w:cs="仿宋_GB2312"/>
                <w:color w:val="auto"/>
                <w:kern w:val="0"/>
                <w:sz w:val="32"/>
                <w:szCs w:val="32"/>
              </w:rPr>
              <w:t>上游式筑坝法，应于坝前均匀放矿，维持坝体均匀上升，不得任意在库后或一侧岸坡放矿（修子坝或移放矿管时除外）。应做到：a) 粗粒尾矿沉积于坝前，细粒尾矿排至库内，在沉积滩范围内不允许有大面积矿泥沉积；b) 坝顶及沉积滩面应均匀平整，沉积滩长度及滩顶最低高程必须满足防洪设计要求；c) 矿浆排放不得冲刷初期坝和子坝，严禁矿浆沿子坝内坡趾流动冲刷坝体；d) 放矿时应有专人管理，不得离岗。</w:t>
            </w:r>
          </w:p>
          <w:p w14:paraId="3340DFAA">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《尾矿库安全技术规程》（征求意见稿）6.3.5  </w:t>
            </w:r>
            <w:r>
              <w:rPr>
                <w:rFonts w:hint="eastAsia" w:ascii="仿宋_GB2312" w:hAnsi="仿宋_GB2312" w:eastAsia="仿宋_GB2312" w:cs="仿宋_GB2312"/>
                <w:color w:val="auto"/>
                <w:kern w:val="0"/>
                <w:sz w:val="32"/>
                <w:szCs w:val="32"/>
              </w:rPr>
              <w:t>坝体较长时应采用分段交替作业，使坝体均匀上升，应避免滩面出现侧坡、扇形坡或细粒尾矿大量集中沉积于某端或某侧。</w:t>
            </w:r>
          </w:p>
          <w:p w14:paraId="5774E1C6">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《尾矿库安全技术规程》（征求意见稿）6.3.6</w:t>
            </w:r>
            <w:r>
              <w:rPr>
                <w:rFonts w:hint="eastAsia" w:ascii="仿宋_GB2312" w:hAnsi="仿宋_GB2312" w:eastAsia="仿宋_GB2312" w:cs="仿宋_GB2312"/>
                <w:color w:val="auto"/>
                <w:kern w:val="0"/>
                <w:sz w:val="32"/>
                <w:szCs w:val="32"/>
              </w:rPr>
              <w:t xml:space="preserve">  放矿口的间距、位置、同时开放的数量、放矿时间以及水力旋流器使用台数、移动周期与距离，应按设计要求和作业计划进行操作。</w:t>
            </w:r>
          </w:p>
          <w:p w14:paraId="7D322243">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《尾矿库安全技术规程》（征求意见稿）6.3.7  </w:t>
            </w:r>
            <w:r>
              <w:rPr>
                <w:rFonts w:hint="eastAsia" w:ascii="仿宋_GB2312" w:hAnsi="仿宋_GB2312" w:eastAsia="仿宋_GB2312" w:cs="仿宋_GB2312"/>
                <w:color w:val="auto"/>
                <w:kern w:val="0"/>
                <w:sz w:val="32"/>
                <w:szCs w:val="32"/>
              </w:rPr>
              <w:t>为保护初期坝上游坡及反滤层免受尾矿浆冲刷，应采用多管小流量的放矿方式，以利尽快形成滩面，并采用导流槽或软管将矿浆引至远离坝顶处排放。</w:t>
            </w:r>
          </w:p>
          <w:p w14:paraId="3F8E48B5">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《尾矿库安全技术规程》（征求意见稿）6.3.8</w:t>
            </w:r>
            <w:r>
              <w:rPr>
                <w:rFonts w:hint="eastAsia" w:ascii="仿宋_GB2312" w:hAnsi="仿宋_GB2312" w:eastAsia="仿宋_GB2312" w:cs="仿宋_GB2312"/>
                <w:color w:val="auto"/>
                <w:kern w:val="0"/>
                <w:sz w:val="32"/>
                <w:szCs w:val="32"/>
              </w:rPr>
              <w:t xml:space="preserve">  冰冻期、事故期或由某种原因确需长期集中放矿时，不得出现影响后续堆积坝体稳定的不利因素。</w:t>
            </w:r>
          </w:p>
          <w:p w14:paraId="080550D2">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《尾矿库安全技术规程》（征求意见稿）6.3.10</w:t>
            </w:r>
            <w:r>
              <w:rPr>
                <w:rFonts w:hint="eastAsia" w:ascii="仿宋_GB2312" w:hAnsi="仿宋_GB2312" w:eastAsia="仿宋_GB2312" w:cs="仿宋_GB2312"/>
                <w:color w:val="auto"/>
                <w:kern w:val="0"/>
                <w:sz w:val="32"/>
                <w:szCs w:val="32"/>
              </w:rPr>
              <w:t xml:space="preserve">  岩溶发育地区的尾矿库，可采用周边放矿，形成防渗垫层，减少渗漏和落水洞事故。</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bCs/>
                <w:color w:val="auto"/>
                <w:kern w:val="0"/>
                <w:sz w:val="32"/>
                <w:szCs w:val="32"/>
              </w:rPr>
              <w:t>《尾矿库安全监督管理规定》第十八条第（二）、（三）项</w:t>
            </w:r>
            <w:r>
              <w:rPr>
                <w:rFonts w:hint="eastAsia" w:ascii="仿宋_GB2312" w:hAnsi="仿宋_GB2312" w:eastAsia="仿宋_GB2312" w:cs="仿宋_GB2312"/>
                <w:color w:val="auto"/>
                <w:kern w:val="0"/>
                <w:sz w:val="32"/>
                <w:szCs w:val="32"/>
              </w:rPr>
              <w:t xml:space="preserve">   对生产运行的尾矿库，未经技术论证和安全生产监督管理部门的批准，任何单位和个人不得对下列事项进行变更：</w:t>
            </w:r>
          </w:p>
          <w:p w14:paraId="79C97DED">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（二）排放方式；                                  </w:t>
            </w:r>
          </w:p>
          <w:p w14:paraId="1BBA5277">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（三）尾矿物化特性；</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3CFC4B">
            <w:pPr>
              <w:widowControl/>
              <w:numPr>
                <w:ilvl w:val="0"/>
                <w:numId w:val="72"/>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（2）尾矿库设计资料；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（3）尾矿库安全设施设计资料；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（4）尾矿库安全预评价及现状评价报告；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（5）尾矿库年度、季度作业计划；                       （6）选厂及尾矿库生产运行记录；</w:t>
            </w:r>
          </w:p>
          <w:p w14:paraId="1226B09D">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（7）尾矿库安全隐患排查治理记录；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（8）现场照片或影像资料；     </w:t>
            </w:r>
          </w:p>
          <w:p w14:paraId="6894F42F">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6B1A744F">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CAC0AC">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《安全生产违法行为行政处罚办法》第四十五条第（一）项  </w:t>
            </w:r>
            <w:r>
              <w:rPr>
                <w:rFonts w:hint="eastAsia" w:ascii="仿宋_GB2312" w:hAnsi="仿宋_GB2312" w:eastAsia="仿宋_GB2312" w:cs="仿宋_GB2312"/>
                <w:color w:val="auto"/>
                <w:kern w:val="0"/>
                <w:sz w:val="32"/>
                <w:szCs w:val="32"/>
              </w:rPr>
              <w:t>生产经营单位及其主要负责人或者其他人员有下列行为之一的，给予警告，并可以对生产经营单位处1万元以上3万元以下罚款，对其主要负责人、其他有关人员处1000元以上1万元以下的罚款：</w:t>
            </w:r>
          </w:p>
          <w:p w14:paraId="43DDD9BE">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（一）违反操作规程或者安全管理规定作业的；</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bCs/>
                <w:color w:val="auto"/>
                <w:kern w:val="0"/>
                <w:sz w:val="32"/>
                <w:szCs w:val="32"/>
              </w:rPr>
              <w:t xml:space="preserve">  《尾矿库安全监督管理规定》第四十条</w:t>
            </w:r>
            <w:r>
              <w:rPr>
                <w:rFonts w:hint="eastAsia" w:ascii="仿宋_GB2312" w:hAnsi="仿宋_GB2312" w:eastAsia="仿宋_GB2312" w:cs="仿宋_GB2312"/>
                <w:color w:val="auto"/>
                <w:kern w:val="0"/>
                <w:sz w:val="32"/>
                <w:szCs w:val="32"/>
              </w:rPr>
              <w:t xml:space="preserve">  生产经营单位或者尾矿库管理单位违反本规定第十八条规定的，给予警告，并处3万元的罚款；情节严重的，依法责令停产整顿或者提请县级以上地方人民政府按照规定权限予以关闭。</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DE25FD8">
            <w:pPr>
              <w:rPr>
                <w:rFonts w:hint="eastAsia" w:ascii="仿宋_GB2312" w:hAnsi="仿宋_GB2312" w:eastAsia="仿宋_GB2312" w:cs="仿宋_GB2312"/>
                <w:color w:val="auto"/>
                <w:sz w:val="32"/>
                <w:szCs w:val="32"/>
              </w:rPr>
            </w:pPr>
          </w:p>
        </w:tc>
      </w:tr>
      <w:tr w14:paraId="05931119">
        <w:tblPrEx>
          <w:tblCellMar>
            <w:top w:w="0" w:type="dxa"/>
            <w:left w:w="0" w:type="dxa"/>
            <w:bottom w:w="0" w:type="dxa"/>
            <w:right w:w="0" w:type="dxa"/>
          </w:tblCellMar>
        </w:tblPrEx>
        <w:trPr>
          <w:trHeight w:val="94" w:hRule="atLeast"/>
          <w:jc w:val="center"/>
        </w:trPr>
        <w:tc>
          <w:tcPr>
            <w:tcW w:w="624" w:type="dxa"/>
            <w:vMerge w:val="continue"/>
            <w:tcBorders>
              <w:top w:val="single" w:color="000000" w:sz="4" w:space="0"/>
              <w:left w:val="single" w:color="000000" w:sz="4" w:space="0"/>
              <w:bottom w:val="single" w:color="000000" w:sz="4" w:space="0"/>
              <w:right w:val="single" w:color="000000" w:sz="4" w:space="0"/>
            </w:tcBorders>
            <w:vAlign w:val="center"/>
          </w:tcPr>
          <w:p w14:paraId="17497C3F">
            <w:pPr>
              <w:widowControl/>
              <w:jc w:val="left"/>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vAlign w:val="center"/>
          </w:tcPr>
          <w:p w14:paraId="5D2F60F3">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636F06">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18.8尾矿库筑坝情况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2AE6B8">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776523AD">
            <w:pPr>
              <w:widowControl/>
              <w:ind w:firstLine="643" w:firstLineChars="200"/>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《尾矿库安全技术规程》</w:t>
            </w:r>
            <w:r>
              <w:rPr>
                <w:rFonts w:hint="eastAsia" w:ascii="仿宋_GB2312" w:hAnsi="仿宋_GB2312" w:eastAsia="仿宋_GB2312" w:cs="仿宋_GB2312"/>
                <w:b/>
                <w:bCs/>
                <w:color w:val="auto"/>
                <w:kern w:val="0"/>
                <w:sz w:val="32"/>
                <w:szCs w:val="32"/>
              </w:rPr>
              <w:t>（征求意见稿）6</w:t>
            </w:r>
            <w:r>
              <w:rPr>
                <w:rStyle w:val="12"/>
                <w:rFonts w:hint="eastAsia" w:ascii="仿宋_GB2312" w:hAnsi="仿宋_GB2312" w:eastAsia="仿宋_GB2312" w:cs="仿宋_GB2312"/>
                <w:b/>
                <w:bCs/>
                <w:color w:val="auto"/>
                <w:sz w:val="32"/>
                <w:szCs w:val="32"/>
              </w:rPr>
              <w:t xml:space="preserve">.3.1  </w:t>
            </w:r>
            <w:r>
              <w:rPr>
                <w:rStyle w:val="12"/>
                <w:rFonts w:hint="eastAsia" w:ascii="仿宋_GB2312" w:hAnsi="仿宋_GB2312" w:eastAsia="仿宋_GB2312" w:cs="仿宋_GB2312"/>
                <w:color w:val="auto"/>
                <w:sz w:val="32"/>
                <w:szCs w:val="32"/>
              </w:rPr>
              <w:t>尾矿排放与筑坝，包括岸坡清理、尾矿排放、坝体堆筑、坝面维护和质量检测等环节，必须严格按设计要求和作业计划及本规程精心施工。</w:t>
            </w:r>
          </w:p>
          <w:p w14:paraId="3DB038CC">
            <w:pPr>
              <w:widowControl/>
              <w:ind w:firstLine="643" w:firstLineChars="200"/>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《尾矿库安全技术规程》</w:t>
            </w:r>
            <w:r>
              <w:rPr>
                <w:rFonts w:hint="eastAsia" w:ascii="仿宋_GB2312" w:hAnsi="仿宋_GB2312" w:eastAsia="仿宋_GB2312" w:cs="仿宋_GB2312"/>
                <w:b/>
                <w:bCs/>
                <w:color w:val="auto"/>
                <w:kern w:val="0"/>
                <w:sz w:val="32"/>
                <w:szCs w:val="32"/>
              </w:rPr>
              <w:t>（征求意见稿）6</w:t>
            </w:r>
            <w:r>
              <w:rPr>
                <w:rStyle w:val="12"/>
                <w:rFonts w:hint="eastAsia" w:ascii="仿宋_GB2312" w:hAnsi="仿宋_GB2312" w:eastAsia="仿宋_GB2312" w:cs="仿宋_GB2312"/>
                <w:b/>
                <w:bCs/>
                <w:color w:val="auto"/>
                <w:sz w:val="32"/>
                <w:szCs w:val="32"/>
              </w:rPr>
              <w:t>.3.2</w:t>
            </w:r>
            <w:r>
              <w:rPr>
                <w:rStyle w:val="12"/>
                <w:rFonts w:hint="eastAsia" w:ascii="仿宋_GB2312" w:hAnsi="仿宋_GB2312" w:eastAsia="仿宋_GB2312" w:cs="仿宋_GB2312"/>
                <w:color w:val="auto"/>
                <w:sz w:val="32"/>
                <w:szCs w:val="32"/>
              </w:rPr>
              <w:t>尾矿坝滩顶高程必须满足生产、防汛、冬季冰下放矿和回水要求。尾矿坝堆积坡比不得陡于设计规定。</w:t>
            </w:r>
          </w:p>
          <w:p w14:paraId="501C6EBC">
            <w:pPr>
              <w:widowControl/>
              <w:ind w:firstLine="643" w:firstLineChars="200"/>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《尾矿库安全技术规程》</w:t>
            </w:r>
            <w:r>
              <w:rPr>
                <w:rFonts w:hint="eastAsia" w:ascii="仿宋_GB2312" w:hAnsi="仿宋_GB2312" w:eastAsia="仿宋_GB2312" w:cs="仿宋_GB2312"/>
                <w:b/>
                <w:bCs/>
                <w:color w:val="auto"/>
                <w:kern w:val="0"/>
                <w:sz w:val="32"/>
                <w:szCs w:val="32"/>
              </w:rPr>
              <w:t>（征求意见稿）6</w:t>
            </w:r>
            <w:r>
              <w:rPr>
                <w:rStyle w:val="12"/>
                <w:rFonts w:hint="eastAsia" w:ascii="仿宋_GB2312" w:hAnsi="仿宋_GB2312" w:eastAsia="仿宋_GB2312" w:cs="仿宋_GB2312"/>
                <w:b/>
                <w:bCs/>
                <w:color w:val="auto"/>
                <w:sz w:val="32"/>
                <w:szCs w:val="32"/>
              </w:rPr>
              <w:t>.3.3</w:t>
            </w:r>
            <w:r>
              <w:rPr>
                <w:rStyle w:val="12"/>
                <w:rFonts w:hint="eastAsia" w:ascii="仿宋_GB2312" w:hAnsi="仿宋_GB2312" w:eastAsia="仿宋_GB2312" w:cs="仿宋_GB2312"/>
                <w:color w:val="auto"/>
                <w:sz w:val="32"/>
                <w:szCs w:val="32"/>
              </w:rPr>
              <w:t xml:space="preserve">  每一期堆积坝充填作业之前必须进行岸坡处理，将树木、树根、草皮、废石、坟墓及其他有害构筑物全部清除。若遇有泉眼、水井、地道或洞穴等．应作妥善处理。清除杂物不得就地堆积，应运到库外。在沉积滩内不得埋有块石、废管件、支架及混凝土管墩等杂物。</w:t>
            </w:r>
          </w:p>
          <w:p w14:paraId="58270FEC">
            <w:pPr>
              <w:widowControl/>
              <w:ind w:firstLine="640" w:firstLineChars="200"/>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岸坡清理应作隐蔽工程记录，经主管技术人员检查合格后方可充填筑坝。</w:t>
            </w:r>
          </w:p>
          <w:p w14:paraId="51909173">
            <w:pPr>
              <w:widowControl/>
              <w:ind w:firstLine="643" w:firstLineChars="200"/>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《尾矿库安全技术规程》</w:t>
            </w:r>
            <w:r>
              <w:rPr>
                <w:rFonts w:hint="eastAsia" w:ascii="仿宋_GB2312" w:hAnsi="仿宋_GB2312" w:eastAsia="仿宋_GB2312" w:cs="仿宋_GB2312"/>
                <w:b/>
                <w:bCs/>
                <w:color w:val="auto"/>
                <w:kern w:val="0"/>
                <w:sz w:val="32"/>
                <w:szCs w:val="32"/>
              </w:rPr>
              <w:t>（征求意见稿）6</w:t>
            </w:r>
            <w:r>
              <w:rPr>
                <w:rStyle w:val="12"/>
                <w:rFonts w:hint="eastAsia" w:ascii="仿宋_GB2312" w:hAnsi="仿宋_GB2312" w:eastAsia="仿宋_GB2312" w:cs="仿宋_GB2312"/>
                <w:b/>
                <w:bCs/>
                <w:color w:val="auto"/>
                <w:sz w:val="32"/>
                <w:szCs w:val="32"/>
              </w:rPr>
              <w:t xml:space="preserve">.3.5  </w:t>
            </w:r>
            <w:r>
              <w:rPr>
                <w:rStyle w:val="12"/>
                <w:rFonts w:hint="eastAsia" w:ascii="仿宋_GB2312" w:hAnsi="仿宋_GB2312" w:eastAsia="仿宋_GB2312" w:cs="仿宋_GB2312"/>
                <w:color w:val="auto"/>
                <w:sz w:val="32"/>
                <w:szCs w:val="32"/>
              </w:rPr>
              <w:t>坝体较长时应采用分段交替作业，使坝体均匀上升，应避免滩面出现侧坡、扇形坡或细粒尾矿大量集中沉积于某端或某侧。</w:t>
            </w:r>
          </w:p>
          <w:p w14:paraId="4DDF0CFA">
            <w:pPr>
              <w:widowControl/>
              <w:ind w:firstLine="643" w:firstLineChars="200"/>
              <w:jc w:val="left"/>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《尾矿库安全技术规程》</w:t>
            </w:r>
            <w:r>
              <w:rPr>
                <w:rFonts w:hint="eastAsia" w:ascii="仿宋_GB2312" w:hAnsi="仿宋_GB2312" w:eastAsia="仿宋_GB2312" w:cs="仿宋_GB2312"/>
                <w:b/>
                <w:bCs/>
                <w:color w:val="auto"/>
                <w:kern w:val="0"/>
                <w:sz w:val="32"/>
                <w:szCs w:val="32"/>
              </w:rPr>
              <w:t>（征求意见稿）6</w:t>
            </w:r>
            <w:r>
              <w:rPr>
                <w:rStyle w:val="12"/>
                <w:rFonts w:hint="eastAsia" w:ascii="仿宋_GB2312" w:hAnsi="仿宋_GB2312" w:eastAsia="仿宋_GB2312" w:cs="仿宋_GB2312"/>
                <w:b/>
                <w:bCs/>
                <w:color w:val="auto"/>
                <w:sz w:val="32"/>
                <w:szCs w:val="32"/>
              </w:rPr>
              <w:t>.3.13</w:t>
            </w:r>
            <w:r>
              <w:rPr>
                <w:rStyle w:val="12"/>
                <w:rFonts w:hint="eastAsia" w:ascii="仿宋_GB2312" w:hAnsi="仿宋_GB2312" w:eastAsia="仿宋_GB2312" w:cs="仿宋_GB2312"/>
                <w:color w:val="auto"/>
                <w:sz w:val="32"/>
                <w:szCs w:val="32"/>
              </w:rPr>
              <w:t>每期子坝堆筑完毕，应进行质量检查，检查记录需经主管技术人员签字后存档备查。主要检查内容：a) 子坝长度、剖面尺寸、轴线位置及坡比；b) 新筑子坝的坝顶及内坡趾滩面高程、库内水位；c) 尾矿筑坝质量。</w:t>
            </w:r>
          </w:p>
          <w:p w14:paraId="0EBEB954">
            <w:pPr>
              <w:widowControl/>
              <w:ind w:firstLine="643" w:firstLineChars="200"/>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《尾矿库安全技术规程》</w:t>
            </w:r>
            <w:r>
              <w:rPr>
                <w:rFonts w:hint="eastAsia" w:ascii="仿宋_GB2312" w:hAnsi="仿宋_GB2312" w:eastAsia="仿宋_GB2312" w:cs="仿宋_GB2312"/>
                <w:b/>
                <w:bCs/>
                <w:color w:val="auto"/>
                <w:kern w:val="0"/>
                <w:sz w:val="32"/>
                <w:szCs w:val="32"/>
              </w:rPr>
              <w:t>（征求意见稿）6</w:t>
            </w:r>
            <w:r>
              <w:rPr>
                <w:rStyle w:val="12"/>
                <w:rFonts w:hint="eastAsia" w:ascii="仿宋_GB2312" w:hAnsi="仿宋_GB2312" w:eastAsia="仿宋_GB2312" w:cs="仿宋_GB2312"/>
                <w:b/>
                <w:bCs/>
                <w:color w:val="auto"/>
                <w:sz w:val="32"/>
                <w:szCs w:val="32"/>
              </w:rPr>
              <w:t xml:space="preserve">.3.14  </w:t>
            </w:r>
            <w:r>
              <w:rPr>
                <w:rStyle w:val="12"/>
                <w:rFonts w:hint="eastAsia" w:ascii="仿宋_GB2312" w:hAnsi="仿宋_GB2312" w:eastAsia="仿宋_GB2312" w:cs="仿宋_GB2312"/>
                <w:color w:val="auto"/>
                <w:sz w:val="32"/>
                <w:szCs w:val="32"/>
              </w:rPr>
              <w:t>当坝坡出现冲沟时，应以土石及时分层夯实填平，并增设排水沟。</w:t>
            </w:r>
          </w:p>
          <w:p w14:paraId="5793B0EC">
            <w:pPr>
              <w:widowControl/>
              <w:ind w:firstLine="643" w:firstLineChars="200"/>
              <w:textAlignment w:val="center"/>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《尾矿库安全技术规程》</w:t>
            </w:r>
            <w:r>
              <w:rPr>
                <w:rFonts w:hint="eastAsia" w:ascii="仿宋_GB2312" w:hAnsi="仿宋_GB2312" w:eastAsia="仿宋_GB2312" w:cs="仿宋_GB2312"/>
                <w:b/>
                <w:bCs/>
                <w:color w:val="auto"/>
                <w:kern w:val="0"/>
                <w:sz w:val="32"/>
                <w:szCs w:val="32"/>
              </w:rPr>
              <w:t xml:space="preserve">（征求意见稿）6.3.15  </w:t>
            </w:r>
            <w:r>
              <w:rPr>
                <w:rFonts w:hint="eastAsia" w:ascii="仿宋_GB2312" w:hAnsi="仿宋_GB2312" w:eastAsia="仿宋_GB2312" w:cs="仿宋_GB2312"/>
                <w:color w:val="auto"/>
                <w:kern w:val="0"/>
                <w:sz w:val="32"/>
                <w:szCs w:val="32"/>
              </w:rPr>
              <w:t>坝体出现裂缝，应通过表面观测和挖深坑、槽探，查明裂缝的部位、宽度、长度、深度、错距、走向等，分析裂缝的深度，可选用以下处理措施：</w:t>
            </w:r>
          </w:p>
          <w:p w14:paraId="035C7644">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a)对于缝深小于5m的裂缝可采用开挖回填法处理。开挖深度应比裂缝尽头深0.3～0.5m，开挖长度应比缝端扩展约2m。回填土料宜与原土料相同，回填时要求分层夯实。</w:t>
            </w:r>
          </w:p>
          <w:p w14:paraId="74DBACB9">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b)对于较深的裂缝可采用灌浆法处理或上部开挖回填、下部灌浆的方法处理。灌浆的浆液可采用纯粘土浆或粘土水泥浆，浆液浓度为30～50%。</w:t>
            </w:r>
          </w:p>
          <w:p w14:paraId="2095E84A">
            <w:pPr>
              <w:widowControl/>
              <w:ind w:firstLine="643" w:firstLineChars="200"/>
              <w:textAlignment w:val="center"/>
              <w:rPr>
                <w:rFonts w:hint="eastAsia" w:ascii="仿宋_GB2312" w:hAnsi="仿宋_GB2312" w:eastAsia="仿宋_GB2312" w:cs="仿宋_GB2312"/>
                <w:color w:val="auto"/>
                <w:kern w:val="0"/>
                <w:sz w:val="32"/>
                <w:szCs w:val="32"/>
              </w:rPr>
            </w:pPr>
            <w:r>
              <w:rPr>
                <w:rStyle w:val="12"/>
                <w:rFonts w:hint="eastAsia" w:ascii="仿宋_GB2312" w:hAnsi="仿宋_GB2312" w:eastAsia="仿宋_GB2312" w:cs="仿宋_GB2312"/>
                <w:b/>
                <w:bCs/>
                <w:color w:val="auto"/>
                <w:sz w:val="32"/>
                <w:szCs w:val="32"/>
              </w:rPr>
              <w:t>《尾矿库安全技术规程》</w:t>
            </w:r>
            <w:r>
              <w:rPr>
                <w:rFonts w:hint="eastAsia" w:ascii="仿宋_GB2312" w:hAnsi="仿宋_GB2312" w:eastAsia="仿宋_GB2312" w:cs="仿宋_GB2312"/>
                <w:b/>
                <w:bCs/>
                <w:color w:val="auto"/>
                <w:kern w:val="0"/>
                <w:sz w:val="32"/>
                <w:szCs w:val="32"/>
              </w:rPr>
              <w:t xml:space="preserve">（征求意见稿）6.3.16  </w:t>
            </w:r>
            <w:r>
              <w:rPr>
                <w:rFonts w:hint="eastAsia" w:ascii="仿宋_GB2312" w:hAnsi="仿宋_GB2312" w:eastAsia="仿宋_GB2312" w:cs="仿宋_GB2312"/>
                <w:color w:val="auto"/>
                <w:kern w:val="0"/>
                <w:sz w:val="32"/>
                <w:szCs w:val="32"/>
              </w:rPr>
              <w:t>坝体出现滑坡，可采取以下处理措施：</w:t>
            </w:r>
          </w:p>
          <w:p w14:paraId="3D993B28">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a)下游坡压后戗加固坝体，后戗宜采用堆石料堆筑；</w:t>
            </w:r>
          </w:p>
          <w:p w14:paraId="04B237F0">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b)放缓坝坡；</w:t>
            </w:r>
          </w:p>
          <w:p w14:paraId="0E430050">
            <w:pPr>
              <w:widowControl/>
              <w:ind w:firstLine="640" w:firstLineChars="200"/>
              <w:textAlignment w:val="center"/>
              <w:rPr>
                <w:rStyle w:val="12"/>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c)降低坝体浸润线。</w:t>
            </w:r>
          </w:p>
          <w:p w14:paraId="4FFAAC66">
            <w:pPr>
              <w:widowControl/>
              <w:ind w:firstLine="643" w:firstLineChars="200"/>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《尾矿库安全监督管理规定》第十八条第（一）项</w:t>
            </w:r>
            <w:r>
              <w:rPr>
                <w:rStyle w:val="12"/>
                <w:rFonts w:hint="eastAsia" w:ascii="仿宋_GB2312" w:hAnsi="仿宋_GB2312" w:eastAsia="仿宋_GB2312" w:cs="仿宋_GB2312"/>
                <w:color w:val="auto"/>
                <w:sz w:val="32"/>
                <w:szCs w:val="32"/>
              </w:rPr>
              <w:t xml:space="preserve">  对生产运行的尾矿库，未经技术论证和安全生产监督管理部门的批准，任何单位和个人不得对下列事项进行变更：</w:t>
            </w:r>
          </w:p>
          <w:p w14:paraId="6AB4B33D">
            <w:pPr>
              <w:widowControl/>
              <w:ind w:firstLine="640" w:firstLineChars="200"/>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 xml:space="preserve">(一)筑坝方式；                                      </w:t>
            </w:r>
          </w:p>
          <w:p w14:paraId="00B05C08">
            <w:pPr>
              <w:widowControl/>
              <w:ind w:firstLine="643" w:firstLineChars="200"/>
              <w:textAlignment w:val="center"/>
              <w:rPr>
                <w:rStyle w:val="12"/>
                <w:rFonts w:hint="eastAsia" w:ascii="仿宋_GB2312" w:hAnsi="仿宋_GB2312" w:eastAsia="仿宋_GB2312" w:cs="仿宋_GB2312"/>
                <w:color w:val="auto"/>
                <w:sz w:val="32"/>
                <w:szCs w:val="32"/>
              </w:rPr>
            </w:pPr>
            <w:r>
              <w:rPr>
                <w:rStyle w:val="12"/>
                <w:rFonts w:hint="eastAsia" w:ascii="仿宋_GB2312" w:hAnsi="仿宋_GB2312" w:eastAsia="仿宋_GB2312" w:cs="仿宋_GB2312"/>
                <w:b/>
                <w:bCs/>
                <w:color w:val="auto"/>
                <w:sz w:val="32"/>
                <w:szCs w:val="32"/>
              </w:rPr>
              <w:t>《金属非金属矿山重大生产安全事故隐患判定标准（试行）》</w:t>
            </w:r>
            <w:r>
              <w:rPr>
                <w:rFonts w:hint="eastAsia" w:ascii="仿宋_GB2312" w:hAnsi="仿宋_GB2312" w:eastAsia="仿宋_GB2312" w:cs="仿宋_GB2312"/>
                <w:b/>
                <w:bCs/>
                <w:color w:val="auto"/>
                <w:kern w:val="0"/>
                <w:sz w:val="32"/>
                <w:szCs w:val="32"/>
              </w:rPr>
              <w:t>第三条</w:t>
            </w:r>
            <w:r>
              <w:rPr>
                <w:rStyle w:val="12"/>
                <w:rFonts w:hint="eastAsia" w:ascii="仿宋_GB2312" w:hAnsi="仿宋_GB2312" w:eastAsia="仿宋_GB2312" w:cs="仿宋_GB2312"/>
                <w:b/>
                <w:bCs/>
                <w:color w:val="auto"/>
                <w:sz w:val="32"/>
                <w:szCs w:val="32"/>
              </w:rPr>
              <w:t>尾矿库重大生产安全事故隐患</w:t>
            </w:r>
          </w:p>
          <w:p w14:paraId="3B905013">
            <w:pPr>
              <w:widowControl/>
              <w:ind w:firstLine="640" w:firstLineChars="200"/>
              <w:textAlignment w:val="center"/>
              <w:rPr>
                <w:rFonts w:hint="eastAsia" w:ascii="仿宋_GB2312" w:hAnsi="仿宋_GB2312" w:eastAsia="仿宋_GB2312" w:cs="仿宋_GB2312"/>
                <w:color w:val="auto"/>
                <w:sz w:val="32"/>
                <w:szCs w:val="32"/>
              </w:rPr>
            </w:pPr>
            <w:r>
              <w:rPr>
                <w:rStyle w:val="12"/>
                <w:rFonts w:hint="eastAsia" w:ascii="仿宋_GB2312" w:hAnsi="仿宋_GB2312" w:eastAsia="仿宋_GB2312" w:cs="仿宋_GB2312"/>
                <w:color w:val="auto"/>
                <w:sz w:val="32"/>
                <w:szCs w:val="32"/>
              </w:rPr>
              <w:t>（四）坝体超过设计坝高，或超设计库容储存尾矿。</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7279D1">
            <w:pPr>
              <w:widowControl/>
              <w:numPr>
                <w:ilvl w:val="0"/>
                <w:numId w:val="73"/>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（2）尾矿库设计资料；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（3）尾矿库安全设施设计资料；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（4）尾矿库安全预评价及现状评价报告；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（5）尾矿库年度、季度作业计划；                       （6）选厂及尾矿库生产运行记录；</w:t>
            </w:r>
          </w:p>
          <w:p w14:paraId="514F2999">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（7）尾矿库安全隐患排查治理记录；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（8）现场照片或影像资料；     </w:t>
            </w:r>
          </w:p>
          <w:p w14:paraId="240B3EAF">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392AD14E">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58BB7E">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736DBC5F">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26FCEEDE">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bCs/>
                <w:color w:val="auto"/>
                <w:kern w:val="0"/>
                <w:sz w:val="32"/>
                <w:szCs w:val="32"/>
              </w:rPr>
              <w:t xml:space="preserve">   《尾矿库安全监督管理规定》第四十条</w:t>
            </w:r>
            <w:r>
              <w:rPr>
                <w:rFonts w:hint="eastAsia" w:ascii="仿宋_GB2312" w:hAnsi="仿宋_GB2312" w:eastAsia="仿宋_GB2312" w:cs="仿宋_GB2312"/>
                <w:color w:val="auto"/>
                <w:kern w:val="0"/>
                <w:sz w:val="32"/>
                <w:szCs w:val="32"/>
              </w:rPr>
              <w:t xml:space="preserve">  生产经营单位或者尾矿库管理单位违反本规定第十八条规定的，给予警告，并处3万元的罚款；情节严重的，依法责令停产整顿或者提请县级以上地方人民政府按照规定权限予以关闭。</w:t>
            </w:r>
          </w:p>
          <w:p w14:paraId="5BA14E44">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《安全生产事故隐患排查治理暂行规定》第二十六条第（四）项</w:t>
            </w:r>
            <w:r>
              <w:rPr>
                <w:rFonts w:hint="eastAsia" w:ascii="仿宋_GB2312" w:hAnsi="仿宋_GB2312" w:eastAsia="仿宋_GB2312" w:cs="仿宋_GB2312"/>
                <w:color w:val="auto"/>
                <w:kern w:val="0"/>
                <w:sz w:val="32"/>
                <w:szCs w:val="32"/>
              </w:rPr>
              <w:t xml:space="preserve">  生产经营单位违反本规定，有下列行为之一的，由安全监管监察部门给予警告，并处三万元以下的罚款：</w:t>
            </w:r>
          </w:p>
          <w:p w14:paraId="43219AA1">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（四）重大事故隐患不报或者未及时报告的；</w:t>
            </w:r>
          </w:p>
          <w:p w14:paraId="2F220C08">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39ABA37">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171F0E">
            <w:pPr>
              <w:jc w:val="center"/>
              <w:rPr>
                <w:rFonts w:hint="eastAsia" w:ascii="仿宋_GB2312" w:hAnsi="仿宋_GB2312" w:eastAsia="仿宋_GB2312" w:cs="仿宋_GB2312"/>
                <w:b/>
                <w:color w:val="auto"/>
                <w:sz w:val="32"/>
                <w:szCs w:val="32"/>
              </w:rPr>
            </w:pPr>
          </w:p>
        </w:tc>
      </w:tr>
      <w:tr w14:paraId="100BDB2A">
        <w:tblPrEx>
          <w:tblCellMar>
            <w:top w:w="0" w:type="dxa"/>
            <w:left w:w="0" w:type="dxa"/>
            <w:bottom w:w="0" w:type="dxa"/>
            <w:right w:w="0" w:type="dxa"/>
          </w:tblCellMar>
        </w:tblPrEx>
        <w:trPr>
          <w:trHeight w:val="199"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DFADF9">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19</w:t>
            </w:r>
          </w:p>
        </w:tc>
        <w:tc>
          <w:tcPr>
            <w:tcW w:w="964"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7974C7A">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尾矿库汛期检查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F9B40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19.1尾矿库滩顶安全超高和干滩长度的情况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DA3F0C">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《尾矿库安全技术规程》（征求意见稿）5.3.8</w:t>
            </w:r>
            <w:r>
              <w:rPr>
                <w:rFonts w:hint="eastAsia" w:ascii="仿宋_GB2312" w:hAnsi="仿宋_GB2312" w:eastAsia="仿宋_GB2312" w:cs="仿宋_GB2312"/>
                <w:color w:val="auto"/>
                <w:kern w:val="0"/>
                <w:sz w:val="32"/>
                <w:szCs w:val="32"/>
              </w:rPr>
              <w:t xml:space="preserve">  上游式尾矿坝沉积滩顶至最高洪水位的高差不得小于表3的最小安全超高值，同时，滩顶至最高洪水位边线距离不得小于表3的最小滩长值。</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表3 上游式尾矿坝的最小安全超高与最小滩长</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坝的级别           1    2    3    4    5</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最小安全超高（m） 1.5  1.0  0.7  0.5  0.4</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最小滩长（m）     150  100   70   50   40</w:t>
            </w:r>
          </w:p>
          <w:p w14:paraId="66D7D67E">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《尾矿库安全技术规程》（征求意见稿）5.3.9</w:t>
            </w:r>
            <w:r>
              <w:rPr>
                <w:rFonts w:hint="eastAsia" w:ascii="仿宋_GB2312" w:hAnsi="仿宋_GB2312" w:eastAsia="仿宋_GB2312" w:cs="仿宋_GB2312"/>
                <w:color w:val="auto"/>
                <w:kern w:val="0"/>
                <w:sz w:val="32"/>
                <w:szCs w:val="32"/>
              </w:rPr>
              <w:t>下游式和中线式尾矿坝坝顶外缘至最高洪水位水边线的距离不宜小于表4的最小滩长值。</w:t>
            </w:r>
          </w:p>
          <w:p w14:paraId="4EB4DDD4">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当坝体采取防渗斜（心）墙时，坝顶至最高洪水位的高差亦不得小于表4的最小滩长对应的最小安全超高值。</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表4 下游式及中线式尾矿坝的最小滩长</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坝的级别    1    2   3    4    5</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最小滩长/m 100  70   50   35   25</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bCs/>
                <w:color w:val="auto"/>
                <w:kern w:val="0"/>
                <w:sz w:val="32"/>
                <w:szCs w:val="32"/>
              </w:rPr>
              <w:t>《金属非金属矿山重大生产安全事故隐患判定标准（试行）》第三条尾矿库重大生产安全事故隐患</w:t>
            </w:r>
          </w:p>
          <w:p w14:paraId="2E458EF5">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（八）安全超高和干滩长度小于设计规定。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521485">
            <w:pPr>
              <w:widowControl/>
              <w:numPr>
                <w:ilvl w:val="0"/>
                <w:numId w:val="74"/>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（2）尾矿库设计资料；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（3）尾矿库安全设施设计资料；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（4）尾矿库安全预评价及现状评价报告；                      （5）尾矿库浸润线在线及人工监测记录；                       （6）尾矿库水位观测标尺及干滩长度实测数据；                </w:t>
            </w:r>
          </w:p>
          <w:p w14:paraId="68923846">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（7）尾矿库安全隐患排查治理记录；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（8）现场照片或影像资料；     </w:t>
            </w:r>
          </w:p>
          <w:p w14:paraId="7BCFA8CA">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6B3340B1">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41516F">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522E3A00">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b/>
                <w:bCs/>
                <w:color w:val="auto"/>
                <w:kern w:val="0"/>
                <w:sz w:val="32"/>
                <w:szCs w:val="32"/>
              </w:rPr>
              <w:t xml:space="preserve">   《尾矿库安全监督管理规定》第四十条</w:t>
            </w:r>
            <w:r>
              <w:rPr>
                <w:rFonts w:hint="eastAsia" w:ascii="仿宋_GB2312" w:hAnsi="仿宋_GB2312" w:eastAsia="仿宋_GB2312" w:cs="仿宋_GB2312"/>
                <w:color w:val="auto"/>
                <w:kern w:val="0"/>
                <w:sz w:val="32"/>
                <w:szCs w:val="32"/>
              </w:rPr>
              <w:t xml:space="preserve">    生产经营单位或者尾矿库管理单位违反本规定第十八条规定的，给予警告，并处3万元的罚款；情节严重的，依法责令停产整顿或者提请县级以上地方人民政府按照规定权限予以关闭。                               </w:t>
            </w:r>
          </w:p>
          <w:p w14:paraId="5BD95483">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《安全生产事故隐患排查治理暂行规定》第二十六条第（四）项</w:t>
            </w:r>
            <w:r>
              <w:rPr>
                <w:rFonts w:hint="eastAsia" w:ascii="仿宋_GB2312" w:hAnsi="仿宋_GB2312" w:eastAsia="仿宋_GB2312" w:cs="仿宋_GB2312"/>
                <w:color w:val="auto"/>
                <w:kern w:val="0"/>
                <w:sz w:val="32"/>
                <w:szCs w:val="32"/>
              </w:rPr>
              <w:t xml:space="preserve">  生产经营单位违反本规定，有下列行为之一的，由安全监管监察部门给予警告，并处三万元以下的罚款：</w:t>
            </w:r>
          </w:p>
          <w:p w14:paraId="5E31BA0B">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（四）重大事故隐患不报或者未及时报告的；</w:t>
            </w:r>
          </w:p>
          <w:p w14:paraId="5DD494DD">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460A9F6">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486D76D">
            <w:pPr>
              <w:rPr>
                <w:rFonts w:hint="eastAsia" w:ascii="仿宋_GB2312" w:hAnsi="仿宋_GB2312" w:eastAsia="仿宋_GB2312" w:cs="仿宋_GB2312"/>
                <w:color w:val="auto"/>
                <w:sz w:val="32"/>
                <w:szCs w:val="32"/>
              </w:rPr>
            </w:pPr>
          </w:p>
        </w:tc>
      </w:tr>
      <w:tr w14:paraId="60E1AA5F">
        <w:tblPrEx>
          <w:tblCellMar>
            <w:top w:w="0" w:type="dxa"/>
            <w:left w:w="0" w:type="dxa"/>
            <w:bottom w:w="0" w:type="dxa"/>
            <w:right w:w="0" w:type="dxa"/>
          </w:tblCellMar>
        </w:tblPrEx>
        <w:trPr>
          <w:trHeight w:val="222"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A44E9D">
            <w:pPr>
              <w:jc w:val="center"/>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22F584">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75843A">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19.2汛期排洪防汛能力的情况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2AF219">
            <w:pPr>
              <w:widowControl/>
              <w:spacing w:after="200"/>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《尾矿库安全技术规程》（征求意见稿）5.4.5</w:t>
            </w:r>
            <w:r>
              <w:rPr>
                <w:rFonts w:hint="eastAsia" w:ascii="仿宋_GB2312" w:hAnsi="仿宋_GB2312" w:eastAsia="仿宋_GB2312" w:cs="仿宋_GB2312"/>
                <w:color w:val="auto"/>
                <w:kern w:val="0"/>
                <w:sz w:val="32"/>
                <w:szCs w:val="32"/>
              </w:rPr>
              <w:t xml:space="preserve">  设计洪水的降雨历时应采用24h计算，经论证也可采用短历时计算。</w:t>
            </w:r>
          </w:p>
          <w:p w14:paraId="0F517724">
            <w:pPr>
              <w:widowControl/>
              <w:spacing w:after="200"/>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《尾矿库安全技术规程》（征求意见稿）5.4.6</w:t>
            </w:r>
            <w:r>
              <w:rPr>
                <w:rFonts w:hint="eastAsia" w:ascii="仿宋_GB2312" w:hAnsi="仿宋_GB2312" w:eastAsia="仿宋_GB2312" w:cs="仿宋_GB2312"/>
                <w:color w:val="auto"/>
                <w:kern w:val="0"/>
                <w:sz w:val="32"/>
                <w:szCs w:val="32"/>
              </w:rPr>
              <w:t xml:space="preserve">  当一日洪水总量小于调洪库容时，洪水排出时间不宜超过72h。</w:t>
            </w:r>
          </w:p>
          <w:p w14:paraId="7F2EAB65">
            <w:pPr>
              <w:widowControl/>
              <w:spacing w:after="200"/>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《尾矿库安全监督管理规定》第二十四条第（三）项 </w:t>
            </w:r>
            <w:r>
              <w:rPr>
                <w:rFonts w:hint="eastAsia" w:ascii="仿宋_GB2312" w:hAnsi="仿宋_GB2312" w:eastAsia="仿宋_GB2312" w:cs="仿宋_GB2312"/>
                <w:color w:val="auto"/>
                <w:kern w:val="0"/>
                <w:sz w:val="32"/>
                <w:szCs w:val="32"/>
              </w:rPr>
              <w:t xml:space="preserve"> 尾矿库出现下列重大险情之一的，生产经营单位应当按照安全监管权限和职责立即报告当地县级安全生产监督管理部门和人民政府，并启动应急预案，进行抢险：</w:t>
            </w:r>
          </w:p>
          <w:p w14:paraId="5F0FEA8F">
            <w:pPr>
              <w:widowControl/>
              <w:spacing w:after="200"/>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(三)库内水位超过限制的最高洪水位的；</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2A28AB">
            <w:pPr>
              <w:widowControl/>
              <w:numPr>
                <w:ilvl w:val="0"/>
                <w:numId w:val="75"/>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（2）尾矿库安全设施设计（收集排洪设施的相关内容）；</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（3）尾矿库安全预评价及现状评价报告；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（4）尾矿库排洪设施检查维修记录；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（5）尾矿库水位观测标尺（标明警戒水位）；</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（6）尾矿库安全隐患排查治理记录；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（7）现场照片或影像资料；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7BDD357E">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A5BACB">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65FFDAE7">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（一）违反操作规程或者安全管理规定作业的；          </w:t>
            </w:r>
          </w:p>
          <w:p w14:paraId="530C994F">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《尾矿库安全监督管理规定》第三十九条第一款</w:t>
            </w:r>
            <w:r>
              <w:rPr>
                <w:rFonts w:hint="eastAsia" w:ascii="仿宋_GB2312" w:hAnsi="仿宋_GB2312" w:eastAsia="仿宋_GB2312" w:cs="仿宋_GB2312"/>
                <w:color w:val="auto"/>
                <w:kern w:val="0"/>
                <w:sz w:val="32"/>
                <w:szCs w:val="32"/>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F4FED2">
            <w:pPr>
              <w:rPr>
                <w:rFonts w:hint="eastAsia" w:ascii="仿宋_GB2312" w:hAnsi="仿宋_GB2312" w:eastAsia="仿宋_GB2312" w:cs="仿宋_GB2312"/>
                <w:color w:val="auto"/>
                <w:sz w:val="32"/>
                <w:szCs w:val="32"/>
              </w:rPr>
            </w:pPr>
          </w:p>
        </w:tc>
      </w:tr>
      <w:tr w14:paraId="16CD4B94">
        <w:tblPrEx>
          <w:tblCellMar>
            <w:top w:w="0" w:type="dxa"/>
            <w:left w:w="0" w:type="dxa"/>
            <w:bottom w:w="0" w:type="dxa"/>
            <w:right w:w="0" w:type="dxa"/>
          </w:tblCellMar>
        </w:tblPrEx>
        <w:trPr>
          <w:trHeight w:val="131"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E67EBF">
            <w:pPr>
              <w:jc w:val="center"/>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550BFA">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8FC061">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19.3尾矿库汛期排水构筑物检查的情况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D59225">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4107EC5A">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《尾矿库安全技术规程》（征求意见稿）6.4.3 </w:t>
            </w:r>
            <w:r>
              <w:rPr>
                <w:rFonts w:hint="eastAsia" w:ascii="仿宋_GB2312" w:hAnsi="仿宋_GB2312" w:eastAsia="仿宋_GB2312" w:cs="仿宋_GB2312"/>
                <w:color w:val="auto"/>
                <w:kern w:val="0"/>
                <w:sz w:val="32"/>
                <w:szCs w:val="32"/>
              </w:rPr>
              <w:t xml:space="preserve"> 汛期前应对排洪设施进行检查、维修和疏浚，确保排洪设施畅通。根据确定的排洪底坎高程，将排洪底坎以上1.5倍调洪高度内的挡板全部打开，清除排洪口前水面漂浮物；库内设清晰醒目的水位观测标尺，标明正常运行水位和警戒水位。</w:t>
            </w:r>
          </w:p>
          <w:p w14:paraId="02257970">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《尾矿库安全技术规程》（征求意见稿）6.4.6  </w:t>
            </w:r>
            <w:r>
              <w:rPr>
                <w:rFonts w:hint="eastAsia" w:ascii="仿宋_GB2312" w:hAnsi="仿宋_GB2312" w:eastAsia="仿宋_GB2312" w:cs="仿宋_GB2312"/>
                <w:color w:val="auto"/>
                <w:kern w:val="0"/>
                <w:sz w:val="32"/>
                <w:szCs w:val="32"/>
              </w:rPr>
              <w:t>非紧急情况，未经技术论证，不得用常规子坝挡水。</w:t>
            </w:r>
          </w:p>
          <w:p w14:paraId="45825517">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《尾矿库安全技术规程》（征求意见稿）6.4.8  </w:t>
            </w:r>
            <w:r>
              <w:rPr>
                <w:rFonts w:hint="eastAsia" w:ascii="仿宋_GB2312" w:hAnsi="仿宋_GB2312" w:eastAsia="仿宋_GB2312" w:cs="仿宋_GB2312"/>
                <w:color w:val="auto"/>
                <w:kern w:val="0"/>
                <w:sz w:val="32"/>
                <w:szCs w:val="32"/>
              </w:rPr>
              <w:t>不得在尾矿滩面或坝肩设置泄洪口，有地形条件的尾矿库，可设置非常排洪通道。</w:t>
            </w:r>
          </w:p>
          <w:p w14:paraId="6D1CBE92">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《尾矿库安全监督管理规定》第十八条第（六）项</w:t>
            </w:r>
            <w:r>
              <w:rPr>
                <w:rFonts w:hint="eastAsia" w:ascii="仿宋_GB2312" w:hAnsi="仿宋_GB2312" w:eastAsia="仿宋_GB2312" w:cs="仿宋_GB2312"/>
                <w:color w:val="auto"/>
                <w:kern w:val="0"/>
                <w:sz w:val="32"/>
                <w:szCs w:val="32"/>
              </w:rPr>
              <w:t xml:space="preserve">  对生产运行的尾矿库，未经技术论证和安全生产监督管理部门的批准，任何单位和个人不得对下列事项进行变更：</w:t>
            </w:r>
          </w:p>
          <w:p w14:paraId="787ACCE4">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(六)排洪系统的型式、布置及尺寸；</w:t>
            </w:r>
          </w:p>
          <w:p w14:paraId="1DEA0075">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《金属非金属矿山重大生产安全事故隐患判定标准（试行）》第三条尾矿库重大生产安全事故隐患</w:t>
            </w:r>
          </w:p>
          <w:p w14:paraId="6AB8D695">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（九）排洪系统构筑物严重堵塞或坍塌，导致排水能力急剧下降。</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ABA1E3">
            <w:pPr>
              <w:widowControl/>
              <w:numPr>
                <w:ilvl w:val="0"/>
                <w:numId w:val="76"/>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（2）尾矿库安全设施设计（收集排洪设施的相关内容）；</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（3）尾矿库安全预评价及现状评价报告；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（4）尾矿库排洪设施检查维修记录；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（5）尾矿库水位观测标尺（标明警戒水位）；</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（6）尾矿库安全隐患排查治理记录；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（7）现场照片或影像资料；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2719155D">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EA5FF8">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055ADA5E">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17719658">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（一）违反操作规程或者安全管理规定作业的；            </w:t>
            </w:r>
          </w:p>
          <w:p w14:paraId="40C473A6">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《尾矿库安全监督管理规定》第四十条</w:t>
            </w:r>
            <w:r>
              <w:rPr>
                <w:rFonts w:hint="eastAsia" w:ascii="仿宋_GB2312" w:hAnsi="仿宋_GB2312" w:eastAsia="仿宋_GB2312" w:cs="仿宋_GB2312"/>
                <w:color w:val="auto"/>
                <w:kern w:val="0"/>
                <w:sz w:val="32"/>
                <w:szCs w:val="32"/>
              </w:rPr>
              <w:t xml:space="preserve">  生产经营单位或者尾矿库管理单位违反本规定第十八条规定的，给予警告，并处3万元的罚款；情节严重的，依法责令停产整顿或者提请县级以上地方人民政府按照规定权限予以关闭。</w:t>
            </w:r>
          </w:p>
          <w:p w14:paraId="7C4C0536">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《安全生产事故隐患排查治理暂行规定》第二十六条第（四）项</w:t>
            </w:r>
            <w:r>
              <w:rPr>
                <w:rFonts w:hint="eastAsia" w:ascii="仿宋_GB2312" w:hAnsi="仿宋_GB2312" w:eastAsia="仿宋_GB2312" w:cs="仿宋_GB2312"/>
                <w:color w:val="auto"/>
                <w:kern w:val="0"/>
                <w:sz w:val="32"/>
                <w:szCs w:val="32"/>
              </w:rPr>
              <w:t xml:space="preserve">  生产经营单位违反本规定，有下列行为之一的，由安全监管监察部门给予警告，并处三万元以下的罚款：</w:t>
            </w:r>
          </w:p>
          <w:p w14:paraId="26555529">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（四）重大事故隐患不报或者未及时报告的；</w:t>
            </w:r>
          </w:p>
          <w:p w14:paraId="332CA2B2">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4FB9992">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DA9828F">
            <w:pPr>
              <w:rPr>
                <w:rFonts w:hint="eastAsia" w:ascii="仿宋_GB2312" w:hAnsi="仿宋_GB2312" w:eastAsia="仿宋_GB2312" w:cs="仿宋_GB2312"/>
                <w:color w:val="auto"/>
                <w:sz w:val="32"/>
                <w:szCs w:val="32"/>
              </w:rPr>
            </w:pPr>
          </w:p>
        </w:tc>
      </w:tr>
      <w:tr w14:paraId="44E4BDF5">
        <w:tblPrEx>
          <w:tblCellMar>
            <w:top w:w="0" w:type="dxa"/>
            <w:left w:w="0" w:type="dxa"/>
            <w:bottom w:w="0" w:type="dxa"/>
            <w:right w:w="0" w:type="dxa"/>
          </w:tblCellMar>
        </w:tblPrEx>
        <w:trPr>
          <w:trHeight w:val="313"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F1C497">
            <w:pPr>
              <w:jc w:val="center"/>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0F90BA">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5F5E0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19.4尾矿库汛期后排水沟储物清理及停用情况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C365AF">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《尾矿库安全技术规程》（征求意见稿）6.4.7 </w:t>
            </w:r>
            <w:r>
              <w:rPr>
                <w:rFonts w:hint="eastAsia" w:ascii="仿宋_GB2312" w:hAnsi="仿宋_GB2312" w:eastAsia="仿宋_GB2312" w:cs="仿宋_GB2312"/>
                <w:color w:val="auto"/>
                <w:kern w:val="0"/>
                <w:sz w:val="32"/>
                <w:szCs w:val="32"/>
              </w:rPr>
              <w:t xml:space="preserve"> 洪水过后应对坝体和排洪构筑物进行全面认真的检查与清理，发现问题及时修复，同时，采取措施降低库水位，防止连续降雨后发生垮坝事故。</w:t>
            </w:r>
          </w:p>
          <w:p w14:paraId="58FC79C2">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《尾矿库安全技术规程》（征求意见稿）6.4.9  </w:t>
            </w:r>
            <w:r>
              <w:rPr>
                <w:rFonts w:hint="eastAsia" w:ascii="仿宋_GB2312" w:hAnsi="仿宋_GB2312" w:eastAsia="仿宋_GB2312" w:cs="仿宋_GB2312"/>
                <w:color w:val="auto"/>
                <w:kern w:val="0"/>
                <w:sz w:val="32"/>
                <w:szCs w:val="32"/>
              </w:rPr>
              <w:t>尾矿库排水构筑物停用后，必须严格按设计要求及时封堵，并确保施工质量。一般情况下，必须在井内井座顶部或在隧洞支洞处封堵，严禁在排水井井筒上部封堵。</w:t>
            </w:r>
          </w:p>
          <w:p w14:paraId="630B0EC1">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《尾矿库安全监督管理规定》第十八条第（六）项  </w:t>
            </w:r>
            <w:r>
              <w:rPr>
                <w:rFonts w:hint="eastAsia" w:ascii="仿宋_GB2312" w:hAnsi="仿宋_GB2312" w:eastAsia="仿宋_GB2312" w:cs="仿宋_GB2312"/>
                <w:color w:val="auto"/>
                <w:kern w:val="0"/>
                <w:sz w:val="32"/>
                <w:szCs w:val="32"/>
              </w:rPr>
              <w:t>对生产运行的尾矿库，未经技术论证和安全生产监督管理部门的批准，任何单位和个人不得对下列事项进行变更：</w:t>
            </w:r>
          </w:p>
          <w:p w14:paraId="6EADC5C9">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(六)排洪系统的型式、布置及尺寸；</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0C67F7">
            <w:pPr>
              <w:widowControl/>
              <w:numPr>
                <w:ilvl w:val="0"/>
                <w:numId w:val="77"/>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（2）尾矿库安全设施设计（收集排洪设施的相关内容）；</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（3）尾矿库安全预评价及现状评价报告；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（4）尾矿库排洪设施检查维修记录；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（5）尾矿库水位观测标尺（标明警戒水位）；</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（6）尾矿库安全隐患排查治理记录；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（7）现场照片或影像资料；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6F66BC3A">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ED4C86">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5B2D843F">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（一）违反操作规程或者安全管理规定作业的；          </w:t>
            </w:r>
          </w:p>
          <w:p w14:paraId="4A459788">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《尾矿库安全监督管理规定》第四十条</w:t>
            </w:r>
            <w:r>
              <w:rPr>
                <w:rFonts w:hint="eastAsia" w:ascii="仿宋_GB2312" w:hAnsi="仿宋_GB2312" w:eastAsia="仿宋_GB2312" w:cs="仿宋_GB2312"/>
                <w:color w:val="auto"/>
                <w:kern w:val="0"/>
                <w:sz w:val="32"/>
                <w:szCs w:val="32"/>
              </w:rPr>
              <w:t xml:space="preserve">   生产经营单位或者尾矿库管理单位违反本规定第十八条规定的，给予警告，并处3万元的罚款；情节严重的，依法责令停产整顿或者提请县级以上地方人民政府按照规定权限予以关闭。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F244CF8">
            <w:pPr>
              <w:rPr>
                <w:rFonts w:hint="eastAsia" w:ascii="仿宋_GB2312" w:hAnsi="仿宋_GB2312" w:eastAsia="仿宋_GB2312" w:cs="仿宋_GB2312"/>
                <w:color w:val="auto"/>
                <w:sz w:val="32"/>
                <w:szCs w:val="32"/>
              </w:rPr>
            </w:pPr>
          </w:p>
        </w:tc>
      </w:tr>
      <w:tr w14:paraId="4B21A6E3">
        <w:tblPrEx>
          <w:tblCellMar>
            <w:top w:w="0" w:type="dxa"/>
            <w:left w:w="0" w:type="dxa"/>
            <w:bottom w:w="0" w:type="dxa"/>
            <w:right w:w="0" w:type="dxa"/>
          </w:tblCellMar>
        </w:tblPrEx>
        <w:trPr>
          <w:trHeight w:val="280"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7DB3E47">
            <w:pPr>
              <w:jc w:val="center"/>
              <w:rPr>
                <w:rFonts w:hint="eastAsia" w:ascii="仿宋_GB2312" w:hAnsi="仿宋_GB2312" w:eastAsia="仿宋_GB2312" w:cs="仿宋_GB2312"/>
                <w:color w:val="auto"/>
                <w:sz w:val="32"/>
                <w:szCs w:val="32"/>
              </w:rPr>
            </w:pPr>
          </w:p>
        </w:tc>
        <w:tc>
          <w:tcPr>
            <w:tcW w:w="964" w:type="dxa"/>
            <w:vMerge w:val="continue"/>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0BB073">
            <w:pPr>
              <w:widowControl/>
              <w:jc w:val="left"/>
              <w:rPr>
                <w:rFonts w:hint="eastAsia" w:ascii="仿宋_GB2312" w:hAnsi="仿宋_GB2312" w:eastAsia="仿宋_GB2312" w:cs="仿宋_GB2312"/>
                <w:color w:val="auto"/>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2876DD">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19.5尾矿库汛期库区应急管理情况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53306B">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《尾矿库安全监督管理规定》第二十一条</w:t>
            </w:r>
            <w:r>
              <w:rPr>
                <w:rFonts w:hint="eastAsia" w:ascii="仿宋_GB2312" w:hAnsi="仿宋_GB2312" w:eastAsia="仿宋_GB2312" w:cs="仿宋_GB2312"/>
                <w:color w:val="auto"/>
                <w:kern w:val="0"/>
                <w:sz w:val="32"/>
                <w:szCs w:val="32"/>
              </w:rPr>
              <w:t xml:space="preserve">    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w:t>
            </w:r>
          </w:p>
          <w:p w14:paraId="1D7F15F2">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应急预案应当按照规定报相应的安全生产监督管理部门备案，并每年至少进行一次演练。</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B3ABC4">
            <w:pPr>
              <w:widowControl/>
              <w:numPr>
                <w:ilvl w:val="0"/>
                <w:numId w:val="78"/>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（2）尾矿库安全设施设计（收集排洪设施的相关内容）；</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（3）尾矿库安全预评价及现状评价报告；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（4）尾矿库排洪设施检查维修记录；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（5）尾矿库水位观测标尺（标明警戒水位）；</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（6）尾矿库安全隐患排查治理记录；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（7）现场照片或影像资料；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7D431585">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162AFC">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《尾矿库安全监督管理规定》第三十九条第一款</w:t>
            </w:r>
            <w:r>
              <w:rPr>
                <w:rFonts w:hint="eastAsia" w:ascii="仿宋_GB2312" w:hAnsi="仿宋_GB2312" w:eastAsia="仿宋_GB2312" w:cs="仿宋_GB2312"/>
                <w:color w:val="auto"/>
                <w:kern w:val="0"/>
                <w:sz w:val="32"/>
                <w:szCs w:val="32"/>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035477F">
            <w:pPr>
              <w:rPr>
                <w:rFonts w:hint="eastAsia" w:ascii="仿宋_GB2312" w:hAnsi="仿宋_GB2312" w:eastAsia="仿宋_GB2312" w:cs="仿宋_GB2312"/>
                <w:color w:val="auto"/>
                <w:sz w:val="32"/>
                <w:szCs w:val="32"/>
              </w:rPr>
            </w:pPr>
          </w:p>
        </w:tc>
      </w:tr>
      <w:tr w14:paraId="4CA9748C">
        <w:tblPrEx>
          <w:tblCellMar>
            <w:top w:w="0" w:type="dxa"/>
            <w:left w:w="0" w:type="dxa"/>
            <w:bottom w:w="0" w:type="dxa"/>
            <w:right w:w="0" w:type="dxa"/>
          </w:tblCellMar>
        </w:tblPrEx>
        <w:trPr>
          <w:trHeight w:val="306"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CB9C8B">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20</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7BE840">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尾矿库回采和闭库检查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915307">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尾矿库回采和闭库管理的情况。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95E817">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《尾矿库安全监督管理规定》第二十七条    </w:t>
            </w:r>
            <w:r>
              <w:rPr>
                <w:rFonts w:hint="eastAsia" w:ascii="仿宋_GB2312" w:hAnsi="仿宋_GB2312" w:eastAsia="仿宋_GB2312" w:cs="仿宋_GB2312"/>
                <w:color w:val="auto"/>
                <w:kern w:val="0"/>
                <w:sz w:val="32"/>
                <w:szCs w:val="32"/>
              </w:rPr>
              <w:t>尾矿回采再利用工程应当进行回采勘察、安全预评价和回采设计，回采设计应当包括安全设施设计，并编制安全专篇。</w:t>
            </w:r>
          </w:p>
          <w:p w14:paraId="604D757C">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回采安全设施设计应当报安全生产监督管理部门审查批准。</w:t>
            </w:r>
          </w:p>
          <w:p w14:paraId="005EF4F1">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生产经营单位应当按照回采设计实施尾矿回采，并在尾矿回采期间进行日常安全管理和检查，防止尾矿回采作业对尾矿坝安全造成影响。</w:t>
            </w:r>
          </w:p>
          <w:p w14:paraId="12466FF9">
            <w:pPr>
              <w:widowControl/>
              <w:ind w:firstLine="640" w:firstLineChars="200"/>
              <w:textAlignment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尾矿全部回采后不再进行排尾作业的，生产经营单位应当及时报安全生产监督管理部门履行尾矿库注销手续。具体办法由省级安全生产监督管理部门制定。</w:t>
            </w:r>
          </w:p>
          <w:p w14:paraId="1F8CB601">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《尾矿库安全监督管理规定》第二十八条</w:t>
            </w:r>
            <w:r>
              <w:rPr>
                <w:rFonts w:hint="eastAsia" w:ascii="仿宋_GB2312" w:hAnsi="仿宋_GB2312" w:eastAsia="仿宋_GB2312" w:cs="仿宋_GB2312"/>
                <w:color w:val="auto"/>
                <w:kern w:val="0"/>
                <w:sz w:val="32"/>
                <w:szCs w:val="32"/>
              </w:rPr>
              <w:t xml:space="preserve">    尾矿库运行到设计最终标高或者不再进行排尾作业的，应当在一年内完成闭库。特殊情况不能按期完成闭库的，应当报经相应的安全生产监督管理部门同意后方可延期，但延长期限不得超过6个月。</w:t>
            </w:r>
          </w:p>
          <w:p w14:paraId="09CE225F">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库容小于10万立方米且总坝高低于10米的小型尾矿库闭库程序，由省级安全生产监督管理部门根据本地实际制定。</w:t>
            </w:r>
          </w:p>
          <w:p w14:paraId="574FEEFB">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《尾矿库安全监督管理规定》第二十九条</w:t>
            </w:r>
            <w:r>
              <w:rPr>
                <w:rFonts w:hint="eastAsia" w:ascii="仿宋_GB2312" w:hAnsi="仿宋_GB2312" w:eastAsia="仿宋_GB2312" w:cs="仿宋_GB2312"/>
                <w:color w:val="auto"/>
                <w:kern w:val="0"/>
                <w:sz w:val="32"/>
                <w:szCs w:val="32"/>
              </w:rPr>
              <w:t xml:space="preserve">    尾矿库运行到设计最终标高的前12个月内，生产经营单位应当进行闭库前的安全现状评价和闭库设计，闭库设计应当包括安全设施设计。</w:t>
            </w:r>
          </w:p>
          <w:p w14:paraId="6C5C52D7">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闭库安全设施设计应当经有关安全生产监督管理部门审查批准。</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979598">
            <w:pPr>
              <w:widowControl/>
              <w:numPr>
                <w:ilvl w:val="0"/>
                <w:numId w:val="79"/>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（2）尾矿库回采安全设施设计；</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（3）尾矿库闭库前安全现状评价和闭库设计；                       </w:t>
            </w:r>
          </w:p>
          <w:p w14:paraId="5CEE5215">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（4）尾矿库闭库工程安全验收评价报告；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（5）尾矿库闭库安全设施设计施工记录、竣工报告、竣工图和施工监理报告；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7425100D">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snapToGrid w:val="0"/>
                <w:color w:val="auto"/>
                <w:kern w:val="0"/>
                <w:sz w:val="32"/>
                <w:szCs w:val="32"/>
              </w:rPr>
              <w:t>图片或影像资料以及</w:t>
            </w:r>
            <w:r>
              <w:rPr>
                <w:rFonts w:hint="eastAsia" w:ascii="仿宋_GB2312" w:hAnsi="仿宋_GB2312" w:eastAsia="仿宋_GB2312" w:cs="仿宋_GB2312"/>
                <w:color w:val="auto"/>
                <w:kern w:val="0"/>
                <w:sz w:val="32"/>
                <w:szCs w:val="32"/>
              </w:rPr>
              <w:t>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77C2CB">
            <w:pPr>
              <w:widowControl/>
              <w:ind w:firstLine="643"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《尾矿库安全监督管理规定》第三十九条第一款</w:t>
            </w:r>
            <w:r>
              <w:rPr>
                <w:rFonts w:hint="eastAsia" w:ascii="仿宋_GB2312" w:hAnsi="仿宋_GB2312" w:eastAsia="仿宋_GB2312" w:cs="仿宋_GB2312"/>
                <w:color w:val="auto"/>
                <w:kern w:val="0"/>
                <w:sz w:val="32"/>
                <w:szCs w:val="32"/>
              </w:rPr>
              <w:t xml:space="preserve">   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                                         </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4FDD1C3">
            <w:pPr>
              <w:rPr>
                <w:rFonts w:hint="eastAsia" w:ascii="仿宋_GB2312" w:hAnsi="仿宋_GB2312" w:eastAsia="仿宋_GB2312" w:cs="仿宋_GB2312"/>
                <w:color w:val="auto"/>
                <w:sz w:val="32"/>
                <w:szCs w:val="32"/>
              </w:rPr>
            </w:pPr>
          </w:p>
        </w:tc>
      </w:tr>
      <w:tr w14:paraId="3797E128">
        <w:tblPrEx>
          <w:tblCellMar>
            <w:top w:w="0" w:type="dxa"/>
            <w:left w:w="0" w:type="dxa"/>
            <w:bottom w:w="0" w:type="dxa"/>
            <w:right w:w="0" w:type="dxa"/>
          </w:tblCellMar>
        </w:tblPrEx>
        <w:trPr>
          <w:trHeight w:val="90"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AC8DDB2">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21</w:t>
            </w: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692FEC">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尾矿库安全度检查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C3255A">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尾矿库安全度情况（主要根据尾矿库防洪能力和尾矿坝坝体稳定性确定，分为危库、险库、病库、正常库四级）。</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DD905D">
            <w:pPr>
              <w:widowControl/>
              <w:ind w:firstLine="643" w:firstLineChars="200"/>
              <w:textAlignment w:val="center"/>
              <w:rPr>
                <w:rFonts w:hint="eastAsia" w:ascii="仿宋_GB2312" w:hAnsi="仿宋_GB2312" w:eastAsia="仿宋_GB2312" w:cs="仿宋_GB2312"/>
                <w:b/>
                <w:bCs/>
                <w:color w:val="auto"/>
                <w:kern w:val="0"/>
                <w:sz w:val="32"/>
                <w:szCs w:val="32"/>
              </w:rPr>
            </w:pPr>
          </w:p>
          <w:p w14:paraId="273BED86">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《尾矿库安全技术规程》（征求意见稿）12.2危库</w:t>
            </w:r>
            <w:r>
              <w:rPr>
                <w:rFonts w:hint="eastAsia" w:ascii="仿宋_GB2312" w:hAnsi="仿宋_GB2312" w:eastAsia="仿宋_GB2312" w:cs="仿宋_GB2312"/>
                <w:color w:val="auto"/>
                <w:kern w:val="0"/>
                <w:sz w:val="32"/>
                <w:szCs w:val="32"/>
              </w:rPr>
              <w:t xml:space="preserve">  危库指安全没有保障，随时可能发生垮坝事故的尾矿库。危库必须停止生产并采取应急措施。</w:t>
            </w:r>
          </w:p>
          <w:p w14:paraId="6496B00B">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尾矿库有下列工况之一的为危库：</w:t>
            </w:r>
          </w:p>
          <w:p w14:paraId="5590954B">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a)尾矿库调洪库容严重不足，在设计洪水位时，安全超高和最小干滩长度都不满足设计要求，将可能出现洪水漫顶；</w:t>
            </w:r>
          </w:p>
          <w:p w14:paraId="52097872">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b)排洪系统严重堵塞或坍塌，不能排水或排水能力急剧降低；</w:t>
            </w:r>
          </w:p>
          <w:p w14:paraId="3D085515">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c)排水井显著倾斜，有倒塌的迹象；</w:t>
            </w:r>
          </w:p>
          <w:p w14:paraId="7CAF3D8A">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d)坝体出现贯穿性横向裂缝，且出现较大范围管涌、流土变形，坝体出现深层滑动迹象；</w:t>
            </w:r>
          </w:p>
          <w:p w14:paraId="290A56D7">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e)经验算，坝体抗滑稳定最小安全系数小于表 6 规定值的 0.95；</w:t>
            </w:r>
          </w:p>
          <w:p w14:paraId="15042734">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f)其他严重危及尾矿库安全运行的情况。</w:t>
            </w:r>
          </w:p>
          <w:p w14:paraId="5891C953">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《尾矿库安全技术规程》（征求意见稿）12.3险库</w:t>
            </w:r>
            <w:r>
              <w:rPr>
                <w:rFonts w:hint="eastAsia" w:ascii="仿宋_GB2312" w:hAnsi="仿宋_GB2312" w:eastAsia="仿宋_GB2312" w:cs="仿宋_GB2312"/>
                <w:color w:val="auto"/>
                <w:kern w:val="0"/>
                <w:sz w:val="32"/>
                <w:szCs w:val="32"/>
              </w:rPr>
              <w:t xml:space="preserve">  险库指安全设施存在严重隐患，若不及时处理将会导致垮坝事故的尾矿库。险库必须立即停产，排除险情。</w:t>
            </w:r>
          </w:p>
          <w:p w14:paraId="14F1B9DB">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尾矿库有下列工况之一的为险库：</w:t>
            </w:r>
          </w:p>
          <w:p w14:paraId="17C24CBD">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a)尾矿库调洪库容不足，在设计洪水位时，安全超高和最小干滩长度均不满足设计要求；</w:t>
            </w:r>
          </w:p>
          <w:p w14:paraId="280FF9B8">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b)排洪系统部分堵塞或坍塌，排水能力有所降低，达不到设计要求；</w:t>
            </w:r>
          </w:p>
          <w:p w14:paraId="55648D3C">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c)排水井有所倾斜；</w:t>
            </w:r>
          </w:p>
          <w:p w14:paraId="581E72D5">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d)坝体出现浅层滑动迹象；</w:t>
            </w:r>
          </w:p>
          <w:p w14:paraId="35477E71">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e)经验算，坝体抗滑稳定最小安全系数小于表 6 规定值的 0.98；</w:t>
            </w:r>
          </w:p>
          <w:p w14:paraId="561FED5D">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f)坝体出现大面积纵向裂缝，且出现较大范围渗透水高位出逸，出现大面积沼泽化；</w:t>
            </w:r>
          </w:p>
          <w:p w14:paraId="1106332E">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g)其他危及尾矿库安全运行的情况。</w:t>
            </w:r>
          </w:p>
          <w:p w14:paraId="210B4157">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《尾矿库安全技术规程》（征求意见稿）12.4病库</w:t>
            </w:r>
            <w:r>
              <w:rPr>
                <w:rFonts w:hint="eastAsia" w:ascii="仿宋_GB2312" w:hAnsi="仿宋_GB2312" w:eastAsia="仿宋_GB2312" w:cs="仿宋_GB2312"/>
                <w:color w:val="auto"/>
                <w:kern w:val="0"/>
                <w:sz w:val="32"/>
                <w:szCs w:val="32"/>
              </w:rPr>
              <w:t xml:space="preserve">  病库指安全设施不完全符合设计规定，但符合基本安全生产条件的尾矿库。病库应限期整改。</w:t>
            </w:r>
          </w:p>
          <w:p w14:paraId="43933262">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尾矿库有下列工况之一的为病库：</w:t>
            </w:r>
          </w:p>
          <w:p w14:paraId="059972E5">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a)尾矿库调洪库容不足，在设计洪水位时不能同时满足设计规定的安全超高和最小干滩长度的要求；</w:t>
            </w:r>
          </w:p>
          <w:p w14:paraId="2E513329">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b)排洪设施出现不影响安全使用的裂缝、腐蚀或磨损；</w:t>
            </w:r>
          </w:p>
          <w:p w14:paraId="6D21A5E1">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c)经验算，坝体抗滑稳定最小安全系数满足表 6 规定值，但部分高程上堆积边坡过陡，可能出现局部失稳；</w:t>
            </w:r>
          </w:p>
          <w:p w14:paraId="6B9EEAA1">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d)浸润线位置局部较高，有渗透水出逸，坝面局部出现沼泽化；</w:t>
            </w:r>
          </w:p>
          <w:p w14:paraId="6A658BFD">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e)坝面局部出现纵向或横向裂缝；</w:t>
            </w:r>
          </w:p>
          <w:p w14:paraId="41A5B819">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f)坝面未按设计设置排水沟，冲蚀严重，形成较多或较大的冲沟</w:t>
            </w:r>
          </w:p>
          <w:p w14:paraId="25E2E01C">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g)坝端无截水沟，山坡雨水冲刷坝肩；</w:t>
            </w:r>
          </w:p>
          <w:p w14:paraId="07ED86DD">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h)堆积坝外坡未按设计覆土、植被；</w:t>
            </w:r>
          </w:p>
          <w:p w14:paraId="5985F99F">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i)其他不影响尾矿库基本安全生产条件的非正常情况。</w:t>
            </w:r>
          </w:p>
          <w:p w14:paraId="66726D5E">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《尾矿库安全技术规程》（征求意见稿）12.5正常库</w:t>
            </w:r>
            <w:r>
              <w:rPr>
                <w:rFonts w:hint="eastAsia" w:ascii="仿宋_GB2312" w:hAnsi="仿宋_GB2312" w:eastAsia="仿宋_GB2312" w:cs="仿宋_GB2312"/>
                <w:color w:val="auto"/>
                <w:kern w:val="0"/>
                <w:sz w:val="32"/>
                <w:szCs w:val="32"/>
              </w:rPr>
              <w:t xml:space="preserve">  尾矿库同时满足下列工况的为正常库：</w:t>
            </w:r>
          </w:p>
          <w:p w14:paraId="2481C363">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a)尾矿库在设计洪水位时能同时满足设计规定的安全超高和最小干滩长度的要求；</w:t>
            </w:r>
          </w:p>
          <w:p w14:paraId="451B840A">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b)排水系统各构筑物符合设计要求，工况正常；</w:t>
            </w:r>
          </w:p>
          <w:p w14:paraId="410C9D19">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c)尾矿坝的轮廓尺寸符合设计要求，稳定安全系数满足设计要求；</w:t>
            </w:r>
          </w:p>
          <w:p w14:paraId="4A1D969D">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d)坝体渗流控制满足要求，运行工况正常。                                             </w:t>
            </w:r>
          </w:p>
          <w:p w14:paraId="17C66B3E">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《尾矿库安全监督管理规定》第二十条</w:t>
            </w:r>
            <w:r>
              <w:rPr>
                <w:rFonts w:hint="eastAsia" w:ascii="仿宋_GB2312" w:hAnsi="仿宋_GB2312" w:eastAsia="仿宋_GB2312" w:cs="仿宋_GB2312"/>
                <w:color w:val="auto"/>
                <w:kern w:val="0"/>
                <w:sz w:val="32"/>
                <w:szCs w:val="32"/>
              </w:rPr>
              <w:t xml:space="preserve">    尾矿库经安全现状评价或者专家论证被确定为危库、险库和病库的，生产经营单位应当分别采取下列措施：</w:t>
            </w:r>
          </w:p>
          <w:p w14:paraId="491755F0">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（一）确定为危库的，应当立即停产，进行抢险，并向尾矿库所在地县级人民政府、安全生产监督管理部门和上级主管单位报告；</w:t>
            </w:r>
          </w:p>
          <w:p w14:paraId="6D442897">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（二）确定为险库的，应当立即停产，在限定的时间内消除险情，并向尾矿库所在地县级人民政府、安全生产监督管理部门和上级主管单位报告；                                </w:t>
            </w:r>
          </w:p>
          <w:p w14:paraId="5E797291">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（三）确定为病库的，应当在限定的时间内按照正常库标准进行整治，消除事故隐患。</w:t>
            </w:r>
          </w:p>
          <w:p w14:paraId="78FB6E1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3D85C232">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《国家安全监管总局关于印发〈金属非金属矿山重大生产安全事故隐患判定标准（试行）〉的通知》</w:t>
            </w:r>
            <w:r>
              <w:rPr>
                <w:rFonts w:hint="eastAsia" w:ascii="仿宋_GB2312" w:hAnsi="仿宋_GB2312" w:eastAsia="仿宋_GB2312" w:cs="仿宋_GB2312"/>
                <w:color w:val="auto"/>
                <w:kern w:val="0"/>
                <w:sz w:val="32"/>
                <w:szCs w:val="32"/>
              </w:rPr>
              <w:t>(安监总管一〔2017〕98号)</w:t>
            </w:r>
          </w:p>
          <w:p w14:paraId="2BBBFC7D">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三、尾矿库重大生产安全事故隐患</w:t>
            </w:r>
          </w:p>
          <w:p w14:paraId="7EB7644E">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（六）未按法规、国家标准或行业标准对坝体稳定性进行评估。</w:t>
            </w:r>
          </w:p>
          <w:p w14:paraId="644BE5E4">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《尾矿库安全监督管理规定》第十九条  尾矿库应当每三年至少进行一次安全现状评价。安全现状评价应当符合国家标准或者行业标准的要求。尾矿库安全现状评价工作应当有能够进行尾矿坝稳定性验算、尾矿库水文计算、构筑物计算的专业技术人员参加。上游式尾矿坝堆积至二分之一至三分之二最终设计坝高时，应当对坝体进行一次全面勘察，并进行稳定性专项评价。</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3E70EF">
            <w:pPr>
              <w:widowControl/>
              <w:numPr>
                <w:ilvl w:val="0"/>
                <w:numId w:val="80"/>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相关证照；                        </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（2）安全预评价、现状评价报告或专家论证资料；                    </w:t>
            </w:r>
          </w:p>
          <w:p w14:paraId="441E9426">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（3）人工及在线监测记录；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（4）在线监测系统维护保养记录；                      （5）尾矿库安全隐患排查治理记录；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（6）尾矿库采取的安全技术措施；</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（7）尾矿库隐患整治方案；</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（8）现场照片或影像资料；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6329D176">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FD3E9B">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36E48E2">
            <w:pPr>
              <w:widowControl/>
              <w:ind w:firstLine="643" w:firstLineChars="200"/>
              <w:jc w:val="left"/>
              <w:textAlignment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 xml:space="preserve">《尾矿库安全监督管理规定》第三十九条  </w:t>
            </w:r>
            <w:r>
              <w:rPr>
                <w:rFonts w:hint="eastAsia" w:ascii="仿宋_GB2312" w:hAnsi="仿宋_GB2312" w:eastAsia="仿宋_GB2312" w:cs="仿宋_GB2312"/>
                <w:bCs/>
                <w:color w:val="auto"/>
                <w:kern w:val="0"/>
                <w:sz w:val="32"/>
                <w:szCs w:val="32"/>
              </w:rPr>
              <w:t>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r>
              <w:rPr>
                <w:rFonts w:hint="eastAsia" w:ascii="仿宋_GB2312" w:hAnsi="仿宋_GB2312" w:eastAsia="仿宋_GB2312" w:cs="仿宋_GB2312"/>
                <w:b/>
                <w:bCs/>
                <w:color w:val="auto"/>
                <w:kern w:val="0"/>
                <w:sz w:val="32"/>
                <w:szCs w:val="32"/>
              </w:rPr>
              <w:t>。</w:t>
            </w:r>
          </w:p>
          <w:p w14:paraId="6B5F95A9">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《尾矿库安全监督管理规定》第三十九条第一款</w:t>
            </w:r>
            <w:r>
              <w:rPr>
                <w:rFonts w:hint="eastAsia" w:ascii="仿宋_GB2312" w:hAnsi="仿宋_GB2312" w:eastAsia="仿宋_GB2312" w:cs="仿宋_GB2312"/>
                <w:color w:val="auto"/>
                <w:kern w:val="0"/>
                <w:sz w:val="32"/>
                <w:szCs w:val="32"/>
              </w:rPr>
              <w:t xml:space="preserve">  生产经营单位或者尾矿库管理单位违反本规定第八条第二款、第十九条、第二十条、第二十一条、第二十二条、第二十三条、第二十四条、第二十六条、第二十九条第一款规定的，给予警告，并处1万元以上3万元以下的罚款；对主管人员和直接责任人员由其所在单位或者上级主管单位给予行政处分；构成犯罪的，依法追究刑事责任。</w:t>
            </w:r>
          </w:p>
          <w:p w14:paraId="33DA759E">
            <w:pPr>
              <w:widowControl/>
              <w:ind w:firstLine="640" w:firstLineChars="200"/>
              <w:jc w:val="left"/>
              <w:textAlignment w:val="center"/>
              <w:rPr>
                <w:rFonts w:hint="eastAsia" w:ascii="仿宋_GB2312" w:hAnsi="仿宋_GB2312" w:eastAsia="仿宋_GB2312" w:cs="仿宋_GB2312"/>
                <w:color w:val="auto"/>
                <w:sz w:val="32"/>
                <w:szCs w:val="32"/>
              </w:rPr>
            </w:pP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6DCE86">
            <w:pPr>
              <w:rPr>
                <w:rFonts w:hint="eastAsia" w:ascii="仿宋_GB2312" w:hAnsi="仿宋_GB2312" w:eastAsia="仿宋_GB2312" w:cs="仿宋_GB2312"/>
                <w:color w:val="auto"/>
                <w:sz w:val="32"/>
                <w:szCs w:val="32"/>
              </w:rPr>
            </w:pPr>
          </w:p>
        </w:tc>
      </w:tr>
      <w:tr w14:paraId="52FB0731">
        <w:tblPrEx>
          <w:tblCellMar>
            <w:top w:w="0" w:type="dxa"/>
            <w:left w:w="0" w:type="dxa"/>
            <w:bottom w:w="0" w:type="dxa"/>
            <w:right w:w="0" w:type="dxa"/>
          </w:tblCellMar>
        </w:tblPrEx>
        <w:trPr>
          <w:trHeight w:val="90" w:hRule="atLeast"/>
          <w:jc w:val="center"/>
        </w:trPr>
        <w:tc>
          <w:tcPr>
            <w:tcW w:w="62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03D66092">
            <w:pPr>
              <w:widowControl/>
              <w:jc w:val="center"/>
              <w:textAlignment w:val="center"/>
              <w:rPr>
                <w:rFonts w:hint="eastAsia" w:ascii="仿宋_GB2312" w:hAnsi="仿宋_GB2312" w:eastAsia="仿宋_GB2312" w:cs="仿宋_GB2312"/>
                <w:color w:val="auto"/>
                <w:kern w:val="0"/>
                <w:sz w:val="32"/>
                <w:szCs w:val="32"/>
              </w:rPr>
            </w:pPr>
          </w:p>
        </w:tc>
        <w:tc>
          <w:tcPr>
            <w:tcW w:w="96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097151">
            <w:pPr>
              <w:widowControl/>
              <w:jc w:val="left"/>
              <w:textAlignment w:val="center"/>
              <w:rPr>
                <w:rFonts w:hint="eastAsia" w:ascii="仿宋_GB2312" w:hAnsi="仿宋_GB2312" w:eastAsia="仿宋_GB2312" w:cs="仿宋_GB2312"/>
                <w:color w:val="auto"/>
                <w:kern w:val="0"/>
                <w:sz w:val="32"/>
                <w:szCs w:val="32"/>
              </w:rPr>
            </w:pP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2379A4">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浸润线埋深</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10E3DE">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F1F9E2A">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《尾矿库安全技术规程》</w:t>
            </w:r>
            <w:r>
              <w:rPr>
                <w:rFonts w:hint="eastAsia" w:ascii="仿宋_GB2312" w:hAnsi="仿宋_GB2312" w:eastAsia="仿宋_GB2312" w:cs="仿宋_GB2312"/>
                <w:color w:val="auto"/>
                <w:kern w:val="0"/>
                <w:sz w:val="32"/>
                <w:szCs w:val="32"/>
              </w:rPr>
              <w:t>(AQ 2006-2005)</w:t>
            </w:r>
          </w:p>
          <w:p w14:paraId="66BF9347">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4.3.5  尾矿坝的渗流控制措施必须确保浸润线低于控制浸润线。</w:t>
            </w:r>
          </w:p>
          <w:p w14:paraId="520B2377">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6.5.2  在尾矿库运行过程中，如坝体浸润线超过控制线，应经安全技术论证增设或更新排渗设施。</w:t>
            </w:r>
          </w:p>
          <w:p w14:paraId="7188420C">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《国家安全监管总局关于印发〈金属非金属矿山重大生产安全事故隐患判定标准（试行）〉的通知》(安监总管一〔2017〕98号)</w:t>
            </w:r>
          </w:p>
          <w:p w14:paraId="6E09C1ED">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三、尾矿库重大生产安全事故隐患</w:t>
            </w:r>
          </w:p>
          <w:p w14:paraId="13A26FF7">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（七）浸润线埋深小于控制浸润线埋深。</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08098B">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（1）相关证照；                        </w:t>
            </w:r>
          </w:p>
          <w:p w14:paraId="2699E242">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（2）安全预评价、现状评价报告或专家论证资料；                    </w:t>
            </w:r>
          </w:p>
          <w:p w14:paraId="2B49794A">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（3）人工及在线监测记录；</w:t>
            </w:r>
          </w:p>
          <w:p w14:paraId="28DD45E9">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（4）在线监测系统维护保养记录；                      （5）尾矿库安全隐患排查治理记录；</w:t>
            </w:r>
          </w:p>
          <w:p w14:paraId="15E8FBE7">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（6）现场照片或影像资料；</w:t>
            </w:r>
          </w:p>
          <w:p w14:paraId="1E0F3138">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72BD71F3">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8BFD18">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620A0A89">
            <w:pPr>
              <w:widowControl/>
              <w:ind w:firstLine="640" w:firstLineChars="200"/>
              <w:jc w:val="left"/>
              <w:textAlignment w:val="center"/>
              <w:rPr>
                <w:rFonts w:hint="eastAsia" w:ascii="仿宋_GB2312" w:hAnsi="仿宋_GB2312" w:eastAsia="仿宋_GB2312" w:cs="仿宋_GB2312"/>
                <w:color w:val="auto"/>
                <w:kern w:val="0"/>
                <w:sz w:val="32"/>
                <w:szCs w:val="32"/>
              </w:rPr>
            </w:pP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6287143">
            <w:pPr>
              <w:rPr>
                <w:rFonts w:hint="eastAsia" w:ascii="仿宋_GB2312" w:hAnsi="仿宋_GB2312" w:eastAsia="仿宋_GB2312" w:cs="仿宋_GB2312"/>
                <w:color w:val="auto"/>
                <w:sz w:val="32"/>
                <w:szCs w:val="32"/>
              </w:rPr>
            </w:pPr>
          </w:p>
        </w:tc>
      </w:tr>
      <w:tr w14:paraId="652FAB0C">
        <w:tblPrEx>
          <w:tblCellMar>
            <w:top w:w="0" w:type="dxa"/>
            <w:left w:w="0" w:type="dxa"/>
            <w:bottom w:w="0" w:type="dxa"/>
            <w:right w:w="0" w:type="dxa"/>
          </w:tblCellMar>
        </w:tblPrEx>
        <w:trPr>
          <w:trHeight w:val="334" w:hRule="atLeast"/>
          <w:jc w:val="center"/>
        </w:trPr>
        <w:tc>
          <w:tcPr>
            <w:tcW w:w="6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F95FC4">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22</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8569650">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其他检查</w:t>
            </w:r>
          </w:p>
        </w:tc>
        <w:tc>
          <w:tcPr>
            <w:tcW w:w="106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1A8C58">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尾矿库其他运行情况</w:t>
            </w:r>
          </w:p>
        </w:tc>
        <w:tc>
          <w:tcPr>
            <w:tcW w:w="378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3FB1A5">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《尾矿库安全技术规程》（征求意见稿）6.3.8  </w:t>
            </w:r>
            <w:r>
              <w:rPr>
                <w:rFonts w:hint="eastAsia" w:ascii="仿宋_GB2312" w:hAnsi="仿宋_GB2312" w:eastAsia="仿宋_GB2312" w:cs="仿宋_GB2312"/>
                <w:color w:val="auto"/>
                <w:kern w:val="0"/>
                <w:sz w:val="32"/>
                <w:szCs w:val="32"/>
              </w:rPr>
              <w:t>冰冻期、事故期或由某种原因确需长期集中放矿时，不得出现影响后续堆积坝体稳定的不利因素。</w:t>
            </w:r>
          </w:p>
          <w:p w14:paraId="23021011">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《尾矿库安全技术规程》（征求意见稿）9.3.3  </w:t>
            </w:r>
            <w:r>
              <w:rPr>
                <w:rFonts w:hint="eastAsia" w:ascii="仿宋_GB2312" w:hAnsi="仿宋_GB2312" w:eastAsia="仿宋_GB2312" w:cs="仿宋_GB2312"/>
                <w:color w:val="auto"/>
                <w:kern w:val="0"/>
                <w:sz w:val="32"/>
                <w:szCs w:val="32"/>
              </w:rPr>
              <w:t>检查库区范围内危及尾矿库安全的主要内容：违章爆破、采石和建筑，违章进行尾矿回采、取水，外来尾矿、废石、废水和废弃物排入，放牧和开垦等。</w:t>
            </w:r>
          </w:p>
          <w:p w14:paraId="4CB4EAAA">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《尾矿库安全监督管理规定》第十八条第（三）、（七）项</w:t>
            </w:r>
            <w:r>
              <w:rPr>
                <w:rFonts w:hint="eastAsia" w:ascii="仿宋_GB2312" w:hAnsi="仿宋_GB2312" w:eastAsia="仿宋_GB2312" w:cs="仿宋_GB2312"/>
                <w:color w:val="auto"/>
                <w:kern w:val="0"/>
                <w:sz w:val="32"/>
                <w:szCs w:val="32"/>
              </w:rPr>
              <w:t xml:space="preserve">  对生产运行的尾矿库，未经技术论证和安全生产监督管理部门的批准，任何单位和个人不得对下列事项进行变更：</w:t>
            </w:r>
          </w:p>
          <w:p w14:paraId="29354AC5">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(三)尾矿物化特性；......</w:t>
            </w:r>
          </w:p>
          <w:p w14:paraId="20D081D9">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(七)设计以外的尾矿、废料或者废水进库等。              </w:t>
            </w:r>
          </w:p>
          <w:p w14:paraId="4E910D5C">
            <w:pPr>
              <w:widowControl/>
              <w:ind w:firstLine="643"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《金属非金属矿山重大生产安全事故隐患判定标准（试行）》第三条尾矿库重大生产安全事故隐患</w:t>
            </w:r>
          </w:p>
          <w:p w14:paraId="302E8C86">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（十）设计以外的尾矿、废料或者废水进库。</w:t>
            </w:r>
          </w:p>
          <w:p w14:paraId="76C65168">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（十一）多种矿石性质不同的尾砂混合排放时，未按设计要求进行排放。</w:t>
            </w:r>
          </w:p>
          <w:p w14:paraId="72B66585">
            <w:pPr>
              <w:widowControl/>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（十二）冬季未按照设计要求采用冰下放矿作业。</w:t>
            </w:r>
          </w:p>
        </w:tc>
        <w:tc>
          <w:tcPr>
            <w:tcW w:w="388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285FE5">
            <w:pPr>
              <w:widowControl/>
              <w:numPr>
                <w:ilvl w:val="0"/>
                <w:numId w:val="81"/>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相关证照；</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（2）尾矿库设计文件；</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（3）尾矿库安全设施设计资料；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（4）尾矿库安全预评价报告；</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（5）尾矿库专家技术论证资料；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 xml:space="preserve">（6）现场照片或影像资料；     </w:t>
            </w:r>
          </w:p>
          <w:p w14:paraId="37472C53">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w:t>
            </w:r>
            <w:r>
              <w:rPr>
                <w:rFonts w:hint="eastAsia" w:ascii="仿宋_GB2312" w:hAnsi="仿宋_GB2312" w:eastAsia="仿宋_GB2312" w:cs="仿宋_GB2312"/>
                <w:bCs/>
                <w:snapToGrid w:val="0"/>
                <w:color w:val="auto"/>
                <w:kern w:val="0"/>
                <w:sz w:val="32"/>
                <w:szCs w:val="32"/>
              </w:rPr>
              <w:t>《询问通知书》《询问笔录》</w:t>
            </w:r>
            <w:r>
              <w:rPr>
                <w:rFonts w:hint="eastAsia" w:ascii="仿宋_GB2312" w:hAnsi="仿宋_GB2312" w:eastAsia="仿宋_GB2312" w:cs="仿宋_GB2312"/>
                <w:color w:val="auto"/>
                <w:kern w:val="0"/>
                <w:sz w:val="32"/>
                <w:szCs w:val="32"/>
              </w:rPr>
              <w:t xml:space="preserve">等相关执法文书；            </w:t>
            </w:r>
          </w:p>
          <w:p w14:paraId="65241D08">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（8）其他相关证据。</w:t>
            </w:r>
          </w:p>
        </w:tc>
        <w:tc>
          <w:tcPr>
            <w:tcW w:w="38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63D34A">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《安全生产违法行为行政处罚办法》第四十五条第（一）项</w:t>
            </w:r>
            <w:r>
              <w:rPr>
                <w:rFonts w:hint="eastAsia" w:ascii="仿宋_GB2312" w:hAnsi="仿宋_GB2312" w:eastAsia="仿宋_GB2312" w:cs="仿宋_GB2312"/>
                <w:color w:val="auto"/>
                <w:kern w:val="0"/>
                <w:sz w:val="32"/>
                <w:szCs w:val="32"/>
              </w:rPr>
              <w:t xml:space="preserve">  生产经营单位及其主要负责人或者其他人员有下列行为之一的，给予警告，并可以对生产经营单位处1万元以上3万元以下罚款，对其主要负责人、其他有关人员处1000元以上1万元以下的罚款：</w:t>
            </w:r>
          </w:p>
          <w:p w14:paraId="5A918DCF">
            <w:pPr>
              <w:widowControl/>
              <w:ind w:firstLine="640"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（一）违反操作规程或者安全管理规定作业的；         </w:t>
            </w:r>
          </w:p>
          <w:p w14:paraId="5460C32F">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《尾矿库安全监督管理规定》第四十条</w:t>
            </w:r>
            <w:r>
              <w:rPr>
                <w:rFonts w:hint="eastAsia" w:ascii="仿宋_GB2312" w:hAnsi="仿宋_GB2312" w:eastAsia="仿宋_GB2312" w:cs="仿宋_GB2312"/>
                <w:color w:val="auto"/>
                <w:kern w:val="0"/>
                <w:sz w:val="32"/>
                <w:szCs w:val="32"/>
              </w:rPr>
              <w:t xml:space="preserve">  生产经营单位或者尾矿库管理单位违反本规定第十八条规定的，给予警告，并处3万元的罚款；情节严重的，依法责令停产整顿或者提请县级以上地方人民政府按照规定权限予以关闭。</w:t>
            </w:r>
          </w:p>
          <w:p w14:paraId="22E2698B">
            <w:pPr>
              <w:widowControl/>
              <w:ind w:firstLine="643" w:firstLineChars="200"/>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《安全生产事故隐患排查治理暂行规定》第二十六条第（四）项</w:t>
            </w:r>
            <w:r>
              <w:rPr>
                <w:rFonts w:hint="eastAsia" w:ascii="仿宋_GB2312" w:hAnsi="仿宋_GB2312" w:eastAsia="仿宋_GB2312" w:cs="仿宋_GB2312"/>
                <w:color w:val="auto"/>
                <w:kern w:val="0"/>
                <w:sz w:val="32"/>
                <w:szCs w:val="32"/>
              </w:rPr>
              <w:t xml:space="preserve">  生产经营单位违反本规定，有下列行为之一的，由安全监管监察部门给予警告，并处三万元以下的罚款：</w:t>
            </w:r>
          </w:p>
          <w:p w14:paraId="60002F9F">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（四）重大事故隐患不报或者未及时报告的；</w:t>
            </w:r>
          </w:p>
          <w:p w14:paraId="67185B0F">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第六十五条第一款第三项</w:t>
            </w:r>
            <w:r>
              <w:rPr>
                <w:rFonts w:hint="eastAsia" w:ascii="仿宋_GB2312" w:hAnsi="仿宋_GB2312" w:eastAsia="仿宋_GB2312" w:cs="仿宋_GB2312"/>
                <w:color w:val="auto"/>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980ED49">
            <w:pPr>
              <w:widowControl/>
              <w:ind w:firstLine="640" w:firstLineChars="200"/>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6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63A227B">
            <w:pPr>
              <w:rPr>
                <w:rFonts w:hint="eastAsia" w:ascii="仿宋_GB2312" w:hAnsi="仿宋_GB2312" w:eastAsia="仿宋_GB2312" w:cs="仿宋_GB2312"/>
                <w:color w:val="auto"/>
                <w:sz w:val="32"/>
                <w:szCs w:val="32"/>
              </w:rPr>
            </w:pPr>
          </w:p>
        </w:tc>
      </w:tr>
      <w:tr w14:paraId="35029E6F">
        <w:tblPrEx>
          <w:tblCellMar>
            <w:top w:w="0" w:type="dxa"/>
            <w:left w:w="0" w:type="dxa"/>
            <w:bottom w:w="0" w:type="dxa"/>
            <w:right w:w="0" w:type="dxa"/>
          </w:tblCellMar>
        </w:tblPrEx>
        <w:trPr>
          <w:trHeight w:val="334" w:hRule="atLeast"/>
          <w:jc w:val="center"/>
        </w:trPr>
        <w:tc>
          <w:tcPr>
            <w:tcW w:w="15165" w:type="dxa"/>
            <w:gridSpan w:val="7"/>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927620">
            <w:pPr>
              <w:widowControl/>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说明：1、相关证照包括：企业的营业执照正副本、企业的采矿许可证、安全生产许可证、企业主要负责人和相关直接责任人员的身份证、相关作业人员的身份证、安全资格证、操作证、其他相</w:t>
            </w:r>
          </w:p>
          <w:p w14:paraId="64581A8D">
            <w:pPr>
              <w:widowControl/>
              <w:ind w:firstLine="640" w:firstLineChars="2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关证照等；</w:t>
            </w:r>
          </w:p>
          <w:p w14:paraId="27C43C11">
            <w:pPr>
              <w:widowControl/>
              <w:ind w:firstLine="960" w:firstLineChars="300"/>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2、其他相关证据：能够证明企业违法违规行为的其他相关资料；</w:t>
            </w:r>
          </w:p>
          <w:p w14:paraId="466BB32C">
            <w:pPr>
              <w:widowControl/>
              <w:ind w:firstLine="960" w:firstLineChars="3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3、根据本清单提供的证照及资料有原件的，应核实原件后留存复印件；无原件的提供复印件。所有复印件资料均应加盖企业公章。证照及资料有正副本的，均核验留存复印件。</w:t>
            </w:r>
          </w:p>
        </w:tc>
      </w:tr>
    </w:tbl>
    <w:p w14:paraId="36A77795">
      <w:pPr>
        <w:widowControl/>
        <w:jc w:val="left"/>
        <w:rPr>
          <w:rFonts w:hint="eastAsia" w:ascii="仿宋_GB2312" w:hAnsi="仿宋_GB2312" w:eastAsia="仿宋_GB2312" w:cs="仿宋_GB2312"/>
          <w:color w:val="auto"/>
          <w:kern w:val="0"/>
          <w:sz w:val="32"/>
          <w:szCs w:val="32"/>
        </w:rPr>
      </w:pPr>
    </w:p>
    <w:bookmarkEnd w:id="7"/>
    <w:bookmarkEnd w:id="8"/>
    <w:bookmarkEnd w:id="9"/>
    <w:bookmarkEnd w:id="10"/>
    <w:bookmarkEnd w:id="11"/>
    <w:bookmarkEnd w:id="12"/>
    <w:p w14:paraId="37D62A6D">
      <w:pPr>
        <w:pStyle w:val="3"/>
        <w:spacing w:line="240" w:lineRule="auto"/>
        <w:jc w:val="center"/>
        <w:rPr>
          <w:rFonts w:hint="eastAsia" w:ascii="仿宋_GB2312" w:hAnsi="仿宋_GB2312" w:eastAsia="仿宋_GB2312" w:cs="仿宋_GB2312"/>
          <w:color w:val="auto"/>
          <w:sz w:val="32"/>
          <w:szCs w:val="32"/>
        </w:rPr>
      </w:pPr>
      <w:bookmarkStart w:id="15" w:name="_Toc8389"/>
      <w:r>
        <w:rPr>
          <w:rFonts w:hint="eastAsia" w:ascii="仿宋_GB2312" w:hAnsi="仿宋_GB2312" w:eastAsia="仿宋_GB2312" w:cs="仿宋_GB2312"/>
          <w:color w:val="auto"/>
          <w:sz w:val="32"/>
          <w:szCs w:val="32"/>
        </w:rPr>
        <w:t>烟花爆竹生产企业检查清单</w:t>
      </w:r>
      <w:bookmarkEnd w:id="15"/>
    </w:p>
    <w:tbl>
      <w:tblPr>
        <w:tblStyle w:val="8"/>
        <w:tblW w:w="15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51"/>
        <w:gridCol w:w="951"/>
        <w:gridCol w:w="3899"/>
        <w:gridCol w:w="3899"/>
        <w:gridCol w:w="3899"/>
        <w:gridCol w:w="951"/>
      </w:tblGrid>
      <w:tr w14:paraId="41A6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617" w:type="dxa"/>
            <w:vAlign w:val="center"/>
          </w:tcPr>
          <w:p w14:paraId="0211228D">
            <w:pPr>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951" w:type="dxa"/>
            <w:vAlign w:val="center"/>
          </w:tcPr>
          <w:p w14:paraId="78D553AB">
            <w:pPr>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检查事项</w:t>
            </w:r>
          </w:p>
        </w:tc>
        <w:tc>
          <w:tcPr>
            <w:tcW w:w="951" w:type="dxa"/>
            <w:vAlign w:val="center"/>
          </w:tcPr>
          <w:p w14:paraId="01342782">
            <w:pPr>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检查内容</w:t>
            </w:r>
          </w:p>
        </w:tc>
        <w:tc>
          <w:tcPr>
            <w:tcW w:w="3899" w:type="dxa"/>
            <w:vAlign w:val="center"/>
          </w:tcPr>
          <w:p w14:paraId="331651BC">
            <w:pPr>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检查依据</w:t>
            </w:r>
          </w:p>
        </w:tc>
        <w:tc>
          <w:tcPr>
            <w:tcW w:w="3899" w:type="dxa"/>
            <w:vAlign w:val="center"/>
          </w:tcPr>
          <w:p w14:paraId="6480BB7E">
            <w:pPr>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主要证据</w:t>
            </w:r>
          </w:p>
        </w:tc>
        <w:tc>
          <w:tcPr>
            <w:tcW w:w="3899" w:type="dxa"/>
            <w:vAlign w:val="center"/>
          </w:tcPr>
          <w:p w14:paraId="0F575504">
            <w:pPr>
              <w:ind w:firstLine="643" w:firstLineChars="20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法律责任</w:t>
            </w:r>
          </w:p>
        </w:tc>
        <w:tc>
          <w:tcPr>
            <w:tcW w:w="951" w:type="dxa"/>
            <w:vAlign w:val="center"/>
          </w:tcPr>
          <w:p w14:paraId="756F6FB0">
            <w:pPr>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检查结果</w:t>
            </w:r>
          </w:p>
        </w:tc>
      </w:tr>
      <w:tr w14:paraId="4DA6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vAlign w:val="center"/>
          </w:tcPr>
          <w:p w14:paraId="10851C87">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p>
        </w:tc>
        <w:tc>
          <w:tcPr>
            <w:tcW w:w="951" w:type="dxa"/>
            <w:vMerge w:val="restart"/>
            <w:vAlign w:val="center"/>
          </w:tcPr>
          <w:p w14:paraId="3FCE729C">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烟花爆竹安全生产许可情况</w:t>
            </w:r>
          </w:p>
        </w:tc>
        <w:tc>
          <w:tcPr>
            <w:tcW w:w="951" w:type="dxa"/>
            <w:vAlign w:val="center"/>
          </w:tcPr>
          <w:p w14:paraId="3AB80078">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 安全生产许可证取得</w:t>
            </w:r>
          </w:p>
        </w:tc>
        <w:tc>
          <w:tcPr>
            <w:tcW w:w="3899" w:type="dxa"/>
            <w:vAlign w:val="center"/>
          </w:tcPr>
          <w:p w14:paraId="594A668D">
            <w:pPr>
              <w:widowControl/>
              <w:shd w:val="clear" w:color="auto" w:fill="FFFFFF"/>
              <w:ind w:firstLine="321" w:firstLineChars="1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第二十条</w:t>
            </w:r>
            <w:r>
              <w:rPr>
                <w:rFonts w:hint="eastAsia" w:ascii="仿宋_GB2312" w:hAnsi="仿宋_GB2312" w:eastAsia="仿宋_GB2312" w:cs="仿宋_GB2312"/>
                <w:bCs/>
                <w:snapToGrid w:val="0"/>
                <w:color w:val="auto"/>
                <w:kern w:val="0"/>
                <w:sz w:val="32"/>
                <w:szCs w:val="32"/>
              </w:rPr>
              <w:t>生产经营单位应当具备本法和有关法律、行政法规和国家标准或者行业标准规定的安全生产条件；不具备安全生产条件的，不得从事生产经营活动。</w:t>
            </w:r>
          </w:p>
          <w:p w14:paraId="5AB0A39A">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《安全生产许可证条例》</w:t>
            </w:r>
            <w:r>
              <w:rPr>
                <w:rFonts w:hint="eastAsia" w:ascii="仿宋_GB2312" w:hAnsi="仿宋_GB2312" w:eastAsia="仿宋_GB2312" w:cs="仿宋_GB2312"/>
                <w:b/>
                <w:snapToGrid w:val="0"/>
                <w:color w:val="auto"/>
                <w:kern w:val="0"/>
                <w:sz w:val="32"/>
                <w:szCs w:val="32"/>
              </w:rPr>
              <w:t>第二条</w:t>
            </w:r>
            <w:r>
              <w:rPr>
                <w:rFonts w:hint="eastAsia" w:ascii="仿宋_GB2312" w:hAnsi="仿宋_GB2312" w:eastAsia="仿宋_GB2312" w:cs="仿宋_GB2312"/>
                <w:bCs/>
                <w:snapToGrid w:val="0"/>
                <w:color w:val="auto"/>
                <w:kern w:val="0"/>
                <w:sz w:val="32"/>
                <w:szCs w:val="32"/>
              </w:rPr>
              <w:t>国家对矿山企业、建筑施工企业和危险化学品、烟花爆竹、民用爆破器材生产企业（以下统称企业）实行安全生产许可制度。</w:t>
            </w:r>
          </w:p>
          <w:p w14:paraId="7378EC2C">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企业未取得安全生产许可证的，不得从事生产活动。</w:t>
            </w:r>
          </w:p>
          <w:p w14:paraId="36E9A9DE">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《烟花爆竹安全管理条例》</w:t>
            </w:r>
            <w:r>
              <w:rPr>
                <w:rFonts w:hint="eastAsia" w:ascii="仿宋_GB2312" w:hAnsi="仿宋_GB2312" w:eastAsia="仿宋_GB2312" w:cs="仿宋_GB2312"/>
                <w:b/>
                <w:snapToGrid w:val="0"/>
                <w:color w:val="auto"/>
                <w:kern w:val="0"/>
                <w:sz w:val="32"/>
                <w:szCs w:val="32"/>
              </w:rPr>
              <w:t>第三条</w:t>
            </w:r>
            <w:r>
              <w:rPr>
                <w:rFonts w:hint="eastAsia" w:ascii="仿宋_GB2312" w:hAnsi="仿宋_GB2312" w:eastAsia="仿宋_GB2312" w:cs="仿宋_GB2312"/>
                <w:bCs/>
                <w:snapToGrid w:val="0"/>
                <w:color w:val="auto"/>
                <w:kern w:val="0"/>
                <w:sz w:val="32"/>
                <w:szCs w:val="32"/>
              </w:rPr>
              <w:t>国家对烟花爆竹的生产、经营、运输和举办焰火晚会以及其他大型焰火燃放活动，实行许可证制度。</w:t>
            </w:r>
          </w:p>
          <w:p w14:paraId="61FF2FAC">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未经许可，任何单位或者个人不得生产、经营、运输烟花爆竹，不得举办焰火晚会以及其他大型焰火燃放活动。</w:t>
            </w:r>
          </w:p>
          <w:p w14:paraId="39304150">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《烟花爆竹生产企业安全生产许可证实施办法》</w:t>
            </w:r>
            <w:r>
              <w:rPr>
                <w:rFonts w:hint="eastAsia" w:ascii="仿宋_GB2312" w:hAnsi="仿宋_GB2312" w:eastAsia="仿宋_GB2312" w:cs="仿宋_GB2312"/>
                <w:b/>
                <w:snapToGrid w:val="0"/>
                <w:color w:val="auto"/>
                <w:kern w:val="0"/>
                <w:sz w:val="32"/>
                <w:szCs w:val="32"/>
              </w:rPr>
              <w:t>第三条</w:t>
            </w:r>
            <w:r>
              <w:rPr>
                <w:rFonts w:hint="eastAsia" w:ascii="仿宋_GB2312" w:hAnsi="仿宋_GB2312" w:eastAsia="仿宋_GB2312" w:cs="仿宋_GB2312"/>
                <w:bCs/>
                <w:snapToGrid w:val="0"/>
                <w:color w:val="auto"/>
                <w:kern w:val="0"/>
                <w:sz w:val="32"/>
                <w:szCs w:val="32"/>
              </w:rPr>
              <w:t>企业应当依照本办法的规定取得烟花爆竹安全生产许可证（以下简称安全生产许可证）。</w:t>
            </w:r>
          </w:p>
          <w:p w14:paraId="6DB821AF">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未取得安全生产许可证的，不得从事烟花爆竹生产活动。</w:t>
            </w:r>
          </w:p>
        </w:tc>
        <w:tc>
          <w:tcPr>
            <w:tcW w:w="3899" w:type="dxa"/>
            <w:vAlign w:val="center"/>
          </w:tcPr>
          <w:p w14:paraId="644756E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0035FFB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（2）未取得安全生产许可证的证明材料；</w:t>
            </w:r>
          </w:p>
          <w:p w14:paraId="32BC326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（3）《现场检查记录》《现场处理措施决定书》《查封扣押决定书》等相关执法文书；</w:t>
            </w:r>
          </w:p>
          <w:p w14:paraId="5CCC40E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（4）各有关工序人员作业情况、原材料、半成品、成品等反映进行生产作业的现场照片及录音录像等；</w:t>
            </w:r>
          </w:p>
          <w:p w14:paraId="2C10FE5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（5）生产销售烟花爆竹记录及账务材料；</w:t>
            </w:r>
          </w:p>
          <w:p w14:paraId="1FD4C8F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（6）企业相关人员任职文件、身份证明及其询问笔录；</w:t>
            </w:r>
          </w:p>
          <w:p w14:paraId="2EDD294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（7）其他相关证据。</w:t>
            </w:r>
          </w:p>
        </w:tc>
        <w:tc>
          <w:tcPr>
            <w:tcW w:w="3899" w:type="dxa"/>
            <w:vAlign w:val="center"/>
          </w:tcPr>
          <w:p w14:paraId="50C72C40">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第一百条</w:t>
            </w:r>
            <w:r>
              <w:rPr>
                <w:rFonts w:hint="eastAsia" w:ascii="仿宋_GB2312" w:hAnsi="仿宋_GB2312" w:eastAsia="仿宋_GB2312" w:cs="仿宋_GB2312"/>
                <w:bCs/>
                <w:snapToGrid w:val="0"/>
                <w:color w:val="auto"/>
                <w:kern w:val="0"/>
                <w:sz w:val="32"/>
                <w:szCs w:val="32"/>
              </w:rPr>
              <w:t>未经依法批准，擅自生产、经营、运输、储存、使用危险物品或者处置废弃危险物品的，依照有关危险物品安全管理的法律、行政法规的规定予以处罚；构成犯罪的，依照刑法有关规定追究刑事责任。</w:t>
            </w:r>
          </w:p>
          <w:p w14:paraId="643E4BB4">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《安全生产许可证条例》</w:t>
            </w:r>
            <w:r>
              <w:rPr>
                <w:rFonts w:hint="eastAsia" w:ascii="仿宋_GB2312" w:hAnsi="仿宋_GB2312" w:eastAsia="仿宋_GB2312" w:cs="仿宋_GB2312"/>
                <w:b/>
                <w:snapToGrid w:val="0"/>
                <w:color w:val="auto"/>
                <w:kern w:val="0"/>
                <w:sz w:val="32"/>
                <w:szCs w:val="32"/>
              </w:rPr>
              <w:t>第十九条</w:t>
            </w:r>
            <w:r>
              <w:rPr>
                <w:rFonts w:hint="eastAsia" w:ascii="仿宋_GB2312" w:hAnsi="仿宋_GB2312" w:eastAsia="仿宋_GB2312" w:cs="仿宋_GB2312"/>
                <w:bCs/>
                <w:snapToGrid w:val="0"/>
                <w:color w:val="auto"/>
                <w:kern w:val="0"/>
                <w:sz w:val="32"/>
                <w:szCs w:val="32"/>
              </w:rPr>
              <w:t xml:space="preserve">  违反本条例规定，未取得安全生产许可证擅自进行生产的，责令停止生产，没收违法所得，并处10万元以上50万元以下的罚款；造成重大事故或者其他严重后果，构成犯罪的，依法追究刑事责任。</w:t>
            </w:r>
          </w:p>
          <w:p w14:paraId="73E8D509">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《烟花爆竹安全管理条例》</w:t>
            </w:r>
            <w:r>
              <w:rPr>
                <w:rFonts w:hint="eastAsia" w:ascii="仿宋_GB2312" w:hAnsi="仿宋_GB2312" w:eastAsia="仿宋_GB2312" w:cs="仿宋_GB2312"/>
                <w:b/>
                <w:snapToGrid w:val="0"/>
                <w:color w:val="auto"/>
                <w:kern w:val="0"/>
                <w:sz w:val="32"/>
                <w:szCs w:val="32"/>
              </w:rPr>
              <w:t>第三十六条</w:t>
            </w:r>
            <w:r>
              <w:rPr>
                <w:rFonts w:hint="eastAsia" w:ascii="仿宋_GB2312" w:hAnsi="仿宋_GB2312" w:eastAsia="仿宋_GB2312" w:cs="仿宋_GB2312"/>
                <w:bCs/>
                <w:snapToGrid w:val="0"/>
                <w:color w:val="auto"/>
                <w:kern w:val="0"/>
                <w:sz w:val="32"/>
                <w:szCs w:val="32"/>
              </w:rPr>
              <w:t xml:space="preserve">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14:paraId="77CC9133">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 xml:space="preserve"> ……</w:t>
            </w:r>
          </w:p>
          <w:p w14:paraId="0B7F6949">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非法生产、经营、运输烟花爆竹，构成违反治安管理行为的，依法给予治安管理处罚；构成犯罪的，依法追究刑事责任。</w:t>
            </w:r>
          </w:p>
          <w:p w14:paraId="6E38C3BF">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《烟花爆竹生产企业安全生产许可证实施办法》</w:t>
            </w:r>
            <w:r>
              <w:rPr>
                <w:rFonts w:hint="eastAsia" w:ascii="仿宋_GB2312" w:hAnsi="仿宋_GB2312" w:eastAsia="仿宋_GB2312" w:cs="仿宋_GB2312"/>
                <w:b/>
                <w:snapToGrid w:val="0"/>
                <w:color w:val="auto"/>
                <w:kern w:val="0"/>
                <w:sz w:val="32"/>
                <w:szCs w:val="32"/>
              </w:rPr>
              <w:t>第四十六条</w:t>
            </w:r>
            <w:r>
              <w:rPr>
                <w:rFonts w:hint="eastAsia" w:ascii="仿宋_GB2312" w:hAnsi="仿宋_GB2312" w:eastAsia="仿宋_GB2312" w:cs="仿宋_GB2312"/>
                <w:bCs/>
                <w:snapToGrid w:val="0"/>
                <w:color w:val="auto"/>
                <w:kern w:val="0"/>
                <w:sz w:val="32"/>
                <w:szCs w:val="32"/>
              </w:rPr>
              <w:t>企业有下列行为之一的，责令停止生产，没收违法所得，并处10万元以上50万元以下的罚款：</w:t>
            </w:r>
          </w:p>
          <w:p w14:paraId="5FA79193">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napToGrid w:val="0"/>
                <w:color w:val="auto"/>
                <w:kern w:val="0"/>
                <w:sz w:val="32"/>
                <w:szCs w:val="32"/>
              </w:rPr>
              <w:t>（一）未取得安全生产许可证擅自进行烟花爆竹生产的；……</w:t>
            </w:r>
          </w:p>
        </w:tc>
        <w:tc>
          <w:tcPr>
            <w:tcW w:w="951" w:type="dxa"/>
            <w:vAlign w:val="center"/>
          </w:tcPr>
          <w:p w14:paraId="3E2722F8">
            <w:pPr>
              <w:jc w:val="center"/>
              <w:rPr>
                <w:rFonts w:hint="eastAsia" w:ascii="仿宋_GB2312" w:hAnsi="仿宋_GB2312" w:eastAsia="仿宋_GB2312" w:cs="仿宋_GB2312"/>
                <w:bCs/>
                <w:color w:val="auto"/>
                <w:sz w:val="32"/>
                <w:szCs w:val="32"/>
              </w:rPr>
            </w:pPr>
          </w:p>
        </w:tc>
      </w:tr>
      <w:tr w14:paraId="04FE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17" w:type="dxa"/>
            <w:vMerge w:val="continue"/>
            <w:vAlign w:val="center"/>
          </w:tcPr>
          <w:p w14:paraId="10BCFD73">
            <w:pPr>
              <w:jc w:val="center"/>
              <w:rPr>
                <w:rFonts w:hint="eastAsia" w:ascii="仿宋_GB2312" w:hAnsi="仿宋_GB2312" w:eastAsia="仿宋_GB2312" w:cs="仿宋_GB2312"/>
                <w:bCs/>
                <w:color w:val="auto"/>
                <w:sz w:val="32"/>
                <w:szCs w:val="32"/>
              </w:rPr>
            </w:pPr>
          </w:p>
        </w:tc>
        <w:tc>
          <w:tcPr>
            <w:tcW w:w="951" w:type="dxa"/>
            <w:vMerge w:val="continue"/>
            <w:vAlign w:val="center"/>
          </w:tcPr>
          <w:p w14:paraId="7AF7AE55">
            <w:pPr>
              <w:adjustRightInd w:val="0"/>
              <w:snapToGrid w:val="0"/>
              <w:jc w:val="center"/>
              <w:rPr>
                <w:rFonts w:hint="eastAsia" w:ascii="仿宋_GB2312" w:hAnsi="仿宋_GB2312" w:eastAsia="仿宋_GB2312" w:cs="仿宋_GB2312"/>
                <w:bCs/>
                <w:color w:val="auto"/>
                <w:sz w:val="32"/>
                <w:szCs w:val="32"/>
              </w:rPr>
            </w:pPr>
          </w:p>
        </w:tc>
        <w:tc>
          <w:tcPr>
            <w:tcW w:w="951" w:type="dxa"/>
            <w:vAlign w:val="center"/>
          </w:tcPr>
          <w:p w14:paraId="2A17D40D">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1.2 安全生产许可证延期（重大隐患）</w:t>
            </w:r>
          </w:p>
        </w:tc>
        <w:tc>
          <w:tcPr>
            <w:tcW w:w="3899" w:type="dxa"/>
            <w:vAlign w:val="center"/>
          </w:tcPr>
          <w:p w14:paraId="16401A4F">
            <w:pPr>
              <w:adjustRightInd w:val="0"/>
              <w:snapToGrid w:val="0"/>
              <w:ind w:firstLine="321" w:firstLineChars="1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snapToGrid w:val="0"/>
                <w:color w:val="auto"/>
                <w:kern w:val="0"/>
                <w:sz w:val="32"/>
                <w:szCs w:val="32"/>
              </w:rPr>
              <w:t>《安全生产许可证条例》</w:t>
            </w:r>
            <w:r>
              <w:rPr>
                <w:rFonts w:hint="eastAsia" w:ascii="仿宋_GB2312" w:hAnsi="仿宋_GB2312" w:eastAsia="仿宋_GB2312" w:cs="仿宋_GB2312"/>
                <w:b/>
                <w:color w:val="auto"/>
                <w:sz w:val="32"/>
                <w:szCs w:val="32"/>
              </w:rPr>
              <w:t>第九条</w:t>
            </w:r>
            <w:r>
              <w:rPr>
                <w:rFonts w:hint="eastAsia" w:ascii="仿宋_GB2312" w:hAnsi="仿宋_GB2312" w:eastAsia="仿宋_GB2312" w:cs="仿宋_GB2312"/>
                <w:bCs/>
                <w:color w:val="auto"/>
                <w:sz w:val="32"/>
                <w:szCs w:val="32"/>
              </w:rPr>
              <w:t>安全生产许可证的有效期为3年。安全生产许可证有效期满需要延期的，企业应当于期满前3个月向原安全生产许可证颁发管理机关办理延期手续。</w:t>
            </w:r>
          </w:p>
          <w:p w14:paraId="5F09DF9C">
            <w:pPr>
              <w:adjustRightInd w:val="0"/>
              <w:snapToGrid w:val="0"/>
              <w:ind w:firstLine="320" w:firstLineChars="1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w:t>
            </w:r>
          </w:p>
        </w:tc>
        <w:tc>
          <w:tcPr>
            <w:tcW w:w="3899" w:type="dxa"/>
            <w:vAlign w:val="center"/>
          </w:tcPr>
          <w:p w14:paraId="5247837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176BE71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（2）《现场检查记录》《责令限期整改指令书》《现场处理措施决定书》《查封扣押决定书》等相关执法文书；</w:t>
            </w:r>
          </w:p>
          <w:p w14:paraId="39FE0C2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（3）原安全生产许可证发证机关关于未办理延期手续的证明材料；</w:t>
            </w:r>
          </w:p>
          <w:p w14:paraId="3C6CECA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（4）正在进行带药作业的现场生产的照片及录音录像情况资料；</w:t>
            </w:r>
          </w:p>
          <w:p w14:paraId="4D9AF5F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（5）企业视频监控资料；</w:t>
            </w:r>
          </w:p>
          <w:p w14:paraId="18C50C4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（6）烟花爆竹生产许可期届满后生产销售烟花爆竹记录及账务材料；</w:t>
            </w:r>
          </w:p>
          <w:p w14:paraId="7354317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（7）原材料领用及烟花爆竹进出库登记记录；</w:t>
            </w:r>
          </w:p>
          <w:p w14:paraId="7D94C1B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（8）烟花爆竹流向管理信息系统记录资料；</w:t>
            </w:r>
          </w:p>
          <w:p w14:paraId="769B624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（9）企业相关人员任职文件、身份证明及其询问笔录；</w:t>
            </w:r>
          </w:p>
          <w:p w14:paraId="6EF4C08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（10）其他相关证据。</w:t>
            </w:r>
          </w:p>
        </w:tc>
        <w:tc>
          <w:tcPr>
            <w:tcW w:w="3899" w:type="dxa"/>
            <w:vAlign w:val="center"/>
          </w:tcPr>
          <w:p w14:paraId="09E76646">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《安全生产许可证条例》</w:t>
            </w:r>
            <w:r>
              <w:rPr>
                <w:rFonts w:hint="eastAsia" w:ascii="仿宋_GB2312" w:hAnsi="仿宋_GB2312" w:eastAsia="仿宋_GB2312" w:cs="仿宋_GB2312"/>
                <w:b/>
                <w:color w:val="auto"/>
                <w:sz w:val="32"/>
                <w:szCs w:val="32"/>
              </w:rPr>
              <w:t>第二十条</w:t>
            </w:r>
            <w:r>
              <w:rPr>
                <w:rFonts w:hint="eastAsia" w:ascii="仿宋_GB2312" w:hAnsi="仿宋_GB2312" w:eastAsia="仿宋_GB2312" w:cs="仿宋_GB2312"/>
                <w:bCs/>
                <w:snapToGrid w:val="0"/>
                <w:color w:val="auto"/>
                <w:kern w:val="0"/>
                <w:sz w:val="32"/>
                <w:szCs w:val="32"/>
              </w:rPr>
              <w:t>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14:paraId="25C0F0E9">
            <w:pPr>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w:t>
            </w:r>
            <w:r>
              <w:rPr>
                <w:rFonts w:hint="eastAsia" w:ascii="仿宋_GB2312" w:hAnsi="仿宋_GB2312" w:eastAsia="仿宋_GB2312" w:cs="仿宋_GB2312"/>
                <w:b/>
                <w:snapToGrid w:val="0"/>
                <w:color w:val="auto"/>
                <w:kern w:val="0"/>
                <w:sz w:val="32"/>
                <w:szCs w:val="32"/>
              </w:rPr>
              <w:t>安全生产许可证条例》</w:t>
            </w:r>
            <w:r>
              <w:rPr>
                <w:rFonts w:hint="eastAsia" w:ascii="仿宋_GB2312" w:hAnsi="仿宋_GB2312" w:eastAsia="仿宋_GB2312" w:cs="仿宋_GB2312"/>
                <w:bCs/>
                <w:snapToGrid w:val="0"/>
                <w:color w:val="auto"/>
                <w:kern w:val="0"/>
                <w:sz w:val="32"/>
                <w:szCs w:val="32"/>
              </w:rPr>
              <w:t>第十九条  违反本条例规定，未取得安全生产许可证擅自进行生产的，责令停止生产，没收违法所得，并处10万元以上50万元以下的罚款；造成重大事故或者其他严重后果，构成犯罪的，依法追究刑事责任。</w:t>
            </w:r>
          </w:p>
          <w:p w14:paraId="36812EE1">
            <w:pPr>
              <w:adjustRightInd w:val="0"/>
              <w:snapToGrid w:val="0"/>
              <w:ind w:firstLine="640" w:firstLineChars="200"/>
              <w:rPr>
                <w:rFonts w:hint="eastAsia" w:ascii="仿宋_GB2312" w:hAnsi="仿宋_GB2312" w:eastAsia="仿宋_GB2312" w:cs="仿宋_GB2312"/>
                <w:bCs/>
                <w:color w:val="auto"/>
                <w:sz w:val="32"/>
                <w:szCs w:val="32"/>
              </w:rPr>
            </w:pPr>
          </w:p>
        </w:tc>
        <w:tc>
          <w:tcPr>
            <w:tcW w:w="951" w:type="dxa"/>
            <w:vAlign w:val="center"/>
          </w:tcPr>
          <w:p w14:paraId="6FA55EA9">
            <w:pPr>
              <w:jc w:val="left"/>
              <w:rPr>
                <w:rFonts w:hint="eastAsia" w:ascii="仿宋_GB2312" w:hAnsi="仿宋_GB2312" w:eastAsia="仿宋_GB2312" w:cs="仿宋_GB2312"/>
                <w:bCs/>
                <w:color w:val="auto"/>
                <w:sz w:val="32"/>
                <w:szCs w:val="32"/>
              </w:rPr>
            </w:pPr>
          </w:p>
        </w:tc>
      </w:tr>
      <w:tr w14:paraId="50F8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vAlign w:val="center"/>
          </w:tcPr>
          <w:p w14:paraId="29802E1B">
            <w:pPr>
              <w:jc w:val="center"/>
              <w:rPr>
                <w:rFonts w:hint="eastAsia" w:ascii="仿宋_GB2312" w:hAnsi="仿宋_GB2312" w:eastAsia="仿宋_GB2312" w:cs="仿宋_GB2312"/>
                <w:bCs/>
                <w:color w:val="auto"/>
                <w:sz w:val="32"/>
                <w:szCs w:val="32"/>
              </w:rPr>
            </w:pPr>
          </w:p>
        </w:tc>
        <w:tc>
          <w:tcPr>
            <w:tcW w:w="951" w:type="dxa"/>
            <w:vMerge w:val="continue"/>
            <w:vAlign w:val="center"/>
          </w:tcPr>
          <w:p w14:paraId="1630AC61">
            <w:pPr>
              <w:adjustRightInd w:val="0"/>
              <w:snapToGrid w:val="0"/>
              <w:jc w:val="center"/>
              <w:rPr>
                <w:rFonts w:hint="eastAsia" w:ascii="仿宋_GB2312" w:hAnsi="仿宋_GB2312" w:eastAsia="仿宋_GB2312" w:cs="仿宋_GB2312"/>
                <w:bCs/>
                <w:color w:val="auto"/>
                <w:sz w:val="32"/>
                <w:szCs w:val="32"/>
              </w:rPr>
            </w:pPr>
          </w:p>
        </w:tc>
        <w:tc>
          <w:tcPr>
            <w:tcW w:w="951" w:type="dxa"/>
            <w:vMerge w:val="restart"/>
            <w:vAlign w:val="center"/>
          </w:tcPr>
          <w:p w14:paraId="5C177EB2">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1.3  安全生产许可证变更</w:t>
            </w:r>
          </w:p>
        </w:tc>
        <w:tc>
          <w:tcPr>
            <w:tcW w:w="3899" w:type="dxa"/>
            <w:vAlign w:val="center"/>
          </w:tcPr>
          <w:p w14:paraId="6FDE990A">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《烟花爆竹生产企业安全生产许可证实施办法》第二十七条</w:t>
            </w:r>
            <w:r>
              <w:rPr>
                <w:rFonts w:hint="eastAsia" w:ascii="仿宋_GB2312" w:hAnsi="仿宋_GB2312" w:eastAsia="仿宋_GB2312" w:cs="仿宋_GB2312"/>
                <w:bCs/>
                <w:color w:val="auto"/>
                <w:sz w:val="32"/>
                <w:szCs w:val="32"/>
              </w:rPr>
              <w:t>企业在安全生产许可证有效期内有下列情形之一的，应当按照本办法第二十八条的规定申请变更安全生产许可证：</w:t>
            </w:r>
          </w:p>
          <w:p w14:paraId="12BEADA0">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color w:val="auto"/>
                <w:sz w:val="32"/>
                <w:szCs w:val="32"/>
              </w:rPr>
              <w:t>（一）改建、扩建烟花爆竹生产（含储存）设施的；</w:t>
            </w:r>
            <w:r>
              <w:rPr>
                <w:rFonts w:hint="eastAsia" w:ascii="仿宋_GB2312" w:hAnsi="仿宋_GB2312" w:eastAsia="仿宋_GB2312" w:cs="仿宋_GB2312"/>
                <w:bCs/>
                <w:snapToGrid w:val="0"/>
                <w:color w:val="auto"/>
                <w:kern w:val="0"/>
                <w:sz w:val="32"/>
                <w:szCs w:val="32"/>
              </w:rPr>
              <w:t>……</w:t>
            </w:r>
          </w:p>
        </w:tc>
        <w:tc>
          <w:tcPr>
            <w:tcW w:w="3899" w:type="dxa"/>
            <w:vAlign w:val="center"/>
          </w:tcPr>
          <w:p w14:paraId="1FF95C0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220FC06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（2）《现场检查记录》《现场处理措施决定书》《查封扣押决定书》等相关执法文书；</w:t>
            </w:r>
          </w:p>
          <w:p w14:paraId="7D32494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（3）烟花爆竹企业安全评价报告；</w:t>
            </w:r>
          </w:p>
          <w:p w14:paraId="2374FFB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（4）烟花爆竹工厂改（扩）建前后设计图纸；</w:t>
            </w:r>
          </w:p>
          <w:p w14:paraId="00584E4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（5）改（扩）建</w:t>
            </w:r>
            <w:r>
              <w:rPr>
                <w:rFonts w:hint="eastAsia" w:ascii="仿宋_GB2312" w:hAnsi="仿宋_GB2312" w:eastAsia="仿宋_GB2312" w:cs="仿宋_GB2312"/>
                <w:bCs/>
                <w:color w:val="auto"/>
                <w:sz w:val="32"/>
                <w:szCs w:val="32"/>
              </w:rPr>
              <w:t>生产（含储存）设施</w:t>
            </w:r>
            <w:r>
              <w:rPr>
                <w:rFonts w:hint="eastAsia" w:ascii="仿宋_GB2312" w:hAnsi="仿宋_GB2312" w:eastAsia="仿宋_GB2312" w:cs="仿宋_GB2312"/>
                <w:bCs/>
                <w:snapToGrid w:val="0"/>
                <w:color w:val="auto"/>
                <w:kern w:val="0"/>
                <w:sz w:val="32"/>
                <w:szCs w:val="32"/>
              </w:rPr>
              <w:t>现场照片及影像资料；</w:t>
            </w:r>
          </w:p>
          <w:p w14:paraId="0371353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（6）企业相关人员任职文件、身份证明及其询问笔录；</w:t>
            </w:r>
          </w:p>
          <w:p w14:paraId="3C4B85F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（7）其他相关证据。</w:t>
            </w:r>
          </w:p>
        </w:tc>
        <w:tc>
          <w:tcPr>
            <w:tcW w:w="3899" w:type="dxa"/>
            <w:vAlign w:val="center"/>
          </w:tcPr>
          <w:p w14:paraId="19C8306D">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《烟花爆竹生产企业安全生产许可证实施办法》第四十四条</w:t>
            </w:r>
            <w:r>
              <w:rPr>
                <w:rFonts w:hint="eastAsia" w:ascii="仿宋_GB2312" w:hAnsi="仿宋_GB2312" w:eastAsia="仿宋_GB2312" w:cs="仿宋_GB2312"/>
                <w:bCs/>
                <w:color w:val="auto"/>
                <w:sz w:val="32"/>
                <w:szCs w:val="32"/>
              </w:rPr>
              <w:t>企业有下列行为之一的，依法暂扣其安全生产许可证：……</w:t>
            </w:r>
          </w:p>
          <w:p w14:paraId="05B807CB">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（三）改建、扩建烟花爆竹生产（含储存）设施未办理安全生产许可证变更手续的；……</w:t>
            </w:r>
          </w:p>
          <w:p w14:paraId="5B6D9C22">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企业有前款第一项、第二项、第三项行为之一的，并处1万元以上3万元以下的罚款。</w:t>
            </w:r>
          </w:p>
        </w:tc>
        <w:tc>
          <w:tcPr>
            <w:tcW w:w="951" w:type="dxa"/>
            <w:vAlign w:val="center"/>
          </w:tcPr>
          <w:p w14:paraId="4AF5C5E4">
            <w:pPr>
              <w:jc w:val="center"/>
              <w:rPr>
                <w:rFonts w:hint="eastAsia" w:ascii="仿宋_GB2312" w:hAnsi="仿宋_GB2312" w:eastAsia="仿宋_GB2312" w:cs="仿宋_GB2312"/>
                <w:bCs/>
                <w:color w:val="auto"/>
                <w:sz w:val="32"/>
                <w:szCs w:val="32"/>
              </w:rPr>
            </w:pPr>
          </w:p>
        </w:tc>
      </w:tr>
      <w:tr w14:paraId="4769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617" w:type="dxa"/>
            <w:vMerge w:val="continue"/>
            <w:vAlign w:val="center"/>
          </w:tcPr>
          <w:p w14:paraId="25C0A5B2">
            <w:pPr>
              <w:jc w:val="center"/>
              <w:rPr>
                <w:rFonts w:hint="eastAsia" w:ascii="仿宋_GB2312" w:hAnsi="仿宋_GB2312" w:eastAsia="仿宋_GB2312" w:cs="仿宋_GB2312"/>
                <w:bCs/>
                <w:color w:val="auto"/>
                <w:sz w:val="32"/>
                <w:szCs w:val="32"/>
              </w:rPr>
            </w:pPr>
          </w:p>
        </w:tc>
        <w:tc>
          <w:tcPr>
            <w:tcW w:w="951" w:type="dxa"/>
            <w:vMerge w:val="continue"/>
            <w:vAlign w:val="center"/>
          </w:tcPr>
          <w:p w14:paraId="63998308">
            <w:pPr>
              <w:adjustRightInd w:val="0"/>
              <w:snapToGrid w:val="0"/>
              <w:jc w:val="center"/>
              <w:rPr>
                <w:rFonts w:hint="eastAsia" w:ascii="仿宋_GB2312" w:hAnsi="仿宋_GB2312" w:eastAsia="仿宋_GB2312" w:cs="仿宋_GB2312"/>
                <w:bCs/>
                <w:color w:val="auto"/>
                <w:sz w:val="32"/>
                <w:szCs w:val="32"/>
              </w:rPr>
            </w:pPr>
          </w:p>
        </w:tc>
        <w:tc>
          <w:tcPr>
            <w:tcW w:w="951" w:type="dxa"/>
            <w:vMerge w:val="continue"/>
            <w:vAlign w:val="center"/>
          </w:tcPr>
          <w:p w14:paraId="452838A7">
            <w:pPr>
              <w:adjustRightInd w:val="0"/>
              <w:snapToGrid w:val="0"/>
              <w:jc w:val="left"/>
              <w:rPr>
                <w:rFonts w:hint="eastAsia" w:ascii="仿宋_GB2312" w:hAnsi="仿宋_GB2312" w:eastAsia="仿宋_GB2312" w:cs="仿宋_GB2312"/>
                <w:bCs/>
                <w:color w:val="auto"/>
                <w:sz w:val="32"/>
                <w:szCs w:val="32"/>
              </w:rPr>
            </w:pPr>
          </w:p>
        </w:tc>
        <w:tc>
          <w:tcPr>
            <w:tcW w:w="3899" w:type="dxa"/>
            <w:vAlign w:val="center"/>
          </w:tcPr>
          <w:p w14:paraId="0C83E5C1">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《烟花爆竹生产企业安全生产许可证实施办法》第二十七条</w:t>
            </w:r>
            <w:r>
              <w:rPr>
                <w:rFonts w:hint="eastAsia" w:ascii="仿宋_GB2312" w:hAnsi="仿宋_GB2312" w:eastAsia="仿宋_GB2312" w:cs="仿宋_GB2312"/>
                <w:bCs/>
                <w:color w:val="auto"/>
                <w:sz w:val="32"/>
                <w:szCs w:val="32"/>
              </w:rPr>
              <w:t>企业在安全生产许可证有效期内有下列情形之一的，应当按照本办法第二十八条的规定申请变更安全生产许可证：</w:t>
            </w:r>
          </w:p>
          <w:p w14:paraId="331E9D7E">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p>
          <w:p w14:paraId="01482ABD">
            <w:pPr>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（二）变更产品类别、级</w:t>
            </w:r>
          </w:p>
          <w:p w14:paraId="2DC001A8">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别范围的；</w:t>
            </w:r>
          </w:p>
        </w:tc>
        <w:tc>
          <w:tcPr>
            <w:tcW w:w="3899" w:type="dxa"/>
            <w:vAlign w:val="center"/>
          </w:tcPr>
          <w:p w14:paraId="687DC6A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75A3DEC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现场处理措施决定书》《查封扣押决定书》《抽样取证凭证》《鉴定委托书》等相关执法文书；《现场检查记录》《现场处理措施决定书》《查封扣押决定书》《抽样取证凭证》《鉴定委托书》等相关执法文书；</w:t>
            </w:r>
          </w:p>
          <w:p w14:paraId="7E8E115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（3）烟花爆竹企业安全评价报告；</w:t>
            </w:r>
          </w:p>
          <w:p w14:paraId="591E918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（4）烟花爆竹产品现场照片；</w:t>
            </w:r>
          </w:p>
          <w:p w14:paraId="40C1CE2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（5）产品类别、级别鉴定结论；</w:t>
            </w:r>
          </w:p>
          <w:p w14:paraId="58AD6BF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（6）企业相关人员任职文件、身份证明及其询问笔录；</w:t>
            </w:r>
          </w:p>
          <w:p w14:paraId="58C9EE9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（7）其他相关证据。</w:t>
            </w:r>
          </w:p>
        </w:tc>
        <w:tc>
          <w:tcPr>
            <w:tcW w:w="3899" w:type="dxa"/>
            <w:vAlign w:val="center"/>
          </w:tcPr>
          <w:p w14:paraId="0B677FF6">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《烟花爆竹生产企业安全生产许可证实施办法》第四十六条</w:t>
            </w:r>
            <w:r>
              <w:rPr>
                <w:rFonts w:hint="eastAsia" w:ascii="仿宋_GB2312" w:hAnsi="仿宋_GB2312" w:eastAsia="仿宋_GB2312" w:cs="仿宋_GB2312"/>
                <w:bCs/>
                <w:color w:val="auto"/>
                <w:sz w:val="32"/>
                <w:szCs w:val="32"/>
              </w:rPr>
              <w:t>企业有下列行为之一的，责令停止生产，没收违法所得，并处10万元以上50万元以下的罚款：……</w:t>
            </w:r>
          </w:p>
          <w:p w14:paraId="33969EC8">
            <w:pPr>
              <w:adjustRightInd w:val="0"/>
              <w:snapToGrid w:val="0"/>
              <w:ind w:firstLine="320" w:firstLineChars="1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（二）变更产品类别或者级别范围未办理安全生产许可证变更手续的。</w:t>
            </w:r>
          </w:p>
        </w:tc>
        <w:tc>
          <w:tcPr>
            <w:tcW w:w="951" w:type="dxa"/>
            <w:vMerge w:val="restart"/>
            <w:vAlign w:val="center"/>
          </w:tcPr>
          <w:p w14:paraId="603F7416">
            <w:pPr>
              <w:jc w:val="center"/>
              <w:rPr>
                <w:rFonts w:hint="eastAsia" w:ascii="仿宋_GB2312" w:hAnsi="仿宋_GB2312" w:eastAsia="仿宋_GB2312" w:cs="仿宋_GB2312"/>
                <w:bCs/>
                <w:color w:val="auto"/>
                <w:sz w:val="32"/>
                <w:szCs w:val="32"/>
              </w:rPr>
            </w:pPr>
          </w:p>
        </w:tc>
      </w:tr>
      <w:tr w14:paraId="1BAB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vAlign w:val="center"/>
          </w:tcPr>
          <w:p w14:paraId="45E2979E">
            <w:pPr>
              <w:jc w:val="center"/>
              <w:rPr>
                <w:rFonts w:hint="eastAsia" w:ascii="仿宋_GB2312" w:hAnsi="仿宋_GB2312" w:eastAsia="仿宋_GB2312" w:cs="仿宋_GB2312"/>
                <w:bCs/>
                <w:color w:val="auto"/>
                <w:sz w:val="32"/>
                <w:szCs w:val="32"/>
              </w:rPr>
            </w:pPr>
          </w:p>
        </w:tc>
        <w:tc>
          <w:tcPr>
            <w:tcW w:w="951" w:type="dxa"/>
            <w:vMerge w:val="continue"/>
            <w:vAlign w:val="center"/>
          </w:tcPr>
          <w:p w14:paraId="61542353">
            <w:pPr>
              <w:adjustRightInd w:val="0"/>
              <w:snapToGrid w:val="0"/>
              <w:jc w:val="center"/>
              <w:rPr>
                <w:rFonts w:hint="eastAsia" w:ascii="仿宋_GB2312" w:hAnsi="仿宋_GB2312" w:eastAsia="仿宋_GB2312" w:cs="仿宋_GB2312"/>
                <w:bCs/>
                <w:color w:val="auto"/>
                <w:sz w:val="32"/>
                <w:szCs w:val="32"/>
              </w:rPr>
            </w:pPr>
          </w:p>
        </w:tc>
        <w:tc>
          <w:tcPr>
            <w:tcW w:w="951" w:type="dxa"/>
            <w:vMerge w:val="continue"/>
            <w:vAlign w:val="center"/>
          </w:tcPr>
          <w:p w14:paraId="395ED409">
            <w:pPr>
              <w:adjustRightInd w:val="0"/>
              <w:snapToGrid w:val="0"/>
              <w:jc w:val="left"/>
              <w:rPr>
                <w:rFonts w:hint="eastAsia" w:ascii="仿宋_GB2312" w:hAnsi="仿宋_GB2312" w:eastAsia="仿宋_GB2312" w:cs="仿宋_GB2312"/>
                <w:bCs/>
                <w:color w:val="auto"/>
                <w:sz w:val="32"/>
                <w:szCs w:val="32"/>
              </w:rPr>
            </w:pPr>
          </w:p>
        </w:tc>
        <w:tc>
          <w:tcPr>
            <w:tcW w:w="3899" w:type="dxa"/>
            <w:vAlign w:val="center"/>
          </w:tcPr>
          <w:p w14:paraId="5B1CB1E0">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《烟花爆竹生产企业安全生产许可证实施办法》</w:t>
            </w:r>
            <w:r>
              <w:rPr>
                <w:rFonts w:hint="eastAsia" w:ascii="仿宋_GB2312" w:hAnsi="仿宋_GB2312" w:eastAsia="仿宋_GB2312" w:cs="仿宋_GB2312"/>
                <w:bCs/>
                <w:color w:val="auto"/>
                <w:sz w:val="32"/>
                <w:szCs w:val="32"/>
              </w:rPr>
              <w:t>第二十七条企业在安全生产许可证有效期内有下列情形之一的，应当按照本办法第二十八条的规定申请变更安全生产许可证：</w:t>
            </w:r>
          </w:p>
          <w:p w14:paraId="12664B4B">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p>
          <w:p w14:paraId="3A9FAFA9">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（三）变更企业主要负责人的；</w:t>
            </w:r>
          </w:p>
          <w:p w14:paraId="11F24436">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（四）变更企业名称的。</w:t>
            </w:r>
          </w:p>
        </w:tc>
        <w:tc>
          <w:tcPr>
            <w:tcW w:w="3899" w:type="dxa"/>
            <w:vAlign w:val="center"/>
          </w:tcPr>
          <w:p w14:paraId="5ED392B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5BB05A0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35E1986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（3）企业工商变更登记资料；</w:t>
            </w:r>
          </w:p>
          <w:p w14:paraId="234B824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（4）企业主要负责人任职文件、身份证明及其询问笔录；</w:t>
            </w:r>
          </w:p>
          <w:p w14:paraId="4309F84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9" w:type="dxa"/>
            <w:vAlign w:val="center"/>
          </w:tcPr>
          <w:p w14:paraId="5A7A4442">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《烟花爆竹生产企业安全生产许可证实施办法》第四十三条</w:t>
            </w:r>
            <w:r>
              <w:rPr>
                <w:rFonts w:hint="eastAsia" w:ascii="仿宋_GB2312" w:hAnsi="仿宋_GB2312" w:eastAsia="仿宋_GB2312" w:cs="仿宋_GB2312"/>
                <w:bCs/>
                <w:color w:val="auto"/>
                <w:sz w:val="32"/>
                <w:szCs w:val="32"/>
              </w:rPr>
              <w:t>企业有下列行为之一的，责令停止违法活动或者限期改正，并处1万元以上3万元以下的罚款：</w:t>
            </w:r>
          </w:p>
          <w:p w14:paraId="3DE541F6">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（一）变更企业主要负责人或者名称，未办理安全生产许可证变更手续的；……</w:t>
            </w:r>
          </w:p>
          <w:p w14:paraId="6FC31A29">
            <w:pPr>
              <w:adjustRightInd w:val="0"/>
              <w:snapToGrid w:val="0"/>
              <w:rPr>
                <w:rFonts w:hint="eastAsia" w:ascii="仿宋_GB2312" w:hAnsi="仿宋_GB2312" w:eastAsia="仿宋_GB2312" w:cs="仿宋_GB2312"/>
                <w:bCs/>
                <w:color w:val="auto"/>
                <w:sz w:val="32"/>
                <w:szCs w:val="32"/>
              </w:rPr>
            </w:pPr>
          </w:p>
        </w:tc>
        <w:tc>
          <w:tcPr>
            <w:tcW w:w="951" w:type="dxa"/>
            <w:vMerge w:val="continue"/>
            <w:vAlign w:val="center"/>
          </w:tcPr>
          <w:p w14:paraId="38F6057F">
            <w:pPr>
              <w:jc w:val="center"/>
              <w:rPr>
                <w:rFonts w:hint="eastAsia" w:ascii="仿宋_GB2312" w:hAnsi="仿宋_GB2312" w:eastAsia="仿宋_GB2312" w:cs="仿宋_GB2312"/>
                <w:bCs/>
                <w:color w:val="auto"/>
                <w:sz w:val="32"/>
                <w:szCs w:val="32"/>
              </w:rPr>
            </w:pPr>
          </w:p>
        </w:tc>
      </w:tr>
      <w:tr w14:paraId="62E8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vAlign w:val="center"/>
          </w:tcPr>
          <w:p w14:paraId="4091A545">
            <w:pPr>
              <w:jc w:val="center"/>
              <w:rPr>
                <w:rFonts w:hint="eastAsia" w:ascii="仿宋_GB2312" w:hAnsi="仿宋_GB2312" w:eastAsia="仿宋_GB2312" w:cs="仿宋_GB2312"/>
                <w:bCs/>
                <w:color w:val="auto"/>
                <w:sz w:val="32"/>
                <w:szCs w:val="32"/>
              </w:rPr>
            </w:pPr>
          </w:p>
        </w:tc>
        <w:tc>
          <w:tcPr>
            <w:tcW w:w="951" w:type="dxa"/>
            <w:vMerge w:val="continue"/>
            <w:vAlign w:val="center"/>
          </w:tcPr>
          <w:p w14:paraId="57797CEF">
            <w:pPr>
              <w:adjustRightInd w:val="0"/>
              <w:snapToGrid w:val="0"/>
              <w:jc w:val="center"/>
              <w:rPr>
                <w:rFonts w:hint="eastAsia" w:ascii="仿宋_GB2312" w:hAnsi="仿宋_GB2312" w:eastAsia="仿宋_GB2312" w:cs="仿宋_GB2312"/>
                <w:bCs/>
                <w:color w:val="auto"/>
                <w:sz w:val="32"/>
                <w:szCs w:val="32"/>
              </w:rPr>
            </w:pPr>
          </w:p>
        </w:tc>
        <w:tc>
          <w:tcPr>
            <w:tcW w:w="951" w:type="dxa"/>
            <w:vAlign w:val="center"/>
          </w:tcPr>
          <w:p w14:paraId="7141C7BE">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1.4  出租、转让许可证（重大隐患）</w:t>
            </w:r>
          </w:p>
        </w:tc>
        <w:tc>
          <w:tcPr>
            <w:tcW w:w="3899" w:type="dxa"/>
            <w:vAlign w:val="center"/>
          </w:tcPr>
          <w:p w14:paraId="109F9D58">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《烟花爆竹生产企业安全生产许可证实施办法》第四十条</w:t>
            </w:r>
            <w:r>
              <w:rPr>
                <w:rFonts w:hint="eastAsia" w:ascii="仿宋_GB2312" w:hAnsi="仿宋_GB2312" w:eastAsia="仿宋_GB2312" w:cs="仿宋_GB2312"/>
                <w:bCs/>
                <w:color w:val="auto"/>
                <w:sz w:val="32"/>
                <w:szCs w:val="32"/>
              </w:rPr>
              <w:t>企业取得安全生产许可证后，不得出租、转让安全生产许可证……</w:t>
            </w:r>
          </w:p>
          <w:p w14:paraId="2BE7886B">
            <w:pPr>
              <w:adjustRightInd w:val="0"/>
              <w:snapToGrid w:val="0"/>
              <w:rPr>
                <w:rFonts w:hint="eastAsia" w:ascii="仿宋_GB2312" w:hAnsi="仿宋_GB2312" w:eastAsia="仿宋_GB2312" w:cs="仿宋_GB2312"/>
                <w:bCs/>
                <w:color w:val="auto"/>
                <w:sz w:val="32"/>
                <w:szCs w:val="32"/>
              </w:rPr>
            </w:pPr>
          </w:p>
          <w:p w14:paraId="0CBCC295">
            <w:pPr>
              <w:adjustRightInd w:val="0"/>
              <w:snapToGrid w:val="0"/>
              <w:ind w:firstLine="640" w:firstLineChars="200"/>
              <w:rPr>
                <w:rFonts w:hint="eastAsia" w:ascii="仿宋_GB2312" w:hAnsi="仿宋_GB2312" w:eastAsia="仿宋_GB2312" w:cs="仿宋_GB2312"/>
                <w:bCs/>
                <w:color w:val="auto"/>
                <w:sz w:val="32"/>
                <w:szCs w:val="32"/>
              </w:rPr>
            </w:pPr>
          </w:p>
        </w:tc>
        <w:tc>
          <w:tcPr>
            <w:tcW w:w="3899" w:type="dxa"/>
            <w:vAlign w:val="center"/>
          </w:tcPr>
          <w:p w14:paraId="50EAD2C9">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（1）相关证照；</w:t>
            </w:r>
          </w:p>
          <w:p w14:paraId="51B11CA6">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snapToGrid w:val="0"/>
                <w:color w:val="auto"/>
                <w:kern w:val="0"/>
                <w:sz w:val="32"/>
                <w:szCs w:val="32"/>
              </w:rPr>
              <w:t>《现场检查记录》《查封扣押决定书》等相关执法文书；</w:t>
            </w:r>
          </w:p>
          <w:p w14:paraId="3497FB55">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（3）出租、转让协议；</w:t>
            </w:r>
          </w:p>
          <w:p w14:paraId="4E69D7A3">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（4）出租、转让工（库）房现场生产情况照片；</w:t>
            </w:r>
          </w:p>
          <w:p w14:paraId="75C0ED14">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（5）出租、转让有关烟花爆竹产品登记、销售等财务资料；</w:t>
            </w:r>
          </w:p>
          <w:p w14:paraId="489C3265">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（6）企业主要负责人</w:t>
            </w:r>
            <w:r>
              <w:rPr>
                <w:rFonts w:hint="eastAsia" w:ascii="仿宋_GB2312" w:hAnsi="仿宋_GB2312" w:eastAsia="仿宋_GB2312" w:cs="仿宋_GB2312"/>
                <w:bCs/>
                <w:snapToGrid w:val="0"/>
                <w:color w:val="auto"/>
                <w:kern w:val="0"/>
                <w:sz w:val="32"/>
                <w:szCs w:val="32"/>
              </w:rPr>
              <w:t>任职文件、身份证明及其询问笔录；</w:t>
            </w:r>
            <w:r>
              <w:rPr>
                <w:rFonts w:hint="eastAsia" w:ascii="仿宋_GB2312" w:hAnsi="仿宋_GB2312" w:eastAsia="仿宋_GB2312" w:cs="仿宋_GB2312"/>
                <w:bCs/>
                <w:color w:val="auto"/>
                <w:sz w:val="32"/>
                <w:szCs w:val="32"/>
              </w:rPr>
              <w:t>出租、转让人询问笔录；</w:t>
            </w:r>
          </w:p>
          <w:p w14:paraId="2DDFB54F">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napToGrid w:val="0"/>
                <w:color w:val="auto"/>
                <w:kern w:val="0"/>
                <w:sz w:val="32"/>
                <w:szCs w:val="32"/>
              </w:rPr>
              <w:t>（7）其他相关证据。</w:t>
            </w:r>
          </w:p>
        </w:tc>
        <w:tc>
          <w:tcPr>
            <w:tcW w:w="3899" w:type="dxa"/>
            <w:vAlign w:val="center"/>
          </w:tcPr>
          <w:p w14:paraId="38509B0C">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《烟花爆竹生产企业安全生产许可证实施办法》第四十五条</w:t>
            </w:r>
            <w:r>
              <w:rPr>
                <w:rFonts w:hint="eastAsia" w:ascii="仿宋_GB2312" w:hAnsi="仿宋_GB2312" w:eastAsia="仿宋_GB2312" w:cs="仿宋_GB2312"/>
                <w:bCs/>
                <w:color w:val="auto"/>
                <w:sz w:val="32"/>
                <w:szCs w:val="32"/>
              </w:rPr>
              <w:t>企业有下列行为之一的，依法吊销其安全生产许可证：</w:t>
            </w:r>
          </w:p>
          <w:p w14:paraId="19E76577">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（一）出租、转让安全生产许可证的；……</w:t>
            </w:r>
          </w:p>
          <w:p w14:paraId="76C4BD98">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企业有前款第一项行为的，没收违法所得，并处10万元以上50万元以下的罚款。</w:t>
            </w:r>
          </w:p>
          <w:p w14:paraId="2F611B19">
            <w:pPr>
              <w:widowControl/>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《安全生产许可证条例》第二十一条第一款</w:t>
            </w:r>
            <w:r>
              <w:rPr>
                <w:rFonts w:hint="eastAsia" w:ascii="仿宋_GB2312" w:hAnsi="仿宋_GB2312" w:eastAsia="仿宋_GB2312" w:cs="仿宋_GB2312"/>
                <w:bCs/>
                <w:color w:val="auto"/>
                <w:sz w:val="32"/>
                <w:szCs w:val="32"/>
              </w:rPr>
              <w:t xml:space="preserve">  违反本条例规定，转让安全生产许可证的，没收违法所得，处10万元以上50万元以下的罚款，并吊销其安全生产许可证；构成犯罪的，依法追究刑事责任；接受转让的，依照本条例第十九条的规定处罚。……</w:t>
            </w:r>
          </w:p>
        </w:tc>
        <w:tc>
          <w:tcPr>
            <w:tcW w:w="951" w:type="dxa"/>
            <w:vMerge w:val="restart"/>
            <w:vAlign w:val="center"/>
          </w:tcPr>
          <w:p w14:paraId="5AE42A74">
            <w:pPr>
              <w:jc w:val="center"/>
              <w:rPr>
                <w:rFonts w:hint="eastAsia" w:ascii="仿宋_GB2312" w:hAnsi="仿宋_GB2312" w:eastAsia="仿宋_GB2312" w:cs="仿宋_GB2312"/>
                <w:bCs/>
                <w:color w:val="auto"/>
                <w:sz w:val="32"/>
                <w:szCs w:val="32"/>
              </w:rPr>
            </w:pPr>
          </w:p>
        </w:tc>
      </w:tr>
      <w:tr w14:paraId="1F85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17" w:type="dxa"/>
            <w:vMerge w:val="continue"/>
            <w:vAlign w:val="center"/>
          </w:tcPr>
          <w:p w14:paraId="7941FDE4">
            <w:pPr>
              <w:adjustRightInd w:val="0"/>
              <w:snapToGrid w:val="0"/>
              <w:ind w:firstLine="640" w:firstLineChars="200"/>
              <w:rPr>
                <w:rFonts w:hint="eastAsia" w:ascii="仿宋_GB2312" w:hAnsi="仿宋_GB2312" w:eastAsia="仿宋_GB2312" w:cs="仿宋_GB2312"/>
                <w:bCs/>
                <w:color w:val="auto"/>
                <w:sz w:val="32"/>
                <w:szCs w:val="32"/>
              </w:rPr>
            </w:pPr>
          </w:p>
        </w:tc>
        <w:tc>
          <w:tcPr>
            <w:tcW w:w="951" w:type="dxa"/>
            <w:vMerge w:val="continue"/>
            <w:vAlign w:val="center"/>
          </w:tcPr>
          <w:p w14:paraId="18409142">
            <w:pPr>
              <w:adjustRightInd w:val="0"/>
              <w:snapToGrid w:val="0"/>
              <w:ind w:firstLine="640" w:firstLineChars="200"/>
              <w:rPr>
                <w:rFonts w:hint="eastAsia" w:ascii="仿宋_GB2312" w:hAnsi="仿宋_GB2312" w:eastAsia="仿宋_GB2312" w:cs="仿宋_GB2312"/>
                <w:bCs/>
                <w:color w:val="auto"/>
                <w:sz w:val="32"/>
                <w:szCs w:val="32"/>
              </w:rPr>
            </w:pPr>
          </w:p>
        </w:tc>
        <w:tc>
          <w:tcPr>
            <w:tcW w:w="951" w:type="dxa"/>
            <w:vAlign w:val="center"/>
          </w:tcPr>
          <w:p w14:paraId="5457D1CD">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1.5安全生产许可证的冒用、伪造（重大隐患）</w:t>
            </w:r>
          </w:p>
        </w:tc>
        <w:tc>
          <w:tcPr>
            <w:tcW w:w="3899" w:type="dxa"/>
            <w:vAlign w:val="center"/>
          </w:tcPr>
          <w:p w14:paraId="2E9082DD">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《安全生产许可证条例》第十三条</w:t>
            </w:r>
            <w:r>
              <w:rPr>
                <w:rFonts w:hint="eastAsia" w:ascii="仿宋_GB2312" w:hAnsi="仿宋_GB2312" w:eastAsia="仿宋_GB2312" w:cs="仿宋_GB2312"/>
                <w:bCs/>
                <w:color w:val="auto"/>
                <w:sz w:val="32"/>
                <w:szCs w:val="32"/>
              </w:rPr>
              <w:t xml:space="preserve">  企业不得转让、冒用安全生产许可证或者使用伪造的安全生产许可证。</w:t>
            </w:r>
          </w:p>
          <w:p w14:paraId="1EB1849B">
            <w:pPr>
              <w:adjustRightInd w:val="0"/>
              <w:snapToGrid w:val="0"/>
              <w:ind w:firstLine="640" w:firstLineChars="200"/>
              <w:rPr>
                <w:rFonts w:hint="eastAsia" w:ascii="仿宋_GB2312" w:hAnsi="仿宋_GB2312" w:eastAsia="仿宋_GB2312" w:cs="仿宋_GB2312"/>
                <w:bCs/>
                <w:color w:val="auto"/>
                <w:sz w:val="32"/>
                <w:szCs w:val="32"/>
              </w:rPr>
            </w:pPr>
          </w:p>
        </w:tc>
        <w:tc>
          <w:tcPr>
            <w:tcW w:w="3899" w:type="dxa"/>
            <w:vAlign w:val="center"/>
          </w:tcPr>
          <w:p w14:paraId="1CD4207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w:t>
            </w:r>
            <w:r>
              <w:rPr>
                <w:rFonts w:hint="eastAsia" w:ascii="仿宋_GB2312" w:hAnsi="仿宋_GB2312" w:eastAsia="仿宋_GB2312" w:cs="仿宋_GB2312"/>
                <w:bCs/>
                <w:color w:val="auto"/>
                <w:sz w:val="32"/>
                <w:szCs w:val="32"/>
              </w:rPr>
              <w:t>安全生产许可证</w:t>
            </w:r>
            <w:r>
              <w:rPr>
                <w:rFonts w:hint="eastAsia" w:ascii="仿宋_GB2312" w:hAnsi="仿宋_GB2312" w:eastAsia="仿宋_GB2312" w:cs="仿宋_GB2312"/>
                <w:bCs/>
                <w:snapToGrid w:val="0"/>
                <w:color w:val="auto"/>
                <w:kern w:val="0"/>
                <w:sz w:val="32"/>
                <w:szCs w:val="32"/>
              </w:rPr>
              <w:t>复印件；</w:t>
            </w:r>
          </w:p>
          <w:p w14:paraId="0559DC3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（2）《现场检查记录》《查封扣押决定书》等相关执法文书；</w:t>
            </w:r>
          </w:p>
          <w:p w14:paraId="4603E97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（3）冒用或伪造的烟花爆竹</w:t>
            </w:r>
            <w:r>
              <w:rPr>
                <w:rFonts w:hint="eastAsia" w:ascii="仿宋_GB2312" w:hAnsi="仿宋_GB2312" w:eastAsia="仿宋_GB2312" w:cs="仿宋_GB2312"/>
                <w:bCs/>
                <w:color w:val="auto"/>
                <w:sz w:val="32"/>
                <w:szCs w:val="32"/>
              </w:rPr>
              <w:t>安全生产许可证</w:t>
            </w:r>
            <w:r>
              <w:rPr>
                <w:rFonts w:hint="eastAsia" w:ascii="仿宋_GB2312" w:hAnsi="仿宋_GB2312" w:eastAsia="仿宋_GB2312" w:cs="仿宋_GB2312"/>
                <w:bCs/>
                <w:snapToGrid w:val="0"/>
                <w:color w:val="auto"/>
                <w:kern w:val="0"/>
                <w:sz w:val="32"/>
                <w:szCs w:val="32"/>
              </w:rPr>
              <w:t>原件；</w:t>
            </w:r>
          </w:p>
          <w:p w14:paraId="4A6DB73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（4）被冒用的烟花爆竹</w:t>
            </w:r>
            <w:r>
              <w:rPr>
                <w:rFonts w:hint="eastAsia" w:ascii="仿宋_GB2312" w:hAnsi="仿宋_GB2312" w:eastAsia="仿宋_GB2312" w:cs="仿宋_GB2312"/>
                <w:bCs/>
                <w:color w:val="auto"/>
                <w:sz w:val="32"/>
                <w:szCs w:val="32"/>
              </w:rPr>
              <w:t>安全生产许可证</w:t>
            </w:r>
            <w:r>
              <w:rPr>
                <w:rFonts w:hint="eastAsia" w:ascii="仿宋_GB2312" w:hAnsi="仿宋_GB2312" w:eastAsia="仿宋_GB2312" w:cs="仿宋_GB2312"/>
                <w:bCs/>
                <w:snapToGrid w:val="0"/>
                <w:color w:val="auto"/>
                <w:kern w:val="0"/>
                <w:sz w:val="32"/>
                <w:szCs w:val="32"/>
              </w:rPr>
              <w:t>复印件；</w:t>
            </w:r>
          </w:p>
          <w:p w14:paraId="378F859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（5）烟花爆竹</w:t>
            </w:r>
            <w:r>
              <w:rPr>
                <w:rFonts w:hint="eastAsia" w:ascii="仿宋_GB2312" w:hAnsi="仿宋_GB2312" w:eastAsia="仿宋_GB2312" w:cs="仿宋_GB2312"/>
                <w:bCs/>
                <w:color w:val="auto"/>
                <w:sz w:val="32"/>
                <w:szCs w:val="32"/>
              </w:rPr>
              <w:t>安全生产许可证</w:t>
            </w:r>
            <w:r>
              <w:rPr>
                <w:rFonts w:hint="eastAsia" w:ascii="仿宋_GB2312" w:hAnsi="仿宋_GB2312" w:eastAsia="仿宋_GB2312" w:cs="仿宋_GB2312"/>
                <w:bCs/>
                <w:snapToGrid w:val="0"/>
                <w:color w:val="auto"/>
                <w:kern w:val="0"/>
                <w:sz w:val="32"/>
                <w:szCs w:val="32"/>
              </w:rPr>
              <w:t>发证机关印证伪造的材料；</w:t>
            </w:r>
          </w:p>
          <w:p w14:paraId="4BC1292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（6）销售收入情况；</w:t>
            </w:r>
          </w:p>
          <w:p w14:paraId="530D173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（7）鉴定结论；</w:t>
            </w:r>
          </w:p>
          <w:p w14:paraId="1BC2003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（8）现场照片及影像资料；</w:t>
            </w:r>
          </w:p>
          <w:p w14:paraId="58A6CE4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（9）现场处理措施决定书；</w:t>
            </w:r>
          </w:p>
          <w:p w14:paraId="0F6186C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（10）查封扣押决定书等；</w:t>
            </w:r>
          </w:p>
          <w:p w14:paraId="2D0D5CC9">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napToGrid w:val="0"/>
                <w:color w:val="auto"/>
                <w:kern w:val="0"/>
                <w:sz w:val="32"/>
                <w:szCs w:val="32"/>
              </w:rPr>
              <w:t>（11）相关人员任职文件、身份证明及其询问笔录。</w:t>
            </w:r>
          </w:p>
        </w:tc>
        <w:tc>
          <w:tcPr>
            <w:tcW w:w="3899" w:type="dxa"/>
            <w:vAlign w:val="center"/>
          </w:tcPr>
          <w:p w14:paraId="5DF9E0F8">
            <w:pPr>
              <w:rPr>
                <w:rFonts w:hint="eastAsia" w:ascii="仿宋_GB2312" w:hAnsi="仿宋_GB2312" w:eastAsia="仿宋_GB2312" w:cs="仿宋_GB2312"/>
                <w:color w:val="auto"/>
                <w:sz w:val="32"/>
                <w:szCs w:val="32"/>
              </w:rPr>
            </w:pPr>
          </w:p>
          <w:p w14:paraId="0DF4A0CA">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《安全生产许可证条例》第二十一条第二款</w:t>
            </w:r>
            <w:r>
              <w:rPr>
                <w:rFonts w:hint="eastAsia" w:ascii="仿宋_GB2312" w:hAnsi="仿宋_GB2312" w:eastAsia="仿宋_GB2312" w:cs="仿宋_GB2312"/>
                <w:bCs/>
                <w:color w:val="auto"/>
                <w:sz w:val="32"/>
                <w:szCs w:val="32"/>
              </w:rPr>
              <w:t>冒用安全生产许可证或者使用伪造的安全生产许可证的，依照本条例第十九条的规定处罚。</w:t>
            </w:r>
          </w:p>
          <w:p w14:paraId="020DE530">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snapToGrid w:val="0"/>
                <w:color w:val="auto"/>
                <w:kern w:val="0"/>
                <w:sz w:val="32"/>
                <w:szCs w:val="32"/>
              </w:rPr>
              <w:t>《安全生产许可证条例》</w:t>
            </w:r>
            <w:r>
              <w:rPr>
                <w:rFonts w:hint="eastAsia" w:ascii="仿宋_GB2312" w:hAnsi="仿宋_GB2312" w:eastAsia="仿宋_GB2312" w:cs="仿宋_GB2312"/>
                <w:b/>
                <w:snapToGrid w:val="0"/>
                <w:color w:val="auto"/>
                <w:kern w:val="0"/>
                <w:sz w:val="32"/>
                <w:szCs w:val="32"/>
              </w:rPr>
              <w:t>第十九条</w:t>
            </w:r>
            <w:r>
              <w:rPr>
                <w:rFonts w:hint="eastAsia" w:ascii="仿宋_GB2312" w:hAnsi="仿宋_GB2312" w:eastAsia="仿宋_GB2312" w:cs="仿宋_GB2312"/>
                <w:bCs/>
                <w:snapToGrid w:val="0"/>
                <w:color w:val="auto"/>
                <w:kern w:val="0"/>
                <w:sz w:val="32"/>
                <w:szCs w:val="32"/>
              </w:rPr>
              <w:t xml:space="preserve">  违反本条例规定，未取得安全生产许可证擅自进行生产的，责令停止生产，没收违法所得，并处10万元以上50万元以下的罚款；造成重大事故或者其他严重后果，构成犯罪的，依法追究刑事责任。</w:t>
            </w:r>
          </w:p>
          <w:p w14:paraId="5D1D24A7">
            <w:pPr>
              <w:adjustRightInd w:val="0"/>
              <w:snapToGrid w:val="0"/>
              <w:ind w:firstLine="640" w:firstLineChars="200"/>
              <w:rPr>
                <w:rFonts w:hint="eastAsia" w:ascii="仿宋_GB2312" w:hAnsi="仿宋_GB2312" w:eastAsia="仿宋_GB2312" w:cs="仿宋_GB2312"/>
                <w:bCs/>
                <w:color w:val="auto"/>
                <w:sz w:val="32"/>
                <w:szCs w:val="32"/>
              </w:rPr>
            </w:pPr>
          </w:p>
        </w:tc>
        <w:tc>
          <w:tcPr>
            <w:tcW w:w="951" w:type="dxa"/>
            <w:vMerge w:val="continue"/>
            <w:vAlign w:val="center"/>
          </w:tcPr>
          <w:p w14:paraId="50A46C01">
            <w:pPr>
              <w:adjustRightInd w:val="0"/>
              <w:snapToGrid w:val="0"/>
              <w:ind w:firstLine="640" w:firstLineChars="200"/>
              <w:rPr>
                <w:rFonts w:hint="eastAsia" w:ascii="仿宋_GB2312" w:hAnsi="仿宋_GB2312" w:eastAsia="仿宋_GB2312" w:cs="仿宋_GB2312"/>
                <w:bCs/>
                <w:color w:val="auto"/>
                <w:sz w:val="32"/>
                <w:szCs w:val="32"/>
              </w:rPr>
            </w:pPr>
          </w:p>
        </w:tc>
      </w:tr>
      <w:tr w14:paraId="1054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17" w:type="dxa"/>
            <w:vMerge w:val="continue"/>
            <w:vAlign w:val="center"/>
          </w:tcPr>
          <w:p w14:paraId="06A9413E">
            <w:pPr>
              <w:adjustRightInd w:val="0"/>
              <w:snapToGrid w:val="0"/>
              <w:rPr>
                <w:rFonts w:hint="eastAsia" w:ascii="仿宋_GB2312" w:hAnsi="仿宋_GB2312" w:eastAsia="仿宋_GB2312" w:cs="仿宋_GB2312"/>
                <w:color w:val="auto"/>
                <w:sz w:val="32"/>
                <w:szCs w:val="32"/>
              </w:rPr>
            </w:pPr>
          </w:p>
        </w:tc>
        <w:tc>
          <w:tcPr>
            <w:tcW w:w="951" w:type="dxa"/>
            <w:vMerge w:val="continue"/>
            <w:vAlign w:val="center"/>
          </w:tcPr>
          <w:p w14:paraId="225A4BE7">
            <w:pPr>
              <w:adjustRightInd w:val="0"/>
              <w:snapToGrid w:val="0"/>
              <w:rPr>
                <w:rFonts w:hint="eastAsia" w:ascii="仿宋_GB2312" w:hAnsi="仿宋_GB2312" w:eastAsia="仿宋_GB2312" w:cs="仿宋_GB2312"/>
                <w:color w:val="auto"/>
                <w:sz w:val="32"/>
                <w:szCs w:val="32"/>
              </w:rPr>
            </w:pPr>
          </w:p>
        </w:tc>
        <w:tc>
          <w:tcPr>
            <w:tcW w:w="951" w:type="dxa"/>
            <w:vAlign w:val="center"/>
          </w:tcPr>
          <w:p w14:paraId="05BE3720">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1.6生产线或者工（库）房的转包、分包（重大隐患）</w:t>
            </w:r>
          </w:p>
        </w:tc>
        <w:tc>
          <w:tcPr>
            <w:tcW w:w="3899" w:type="dxa"/>
            <w:vAlign w:val="center"/>
          </w:tcPr>
          <w:p w14:paraId="4B71D137">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《烟花爆竹生产企业安全生产许可证实施办法》</w:t>
            </w:r>
            <w:r>
              <w:rPr>
                <w:rFonts w:hint="eastAsia" w:ascii="仿宋_GB2312" w:hAnsi="仿宋_GB2312" w:eastAsia="仿宋_GB2312" w:cs="仿宋_GB2312"/>
                <w:b/>
                <w:color w:val="auto"/>
                <w:sz w:val="32"/>
                <w:szCs w:val="32"/>
              </w:rPr>
              <w:t>第四十条</w:t>
            </w:r>
            <w:r>
              <w:rPr>
                <w:rFonts w:hint="eastAsia" w:ascii="仿宋_GB2312" w:hAnsi="仿宋_GB2312" w:eastAsia="仿宋_GB2312" w:cs="仿宋_GB2312"/>
                <w:bCs/>
                <w:color w:val="auto"/>
                <w:sz w:val="32"/>
                <w:szCs w:val="32"/>
              </w:rPr>
              <w:t>企业取得安全生产许可证后，不得出租、转让安全生产许可证，不得将企业、生产线或者工（库）房转包、分包给不具备安全生产条件或者相应资质的其他任何单位或者个人……</w:t>
            </w:r>
          </w:p>
        </w:tc>
        <w:tc>
          <w:tcPr>
            <w:tcW w:w="3899" w:type="dxa"/>
            <w:vAlign w:val="center"/>
          </w:tcPr>
          <w:p w14:paraId="4A2FF160">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（1）相关证照；</w:t>
            </w:r>
          </w:p>
          <w:p w14:paraId="558A266D">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snapToGrid w:val="0"/>
                <w:color w:val="auto"/>
                <w:kern w:val="0"/>
                <w:sz w:val="32"/>
                <w:szCs w:val="32"/>
              </w:rPr>
              <w:t>《现场检查记录》《查封扣押决定书》等相关执法文书；</w:t>
            </w:r>
          </w:p>
          <w:p w14:paraId="7F567321">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（3）转包、分包协议；</w:t>
            </w:r>
          </w:p>
          <w:p w14:paraId="1FDE5523">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（4）转包、分包单位或个人的安全生产条件或资质；</w:t>
            </w:r>
          </w:p>
          <w:p w14:paraId="22B0FBD5">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（5）转包、分包费用及有关烟花爆竹产品登记、销售凭证和财务资料；</w:t>
            </w:r>
          </w:p>
          <w:p w14:paraId="2CC477B0">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（6）企业主要负责人</w:t>
            </w:r>
            <w:r>
              <w:rPr>
                <w:rFonts w:hint="eastAsia" w:ascii="仿宋_GB2312" w:hAnsi="仿宋_GB2312" w:eastAsia="仿宋_GB2312" w:cs="仿宋_GB2312"/>
                <w:bCs/>
                <w:snapToGrid w:val="0"/>
                <w:color w:val="auto"/>
                <w:kern w:val="0"/>
                <w:sz w:val="32"/>
                <w:szCs w:val="32"/>
              </w:rPr>
              <w:t>任职文件、身份证明及其询问笔录，</w:t>
            </w:r>
            <w:r>
              <w:rPr>
                <w:rFonts w:hint="eastAsia" w:ascii="仿宋_GB2312" w:hAnsi="仿宋_GB2312" w:eastAsia="仿宋_GB2312" w:cs="仿宋_GB2312"/>
                <w:bCs/>
                <w:color w:val="auto"/>
                <w:sz w:val="32"/>
                <w:szCs w:val="32"/>
              </w:rPr>
              <w:t>转包（分包）人询问笔录；</w:t>
            </w:r>
          </w:p>
          <w:p w14:paraId="7CE61E2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（7）其他相关证据。</w:t>
            </w:r>
          </w:p>
          <w:p w14:paraId="5C9B7884">
            <w:pPr>
              <w:adjustRightInd w:val="0"/>
              <w:snapToGrid w:val="0"/>
              <w:rPr>
                <w:rFonts w:hint="eastAsia" w:ascii="仿宋_GB2312" w:hAnsi="仿宋_GB2312" w:eastAsia="仿宋_GB2312" w:cs="仿宋_GB2312"/>
                <w:bCs/>
                <w:color w:val="auto"/>
                <w:sz w:val="32"/>
                <w:szCs w:val="32"/>
              </w:rPr>
            </w:pPr>
          </w:p>
        </w:tc>
        <w:tc>
          <w:tcPr>
            <w:tcW w:w="3899" w:type="dxa"/>
            <w:vAlign w:val="center"/>
          </w:tcPr>
          <w:p w14:paraId="7F1AE681">
            <w:pPr>
              <w:widowControl/>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《烟花爆竹生产企业安全生产许可证实施办法》</w:t>
            </w:r>
            <w:r>
              <w:rPr>
                <w:rFonts w:hint="eastAsia" w:ascii="仿宋_GB2312" w:hAnsi="仿宋_GB2312" w:eastAsia="仿宋_GB2312" w:cs="仿宋_GB2312"/>
                <w:b/>
                <w:color w:val="auto"/>
                <w:sz w:val="32"/>
                <w:szCs w:val="32"/>
              </w:rPr>
              <w:t>第四十七条</w:t>
            </w:r>
            <w:r>
              <w:rPr>
                <w:rFonts w:hint="eastAsia" w:ascii="仿宋_GB2312" w:hAnsi="仿宋_GB2312" w:eastAsia="仿宋_GB2312" w:cs="仿宋_GB2312"/>
                <w:bCs/>
                <w:color w:val="auto"/>
                <w:sz w:val="32"/>
                <w:szCs w:val="32"/>
              </w:rPr>
              <w:t>企业取得安全生产许可证后，将企业、生产线或者工（库）房转包、分包给不具备安全生产条件或者相应资质的其他单位或者个人，依照《中华人民共和国安全生产法》  的有关规定给予处罚。</w:t>
            </w:r>
          </w:p>
          <w:p w14:paraId="4B61D97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ED9F28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2E2A534">
            <w:pPr>
              <w:adjustRightInd w:val="0"/>
              <w:snapToGrid w:val="0"/>
              <w:ind w:firstLine="640" w:firstLineChars="200"/>
              <w:rPr>
                <w:rFonts w:hint="eastAsia" w:ascii="仿宋_GB2312" w:hAnsi="仿宋_GB2312" w:eastAsia="仿宋_GB2312" w:cs="仿宋_GB2312"/>
                <w:bCs/>
                <w:color w:val="auto"/>
                <w:sz w:val="32"/>
                <w:szCs w:val="32"/>
              </w:rPr>
            </w:pPr>
          </w:p>
        </w:tc>
        <w:tc>
          <w:tcPr>
            <w:tcW w:w="951" w:type="dxa"/>
            <w:vMerge w:val="continue"/>
            <w:vAlign w:val="center"/>
          </w:tcPr>
          <w:p w14:paraId="23150CDA">
            <w:pPr>
              <w:adjustRightInd w:val="0"/>
              <w:snapToGrid w:val="0"/>
              <w:rPr>
                <w:rFonts w:hint="eastAsia" w:ascii="仿宋_GB2312" w:hAnsi="仿宋_GB2312" w:eastAsia="仿宋_GB2312" w:cs="仿宋_GB2312"/>
                <w:bCs/>
                <w:color w:val="auto"/>
                <w:sz w:val="32"/>
                <w:szCs w:val="32"/>
              </w:rPr>
            </w:pPr>
          </w:p>
        </w:tc>
      </w:tr>
      <w:tr w14:paraId="7538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vAlign w:val="center"/>
          </w:tcPr>
          <w:p w14:paraId="6D6DA2DF">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p>
        </w:tc>
        <w:tc>
          <w:tcPr>
            <w:tcW w:w="951" w:type="dxa"/>
            <w:vMerge w:val="restart"/>
            <w:vAlign w:val="center"/>
          </w:tcPr>
          <w:p w14:paraId="6D0FEA24">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生产管理情况</w:t>
            </w:r>
          </w:p>
        </w:tc>
        <w:tc>
          <w:tcPr>
            <w:tcW w:w="951" w:type="dxa"/>
            <w:vAlign w:val="center"/>
          </w:tcPr>
          <w:p w14:paraId="2FCA4705">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2.1   多股东不得各自独立生产（重大隐患）</w:t>
            </w:r>
          </w:p>
        </w:tc>
        <w:tc>
          <w:tcPr>
            <w:tcW w:w="3899" w:type="dxa"/>
            <w:vAlign w:val="center"/>
          </w:tcPr>
          <w:p w14:paraId="4EF4F0CA">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《烟花爆竹生产企业安全生产许可证实施办法》第四十条</w:t>
            </w:r>
            <w:r>
              <w:rPr>
                <w:rFonts w:hint="eastAsia" w:ascii="仿宋_GB2312" w:hAnsi="仿宋_GB2312" w:eastAsia="仿宋_GB2312" w:cs="仿宋_GB2312"/>
                <w:bCs/>
                <w:color w:val="auto"/>
                <w:sz w:val="32"/>
                <w:szCs w:val="32"/>
              </w:rPr>
              <w:t>企业取得安全生产许可证后，不得出租、转让安全生产许可证，不得将企业、生产线或者工（库）房转包、分包给不具备安全生产条件或者相应资质的其他任何单位或者个人，不得多股东各自独立进行烟花爆竹生产活动。</w:t>
            </w:r>
          </w:p>
          <w:p w14:paraId="61ECA8ED">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color w:val="auto"/>
                <w:sz w:val="32"/>
                <w:szCs w:val="32"/>
              </w:rPr>
              <w:t>……</w:t>
            </w:r>
          </w:p>
        </w:tc>
        <w:tc>
          <w:tcPr>
            <w:tcW w:w="3899" w:type="dxa"/>
            <w:vAlign w:val="center"/>
          </w:tcPr>
          <w:p w14:paraId="53CD4E7A">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（1）相关证照；</w:t>
            </w:r>
          </w:p>
          <w:p w14:paraId="5DE42EB6">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snapToGrid w:val="0"/>
                <w:color w:val="auto"/>
                <w:kern w:val="0"/>
                <w:sz w:val="32"/>
                <w:szCs w:val="32"/>
              </w:rPr>
              <w:t>《现场检查记录》《现场处理措施决定书》等相关执法文书；</w:t>
            </w:r>
          </w:p>
          <w:p w14:paraId="54D05D44">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（3）股东生产经营协议；</w:t>
            </w:r>
          </w:p>
          <w:p w14:paraId="607B4BE6">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（4）工商注册登记资料；</w:t>
            </w:r>
          </w:p>
          <w:p w14:paraId="0FE22146">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（5）各股东独立生产作业现场照片或影像资料；</w:t>
            </w:r>
          </w:p>
          <w:p w14:paraId="6D8B1233">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（6）企业生产、原材料采购、员工工资发放财务等资料；</w:t>
            </w:r>
          </w:p>
          <w:p w14:paraId="43D169F4">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（7）烟花爆竹出入库登记资料；</w:t>
            </w:r>
          </w:p>
          <w:p w14:paraId="2B3D266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color w:val="auto"/>
                <w:sz w:val="32"/>
                <w:szCs w:val="32"/>
              </w:rPr>
              <w:t>（8）企业主要负责人、各股东及其相关人员</w:t>
            </w:r>
            <w:r>
              <w:rPr>
                <w:rFonts w:hint="eastAsia" w:ascii="仿宋_GB2312" w:hAnsi="仿宋_GB2312" w:eastAsia="仿宋_GB2312" w:cs="仿宋_GB2312"/>
                <w:bCs/>
                <w:snapToGrid w:val="0"/>
                <w:color w:val="auto"/>
                <w:kern w:val="0"/>
                <w:sz w:val="32"/>
                <w:szCs w:val="32"/>
              </w:rPr>
              <w:t>任职文件、身份证明和询问笔录；</w:t>
            </w:r>
          </w:p>
          <w:p w14:paraId="639C6FD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（9）其他相关证据。</w:t>
            </w:r>
          </w:p>
        </w:tc>
        <w:tc>
          <w:tcPr>
            <w:tcW w:w="3899" w:type="dxa"/>
            <w:vAlign w:val="center"/>
          </w:tcPr>
          <w:p w14:paraId="7FBA6FE6">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《烟花爆竹生产企业安全生产许可证实施办法》第四十四条</w:t>
            </w:r>
            <w:r>
              <w:rPr>
                <w:rFonts w:hint="eastAsia" w:ascii="仿宋_GB2312" w:hAnsi="仿宋_GB2312" w:eastAsia="仿宋_GB2312" w:cs="仿宋_GB2312"/>
                <w:bCs/>
                <w:color w:val="auto"/>
                <w:sz w:val="32"/>
                <w:szCs w:val="32"/>
              </w:rPr>
              <w:t>企业有下列行为之一的，依法暂扣其安全生产许可证：</w:t>
            </w:r>
          </w:p>
          <w:p w14:paraId="77A9B1BB">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（一）多股东各自独立进行烟花爆竹生产活动的；……</w:t>
            </w:r>
          </w:p>
          <w:p w14:paraId="58382E8E">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企业有前款第一项、第二项、第三项行为之一的，并处1万元以上3万元以下的罚款。</w:t>
            </w:r>
          </w:p>
          <w:p w14:paraId="63DED88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87ED041">
            <w:pPr>
              <w:widowControl/>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1" w:type="dxa"/>
            <w:vAlign w:val="center"/>
          </w:tcPr>
          <w:p w14:paraId="70442CB6">
            <w:pPr>
              <w:jc w:val="center"/>
              <w:rPr>
                <w:rFonts w:hint="eastAsia" w:ascii="仿宋_GB2312" w:hAnsi="仿宋_GB2312" w:eastAsia="仿宋_GB2312" w:cs="仿宋_GB2312"/>
                <w:bCs/>
                <w:color w:val="auto"/>
                <w:sz w:val="32"/>
                <w:szCs w:val="32"/>
              </w:rPr>
            </w:pPr>
          </w:p>
        </w:tc>
      </w:tr>
      <w:tr w14:paraId="7929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vAlign w:val="center"/>
          </w:tcPr>
          <w:p w14:paraId="2E4AAD10">
            <w:pPr>
              <w:jc w:val="center"/>
              <w:rPr>
                <w:rFonts w:hint="eastAsia" w:ascii="仿宋_GB2312" w:hAnsi="仿宋_GB2312" w:eastAsia="仿宋_GB2312" w:cs="仿宋_GB2312"/>
                <w:bCs/>
                <w:color w:val="auto"/>
                <w:sz w:val="32"/>
                <w:szCs w:val="32"/>
              </w:rPr>
            </w:pPr>
          </w:p>
        </w:tc>
        <w:tc>
          <w:tcPr>
            <w:tcW w:w="951" w:type="dxa"/>
            <w:vMerge w:val="continue"/>
            <w:vAlign w:val="center"/>
          </w:tcPr>
          <w:p w14:paraId="345E7199">
            <w:pPr>
              <w:adjustRightInd w:val="0"/>
              <w:snapToGrid w:val="0"/>
              <w:jc w:val="center"/>
              <w:rPr>
                <w:rFonts w:hint="eastAsia" w:ascii="仿宋_GB2312" w:hAnsi="仿宋_GB2312" w:eastAsia="仿宋_GB2312" w:cs="仿宋_GB2312"/>
                <w:bCs/>
                <w:color w:val="auto"/>
                <w:sz w:val="32"/>
                <w:szCs w:val="32"/>
              </w:rPr>
            </w:pPr>
          </w:p>
        </w:tc>
        <w:tc>
          <w:tcPr>
            <w:tcW w:w="951" w:type="dxa"/>
            <w:vAlign w:val="center"/>
          </w:tcPr>
          <w:p w14:paraId="229D0812">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2.2  按照许可证核定产品种类生产（重大隐患）</w:t>
            </w:r>
          </w:p>
        </w:tc>
        <w:tc>
          <w:tcPr>
            <w:tcW w:w="3899" w:type="dxa"/>
            <w:vAlign w:val="center"/>
          </w:tcPr>
          <w:p w14:paraId="37EF81B8">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snapToGrid w:val="0"/>
                <w:color w:val="auto"/>
                <w:kern w:val="0"/>
                <w:sz w:val="32"/>
                <w:szCs w:val="32"/>
              </w:rPr>
              <w:t>《烟花爆竹安全管理条例》</w:t>
            </w:r>
            <w:r>
              <w:rPr>
                <w:rFonts w:hint="eastAsia" w:ascii="仿宋_GB2312" w:hAnsi="仿宋_GB2312" w:eastAsia="仿宋_GB2312" w:cs="仿宋_GB2312"/>
                <w:b/>
                <w:color w:val="auto"/>
                <w:sz w:val="32"/>
                <w:szCs w:val="32"/>
              </w:rPr>
              <w:t>第十一条</w:t>
            </w:r>
            <w:r>
              <w:rPr>
                <w:rFonts w:hint="eastAsia" w:ascii="仿宋_GB2312" w:hAnsi="仿宋_GB2312" w:eastAsia="仿宋_GB2312" w:cs="仿宋_GB2312"/>
                <w:bCs/>
                <w:color w:val="auto"/>
                <w:sz w:val="32"/>
                <w:szCs w:val="32"/>
              </w:rPr>
              <w:t>生产烟花爆竹的企业，应当按照安全生产许可证核定的产品种类进行生产……</w:t>
            </w:r>
          </w:p>
          <w:p w14:paraId="5C512FFA">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（产品种类标准见《烟花爆竹安全与质量》GB10631）</w:t>
            </w:r>
          </w:p>
        </w:tc>
        <w:tc>
          <w:tcPr>
            <w:tcW w:w="3899" w:type="dxa"/>
            <w:vAlign w:val="center"/>
          </w:tcPr>
          <w:p w14:paraId="53BA3FC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690A3C8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（2）《现场检查记录》《责令限期整改指令书》《抽样取证凭证》《鉴定委托书》等相关执法文书；</w:t>
            </w:r>
          </w:p>
          <w:p w14:paraId="381CC00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（3）烟花爆竹产品现场照片；</w:t>
            </w:r>
          </w:p>
          <w:p w14:paraId="20D6F2D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（4）产品种类鉴定结论；</w:t>
            </w:r>
          </w:p>
          <w:p w14:paraId="0AFF517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（5）企业相关人员任职文件、身份证明及其询问笔录；</w:t>
            </w:r>
          </w:p>
          <w:p w14:paraId="60133C3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9" w:type="dxa"/>
            <w:vAlign w:val="center"/>
          </w:tcPr>
          <w:p w14:paraId="692DF12A">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snapToGrid w:val="0"/>
                <w:color w:val="auto"/>
                <w:kern w:val="0"/>
                <w:sz w:val="32"/>
                <w:szCs w:val="32"/>
              </w:rPr>
              <w:t>《烟花爆竹安全管理条例》</w:t>
            </w:r>
            <w:r>
              <w:rPr>
                <w:rFonts w:hint="eastAsia" w:ascii="仿宋_GB2312" w:hAnsi="仿宋_GB2312" w:eastAsia="仿宋_GB2312" w:cs="仿宋_GB2312"/>
                <w:b/>
                <w:color w:val="auto"/>
                <w:sz w:val="32"/>
                <w:szCs w:val="32"/>
              </w:rPr>
              <w:t>第三十七条</w:t>
            </w:r>
            <w:r>
              <w:rPr>
                <w:rFonts w:hint="eastAsia" w:ascii="仿宋_GB2312" w:hAnsi="仿宋_GB2312" w:eastAsia="仿宋_GB2312" w:cs="仿宋_GB2312"/>
                <w:bCs/>
                <w:color w:val="auto"/>
                <w:sz w:val="32"/>
                <w:szCs w:val="32"/>
              </w:rPr>
              <w:t>生产烟花爆竹的企业有下列行为之一的，由安全生产监督管理部门责令限期改正，处1万元以上5万元以下的罚款；逾期不改正的，责令停产停业整顿，情节严重的，吊销安全生产许可证：</w:t>
            </w:r>
          </w:p>
          <w:p w14:paraId="06469471">
            <w:pPr>
              <w:widowControl/>
              <w:numPr>
                <w:ilvl w:val="0"/>
                <w:numId w:val="82"/>
              </w:numPr>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未按照安全生产许可证核定的产品种类进行生产的；……</w:t>
            </w:r>
          </w:p>
          <w:p w14:paraId="1235DB4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7E3811F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40D4E4D">
            <w:pPr>
              <w:adjustRightInd w:val="0"/>
              <w:snapToGrid w:val="0"/>
              <w:ind w:firstLine="640" w:firstLineChars="200"/>
              <w:rPr>
                <w:rFonts w:hint="eastAsia" w:ascii="仿宋_GB2312" w:hAnsi="仿宋_GB2312" w:eastAsia="仿宋_GB2312" w:cs="仿宋_GB2312"/>
                <w:bCs/>
                <w:color w:val="auto"/>
                <w:sz w:val="32"/>
                <w:szCs w:val="32"/>
              </w:rPr>
            </w:pPr>
          </w:p>
        </w:tc>
        <w:tc>
          <w:tcPr>
            <w:tcW w:w="951" w:type="dxa"/>
            <w:vMerge w:val="restart"/>
            <w:vAlign w:val="center"/>
          </w:tcPr>
          <w:p w14:paraId="06CCACFF">
            <w:pPr>
              <w:jc w:val="center"/>
              <w:rPr>
                <w:rFonts w:hint="eastAsia" w:ascii="仿宋_GB2312" w:hAnsi="仿宋_GB2312" w:eastAsia="仿宋_GB2312" w:cs="仿宋_GB2312"/>
                <w:bCs/>
                <w:color w:val="auto"/>
                <w:sz w:val="32"/>
                <w:szCs w:val="32"/>
              </w:rPr>
            </w:pPr>
          </w:p>
        </w:tc>
      </w:tr>
      <w:tr w14:paraId="1BEC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17" w:type="dxa"/>
            <w:vMerge w:val="continue"/>
            <w:vAlign w:val="center"/>
          </w:tcPr>
          <w:p w14:paraId="58DE77D1">
            <w:pPr>
              <w:adjustRightInd w:val="0"/>
              <w:snapToGrid w:val="0"/>
              <w:rPr>
                <w:rFonts w:hint="eastAsia" w:ascii="仿宋_GB2312" w:hAnsi="仿宋_GB2312" w:eastAsia="仿宋_GB2312" w:cs="仿宋_GB2312"/>
                <w:bCs/>
                <w:color w:val="auto"/>
                <w:sz w:val="32"/>
                <w:szCs w:val="32"/>
              </w:rPr>
            </w:pPr>
          </w:p>
        </w:tc>
        <w:tc>
          <w:tcPr>
            <w:tcW w:w="951" w:type="dxa"/>
            <w:vMerge w:val="continue"/>
            <w:vAlign w:val="center"/>
          </w:tcPr>
          <w:p w14:paraId="644A56E0">
            <w:pPr>
              <w:adjustRightInd w:val="0"/>
              <w:snapToGrid w:val="0"/>
              <w:rPr>
                <w:rFonts w:hint="eastAsia" w:ascii="仿宋_GB2312" w:hAnsi="仿宋_GB2312" w:eastAsia="仿宋_GB2312" w:cs="仿宋_GB2312"/>
                <w:bCs/>
                <w:color w:val="auto"/>
                <w:sz w:val="32"/>
                <w:szCs w:val="32"/>
              </w:rPr>
            </w:pPr>
          </w:p>
        </w:tc>
        <w:tc>
          <w:tcPr>
            <w:tcW w:w="951" w:type="dxa"/>
            <w:vAlign w:val="center"/>
          </w:tcPr>
          <w:p w14:paraId="6BBF72FD">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2.3按照标准执行生产工序和生产作业</w:t>
            </w:r>
          </w:p>
        </w:tc>
        <w:tc>
          <w:tcPr>
            <w:tcW w:w="3899" w:type="dxa"/>
            <w:vAlign w:val="center"/>
          </w:tcPr>
          <w:p w14:paraId="607EC0A9">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snapToGrid w:val="0"/>
                <w:color w:val="auto"/>
                <w:kern w:val="0"/>
                <w:sz w:val="32"/>
                <w:szCs w:val="32"/>
              </w:rPr>
              <w:t>《烟花爆竹安全管理条例》</w:t>
            </w:r>
            <w:r>
              <w:rPr>
                <w:rFonts w:hint="eastAsia" w:ascii="仿宋_GB2312" w:hAnsi="仿宋_GB2312" w:eastAsia="仿宋_GB2312" w:cs="仿宋_GB2312"/>
                <w:b/>
                <w:color w:val="auto"/>
                <w:sz w:val="32"/>
                <w:szCs w:val="32"/>
              </w:rPr>
              <w:t>第十一条</w:t>
            </w:r>
            <w:r>
              <w:rPr>
                <w:rFonts w:hint="eastAsia" w:ascii="仿宋_GB2312" w:hAnsi="仿宋_GB2312" w:eastAsia="仿宋_GB2312" w:cs="仿宋_GB2312"/>
                <w:bCs/>
                <w:color w:val="auto"/>
                <w:sz w:val="32"/>
                <w:szCs w:val="32"/>
              </w:rPr>
              <w:t>生产烟花爆竹的企业，……生产工序和生产作业应当执行有关国家标准和行业标准。</w:t>
            </w:r>
          </w:p>
          <w:p w14:paraId="65161918">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（生产工序和生产作业常用标准见《烟花爆竹作业安全技术规程》GB11652、《烟花爆竹工程设计安全规范》GB50161）</w:t>
            </w:r>
          </w:p>
        </w:tc>
        <w:tc>
          <w:tcPr>
            <w:tcW w:w="3899" w:type="dxa"/>
            <w:vAlign w:val="center"/>
          </w:tcPr>
          <w:p w14:paraId="2923AB1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6987C15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61B1B8E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（3）烟花爆竹生产工序或生产作业现场照片及影像资料；</w:t>
            </w:r>
          </w:p>
          <w:p w14:paraId="65AD7CC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（4）企业相关人员任职文件、身份证明及其询问笔录；</w:t>
            </w:r>
          </w:p>
          <w:p w14:paraId="24C6933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（5）其他相关证据。</w:t>
            </w:r>
          </w:p>
        </w:tc>
        <w:tc>
          <w:tcPr>
            <w:tcW w:w="3899" w:type="dxa"/>
            <w:vAlign w:val="center"/>
          </w:tcPr>
          <w:p w14:paraId="082274A9">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snapToGrid w:val="0"/>
                <w:color w:val="auto"/>
                <w:kern w:val="0"/>
                <w:sz w:val="32"/>
                <w:szCs w:val="32"/>
              </w:rPr>
              <w:t>《烟花爆竹安全管理条例》</w:t>
            </w:r>
            <w:r>
              <w:rPr>
                <w:rFonts w:hint="eastAsia" w:ascii="仿宋_GB2312" w:hAnsi="仿宋_GB2312" w:eastAsia="仿宋_GB2312" w:cs="仿宋_GB2312"/>
                <w:b/>
                <w:color w:val="auto"/>
                <w:sz w:val="32"/>
                <w:szCs w:val="32"/>
              </w:rPr>
              <w:t>第三十七条</w:t>
            </w:r>
            <w:r>
              <w:rPr>
                <w:rFonts w:hint="eastAsia" w:ascii="仿宋_GB2312" w:hAnsi="仿宋_GB2312" w:eastAsia="仿宋_GB2312" w:cs="仿宋_GB2312"/>
                <w:bCs/>
                <w:color w:val="auto"/>
                <w:sz w:val="32"/>
                <w:szCs w:val="32"/>
              </w:rPr>
              <w:t>生产烟花爆竹的企业有下列行为之一的，由安全生产监督管理部门责令限期改正，处1万元以上5万元以下的罚款；逾期不改正的，责令停产停业整顿，情节严重的，吊销安全生产许可证：……</w:t>
            </w:r>
          </w:p>
          <w:p w14:paraId="274657EF">
            <w:pPr>
              <w:numPr>
                <w:ilvl w:val="0"/>
                <w:numId w:val="83"/>
              </w:num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生产工序或者生产作业不符合有关国家标准、行业标准的；……</w:t>
            </w:r>
          </w:p>
        </w:tc>
        <w:tc>
          <w:tcPr>
            <w:tcW w:w="951" w:type="dxa"/>
            <w:vMerge w:val="continue"/>
            <w:vAlign w:val="center"/>
          </w:tcPr>
          <w:p w14:paraId="2CD5370A">
            <w:pPr>
              <w:adjustRightInd w:val="0"/>
              <w:snapToGrid w:val="0"/>
              <w:rPr>
                <w:rFonts w:hint="eastAsia" w:ascii="仿宋_GB2312" w:hAnsi="仿宋_GB2312" w:eastAsia="仿宋_GB2312" w:cs="仿宋_GB2312"/>
                <w:bCs/>
                <w:snapToGrid w:val="0"/>
                <w:color w:val="auto"/>
                <w:kern w:val="0"/>
                <w:sz w:val="32"/>
                <w:szCs w:val="32"/>
              </w:rPr>
            </w:pPr>
          </w:p>
        </w:tc>
      </w:tr>
      <w:tr w14:paraId="4297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17" w:type="dxa"/>
            <w:vMerge w:val="continue"/>
            <w:vAlign w:val="center"/>
          </w:tcPr>
          <w:p w14:paraId="72EC228E">
            <w:pPr>
              <w:jc w:val="center"/>
              <w:rPr>
                <w:rFonts w:hint="eastAsia" w:ascii="仿宋_GB2312" w:hAnsi="仿宋_GB2312" w:eastAsia="仿宋_GB2312" w:cs="仿宋_GB2312"/>
                <w:bCs/>
                <w:color w:val="auto"/>
                <w:sz w:val="32"/>
                <w:szCs w:val="32"/>
              </w:rPr>
            </w:pPr>
          </w:p>
        </w:tc>
        <w:tc>
          <w:tcPr>
            <w:tcW w:w="951" w:type="dxa"/>
            <w:vMerge w:val="continue"/>
            <w:vAlign w:val="center"/>
          </w:tcPr>
          <w:p w14:paraId="69ECABF8">
            <w:pPr>
              <w:adjustRightInd w:val="0"/>
              <w:snapToGrid w:val="0"/>
              <w:jc w:val="center"/>
              <w:rPr>
                <w:rFonts w:hint="eastAsia" w:ascii="仿宋_GB2312" w:hAnsi="仿宋_GB2312" w:eastAsia="仿宋_GB2312" w:cs="仿宋_GB2312"/>
                <w:bCs/>
                <w:color w:val="auto"/>
                <w:sz w:val="32"/>
                <w:szCs w:val="32"/>
              </w:rPr>
            </w:pPr>
          </w:p>
        </w:tc>
        <w:tc>
          <w:tcPr>
            <w:tcW w:w="951" w:type="dxa"/>
            <w:vAlign w:val="center"/>
          </w:tcPr>
          <w:p w14:paraId="26B60A61">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2.4危险工序的作业人员经设区的市人民政府安全生产监督管理部门考核合格（重大隐患）</w:t>
            </w:r>
          </w:p>
        </w:tc>
        <w:tc>
          <w:tcPr>
            <w:tcW w:w="3899" w:type="dxa"/>
            <w:vAlign w:val="center"/>
          </w:tcPr>
          <w:p w14:paraId="0F8322B1">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第三十条</w:t>
            </w:r>
            <w:r>
              <w:rPr>
                <w:rFonts w:hint="eastAsia" w:ascii="仿宋_GB2312" w:hAnsi="仿宋_GB2312" w:eastAsia="仿宋_GB2312" w:cs="仿宋_GB2312"/>
                <w:bCs/>
                <w:snapToGrid w:val="0"/>
                <w:color w:val="auto"/>
                <w:kern w:val="0"/>
                <w:sz w:val="32"/>
                <w:szCs w:val="32"/>
              </w:rPr>
              <w:t>生产经营单位的特种作业人员必须按照国家有关规定经专门的安全作业培训，取得相应资格，方可上岗作业。</w:t>
            </w:r>
          </w:p>
          <w:p w14:paraId="2D83AC04">
            <w:pPr>
              <w:widowControl/>
              <w:shd w:val="clear" w:color="auto" w:fill="FFFFFF"/>
              <w:ind w:firstLine="640" w:firstLineChars="200"/>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Cs/>
                <w:snapToGrid w:val="0"/>
                <w:color w:val="auto"/>
                <w:kern w:val="0"/>
                <w:sz w:val="32"/>
                <w:szCs w:val="32"/>
              </w:rPr>
              <w:t>特种作业人员的范围由国务院应急管理部门会同国务院有关部门确定。</w:t>
            </w:r>
          </w:p>
          <w:p w14:paraId="59BEF2EC">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《烟花爆竹安全管理条例》</w:t>
            </w:r>
            <w:r>
              <w:rPr>
                <w:rFonts w:hint="eastAsia" w:ascii="仿宋_GB2312" w:hAnsi="仿宋_GB2312" w:eastAsia="仿宋_GB2312" w:cs="仿宋_GB2312"/>
                <w:b/>
                <w:color w:val="auto"/>
                <w:sz w:val="32"/>
                <w:szCs w:val="32"/>
              </w:rPr>
              <w:t>第十二条</w:t>
            </w:r>
            <w:r>
              <w:rPr>
                <w:rFonts w:hint="eastAsia" w:ascii="仿宋_GB2312" w:hAnsi="仿宋_GB2312" w:eastAsia="仿宋_GB2312" w:cs="仿宋_GB2312"/>
                <w:bCs/>
                <w:color w:val="auto"/>
                <w:sz w:val="32"/>
                <w:szCs w:val="32"/>
              </w:rPr>
              <w:t>生产烟花爆竹的企业，应当对生产作业人员进行安全生产知识教育，对从事药物混合、造粒、筛选、装药、筑药、压药、切引、搬运等危险工序的作业人员进行专业技术培训。从事危险工序的作业人员经设区的市人民政府安全生产监督管理部门考核合格，方可上岗作业</w:t>
            </w:r>
          </w:p>
        </w:tc>
        <w:tc>
          <w:tcPr>
            <w:tcW w:w="3899" w:type="dxa"/>
            <w:vAlign w:val="center"/>
          </w:tcPr>
          <w:p w14:paraId="021F0F4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1A87B5D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63D3F3A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（3）特种作业人员档案；</w:t>
            </w:r>
          </w:p>
          <w:p w14:paraId="3C0937C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（4）危险工序作业人员现场作业照片及影像资料等；</w:t>
            </w:r>
          </w:p>
          <w:p w14:paraId="38BFC52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（5）企业相关人员任职文件、身份证明及其询问笔录；</w:t>
            </w:r>
          </w:p>
          <w:p w14:paraId="3541C6F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9" w:type="dxa"/>
            <w:vAlign w:val="center"/>
          </w:tcPr>
          <w:p w14:paraId="4F0A18A5">
            <w:pPr>
              <w:widowControl/>
              <w:shd w:val="clear" w:color="auto" w:fill="FFFFFF"/>
              <w:ind w:firstLine="321" w:firstLineChars="1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第九十七条第七项</w:t>
            </w:r>
            <w:r>
              <w:rPr>
                <w:rFonts w:hint="eastAsia" w:ascii="仿宋_GB2312" w:hAnsi="仿宋_GB2312" w:eastAsia="仿宋_GB2312" w:cs="仿宋_GB2312"/>
                <w:bCs/>
                <w:snapToGrid w:val="0"/>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0E1C240D">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（七）特种作业人员未按照规定经专门的安全作业培训并取得相应资格，上岗作业的。</w:t>
            </w:r>
          </w:p>
          <w:p w14:paraId="17B3ECAB">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snapToGrid w:val="0"/>
                <w:color w:val="auto"/>
                <w:kern w:val="0"/>
                <w:sz w:val="32"/>
                <w:szCs w:val="32"/>
              </w:rPr>
              <w:t>《烟花爆竹安全管理条例</w:t>
            </w:r>
            <w:r>
              <w:rPr>
                <w:rFonts w:hint="eastAsia" w:ascii="仿宋_GB2312" w:hAnsi="仿宋_GB2312" w:eastAsia="仿宋_GB2312" w:cs="仿宋_GB2312"/>
                <w:bCs/>
                <w:snapToGrid w:val="0"/>
                <w:color w:val="auto"/>
                <w:kern w:val="0"/>
                <w:sz w:val="32"/>
                <w:szCs w:val="32"/>
              </w:rPr>
              <w:t>》</w:t>
            </w:r>
            <w:r>
              <w:rPr>
                <w:rFonts w:hint="eastAsia" w:ascii="仿宋_GB2312" w:hAnsi="仿宋_GB2312" w:eastAsia="仿宋_GB2312" w:cs="仿宋_GB2312"/>
                <w:b/>
                <w:color w:val="auto"/>
                <w:sz w:val="32"/>
                <w:szCs w:val="32"/>
              </w:rPr>
              <w:t>第三十七条</w:t>
            </w:r>
            <w:r>
              <w:rPr>
                <w:rFonts w:hint="eastAsia" w:ascii="仿宋_GB2312" w:hAnsi="仿宋_GB2312" w:eastAsia="仿宋_GB2312" w:cs="仿宋_GB2312"/>
                <w:bCs/>
                <w:color w:val="auto"/>
                <w:sz w:val="32"/>
                <w:szCs w:val="32"/>
              </w:rPr>
              <w:t>生产烟花爆竹的企业有下列行为之一的，由安全生产监督管理部门责令限期改正，处1万元以上5万元以下的罚款；逾期不改正的，责令停产停业整顿，情节严重的，吊销安全生产许可证：……</w:t>
            </w:r>
          </w:p>
          <w:p w14:paraId="4564F5B7">
            <w:pPr>
              <w:widowControl/>
              <w:numPr>
                <w:ilvl w:val="0"/>
                <w:numId w:val="83"/>
              </w:num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雇佣未经设区的市人民政府安全生产监督管理部门考核合格的人员从事危险工序作业的；……</w:t>
            </w:r>
          </w:p>
          <w:p w14:paraId="61004E8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7AA127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D5AB9AD">
            <w:pPr>
              <w:adjustRightInd w:val="0"/>
              <w:snapToGrid w:val="0"/>
              <w:ind w:firstLine="640" w:firstLineChars="200"/>
              <w:rPr>
                <w:rFonts w:hint="eastAsia" w:ascii="仿宋_GB2312" w:hAnsi="仿宋_GB2312" w:eastAsia="仿宋_GB2312" w:cs="仿宋_GB2312"/>
                <w:bCs/>
                <w:snapToGrid w:val="0"/>
                <w:color w:val="auto"/>
                <w:kern w:val="0"/>
                <w:sz w:val="32"/>
                <w:szCs w:val="32"/>
              </w:rPr>
            </w:pPr>
          </w:p>
        </w:tc>
        <w:tc>
          <w:tcPr>
            <w:tcW w:w="951" w:type="dxa"/>
            <w:vMerge w:val="continue"/>
            <w:vAlign w:val="center"/>
          </w:tcPr>
          <w:p w14:paraId="66F19E4B">
            <w:pPr>
              <w:jc w:val="center"/>
              <w:rPr>
                <w:rFonts w:hint="eastAsia" w:ascii="仿宋_GB2312" w:hAnsi="仿宋_GB2312" w:eastAsia="仿宋_GB2312" w:cs="仿宋_GB2312"/>
                <w:bCs/>
                <w:color w:val="auto"/>
                <w:sz w:val="32"/>
                <w:szCs w:val="32"/>
              </w:rPr>
            </w:pPr>
          </w:p>
        </w:tc>
      </w:tr>
      <w:tr w14:paraId="5810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17" w:type="dxa"/>
            <w:vMerge w:val="continue"/>
            <w:vAlign w:val="center"/>
          </w:tcPr>
          <w:p w14:paraId="53BE1DD5">
            <w:pPr>
              <w:jc w:val="center"/>
              <w:rPr>
                <w:rFonts w:hint="eastAsia" w:ascii="仿宋_GB2312" w:hAnsi="仿宋_GB2312" w:eastAsia="仿宋_GB2312" w:cs="仿宋_GB2312"/>
                <w:bCs/>
                <w:color w:val="auto"/>
                <w:sz w:val="32"/>
                <w:szCs w:val="32"/>
              </w:rPr>
            </w:pPr>
          </w:p>
        </w:tc>
        <w:tc>
          <w:tcPr>
            <w:tcW w:w="951" w:type="dxa"/>
            <w:vMerge w:val="continue"/>
            <w:vAlign w:val="center"/>
          </w:tcPr>
          <w:p w14:paraId="27288365">
            <w:pPr>
              <w:adjustRightInd w:val="0"/>
              <w:snapToGrid w:val="0"/>
              <w:jc w:val="center"/>
              <w:rPr>
                <w:rFonts w:hint="eastAsia" w:ascii="仿宋_GB2312" w:hAnsi="仿宋_GB2312" w:eastAsia="仿宋_GB2312" w:cs="仿宋_GB2312"/>
                <w:bCs/>
                <w:color w:val="auto"/>
                <w:sz w:val="32"/>
                <w:szCs w:val="32"/>
              </w:rPr>
            </w:pPr>
          </w:p>
        </w:tc>
        <w:tc>
          <w:tcPr>
            <w:tcW w:w="951" w:type="dxa"/>
            <w:vAlign w:val="center"/>
          </w:tcPr>
          <w:p w14:paraId="334C02AE">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2.5 使用禁止使用或者禁忌配伍的物质生产（重大隐患）</w:t>
            </w:r>
          </w:p>
        </w:tc>
        <w:tc>
          <w:tcPr>
            <w:tcW w:w="3899" w:type="dxa"/>
            <w:vAlign w:val="center"/>
          </w:tcPr>
          <w:p w14:paraId="3803C607">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《烟花爆竹安全管理条例》第十三条</w:t>
            </w:r>
            <w:r>
              <w:rPr>
                <w:rFonts w:hint="eastAsia" w:ascii="仿宋_GB2312" w:hAnsi="仿宋_GB2312" w:eastAsia="仿宋_GB2312" w:cs="仿宋_GB2312"/>
                <w:bCs/>
                <w:snapToGrid w:val="0"/>
                <w:color w:val="auto"/>
                <w:kern w:val="0"/>
                <w:sz w:val="32"/>
                <w:szCs w:val="32"/>
              </w:rPr>
              <w:t>生产烟花爆竹使用的原料，应当符合国家标准的规定。生产烟花爆竹使用的原料，国家标准有用量限制的，不得超过规定的用量。不得使用国家标准规定禁止使用或者禁忌配伍的物质生产烟花爆竹。</w:t>
            </w:r>
          </w:p>
          <w:p w14:paraId="0718B490">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color w:val="auto"/>
                <w:sz w:val="32"/>
                <w:szCs w:val="32"/>
              </w:rPr>
              <w:t>（常用标准见《烟花爆竹作业安全与质量》GB10631）</w:t>
            </w:r>
          </w:p>
        </w:tc>
        <w:tc>
          <w:tcPr>
            <w:tcW w:w="3899" w:type="dxa"/>
            <w:vAlign w:val="center"/>
          </w:tcPr>
          <w:p w14:paraId="6DC9DBF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5EA0EAA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（2）《现场检查记录》《责令限期整改指令书》《抽样取证凭证》《鉴定委托书》等相关执法文书；</w:t>
            </w:r>
          </w:p>
          <w:p w14:paraId="178D898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（3）烟火药、半成品及成品现场照片；</w:t>
            </w:r>
          </w:p>
          <w:p w14:paraId="1F1056D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（4）鉴定结论；</w:t>
            </w:r>
          </w:p>
          <w:p w14:paraId="3AC8F33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（5）企业相关人员任职文件、身份证明及其询问笔录；</w:t>
            </w:r>
          </w:p>
          <w:p w14:paraId="17F5982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9" w:type="dxa"/>
            <w:vAlign w:val="center"/>
          </w:tcPr>
          <w:p w14:paraId="5FAEAED3">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snapToGrid w:val="0"/>
                <w:color w:val="auto"/>
                <w:kern w:val="0"/>
                <w:sz w:val="32"/>
                <w:szCs w:val="32"/>
              </w:rPr>
              <w:t>《烟花爆竹安全管理条例》</w:t>
            </w:r>
            <w:r>
              <w:rPr>
                <w:rFonts w:hint="eastAsia" w:ascii="仿宋_GB2312" w:hAnsi="仿宋_GB2312" w:eastAsia="仿宋_GB2312" w:cs="仿宋_GB2312"/>
                <w:b/>
                <w:color w:val="auto"/>
                <w:sz w:val="32"/>
                <w:szCs w:val="32"/>
              </w:rPr>
              <w:t>第三十七条</w:t>
            </w:r>
            <w:r>
              <w:rPr>
                <w:rFonts w:hint="eastAsia" w:ascii="仿宋_GB2312" w:hAnsi="仿宋_GB2312" w:eastAsia="仿宋_GB2312" w:cs="仿宋_GB2312"/>
                <w:bCs/>
                <w:color w:val="auto"/>
                <w:sz w:val="32"/>
                <w:szCs w:val="32"/>
              </w:rPr>
              <w:t>生产烟花爆竹的企业有下列行为之一的，由安全生产监督管理部门责令限期改正，处1万元以上5万元以下的罚款；逾期不改正的，责令停产停业整顿，情节严重的，吊销安全生产许可证：……</w:t>
            </w:r>
          </w:p>
          <w:p w14:paraId="48A4BBF4">
            <w:pPr>
              <w:widowControl/>
              <w:numPr>
                <w:ilvl w:val="0"/>
                <w:numId w:val="84"/>
              </w:num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使用按照国家标准规定禁止使用或者禁忌配伍的物质生产烟花爆竹的；……</w:t>
            </w:r>
          </w:p>
          <w:p w14:paraId="54A71FE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1B1CB35">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3413AC9">
            <w:pPr>
              <w:adjustRightInd w:val="0"/>
              <w:snapToGrid w:val="0"/>
              <w:ind w:firstLine="640" w:firstLineChars="200"/>
              <w:rPr>
                <w:rFonts w:hint="eastAsia" w:ascii="仿宋_GB2312" w:hAnsi="仿宋_GB2312" w:eastAsia="仿宋_GB2312" w:cs="仿宋_GB2312"/>
                <w:bCs/>
                <w:snapToGrid w:val="0"/>
                <w:color w:val="auto"/>
                <w:kern w:val="0"/>
                <w:sz w:val="32"/>
                <w:szCs w:val="32"/>
              </w:rPr>
            </w:pPr>
          </w:p>
        </w:tc>
        <w:tc>
          <w:tcPr>
            <w:tcW w:w="951" w:type="dxa"/>
            <w:vMerge w:val="continue"/>
            <w:vAlign w:val="center"/>
          </w:tcPr>
          <w:p w14:paraId="2D51DF76">
            <w:pPr>
              <w:jc w:val="center"/>
              <w:rPr>
                <w:rFonts w:hint="eastAsia" w:ascii="仿宋_GB2312" w:hAnsi="仿宋_GB2312" w:eastAsia="仿宋_GB2312" w:cs="仿宋_GB2312"/>
                <w:bCs/>
                <w:color w:val="auto"/>
                <w:sz w:val="32"/>
                <w:szCs w:val="32"/>
              </w:rPr>
            </w:pPr>
          </w:p>
        </w:tc>
      </w:tr>
      <w:tr w14:paraId="308B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17" w:type="dxa"/>
            <w:vMerge w:val="continue"/>
            <w:vAlign w:val="center"/>
          </w:tcPr>
          <w:p w14:paraId="7CCB4307">
            <w:pPr>
              <w:jc w:val="center"/>
              <w:rPr>
                <w:rFonts w:hint="eastAsia" w:ascii="仿宋_GB2312" w:hAnsi="仿宋_GB2312" w:eastAsia="仿宋_GB2312" w:cs="仿宋_GB2312"/>
                <w:bCs/>
                <w:color w:val="auto"/>
                <w:sz w:val="32"/>
                <w:szCs w:val="32"/>
              </w:rPr>
            </w:pPr>
          </w:p>
        </w:tc>
        <w:tc>
          <w:tcPr>
            <w:tcW w:w="951" w:type="dxa"/>
            <w:vMerge w:val="continue"/>
            <w:vAlign w:val="center"/>
          </w:tcPr>
          <w:p w14:paraId="7F83E0DE">
            <w:pPr>
              <w:adjustRightInd w:val="0"/>
              <w:snapToGrid w:val="0"/>
              <w:jc w:val="center"/>
              <w:rPr>
                <w:rFonts w:hint="eastAsia" w:ascii="仿宋_GB2312" w:hAnsi="仿宋_GB2312" w:eastAsia="仿宋_GB2312" w:cs="仿宋_GB2312"/>
                <w:bCs/>
                <w:color w:val="auto"/>
                <w:sz w:val="32"/>
                <w:szCs w:val="32"/>
              </w:rPr>
            </w:pPr>
          </w:p>
        </w:tc>
        <w:tc>
          <w:tcPr>
            <w:tcW w:w="951" w:type="dxa"/>
            <w:vAlign w:val="center"/>
          </w:tcPr>
          <w:p w14:paraId="31D229A8">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2.6产品标注燃放说明，包装物印制警示标志</w:t>
            </w:r>
          </w:p>
        </w:tc>
        <w:tc>
          <w:tcPr>
            <w:tcW w:w="3899" w:type="dxa"/>
            <w:vAlign w:val="center"/>
          </w:tcPr>
          <w:p w14:paraId="6AB56E14">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snapToGrid w:val="0"/>
                <w:color w:val="auto"/>
                <w:kern w:val="0"/>
                <w:sz w:val="32"/>
                <w:szCs w:val="32"/>
              </w:rPr>
              <w:t>《烟花爆竹安全管理条例》</w:t>
            </w:r>
            <w:r>
              <w:rPr>
                <w:rFonts w:hint="eastAsia" w:ascii="仿宋_GB2312" w:hAnsi="仿宋_GB2312" w:eastAsia="仿宋_GB2312" w:cs="仿宋_GB2312"/>
                <w:b/>
                <w:color w:val="auto"/>
                <w:sz w:val="32"/>
                <w:szCs w:val="32"/>
              </w:rPr>
              <w:t>第十四条</w:t>
            </w:r>
            <w:r>
              <w:rPr>
                <w:rFonts w:hint="eastAsia" w:ascii="仿宋_GB2312" w:hAnsi="仿宋_GB2312" w:eastAsia="仿宋_GB2312" w:cs="仿宋_GB2312"/>
                <w:bCs/>
                <w:color w:val="auto"/>
                <w:sz w:val="32"/>
                <w:szCs w:val="32"/>
              </w:rPr>
              <w:t>生产烟花爆竹的企业，应当按照国家标准的规定，在烟花爆竹产品上标注燃放说明，并在烟花爆竹包装物上印制易燃易爆危险物品警示标志。</w:t>
            </w:r>
          </w:p>
          <w:p w14:paraId="5091F728">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（常用标准见《烟花爆竹作业安全与质量》GB10631、《烟花爆竹标志》GB24426）</w:t>
            </w:r>
          </w:p>
        </w:tc>
        <w:tc>
          <w:tcPr>
            <w:tcW w:w="3899" w:type="dxa"/>
            <w:vAlign w:val="center"/>
          </w:tcPr>
          <w:p w14:paraId="64F00BD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45C3C51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w:t>
            </w:r>
            <w:r>
              <w:rPr>
                <w:rFonts w:hint="eastAsia" w:ascii="仿宋_GB2312" w:hAnsi="仿宋_GB2312" w:eastAsia="仿宋_GB2312" w:cs="仿宋_GB2312"/>
                <w:color w:val="auto"/>
                <w:kern w:val="0"/>
                <w:sz w:val="32"/>
                <w:szCs w:val="32"/>
              </w:rPr>
              <w:t>相关执法文书</w:t>
            </w:r>
            <w:r>
              <w:rPr>
                <w:rFonts w:hint="eastAsia" w:ascii="仿宋_GB2312" w:hAnsi="仿宋_GB2312" w:eastAsia="仿宋_GB2312" w:cs="仿宋_GB2312"/>
                <w:bCs/>
                <w:snapToGrid w:val="0"/>
                <w:color w:val="auto"/>
                <w:kern w:val="0"/>
                <w:sz w:val="32"/>
                <w:szCs w:val="32"/>
              </w:rPr>
              <w:t>;</w:t>
            </w:r>
          </w:p>
          <w:p w14:paraId="75D0DE7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w:t>
            </w:r>
            <w:r>
              <w:rPr>
                <w:rFonts w:hint="eastAsia" w:ascii="仿宋_GB2312" w:hAnsi="仿宋_GB2312" w:eastAsia="仿宋_GB2312" w:cs="仿宋_GB2312"/>
                <w:bCs/>
                <w:color w:val="auto"/>
                <w:sz w:val="32"/>
                <w:szCs w:val="32"/>
              </w:rPr>
              <w:t>烟花爆竹</w:t>
            </w:r>
            <w:r>
              <w:rPr>
                <w:rFonts w:hint="eastAsia" w:ascii="仿宋_GB2312" w:hAnsi="仿宋_GB2312" w:eastAsia="仿宋_GB2312" w:cs="仿宋_GB2312"/>
                <w:bCs/>
                <w:snapToGrid w:val="0"/>
                <w:color w:val="auto"/>
                <w:kern w:val="0"/>
                <w:sz w:val="32"/>
                <w:szCs w:val="32"/>
              </w:rPr>
              <w:t>产品标注情况照片及影像资料；</w:t>
            </w:r>
          </w:p>
          <w:p w14:paraId="04300C4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w:t>
            </w:r>
            <w:r>
              <w:rPr>
                <w:rFonts w:hint="eastAsia" w:ascii="仿宋_GB2312" w:hAnsi="仿宋_GB2312" w:eastAsia="仿宋_GB2312" w:cs="仿宋_GB2312"/>
                <w:bCs/>
                <w:color w:val="auto"/>
                <w:sz w:val="32"/>
                <w:szCs w:val="32"/>
              </w:rPr>
              <w:t>烟花爆竹包装物</w:t>
            </w:r>
            <w:r>
              <w:rPr>
                <w:rFonts w:hint="eastAsia" w:ascii="仿宋_GB2312" w:hAnsi="仿宋_GB2312" w:eastAsia="仿宋_GB2312" w:cs="仿宋_GB2312"/>
                <w:bCs/>
                <w:snapToGrid w:val="0"/>
                <w:color w:val="auto"/>
                <w:kern w:val="0"/>
                <w:sz w:val="32"/>
                <w:szCs w:val="32"/>
              </w:rPr>
              <w:t>标注情况照片及影像资料;</w:t>
            </w:r>
          </w:p>
          <w:p w14:paraId="478E54D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（5）企业相关人员任职文件、身份证明及其询问笔录；</w:t>
            </w:r>
          </w:p>
          <w:p w14:paraId="3B35B17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9" w:type="dxa"/>
            <w:vAlign w:val="center"/>
          </w:tcPr>
          <w:p w14:paraId="05714629">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snapToGrid w:val="0"/>
                <w:color w:val="auto"/>
                <w:kern w:val="0"/>
                <w:sz w:val="32"/>
                <w:szCs w:val="32"/>
              </w:rPr>
              <w:t>《烟花爆竹安全管理条例》</w:t>
            </w:r>
            <w:r>
              <w:rPr>
                <w:rFonts w:hint="eastAsia" w:ascii="仿宋_GB2312" w:hAnsi="仿宋_GB2312" w:eastAsia="仿宋_GB2312" w:cs="仿宋_GB2312"/>
                <w:b/>
                <w:color w:val="auto"/>
                <w:sz w:val="32"/>
                <w:szCs w:val="32"/>
              </w:rPr>
              <w:t>第三十七条</w:t>
            </w:r>
            <w:r>
              <w:rPr>
                <w:rFonts w:hint="eastAsia" w:ascii="仿宋_GB2312" w:hAnsi="仿宋_GB2312" w:eastAsia="仿宋_GB2312" w:cs="仿宋_GB2312"/>
                <w:bCs/>
                <w:color w:val="auto"/>
                <w:sz w:val="32"/>
                <w:szCs w:val="32"/>
              </w:rPr>
              <w:t>生产烟花爆竹的企业有下列行为之一的，由安全生产监督管理部门责令限期改正，处1万元以上5万元以下的罚款；逾期不改正的，责令停产停业整顿，情节严重的，吊销安全生产许可证：……</w:t>
            </w:r>
          </w:p>
          <w:p w14:paraId="53187D9A">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（六）未按照国家标准的规定在烟花爆竹产品上标注燃放说明，或者未在烟花爆竹的包装物上印制易燃易爆危险物品警示标志的。</w:t>
            </w:r>
          </w:p>
        </w:tc>
        <w:tc>
          <w:tcPr>
            <w:tcW w:w="951" w:type="dxa"/>
            <w:vMerge w:val="continue"/>
            <w:vAlign w:val="center"/>
          </w:tcPr>
          <w:p w14:paraId="5EF945A0">
            <w:pPr>
              <w:jc w:val="center"/>
              <w:rPr>
                <w:rFonts w:hint="eastAsia" w:ascii="仿宋_GB2312" w:hAnsi="仿宋_GB2312" w:eastAsia="仿宋_GB2312" w:cs="仿宋_GB2312"/>
                <w:bCs/>
                <w:color w:val="auto"/>
                <w:sz w:val="32"/>
                <w:szCs w:val="32"/>
              </w:rPr>
            </w:pPr>
          </w:p>
        </w:tc>
      </w:tr>
      <w:tr w14:paraId="2CBA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17" w:type="dxa"/>
            <w:vMerge w:val="continue"/>
            <w:vAlign w:val="center"/>
          </w:tcPr>
          <w:p w14:paraId="7AA0D2ED">
            <w:pPr>
              <w:jc w:val="center"/>
              <w:rPr>
                <w:rFonts w:hint="eastAsia" w:ascii="仿宋_GB2312" w:hAnsi="仿宋_GB2312" w:eastAsia="仿宋_GB2312" w:cs="仿宋_GB2312"/>
                <w:bCs/>
                <w:color w:val="auto"/>
                <w:sz w:val="32"/>
                <w:szCs w:val="32"/>
              </w:rPr>
            </w:pPr>
          </w:p>
        </w:tc>
        <w:tc>
          <w:tcPr>
            <w:tcW w:w="951" w:type="dxa"/>
            <w:vMerge w:val="continue"/>
            <w:vAlign w:val="center"/>
          </w:tcPr>
          <w:p w14:paraId="1FCB81AF">
            <w:pPr>
              <w:adjustRightInd w:val="0"/>
              <w:snapToGrid w:val="0"/>
              <w:jc w:val="center"/>
              <w:rPr>
                <w:rFonts w:hint="eastAsia" w:ascii="仿宋_GB2312" w:hAnsi="仿宋_GB2312" w:eastAsia="仿宋_GB2312" w:cs="仿宋_GB2312"/>
                <w:bCs/>
                <w:color w:val="auto"/>
                <w:sz w:val="32"/>
                <w:szCs w:val="32"/>
              </w:rPr>
            </w:pPr>
          </w:p>
        </w:tc>
        <w:tc>
          <w:tcPr>
            <w:tcW w:w="951" w:type="dxa"/>
            <w:vAlign w:val="center"/>
          </w:tcPr>
          <w:p w14:paraId="787FA693">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2.7半成品购买、销售</w:t>
            </w:r>
          </w:p>
        </w:tc>
        <w:tc>
          <w:tcPr>
            <w:tcW w:w="3899" w:type="dxa"/>
            <w:vAlign w:val="center"/>
          </w:tcPr>
          <w:p w14:paraId="7D5DAF34">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《烟花爆竹生产企业安全生产许可证实施办法》第四十条第二款</w:t>
            </w:r>
            <w:r>
              <w:rPr>
                <w:rFonts w:hint="eastAsia" w:ascii="仿宋_GB2312" w:hAnsi="仿宋_GB2312" w:eastAsia="仿宋_GB2312" w:cs="仿宋_GB2312"/>
                <w:bCs/>
                <w:color w:val="auto"/>
                <w:sz w:val="32"/>
                <w:szCs w:val="32"/>
              </w:rPr>
              <w:t>企业不得从其他企业购买烟花爆竹半成品加工后销售或者购买其他企业烟花爆竹成品加贴本企业标签后销售，不得向其他企业销售烟花爆竹半成品。从事礼花弹生产的企业不得将礼花弹销售给未经公安机关批准的燃放活动。</w:t>
            </w:r>
          </w:p>
        </w:tc>
        <w:tc>
          <w:tcPr>
            <w:tcW w:w="3899" w:type="dxa"/>
            <w:vAlign w:val="center"/>
          </w:tcPr>
          <w:p w14:paraId="47F51F86">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（1）相关证照；</w:t>
            </w:r>
          </w:p>
          <w:p w14:paraId="1AAC0012">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snapToGrid w:val="0"/>
                <w:color w:val="auto"/>
                <w:kern w:val="0"/>
                <w:sz w:val="32"/>
                <w:szCs w:val="32"/>
              </w:rPr>
              <w:t>《现场检查记录》《责令限期整改指令书》等相关执法文书；</w:t>
            </w:r>
          </w:p>
          <w:p w14:paraId="1002BBAA">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（3）半成品、成品买卖记录；</w:t>
            </w:r>
          </w:p>
          <w:p w14:paraId="087BD4CA">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（4）半成品、成品买卖发票或者收据；</w:t>
            </w:r>
          </w:p>
          <w:p w14:paraId="6BCD552D">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（5）半成品、成品买卖协议；</w:t>
            </w:r>
          </w:p>
          <w:p w14:paraId="28A0834E">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（6）半成品、成品出入库登记记录；</w:t>
            </w:r>
          </w:p>
          <w:p w14:paraId="2685104F">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（7）现场照片及影像资料；</w:t>
            </w:r>
          </w:p>
          <w:p w14:paraId="4AB454C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color w:val="auto"/>
                <w:sz w:val="32"/>
                <w:szCs w:val="32"/>
              </w:rPr>
              <w:t>（8）</w:t>
            </w:r>
            <w:r>
              <w:rPr>
                <w:rFonts w:hint="eastAsia" w:ascii="仿宋_GB2312" w:hAnsi="仿宋_GB2312" w:eastAsia="仿宋_GB2312" w:cs="仿宋_GB2312"/>
                <w:bCs/>
                <w:snapToGrid w:val="0"/>
                <w:color w:val="auto"/>
                <w:kern w:val="0"/>
                <w:sz w:val="32"/>
                <w:szCs w:val="32"/>
              </w:rPr>
              <w:t>企业相关人员任职文件、身份证明及其询问笔录；</w:t>
            </w:r>
          </w:p>
          <w:p w14:paraId="529B86F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（9）其他相关证据。</w:t>
            </w:r>
          </w:p>
        </w:tc>
        <w:tc>
          <w:tcPr>
            <w:tcW w:w="3899" w:type="dxa"/>
            <w:vAlign w:val="center"/>
          </w:tcPr>
          <w:p w14:paraId="1CD1237F">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《烟花爆竹生产企业安全生产许可证实施办法》第四十三条</w:t>
            </w:r>
            <w:r>
              <w:rPr>
                <w:rFonts w:hint="eastAsia" w:ascii="仿宋_GB2312" w:hAnsi="仿宋_GB2312" w:eastAsia="仿宋_GB2312" w:cs="仿宋_GB2312"/>
                <w:bCs/>
                <w:color w:val="auto"/>
                <w:sz w:val="32"/>
                <w:szCs w:val="32"/>
              </w:rPr>
              <w:t>企业有下列行为之一的，责令停止违法活动或者限期改正，并处1万元以上3万元以下的罚款：……</w:t>
            </w:r>
          </w:p>
          <w:p w14:paraId="4FF8D32B">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color w:val="auto"/>
                <w:sz w:val="32"/>
                <w:szCs w:val="32"/>
              </w:rPr>
              <w:t>（二）从其他企业购买烟花爆竹半成品加工后销售，或者购买其他企业烟花爆竹成品加贴本企业标签后销售，或者向其他企业销售烟花爆竹半成品的。</w:t>
            </w:r>
          </w:p>
        </w:tc>
        <w:tc>
          <w:tcPr>
            <w:tcW w:w="951" w:type="dxa"/>
            <w:vMerge w:val="continue"/>
            <w:vAlign w:val="center"/>
          </w:tcPr>
          <w:p w14:paraId="33BD40A0">
            <w:pPr>
              <w:jc w:val="center"/>
              <w:rPr>
                <w:rFonts w:hint="eastAsia" w:ascii="仿宋_GB2312" w:hAnsi="仿宋_GB2312" w:eastAsia="仿宋_GB2312" w:cs="仿宋_GB2312"/>
                <w:bCs/>
                <w:color w:val="auto"/>
                <w:sz w:val="32"/>
                <w:szCs w:val="32"/>
              </w:rPr>
            </w:pPr>
          </w:p>
        </w:tc>
      </w:tr>
      <w:tr w14:paraId="0AA4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17" w:type="dxa"/>
            <w:vMerge w:val="restart"/>
            <w:vAlign w:val="center"/>
          </w:tcPr>
          <w:p w14:paraId="12FBFA4A">
            <w:pPr>
              <w:jc w:val="center"/>
              <w:rPr>
                <w:rFonts w:hint="eastAsia" w:ascii="仿宋_GB2312" w:hAnsi="仿宋_GB2312" w:eastAsia="仿宋_GB2312" w:cs="仿宋_GB2312"/>
                <w:bCs/>
                <w:color w:val="auto"/>
                <w:sz w:val="32"/>
                <w:szCs w:val="32"/>
              </w:rPr>
            </w:pPr>
          </w:p>
          <w:p w14:paraId="3C85C338">
            <w:pPr>
              <w:jc w:val="center"/>
              <w:rPr>
                <w:rFonts w:hint="eastAsia" w:ascii="仿宋_GB2312" w:hAnsi="仿宋_GB2312" w:eastAsia="仿宋_GB2312" w:cs="仿宋_GB2312"/>
                <w:bCs/>
                <w:color w:val="auto"/>
                <w:sz w:val="32"/>
                <w:szCs w:val="32"/>
              </w:rPr>
            </w:pPr>
          </w:p>
        </w:tc>
        <w:tc>
          <w:tcPr>
            <w:tcW w:w="951" w:type="dxa"/>
            <w:vMerge w:val="restart"/>
            <w:vAlign w:val="center"/>
          </w:tcPr>
          <w:p w14:paraId="7107DB85">
            <w:pPr>
              <w:adjustRightInd w:val="0"/>
              <w:snapToGrid w:val="0"/>
              <w:jc w:val="center"/>
              <w:rPr>
                <w:rFonts w:hint="eastAsia" w:ascii="仿宋_GB2312" w:hAnsi="仿宋_GB2312" w:eastAsia="仿宋_GB2312" w:cs="仿宋_GB2312"/>
                <w:bCs/>
                <w:color w:val="auto"/>
                <w:sz w:val="32"/>
                <w:szCs w:val="32"/>
              </w:rPr>
            </w:pPr>
          </w:p>
        </w:tc>
        <w:tc>
          <w:tcPr>
            <w:tcW w:w="951" w:type="dxa"/>
            <w:vAlign w:val="center"/>
          </w:tcPr>
          <w:p w14:paraId="136B04D8">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2.8 生产工艺、生产设备、生产原材料应用使用（重大隐患）</w:t>
            </w:r>
          </w:p>
        </w:tc>
        <w:tc>
          <w:tcPr>
            <w:tcW w:w="3899" w:type="dxa"/>
            <w:vAlign w:val="center"/>
          </w:tcPr>
          <w:p w14:paraId="666C711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《中华人民共和国安全生产法》第三十八条</w:t>
            </w:r>
            <w:r>
              <w:rPr>
                <w:rFonts w:hint="eastAsia" w:ascii="仿宋_GB2312" w:hAnsi="仿宋_GB2312" w:eastAsia="仿宋_GB2312" w:cs="仿宋_GB2312"/>
                <w:bCs/>
                <w:snapToGrid w:val="0"/>
                <w:color w:val="auto"/>
                <w:kern w:val="0"/>
                <w:sz w:val="32"/>
                <w:szCs w:val="32"/>
              </w:rPr>
              <w:t>国家对严重危及生产安全的工艺、设备实行淘汰制度，具体目录由国务院应急管理部门会同国务院有关部门制定并公布。法律、行政法规对目录的制定另有规定的，适用其规定。</w:t>
            </w:r>
          </w:p>
          <w:p w14:paraId="38B6F471">
            <w:pPr>
              <w:widowControl/>
              <w:shd w:val="clear" w:color="auto" w:fill="FFFFFF"/>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省、自治区、直辖市人民政府可以根据本地区实际情况制定并公布具体目录，对前款规定以外的危及生产安全的工艺、设备予以淘汰。</w:t>
            </w:r>
          </w:p>
          <w:p w14:paraId="406AD0BD">
            <w:pPr>
              <w:widowControl/>
              <w:shd w:val="clear" w:color="auto" w:fill="FFFFFF"/>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生产经营单位不得使用应当淘汰的危及生产安全的工艺、设备。</w:t>
            </w:r>
          </w:p>
          <w:p w14:paraId="348B744E">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《烟花爆竹生产经营安全规定》第八条</w:t>
            </w:r>
            <w:r>
              <w:rPr>
                <w:rFonts w:hint="eastAsia" w:ascii="仿宋_GB2312" w:hAnsi="仿宋_GB2312" w:eastAsia="仿宋_GB2312" w:cs="仿宋_GB2312"/>
                <w:bCs/>
                <w:snapToGrid w:val="0"/>
                <w:color w:val="auto"/>
                <w:kern w:val="0"/>
                <w:sz w:val="32"/>
                <w:szCs w:val="32"/>
              </w:rPr>
              <w:t>生产企业应当积极推进烟花爆竹生产工艺技术进步，采用本质安全、性能可靠、自动化程度高的机械设备和生产工艺，使用安全、环保的生产原材料。禁止使用国家明令禁止或者淘汰的生产工艺、机械设备及原材料。禁止从业人员自行携带工具、设备进入企业从事生产作业。</w:t>
            </w:r>
          </w:p>
          <w:p w14:paraId="0D595BA0">
            <w:pPr>
              <w:adjustRightInd w:val="0"/>
              <w:snapToGrid w:val="0"/>
              <w:ind w:firstLine="640" w:firstLineChars="200"/>
              <w:rPr>
                <w:rFonts w:hint="eastAsia" w:ascii="仿宋_GB2312" w:hAnsi="仿宋_GB2312" w:eastAsia="仿宋_GB2312" w:cs="仿宋_GB2312"/>
                <w:bCs/>
                <w:snapToGrid w:val="0"/>
                <w:color w:val="auto"/>
                <w:kern w:val="0"/>
                <w:sz w:val="32"/>
                <w:szCs w:val="32"/>
              </w:rPr>
            </w:pPr>
          </w:p>
        </w:tc>
        <w:tc>
          <w:tcPr>
            <w:tcW w:w="3899" w:type="dxa"/>
            <w:vAlign w:val="center"/>
          </w:tcPr>
          <w:p w14:paraId="44EBA2A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0B7F632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40A53A6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（3）设备经过技术鉴定或安全论证资料；</w:t>
            </w:r>
          </w:p>
          <w:p w14:paraId="53C70AD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（4）烟花爆竹生产企业安全评价报告中关于工艺流程等有关内容；</w:t>
            </w:r>
          </w:p>
          <w:p w14:paraId="0773507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（5）设计单位对工艺的说明资料；</w:t>
            </w:r>
          </w:p>
          <w:p w14:paraId="44E16B8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（6）现场照片及影像资料；</w:t>
            </w:r>
          </w:p>
          <w:p w14:paraId="2135398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（7）企业相关人员任职文件、身份证明及其询问笔录；</w:t>
            </w:r>
          </w:p>
          <w:p w14:paraId="634B475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（8）其他相关证据。</w:t>
            </w:r>
          </w:p>
        </w:tc>
        <w:tc>
          <w:tcPr>
            <w:tcW w:w="3899" w:type="dxa"/>
            <w:vAlign w:val="center"/>
          </w:tcPr>
          <w:p w14:paraId="321F4021">
            <w:pPr>
              <w:widowControl/>
              <w:shd w:val="clear" w:color="auto" w:fill="FFFFFF"/>
              <w:ind w:firstLine="321" w:firstLineChars="1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《中华人民共和国安全生产法》  第九十九条第七项</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F42B409">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（七）使用应当淘汰的危及生产安全的工艺、设备的；</w:t>
            </w:r>
          </w:p>
          <w:p w14:paraId="171DCB8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CDAD23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9E1700D">
            <w:pPr>
              <w:adjustRightInd w:val="0"/>
              <w:snapToGrid w:val="0"/>
              <w:ind w:firstLine="640" w:firstLineChars="200"/>
              <w:rPr>
                <w:rFonts w:hint="eastAsia" w:ascii="仿宋_GB2312" w:hAnsi="仿宋_GB2312" w:eastAsia="仿宋_GB2312" w:cs="仿宋_GB2312"/>
                <w:bCs/>
                <w:snapToGrid w:val="0"/>
                <w:color w:val="auto"/>
                <w:kern w:val="0"/>
                <w:sz w:val="32"/>
                <w:szCs w:val="32"/>
              </w:rPr>
            </w:pPr>
          </w:p>
        </w:tc>
        <w:tc>
          <w:tcPr>
            <w:tcW w:w="951" w:type="dxa"/>
            <w:vAlign w:val="center"/>
          </w:tcPr>
          <w:p w14:paraId="09D6C84D">
            <w:pPr>
              <w:jc w:val="center"/>
              <w:rPr>
                <w:rFonts w:hint="eastAsia" w:ascii="仿宋_GB2312" w:hAnsi="仿宋_GB2312" w:eastAsia="仿宋_GB2312" w:cs="仿宋_GB2312"/>
                <w:bCs/>
                <w:color w:val="auto"/>
                <w:sz w:val="32"/>
                <w:szCs w:val="32"/>
              </w:rPr>
            </w:pPr>
          </w:p>
        </w:tc>
      </w:tr>
      <w:tr w14:paraId="69C6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17" w:type="dxa"/>
            <w:vMerge w:val="continue"/>
            <w:vAlign w:val="center"/>
          </w:tcPr>
          <w:p w14:paraId="56A6CDFA">
            <w:pPr>
              <w:jc w:val="center"/>
              <w:rPr>
                <w:rFonts w:hint="eastAsia" w:ascii="仿宋_GB2312" w:hAnsi="仿宋_GB2312" w:eastAsia="仿宋_GB2312" w:cs="仿宋_GB2312"/>
                <w:bCs/>
                <w:snapToGrid w:val="0"/>
                <w:color w:val="auto"/>
                <w:kern w:val="0"/>
                <w:sz w:val="32"/>
                <w:szCs w:val="32"/>
              </w:rPr>
            </w:pPr>
          </w:p>
        </w:tc>
        <w:tc>
          <w:tcPr>
            <w:tcW w:w="951" w:type="dxa"/>
            <w:vMerge w:val="continue"/>
            <w:vAlign w:val="center"/>
          </w:tcPr>
          <w:p w14:paraId="5A231749">
            <w:pPr>
              <w:adjustRightInd w:val="0"/>
              <w:snapToGrid w:val="0"/>
              <w:jc w:val="center"/>
              <w:rPr>
                <w:rFonts w:hint="eastAsia" w:ascii="仿宋_GB2312" w:hAnsi="仿宋_GB2312" w:eastAsia="仿宋_GB2312" w:cs="仿宋_GB2312"/>
                <w:bCs/>
                <w:snapToGrid w:val="0"/>
                <w:color w:val="auto"/>
                <w:kern w:val="0"/>
                <w:sz w:val="32"/>
                <w:szCs w:val="32"/>
              </w:rPr>
            </w:pPr>
          </w:p>
        </w:tc>
        <w:tc>
          <w:tcPr>
            <w:tcW w:w="951" w:type="dxa"/>
            <w:vAlign w:val="center"/>
          </w:tcPr>
          <w:p w14:paraId="3F0A05A6">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2.9新工艺、新设备论证（重大隐患）</w:t>
            </w:r>
          </w:p>
        </w:tc>
        <w:tc>
          <w:tcPr>
            <w:tcW w:w="3899" w:type="dxa"/>
            <w:vAlign w:val="center"/>
          </w:tcPr>
          <w:p w14:paraId="5E850C4A">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《烟花爆竹生产经营安全规定》第九条</w:t>
            </w:r>
            <w:r>
              <w:rPr>
                <w:rFonts w:hint="eastAsia" w:ascii="仿宋_GB2312" w:hAnsi="仿宋_GB2312" w:eastAsia="仿宋_GB2312" w:cs="仿宋_GB2312"/>
                <w:bCs/>
                <w:snapToGrid w:val="0"/>
                <w:color w:val="auto"/>
                <w:kern w:val="0"/>
                <w:sz w:val="32"/>
                <w:szCs w:val="32"/>
              </w:rPr>
              <w:t> 生产企业的涉药生产环节采用新工艺、使用新设备前，应当组织具有相应能力的机构、专家进行安全性能、安全技术要求论证。</w:t>
            </w:r>
          </w:p>
        </w:tc>
        <w:tc>
          <w:tcPr>
            <w:tcW w:w="3899" w:type="dxa"/>
            <w:vAlign w:val="center"/>
          </w:tcPr>
          <w:p w14:paraId="1E7CEB2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5714D1B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011496A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（3）新设备引进相关资料（购买合同、使用说明、人员培训、费用等）；</w:t>
            </w:r>
          </w:p>
          <w:p w14:paraId="5478864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（4）新设备使用情况现场照片及影像资料；</w:t>
            </w:r>
          </w:p>
          <w:p w14:paraId="24F77C7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（5）企业相关人员任职文件、身份证明及其询问笔录；</w:t>
            </w:r>
          </w:p>
          <w:p w14:paraId="409605D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9" w:type="dxa"/>
            <w:vAlign w:val="center"/>
          </w:tcPr>
          <w:p w14:paraId="6909AF04">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《烟花爆竹生产经营安全规定》第三十四条</w:t>
            </w:r>
            <w:r>
              <w:rPr>
                <w:rFonts w:hint="eastAsia" w:ascii="仿宋_GB2312" w:hAnsi="仿宋_GB2312" w:eastAsia="仿宋_GB2312" w:cs="仿宋_GB2312"/>
                <w:bCs/>
                <w:snapToGrid w:val="0"/>
                <w:color w:val="auto"/>
                <w:kern w:val="0"/>
                <w:sz w:val="32"/>
                <w:szCs w:val="32"/>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14:paraId="18037494">
            <w:pPr>
              <w:widowControl/>
              <w:numPr>
                <w:ilvl w:val="0"/>
                <w:numId w:val="82"/>
              </w:num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使用新安全设备，未进行安全性论证的；……</w:t>
            </w:r>
          </w:p>
          <w:p w14:paraId="6B37210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62D0D5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6BB1E1D">
            <w:pPr>
              <w:adjustRightInd w:val="0"/>
              <w:snapToGrid w:val="0"/>
              <w:ind w:firstLine="640" w:firstLineChars="200"/>
              <w:rPr>
                <w:rFonts w:hint="eastAsia" w:ascii="仿宋_GB2312" w:hAnsi="仿宋_GB2312" w:eastAsia="仿宋_GB2312" w:cs="仿宋_GB2312"/>
                <w:bCs/>
                <w:snapToGrid w:val="0"/>
                <w:color w:val="auto"/>
                <w:kern w:val="0"/>
                <w:sz w:val="32"/>
                <w:szCs w:val="32"/>
              </w:rPr>
            </w:pPr>
          </w:p>
        </w:tc>
        <w:tc>
          <w:tcPr>
            <w:tcW w:w="951" w:type="dxa"/>
            <w:vAlign w:val="center"/>
          </w:tcPr>
          <w:p w14:paraId="7FC1D654">
            <w:pPr>
              <w:jc w:val="center"/>
              <w:rPr>
                <w:rFonts w:hint="eastAsia" w:ascii="仿宋_GB2312" w:hAnsi="仿宋_GB2312" w:eastAsia="仿宋_GB2312" w:cs="仿宋_GB2312"/>
                <w:bCs/>
                <w:snapToGrid w:val="0"/>
                <w:color w:val="auto"/>
                <w:kern w:val="0"/>
                <w:sz w:val="32"/>
                <w:szCs w:val="32"/>
              </w:rPr>
            </w:pPr>
          </w:p>
        </w:tc>
      </w:tr>
      <w:tr w14:paraId="41FC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617" w:type="dxa"/>
            <w:vMerge w:val="continue"/>
            <w:vAlign w:val="center"/>
          </w:tcPr>
          <w:p w14:paraId="1EBB3909">
            <w:pPr>
              <w:jc w:val="center"/>
              <w:rPr>
                <w:rFonts w:hint="eastAsia" w:ascii="仿宋_GB2312" w:hAnsi="仿宋_GB2312" w:eastAsia="仿宋_GB2312" w:cs="仿宋_GB2312"/>
                <w:bCs/>
                <w:snapToGrid w:val="0"/>
                <w:color w:val="auto"/>
                <w:kern w:val="0"/>
                <w:sz w:val="32"/>
                <w:szCs w:val="32"/>
              </w:rPr>
            </w:pPr>
          </w:p>
        </w:tc>
        <w:tc>
          <w:tcPr>
            <w:tcW w:w="951" w:type="dxa"/>
            <w:vMerge w:val="continue"/>
            <w:vAlign w:val="center"/>
          </w:tcPr>
          <w:p w14:paraId="1F90087C">
            <w:pPr>
              <w:adjustRightInd w:val="0"/>
              <w:snapToGrid w:val="0"/>
              <w:jc w:val="center"/>
              <w:rPr>
                <w:rFonts w:hint="eastAsia" w:ascii="仿宋_GB2312" w:hAnsi="仿宋_GB2312" w:eastAsia="仿宋_GB2312" w:cs="仿宋_GB2312"/>
                <w:bCs/>
                <w:snapToGrid w:val="0"/>
                <w:color w:val="auto"/>
                <w:kern w:val="0"/>
                <w:sz w:val="32"/>
                <w:szCs w:val="32"/>
              </w:rPr>
            </w:pPr>
          </w:p>
        </w:tc>
        <w:tc>
          <w:tcPr>
            <w:tcW w:w="951" w:type="dxa"/>
            <w:vAlign w:val="center"/>
          </w:tcPr>
          <w:p w14:paraId="171B20D4">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2.10安全生产标志标识</w:t>
            </w:r>
          </w:p>
        </w:tc>
        <w:tc>
          <w:tcPr>
            <w:tcW w:w="3899" w:type="dxa"/>
            <w:vAlign w:val="center"/>
          </w:tcPr>
          <w:p w14:paraId="03F4E437">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第三十五条</w:t>
            </w:r>
            <w:r>
              <w:rPr>
                <w:rFonts w:hint="eastAsia" w:ascii="仿宋_GB2312" w:hAnsi="仿宋_GB2312" w:eastAsia="仿宋_GB2312" w:cs="仿宋_GB2312"/>
                <w:bCs/>
                <w:snapToGrid w:val="0"/>
                <w:color w:val="auto"/>
                <w:kern w:val="0"/>
                <w:sz w:val="32"/>
                <w:szCs w:val="32"/>
              </w:rPr>
              <w:t>生产经营单位应当在有较大危险因素的生产经营场所和有关设施、设备上，设置明显的安全警示标志。</w:t>
            </w:r>
          </w:p>
          <w:p w14:paraId="5E89CD1E">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《烟花爆竹生产经营安全规定》</w:t>
            </w:r>
            <w:r>
              <w:rPr>
                <w:rFonts w:hint="eastAsia" w:ascii="仿宋_GB2312" w:hAnsi="仿宋_GB2312" w:eastAsia="仿宋_GB2312" w:cs="仿宋_GB2312"/>
                <w:b/>
                <w:snapToGrid w:val="0"/>
                <w:color w:val="auto"/>
                <w:kern w:val="0"/>
                <w:sz w:val="32"/>
                <w:szCs w:val="32"/>
              </w:rPr>
              <w:t>第十一条第一款</w:t>
            </w:r>
            <w:r>
              <w:rPr>
                <w:rFonts w:hint="eastAsia" w:ascii="仿宋_GB2312" w:hAnsi="仿宋_GB2312" w:eastAsia="仿宋_GB2312" w:cs="仿宋_GB2312"/>
                <w:bCs/>
                <w:snapToGrid w:val="0"/>
                <w:color w:val="auto"/>
                <w:kern w:val="0"/>
                <w:sz w:val="32"/>
                <w:szCs w:val="32"/>
              </w:rPr>
              <w:t>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14:paraId="0C55C6FA">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color w:val="auto"/>
                <w:sz w:val="32"/>
                <w:szCs w:val="32"/>
              </w:rPr>
              <w:t>（常用标准见《烟花爆竹安全生产标志》AQ4114）</w:t>
            </w:r>
          </w:p>
        </w:tc>
        <w:tc>
          <w:tcPr>
            <w:tcW w:w="3899" w:type="dxa"/>
            <w:vAlign w:val="center"/>
          </w:tcPr>
          <w:p w14:paraId="12D3763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2B99BA0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352880B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（3）烟花爆竹安全评价报告（安全技术参数表）；</w:t>
            </w:r>
          </w:p>
          <w:p w14:paraId="26218C5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（4）现场照片及影像资料；</w:t>
            </w:r>
          </w:p>
          <w:p w14:paraId="1487C66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（5）企业相关人员任职文件、身份证明及其询问笔录；</w:t>
            </w:r>
          </w:p>
          <w:p w14:paraId="6FA0852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9" w:type="dxa"/>
            <w:vAlign w:val="center"/>
          </w:tcPr>
          <w:p w14:paraId="31B101C9">
            <w:pPr>
              <w:widowControl/>
              <w:shd w:val="clear" w:color="auto" w:fill="FFFFFF"/>
              <w:ind w:firstLine="321" w:firstLineChars="1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第九十六条第一项</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D43C543">
            <w:pPr>
              <w:widowControl/>
              <w:shd w:val="clear" w:color="auto" w:fill="FFFFFF"/>
              <w:ind w:firstLine="320" w:firstLineChars="1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（一）未在有较大危险因素的生产经营场所和有关设施、设备上设置明显的安全警示标志的；</w:t>
            </w:r>
          </w:p>
          <w:p w14:paraId="02D5D6C3">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《烟花爆竹生产经营安全规定》</w:t>
            </w:r>
            <w:r>
              <w:rPr>
                <w:rFonts w:hint="eastAsia" w:ascii="仿宋_GB2312" w:hAnsi="仿宋_GB2312" w:eastAsia="仿宋_GB2312" w:cs="仿宋_GB2312"/>
                <w:b/>
                <w:snapToGrid w:val="0"/>
                <w:color w:val="auto"/>
                <w:kern w:val="0"/>
                <w:sz w:val="32"/>
                <w:szCs w:val="32"/>
              </w:rPr>
              <w:t>第三十三条</w:t>
            </w:r>
            <w:r>
              <w:rPr>
                <w:rFonts w:hint="eastAsia" w:ascii="仿宋_GB2312" w:hAnsi="仿宋_GB2312" w:eastAsia="仿宋_GB2312" w:cs="仿宋_GB2312"/>
                <w:bCs/>
                <w:snapToGrid w:val="0"/>
                <w:color w:val="auto"/>
                <w:kern w:val="0"/>
                <w:sz w:val="32"/>
                <w:szCs w:val="32"/>
              </w:rPr>
              <w:t>生产企业、批发企业有下列行为之一的，责令限期改正；逾期未改正的，处一万元以上三万元以下的罚款：</w:t>
            </w:r>
          </w:p>
          <w:p w14:paraId="47706D47">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（一）工（库）房没有设置准确、清晰、醒目的定员、定量、定级标识的；……</w:t>
            </w:r>
          </w:p>
        </w:tc>
        <w:tc>
          <w:tcPr>
            <w:tcW w:w="951" w:type="dxa"/>
            <w:vAlign w:val="center"/>
          </w:tcPr>
          <w:p w14:paraId="41FAD4D6">
            <w:pPr>
              <w:jc w:val="center"/>
              <w:rPr>
                <w:rFonts w:hint="eastAsia" w:ascii="仿宋_GB2312" w:hAnsi="仿宋_GB2312" w:eastAsia="仿宋_GB2312" w:cs="仿宋_GB2312"/>
                <w:bCs/>
                <w:snapToGrid w:val="0"/>
                <w:color w:val="auto"/>
                <w:kern w:val="0"/>
                <w:sz w:val="32"/>
                <w:szCs w:val="32"/>
              </w:rPr>
            </w:pPr>
          </w:p>
        </w:tc>
      </w:tr>
      <w:tr w14:paraId="18E6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17" w:type="dxa"/>
            <w:vMerge w:val="continue"/>
            <w:vAlign w:val="center"/>
          </w:tcPr>
          <w:p w14:paraId="79F1C080">
            <w:pPr>
              <w:jc w:val="center"/>
              <w:rPr>
                <w:rFonts w:hint="eastAsia" w:ascii="仿宋_GB2312" w:hAnsi="仿宋_GB2312" w:eastAsia="仿宋_GB2312" w:cs="仿宋_GB2312"/>
                <w:bCs/>
                <w:snapToGrid w:val="0"/>
                <w:color w:val="auto"/>
                <w:kern w:val="0"/>
                <w:sz w:val="32"/>
                <w:szCs w:val="32"/>
              </w:rPr>
            </w:pPr>
          </w:p>
        </w:tc>
        <w:tc>
          <w:tcPr>
            <w:tcW w:w="951" w:type="dxa"/>
            <w:vMerge w:val="continue"/>
            <w:vAlign w:val="center"/>
          </w:tcPr>
          <w:p w14:paraId="0E31EE8E">
            <w:pPr>
              <w:adjustRightInd w:val="0"/>
              <w:snapToGrid w:val="0"/>
              <w:jc w:val="center"/>
              <w:rPr>
                <w:rFonts w:hint="eastAsia" w:ascii="仿宋_GB2312" w:hAnsi="仿宋_GB2312" w:eastAsia="仿宋_GB2312" w:cs="仿宋_GB2312"/>
                <w:bCs/>
                <w:snapToGrid w:val="0"/>
                <w:color w:val="auto"/>
                <w:kern w:val="0"/>
                <w:sz w:val="32"/>
                <w:szCs w:val="32"/>
              </w:rPr>
            </w:pPr>
          </w:p>
        </w:tc>
        <w:tc>
          <w:tcPr>
            <w:tcW w:w="951" w:type="dxa"/>
            <w:vAlign w:val="center"/>
          </w:tcPr>
          <w:p w14:paraId="66C89995">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2.11安全风险管控和隐患排查治理</w:t>
            </w:r>
          </w:p>
        </w:tc>
        <w:tc>
          <w:tcPr>
            <w:tcW w:w="3899" w:type="dxa"/>
            <w:vAlign w:val="center"/>
          </w:tcPr>
          <w:p w14:paraId="2BCC4EC5">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第四十一条第一款、第二款</w:t>
            </w:r>
            <w:r>
              <w:rPr>
                <w:rFonts w:hint="eastAsia" w:ascii="仿宋_GB2312" w:hAnsi="仿宋_GB2312" w:eastAsia="仿宋_GB2312" w:cs="仿宋_GB2312"/>
                <w:bCs/>
                <w:snapToGrid w:val="0"/>
                <w:color w:val="auto"/>
                <w:kern w:val="0"/>
                <w:sz w:val="32"/>
                <w:szCs w:val="32"/>
              </w:rPr>
              <w:t>生产经营单位应当建立安全风险分级管控制度，按照安全风险分级采取相应的管控措施。</w:t>
            </w:r>
          </w:p>
          <w:p w14:paraId="3BA5F214">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743579F7">
            <w:pPr>
              <w:adjustRightInd w:val="0"/>
              <w:snapToGrid w:val="0"/>
              <w:ind w:firstLine="482" w:firstLineChars="15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《烟花爆竹生产经营安全规定》第十五条</w:t>
            </w:r>
            <w:r>
              <w:rPr>
                <w:rFonts w:hint="eastAsia" w:ascii="仿宋_GB2312" w:hAnsi="仿宋_GB2312" w:eastAsia="仿宋_GB2312" w:cs="仿宋_GB2312"/>
                <w:bCs/>
                <w:snapToGrid w:val="0"/>
                <w:color w:val="auto"/>
                <w:kern w:val="0"/>
                <w:sz w:val="32"/>
                <w:szCs w:val="32"/>
              </w:rPr>
              <w:t>生产企业、批发企业应当依法建立安全风险分级管控和事故隐患排查治理双重预防机制，采取技术、管理等措施，管控安全风险，及时消除事故隐患，建立安全风险分级管控和事故隐患排查治理档案，如实记录安全风险分级管控和事故隐患排查治理情况，并向本企业从业人员通报。</w:t>
            </w:r>
          </w:p>
        </w:tc>
        <w:tc>
          <w:tcPr>
            <w:tcW w:w="3899" w:type="dxa"/>
            <w:vAlign w:val="center"/>
          </w:tcPr>
          <w:p w14:paraId="5480B41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1D98DE3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65E435D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（3）安全风险分级评估报告；</w:t>
            </w:r>
          </w:p>
          <w:p w14:paraId="23F99D8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（4）事故隐患排查治理台账及记录；</w:t>
            </w:r>
          </w:p>
          <w:p w14:paraId="5D0691A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（5）安全风险分级管控和事故隐患排查治理制度；</w:t>
            </w:r>
          </w:p>
          <w:p w14:paraId="7B28320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（6）企业相关人员任职文件、身份证明及其询问笔录；</w:t>
            </w:r>
          </w:p>
          <w:p w14:paraId="090E57B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（7）其他相关证据。</w:t>
            </w:r>
          </w:p>
        </w:tc>
        <w:tc>
          <w:tcPr>
            <w:tcW w:w="3899" w:type="dxa"/>
            <w:vAlign w:val="center"/>
          </w:tcPr>
          <w:p w14:paraId="341F552A">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《中华人民共和国安全生产法》第一百零一条第四项、第五项</w:t>
            </w:r>
            <w:r>
              <w:rPr>
                <w:rFonts w:hint="eastAsia" w:ascii="仿宋_GB2312" w:hAnsi="仿宋_GB2312" w:eastAsia="仿宋_GB2312" w:cs="仿宋_GB2312"/>
                <w:bCs/>
                <w:snapToGrid w:val="0"/>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0B2A5357">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（四）未建立安全风险分级管控制度或者未按照安全风险分级采取相应管控措施的；</w:t>
            </w:r>
          </w:p>
          <w:p w14:paraId="02402706">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（五）未建立事故隐患排查治理制度，或者重大事故隐患排查治理情况未按照规定报告的。</w:t>
            </w:r>
          </w:p>
          <w:p w14:paraId="454B6945">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第九十七条第五项</w:t>
            </w:r>
            <w:r>
              <w:rPr>
                <w:rFonts w:hint="eastAsia" w:ascii="仿宋_GB2312" w:hAnsi="仿宋_GB2312" w:eastAsia="仿宋_GB2312" w:cs="仿宋_GB2312"/>
                <w:bCs/>
                <w:snapToGrid w:val="0"/>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08FA1020">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（五）未将事故隐患排查治理情况如实记录或者未向从业人员通报的；</w:t>
            </w:r>
          </w:p>
          <w:p w14:paraId="4C337528">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《烟花爆竹生产经营安全规定》</w:t>
            </w:r>
            <w:r>
              <w:rPr>
                <w:rFonts w:hint="eastAsia" w:ascii="仿宋_GB2312" w:hAnsi="仿宋_GB2312" w:eastAsia="仿宋_GB2312" w:cs="仿宋_GB2312"/>
                <w:b/>
                <w:snapToGrid w:val="0"/>
                <w:color w:val="auto"/>
                <w:kern w:val="0"/>
                <w:sz w:val="32"/>
                <w:szCs w:val="32"/>
              </w:rPr>
              <w:t>第三十九条</w:t>
            </w:r>
            <w:r>
              <w:rPr>
                <w:rFonts w:hint="eastAsia" w:ascii="仿宋_GB2312" w:hAnsi="仿宋_GB2312" w:eastAsia="仿宋_GB2312" w:cs="仿宋_GB2312"/>
                <w:bCs/>
                <w:snapToGrid w:val="0"/>
                <w:color w:val="auto"/>
                <w:kern w:val="0"/>
                <w:sz w:val="32"/>
                <w:szCs w:val="32"/>
              </w:rPr>
              <w:t>违反本规定，构成《中华人民共和国安全生产法》  及其他法律、行政法规规定的其他违法行为的，依照《中华人民共和国安全生产法》  等法律、行政法规的规定处理。涉嫌犯罪的，依法移送司法机关追究刑事责任。</w:t>
            </w:r>
          </w:p>
        </w:tc>
        <w:tc>
          <w:tcPr>
            <w:tcW w:w="951" w:type="dxa"/>
            <w:vAlign w:val="center"/>
          </w:tcPr>
          <w:p w14:paraId="043FA2FC">
            <w:pPr>
              <w:jc w:val="center"/>
              <w:rPr>
                <w:rFonts w:hint="eastAsia" w:ascii="仿宋_GB2312" w:hAnsi="仿宋_GB2312" w:eastAsia="仿宋_GB2312" w:cs="仿宋_GB2312"/>
                <w:bCs/>
                <w:snapToGrid w:val="0"/>
                <w:color w:val="auto"/>
                <w:kern w:val="0"/>
                <w:sz w:val="32"/>
                <w:szCs w:val="32"/>
              </w:rPr>
            </w:pPr>
          </w:p>
        </w:tc>
      </w:tr>
      <w:tr w14:paraId="6B97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restart"/>
            <w:vAlign w:val="center"/>
          </w:tcPr>
          <w:p w14:paraId="4DBCDDBF">
            <w:pPr>
              <w:jc w:val="center"/>
              <w:rPr>
                <w:rFonts w:hint="eastAsia" w:ascii="仿宋_GB2312" w:hAnsi="仿宋_GB2312" w:eastAsia="仿宋_GB2312" w:cs="仿宋_GB2312"/>
                <w:bCs/>
                <w:snapToGrid w:val="0"/>
                <w:color w:val="auto"/>
                <w:kern w:val="0"/>
                <w:sz w:val="32"/>
                <w:szCs w:val="32"/>
              </w:rPr>
            </w:pPr>
          </w:p>
        </w:tc>
        <w:tc>
          <w:tcPr>
            <w:tcW w:w="951" w:type="dxa"/>
            <w:vMerge w:val="restart"/>
            <w:vAlign w:val="center"/>
          </w:tcPr>
          <w:p w14:paraId="069D4EFE">
            <w:pPr>
              <w:adjustRightInd w:val="0"/>
              <w:snapToGrid w:val="0"/>
              <w:jc w:val="center"/>
              <w:rPr>
                <w:rFonts w:hint="eastAsia" w:ascii="仿宋_GB2312" w:hAnsi="仿宋_GB2312" w:eastAsia="仿宋_GB2312" w:cs="仿宋_GB2312"/>
                <w:bCs/>
                <w:snapToGrid w:val="0"/>
                <w:color w:val="auto"/>
                <w:kern w:val="0"/>
                <w:sz w:val="32"/>
                <w:szCs w:val="32"/>
              </w:rPr>
            </w:pPr>
          </w:p>
        </w:tc>
        <w:tc>
          <w:tcPr>
            <w:tcW w:w="951" w:type="dxa"/>
            <w:vAlign w:val="center"/>
          </w:tcPr>
          <w:p w14:paraId="0F8C996B">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2.12值班制度和现场巡查制度</w:t>
            </w:r>
          </w:p>
        </w:tc>
        <w:tc>
          <w:tcPr>
            <w:tcW w:w="3899" w:type="dxa"/>
            <w:vAlign w:val="center"/>
          </w:tcPr>
          <w:p w14:paraId="10DA27FE">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《烟花爆竹生产经营安全规定》第十六条</w:t>
            </w:r>
            <w:r>
              <w:rPr>
                <w:rFonts w:hint="eastAsia" w:ascii="仿宋_GB2312" w:hAnsi="仿宋_GB2312" w:eastAsia="仿宋_GB2312" w:cs="仿宋_GB2312"/>
                <w:bCs/>
                <w:snapToGrid w:val="0"/>
                <w:color w:val="auto"/>
                <w:kern w:val="0"/>
                <w:sz w:val="32"/>
                <w:szCs w:val="32"/>
              </w:rPr>
              <w:t>生产企业、批发企业必须建立值班制度和现场巡查制度，全面掌握当日各岗位人员数量及药物分布等安全生产情况，确保不超员超量，并及时处置异常情况。</w:t>
            </w:r>
          </w:p>
          <w:p w14:paraId="709E4FA9">
            <w:pPr>
              <w:widowControl/>
              <w:adjustRightInd w:val="0"/>
              <w:snapToGrid w:val="0"/>
              <w:ind w:firstLine="640" w:firstLineChars="20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生产企业、批发企业的危险品生产区、总仓库区，应当确保二十四小时有人值班，并保持监控设施有效、通信畅通。</w:t>
            </w:r>
          </w:p>
        </w:tc>
        <w:tc>
          <w:tcPr>
            <w:tcW w:w="3899" w:type="dxa"/>
            <w:vAlign w:val="center"/>
          </w:tcPr>
          <w:p w14:paraId="3A7B8B1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5E89087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6C97874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（3）值班制度和现场巡查制度；</w:t>
            </w:r>
          </w:p>
          <w:p w14:paraId="7DB4A40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（4）值班记录和巡查记录等资料；</w:t>
            </w:r>
          </w:p>
          <w:p w14:paraId="45A8D6C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（5）监控设施运行记录；</w:t>
            </w:r>
          </w:p>
          <w:p w14:paraId="5433633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（6）现场照片及影像资料；</w:t>
            </w:r>
          </w:p>
          <w:p w14:paraId="6DB99AB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（7）企业相关人员任职文件、身份证明及其询问笔录；</w:t>
            </w:r>
          </w:p>
          <w:p w14:paraId="22033B6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（8）其他相关证据。</w:t>
            </w:r>
          </w:p>
        </w:tc>
        <w:tc>
          <w:tcPr>
            <w:tcW w:w="3899" w:type="dxa"/>
            <w:vAlign w:val="center"/>
          </w:tcPr>
          <w:p w14:paraId="0DB33186">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《烟花爆竹生产经营安全规定》第三十九条</w:t>
            </w:r>
            <w:r>
              <w:rPr>
                <w:rFonts w:hint="eastAsia" w:ascii="仿宋_GB2312" w:hAnsi="仿宋_GB2312" w:eastAsia="仿宋_GB2312" w:cs="仿宋_GB2312"/>
                <w:bCs/>
                <w:snapToGrid w:val="0"/>
                <w:color w:val="auto"/>
                <w:kern w:val="0"/>
                <w:sz w:val="32"/>
                <w:szCs w:val="32"/>
              </w:rPr>
              <w:t xml:space="preserve">  违反本规定，构成《中华人民共和国安全生产法》  及其他法律、行政法规规定的其他违法行为的，依照《中华人民共和国安全生产法》  等法律、行政法规的规定处理。涉嫌犯罪的，依法移送司法机关追究刑事责任。</w:t>
            </w:r>
          </w:p>
          <w:p w14:paraId="6E515189">
            <w:pPr>
              <w:adjustRightInd w:val="0"/>
              <w:snapToGrid w:val="0"/>
              <w:ind w:firstLine="640" w:firstLineChars="200"/>
              <w:rPr>
                <w:rFonts w:hint="eastAsia" w:ascii="仿宋_GB2312" w:hAnsi="仿宋_GB2312" w:eastAsia="仿宋_GB2312" w:cs="仿宋_GB2312"/>
                <w:bCs/>
                <w:snapToGrid w:val="0"/>
                <w:color w:val="auto"/>
                <w:kern w:val="0"/>
                <w:sz w:val="32"/>
                <w:szCs w:val="32"/>
              </w:rPr>
            </w:pPr>
          </w:p>
        </w:tc>
        <w:tc>
          <w:tcPr>
            <w:tcW w:w="951" w:type="dxa"/>
            <w:vAlign w:val="center"/>
          </w:tcPr>
          <w:p w14:paraId="615EA504">
            <w:pPr>
              <w:jc w:val="center"/>
              <w:rPr>
                <w:rFonts w:hint="eastAsia" w:ascii="仿宋_GB2312" w:hAnsi="仿宋_GB2312" w:eastAsia="仿宋_GB2312" w:cs="仿宋_GB2312"/>
                <w:bCs/>
                <w:snapToGrid w:val="0"/>
                <w:color w:val="auto"/>
                <w:kern w:val="0"/>
                <w:sz w:val="32"/>
                <w:szCs w:val="32"/>
              </w:rPr>
            </w:pPr>
          </w:p>
        </w:tc>
      </w:tr>
      <w:tr w14:paraId="0482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17" w:type="dxa"/>
            <w:vMerge w:val="continue"/>
            <w:vAlign w:val="center"/>
          </w:tcPr>
          <w:p w14:paraId="153D763E">
            <w:pPr>
              <w:jc w:val="center"/>
              <w:rPr>
                <w:rFonts w:hint="eastAsia" w:ascii="仿宋_GB2312" w:hAnsi="仿宋_GB2312" w:eastAsia="仿宋_GB2312" w:cs="仿宋_GB2312"/>
                <w:bCs/>
                <w:snapToGrid w:val="0"/>
                <w:color w:val="auto"/>
                <w:kern w:val="0"/>
                <w:sz w:val="32"/>
                <w:szCs w:val="32"/>
              </w:rPr>
            </w:pPr>
          </w:p>
        </w:tc>
        <w:tc>
          <w:tcPr>
            <w:tcW w:w="951" w:type="dxa"/>
            <w:vMerge w:val="continue"/>
            <w:vAlign w:val="center"/>
          </w:tcPr>
          <w:p w14:paraId="7DF79EF0">
            <w:pPr>
              <w:adjustRightInd w:val="0"/>
              <w:snapToGrid w:val="0"/>
              <w:jc w:val="center"/>
              <w:rPr>
                <w:rFonts w:hint="eastAsia" w:ascii="仿宋_GB2312" w:hAnsi="仿宋_GB2312" w:eastAsia="仿宋_GB2312" w:cs="仿宋_GB2312"/>
                <w:bCs/>
                <w:snapToGrid w:val="0"/>
                <w:color w:val="auto"/>
                <w:kern w:val="0"/>
                <w:sz w:val="32"/>
                <w:szCs w:val="32"/>
              </w:rPr>
            </w:pPr>
          </w:p>
        </w:tc>
        <w:tc>
          <w:tcPr>
            <w:tcW w:w="951" w:type="dxa"/>
            <w:vAlign w:val="center"/>
          </w:tcPr>
          <w:p w14:paraId="360A05C5">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2.13  人员、车辆出入厂管理（重大隐患）</w:t>
            </w:r>
          </w:p>
        </w:tc>
        <w:tc>
          <w:tcPr>
            <w:tcW w:w="3899" w:type="dxa"/>
            <w:vAlign w:val="center"/>
          </w:tcPr>
          <w:p w14:paraId="46586AED">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《烟花爆竹生产经营安全规定》第十七条</w:t>
            </w:r>
            <w:r>
              <w:rPr>
                <w:rFonts w:hint="eastAsia" w:ascii="仿宋_GB2312" w:hAnsi="仿宋_GB2312" w:eastAsia="仿宋_GB2312" w:cs="仿宋_GB2312"/>
                <w:bCs/>
                <w:snapToGrid w:val="0"/>
                <w:color w:val="auto"/>
                <w:kern w:val="0"/>
                <w:sz w:val="32"/>
                <w:szCs w:val="32"/>
              </w:rPr>
              <w:t>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p w14:paraId="0E9EE48D">
            <w:pPr>
              <w:adjustRightInd w:val="0"/>
              <w:snapToGrid w:val="0"/>
              <w:rPr>
                <w:rFonts w:hint="eastAsia" w:ascii="仿宋_GB2312" w:hAnsi="仿宋_GB2312" w:eastAsia="仿宋_GB2312" w:cs="仿宋_GB2312"/>
                <w:bCs/>
                <w:snapToGrid w:val="0"/>
                <w:color w:val="auto"/>
                <w:kern w:val="0"/>
                <w:sz w:val="32"/>
                <w:szCs w:val="32"/>
              </w:rPr>
            </w:pPr>
          </w:p>
        </w:tc>
        <w:tc>
          <w:tcPr>
            <w:tcW w:w="3899" w:type="dxa"/>
            <w:vAlign w:val="center"/>
          </w:tcPr>
          <w:p w14:paraId="22BA635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00D6383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24C634C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（3）从业人员、外来人员、车辆进出厂（库）区登记制度及登记情况；</w:t>
            </w:r>
          </w:p>
          <w:p w14:paraId="7F75689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（4）从业人员、外来人员、车辆出入厂（库）现场照片及影像资料；</w:t>
            </w:r>
          </w:p>
          <w:p w14:paraId="463FFE4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（5）监控设施运行记录；</w:t>
            </w:r>
          </w:p>
          <w:p w14:paraId="7207B9F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（6）企业相关人员任职文件、身份证明及其询问笔录；</w:t>
            </w:r>
          </w:p>
          <w:p w14:paraId="59366A6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（7）其他相关证据。</w:t>
            </w:r>
          </w:p>
        </w:tc>
        <w:tc>
          <w:tcPr>
            <w:tcW w:w="3899" w:type="dxa"/>
            <w:vAlign w:val="center"/>
          </w:tcPr>
          <w:p w14:paraId="2C3D4692">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《烟花爆竹生产经营安全规定》第三十五条</w:t>
            </w:r>
            <w:r>
              <w:rPr>
                <w:rFonts w:hint="eastAsia" w:ascii="仿宋_GB2312" w:hAnsi="仿宋_GB2312" w:eastAsia="仿宋_GB2312" w:cs="仿宋_GB2312"/>
                <w:bCs/>
                <w:snapToGrid w:val="0"/>
                <w:color w:val="auto"/>
                <w:kern w:val="0"/>
                <w:sz w:val="32"/>
                <w:szCs w:val="32"/>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14:paraId="2EE5A673">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（一）未建立从业人员、外来人员、车辆出入厂（库）区登记制度的；……</w:t>
            </w:r>
          </w:p>
          <w:p w14:paraId="5B585BF3">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《烟花爆竹生产经营安全规定》第三十八条</w:t>
            </w:r>
            <w:r>
              <w:rPr>
                <w:rFonts w:hint="eastAsia" w:ascii="仿宋_GB2312" w:hAnsi="仿宋_GB2312" w:eastAsia="仿宋_GB2312" w:cs="仿宋_GB2312"/>
                <w:bCs/>
                <w:snapToGrid w:val="0"/>
                <w:color w:val="auto"/>
                <w:kern w:val="0"/>
                <w:sz w:val="32"/>
                <w:szCs w:val="32"/>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0FB3E999">
            <w:pPr>
              <w:widowControl/>
              <w:numPr>
                <w:ilvl w:val="0"/>
                <w:numId w:val="84"/>
              </w:num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允许未安装阻火装置等不具备国家标准或者行业标准规定安全条件的机动车辆进入生产区和仓库区的；……</w:t>
            </w:r>
          </w:p>
          <w:p w14:paraId="56963BC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B617A3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81B818C">
            <w:pPr>
              <w:adjustRightInd w:val="0"/>
              <w:snapToGrid w:val="0"/>
              <w:ind w:firstLine="640" w:firstLineChars="200"/>
              <w:rPr>
                <w:rFonts w:hint="eastAsia" w:ascii="仿宋_GB2312" w:hAnsi="仿宋_GB2312" w:eastAsia="仿宋_GB2312" w:cs="仿宋_GB2312"/>
                <w:bCs/>
                <w:snapToGrid w:val="0"/>
                <w:color w:val="auto"/>
                <w:kern w:val="0"/>
                <w:sz w:val="32"/>
                <w:szCs w:val="32"/>
              </w:rPr>
            </w:pPr>
          </w:p>
        </w:tc>
        <w:tc>
          <w:tcPr>
            <w:tcW w:w="951" w:type="dxa"/>
            <w:vAlign w:val="center"/>
          </w:tcPr>
          <w:p w14:paraId="2E24156B">
            <w:pPr>
              <w:jc w:val="center"/>
              <w:rPr>
                <w:rFonts w:hint="eastAsia" w:ascii="仿宋_GB2312" w:hAnsi="仿宋_GB2312" w:eastAsia="仿宋_GB2312" w:cs="仿宋_GB2312"/>
                <w:bCs/>
                <w:snapToGrid w:val="0"/>
                <w:color w:val="auto"/>
                <w:kern w:val="0"/>
                <w:sz w:val="32"/>
                <w:szCs w:val="32"/>
              </w:rPr>
            </w:pPr>
          </w:p>
        </w:tc>
      </w:tr>
      <w:tr w14:paraId="36E6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17" w:type="dxa"/>
            <w:vMerge w:val="continue"/>
            <w:vAlign w:val="center"/>
          </w:tcPr>
          <w:p w14:paraId="65D3DB8A">
            <w:pPr>
              <w:jc w:val="center"/>
              <w:rPr>
                <w:rFonts w:hint="eastAsia" w:ascii="仿宋_GB2312" w:hAnsi="仿宋_GB2312" w:eastAsia="仿宋_GB2312" w:cs="仿宋_GB2312"/>
                <w:bCs/>
                <w:snapToGrid w:val="0"/>
                <w:color w:val="auto"/>
                <w:kern w:val="0"/>
                <w:sz w:val="32"/>
                <w:szCs w:val="32"/>
              </w:rPr>
            </w:pPr>
          </w:p>
        </w:tc>
        <w:tc>
          <w:tcPr>
            <w:tcW w:w="951" w:type="dxa"/>
            <w:vMerge w:val="continue"/>
            <w:vAlign w:val="center"/>
          </w:tcPr>
          <w:p w14:paraId="07E318F5">
            <w:pPr>
              <w:adjustRightInd w:val="0"/>
              <w:snapToGrid w:val="0"/>
              <w:jc w:val="center"/>
              <w:rPr>
                <w:rFonts w:hint="eastAsia" w:ascii="仿宋_GB2312" w:hAnsi="仿宋_GB2312" w:eastAsia="仿宋_GB2312" w:cs="仿宋_GB2312"/>
                <w:bCs/>
                <w:snapToGrid w:val="0"/>
                <w:color w:val="auto"/>
                <w:kern w:val="0"/>
                <w:sz w:val="32"/>
                <w:szCs w:val="32"/>
              </w:rPr>
            </w:pPr>
          </w:p>
        </w:tc>
        <w:tc>
          <w:tcPr>
            <w:tcW w:w="951" w:type="dxa"/>
            <w:vAlign w:val="center"/>
          </w:tcPr>
          <w:p w14:paraId="2F4F1F0C">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2.14黑火药引火线管理</w:t>
            </w:r>
          </w:p>
        </w:tc>
        <w:tc>
          <w:tcPr>
            <w:tcW w:w="3899" w:type="dxa"/>
            <w:vAlign w:val="center"/>
          </w:tcPr>
          <w:p w14:paraId="54030CEB">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《烟花爆竹生产经营安全规定》第十八条</w:t>
            </w:r>
            <w:r>
              <w:rPr>
                <w:rFonts w:hint="eastAsia" w:ascii="仿宋_GB2312" w:hAnsi="仿宋_GB2312" w:eastAsia="仿宋_GB2312" w:cs="仿宋_GB2312"/>
                <w:bCs/>
                <w:snapToGrid w:val="0"/>
                <w:color w:val="auto"/>
                <w:kern w:val="0"/>
                <w:sz w:val="32"/>
                <w:szCs w:val="32"/>
              </w:rPr>
              <w:t>生产企业和经营黑火药、引火线的批发企业应当要求供货单位提供并查验购进的黑火药、引火线及化工原材料的质检报告或者产品合格证，确保其安全性能符合国家标准或者行业标准的规定；对总仓库和中转库的黑火药、引火线、烟火药及裸药效果件，应当建立并实施由专人管理、登记、分发的安全管理制度。</w:t>
            </w:r>
          </w:p>
        </w:tc>
        <w:tc>
          <w:tcPr>
            <w:tcW w:w="3899" w:type="dxa"/>
            <w:vAlign w:val="center"/>
          </w:tcPr>
          <w:p w14:paraId="507613A0">
            <w:pPr>
              <w:adjustRightInd w:val="0"/>
              <w:snapToGrid w:val="0"/>
              <w:ind w:firstLine="640" w:firstLineChars="200"/>
              <w:rPr>
                <w:rFonts w:hint="eastAsia" w:ascii="仿宋_GB2312" w:hAnsi="仿宋_GB2312" w:eastAsia="仿宋_GB2312" w:cs="仿宋_GB2312"/>
                <w:bCs/>
                <w:snapToGrid w:val="0"/>
                <w:color w:val="auto"/>
                <w:kern w:val="0"/>
                <w:sz w:val="32"/>
                <w:szCs w:val="32"/>
              </w:rPr>
            </w:pPr>
          </w:p>
          <w:p w14:paraId="6127EBC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631103D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53675CE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（3）黑火药、引火线、烟火药的检验报告；</w:t>
            </w:r>
          </w:p>
          <w:p w14:paraId="58ED7B8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（4）专人管理、登记、分发黑火药、引火线、烟火药及库存和中转效果件的安全管理制度，烟花爆竹流向管理制度；</w:t>
            </w:r>
          </w:p>
          <w:p w14:paraId="53AC9F2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（5）烟花爆竹流向管理登记信息；</w:t>
            </w:r>
          </w:p>
          <w:p w14:paraId="19E6CE5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（6）黑火药、引火线登记、分发记录；</w:t>
            </w:r>
          </w:p>
          <w:p w14:paraId="4893FEC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（7）企业相关人员任职文件、身份证明及其询问笔录；</w:t>
            </w:r>
          </w:p>
          <w:p w14:paraId="3EDE093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（8）其他相关证据。</w:t>
            </w:r>
          </w:p>
        </w:tc>
        <w:tc>
          <w:tcPr>
            <w:tcW w:w="3899" w:type="dxa"/>
            <w:vAlign w:val="center"/>
          </w:tcPr>
          <w:p w14:paraId="6303C160">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《烟花爆竹生产经营安全规定》第三十五条</w:t>
            </w:r>
            <w:r>
              <w:rPr>
                <w:rFonts w:hint="eastAsia" w:ascii="仿宋_GB2312" w:hAnsi="仿宋_GB2312" w:eastAsia="仿宋_GB2312" w:cs="仿宋_GB2312"/>
                <w:bCs/>
                <w:snapToGrid w:val="0"/>
                <w:color w:val="auto"/>
                <w:kern w:val="0"/>
                <w:sz w:val="32"/>
                <w:szCs w:val="32"/>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14:paraId="4AE7E0BC">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（二）未制定专人管理、登记、分发黑火药、引火线、烟火药及库存和中转效果件的安全管理制度的；……</w:t>
            </w:r>
          </w:p>
          <w:p w14:paraId="2C0F4BC8">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（四）未按规定建立烟花爆竹流向管理制度的。</w:t>
            </w:r>
          </w:p>
        </w:tc>
        <w:tc>
          <w:tcPr>
            <w:tcW w:w="951" w:type="dxa"/>
            <w:vAlign w:val="center"/>
          </w:tcPr>
          <w:p w14:paraId="741F3912">
            <w:pPr>
              <w:jc w:val="center"/>
              <w:rPr>
                <w:rFonts w:hint="eastAsia" w:ascii="仿宋_GB2312" w:hAnsi="仿宋_GB2312" w:eastAsia="仿宋_GB2312" w:cs="仿宋_GB2312"/>
                <w:bCs/>
                <w:snapToGrid w:val="0"/>
                <w:color w:val="auto"/>
                <w:kern w:val="0"/>
                <w:sz w:val="32"/>
                <w:szCs w:val="32"/>
              </w:rPr>
            </w:pPr>
          </w:p>
        </w:tc>
      </w:tr>
      <w:tr w14:paraId="4CD03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17" w:type="dxa"/>
            <w:vMerge w:val="continue"/>
            <w:vAlign w:val="center"/>
          </w:tcPr>
          <w:p w14:paraId="7F39E3F0">
            <w:pPr>
              <w:jc w:val="center"/>
              <w:rPr>
                <w:rFonts w:hint="eastAsia" w:ascii="仿宋_GB2312" w:hAnsi="仿宋_GB2312" w:eastAsia="仿宋_GB2312" w:cs="仿宋_GB2312"/>
                <w:bCs/>
                <w:snapToGrid w:val="0"/>
                <w:color w:val="auto"/>
                <w:kern w:val="0"/>
                <w:sz w:val="32"/>
                <w:szCs w:val="32"/>
              </w:rPr>
            </w:pPr>
          </w:p>
        </w:tc>
        <w:tc>
          <w:tcPr>
            <w:tcW w:w="951" w:type="dxa"/>
            <w:vMerge w:val="continue"/>
            <w:vAlign w:val="center"/>
          </w:tcPr>
          <w:p w14:paraId="78F21C3C">
            <w:pPr>
              <w:adjustRightInd w:val="0"/>
              <w:snapToGrid w:val="0"/>
              <w:jc w:val="center"/>
              <w:rPr>
                <w:rFonts w:hint="eastAsia" w:ascii="仿宋_GB2312" w:hAnsi="仿宋_GB2312" w:eastAsia="仿宋_GB2312" w:cs="仿宋_GB2312"/>
                <w:bCs/>
                <w:snapToGrid w:val="0"/>
                <w:color w:val="auto"/>
                <w:kern w:val="0"/>
                <w:sz w:val="32"/>
                <w:szCs w:val="32"/>
              </w:rPr>
            </w:pPr>
          </w:p>
        </w:tc>
        <w:tc>
          <w:tcPr>
            <w:tcW w:w="951" w:type="dxa"/>
            <w:vAlign w:val="center"/>
          </w:tcPr>
          <w:p w14:paraId="0DE02A6F">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2.15作业安全管理（重大隐患）</w:t>
            </w:r>
          </w:p>
        </w:tc>
        <w:tc>
          <w:tcPr>
            <w:tcW w:w="3899" w:type="dxa"/>
            <w:vAlign w:val="center"/>
          </w:tcPr>
          <w:p w14:paraId="550E4B69">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《烟花爆竹安全管理条例》</w:t>
            </w:r>
            <w:r>
              <w:rPr>
                <w:rFonts w:hint="eastAsia" w:ascii="仿宋_GB2312" w:hAnsi="仿宋_GB2312" w:eastAsia="仿宋_GB2312" w:cs="仿宋_GB2312"/>
                <w:b/>
                <w:snapToGrid w:val="0"/>
                <w:color w:val="auto"/>
                <w:kern w:val="0"/>
                <w:sz w:val="32"/>
                <w:szCs w:val="32"/>
              </w:rPr>
              <w:t>第十一条</w:t>
            </w:r>
            <w:r>
              <w:rPr>
                <w:rFonts w:hint="eastAsia" w:ascii="仿宋_GB2312" w:hAnsi="仿宋_GB2312" w:eastAsia="仿宋_GB2312" w:cs="仿宋_GB2312"/>
                <w:bCs/>
                <w:snapToGrid w:val="0"/>
                <w:color w:val="auto"/>
                <w:kern w:val="0"/>
                <w:sz w:val="32"/>
                <w:szCs w:val="32"/>
              </w:rPr>
              <w:t xml:space="preserve">  生产烟花爆竹的企业，应当按照安全生产许可证核定的产品种类进行生产，生产工序和生产作业应当执行有关国家标准和行业标准。</w:t>
            </w:r>
          </w:p>
          <w:p w14:paraId="27D146D6">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（生产工序和生产作业常用标准见《烟花爆竹作业安全技术规程》GB11652、《烟花爆竹工程设计安全规范》GB50161）</w:t>
            </w:r>
          </w:p>
          <w:p w14:paraId="0BD6C515">
            <w:pPr>
              <w:adjustRightInd w:val="0"/>
              <w:snapToGrid w:val="0"/>
              <w:ind w:firstLine="643" w:firstLineChars="200"/>
              <w:rPr>
                <w:rFonts w:hint="eastAsia" w:ascii="仿宋_GB2312" w:hAnsi="仿宋_GB2312" w:eastAsia="仿宋_GB2312" w:cs="仿宋_GB2312"/>
                <w:b/>
                <w:bCs/>
                <w:snapToGrid w:val="0"/>
                <w:color w:val="auto"/>
                <w:kern w:val="0"/>
                <w:sz w:val="32"/>
                <w:szCs w:val="32"/>
              </w:rPr>
            </w:pPr>
          </w:p>
          <w:p w14:paraId="1DE979E3">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《烟花爆竹生产经营安全规定》</w:t>
            </w:r>
            <w:r>
              <w:rPr>
                <w:rFonts w:hint="eastAsia" w:ascii="仿宋_GB2312" w:hAnsi="仿宋_GB2312" w:eastAsia="仿宋_GB2312" w:cs="仿宋_GB2312"/>
                <w:b/>
                <w:snapToGrid w:val="0"/>
                <w:color w:val="auto"/>
                <w:kern w:val="0"/>
                <w:sz w:val="32"/>
                <w:szCs w:val="32"/>
              </w:rPr>
              <w:t>第十九条</w:t>
            </w:r>
            <w:r>
              <w:rPr>
                <w:rFonts w:hint="eastAsia" w:ascii="仿宋_GB2312" w:hAnsi="仿宋_GB2312" w:eastAsia="仿宋_GB2312" w:cs="仿宋_GB2312"/>
                <w:bCs/>
                <w:snapToGrid w:val="0"/>
                <w:color w:val="auto"/>
                <w:kern w:val="0"/>
                <w:sz w:val="32"/>
                <w:szCs w:val="32"/>
              </w:rPr>
              <w:t>生产企业、批发企业应当加强日常安全检查，采取安全监控、巡查检查等措施，及时发现、纠正违反安全操作规程和规章制度的行为。禁止工（库）房超员、超量作业，禁止擅自改变工（库）房设计用途，禁止作业人员随意串岗、换岗、离岗。</w:t>
            </w:r>
          </w:p>
          <w:p w14:paraId="77715888">
            <w:pPr>
              <w:adjustRightInd w:val="0"/>
              <w:snapToGrid w:val="0"/>
              <w:ind w:firstLine="640" w:firstLineChars="200"/>
              <w:rPr>
                <w:rFonts w:hint="eastAsia" w:ascii="仿宋_GB2312" w:hAnsi="仿宋_GB2312" w:eastAsia="仿宋_GB2312" w:cs="仿宋_GB2312"/>
                <w:bCs/>
                <w:snapToGrid w:val="0"/>
                <w:color w:val="auto"/>
                <w:kern w:val="0"/>
                <w:sz w:val="32"/>
                <w:szCs w:val="32"/>
              </w:rPr>
            </w:pPr>
          </w:p>
          <w:p w14:paraId="10C8BEE2">
            <w:pPr>
              <w:adjustRightInd w:val="0"/>
              <w:snapToGrid w:val="0"/>
              <w:ind w:firstLine="640" w:firstLineChars="200"/>
              <w:rPr>
                <w:rFonts w:hint="eastAsia" w:ascii="仿宋_GB2312" w:hAnsi="仿宋_GB2312" w:eastAsia="仿宋_GB2312" w:cs="仿宋_GB2312"/>
                <w:bCs/>
                <w:snapToGrid w:val="0"/>
                <w:color w:val="auto"/>
                <w:kern w:val="0"/>
                <w:sz w:val="32"/>
                <w:szCs w:val="32"/>
              </w:rPr>
            </w:pPr>
          </w:p>
          <w:p w14:paraId="62DBDA3A">
            <w:pPr>
              <w:adjustRightInd w:val="0"/>
              <w:snapToGrid w:val="0"/>
              <w:rPr>
                <w:rFonts w:hint="eastAsia" w:ascii="仿宋_GB2312" w:hAnsi="仿宋_GB2312" w:eastAsia="仿宋_GB2312" w:cs="仿宋_GB2312"/>
                <w:bCs/>
                <w:snapToGrid w:val="0"/>
                <w:color w:val="auto"/>
                <w:kern w:val="0"/>
                <w:sz w:val="32"/>
                <w:szCs w:val="32"/>
              </w:rPr>
            </w:pPr>
          </w:p>
        </w:tc>
        <w:tc>
          <w:tcPr>
            <w:tcW w:w="3899" w:type="dxa"/>
            <w:vAlign w:val="center"/>
          </w:tcPr>
          <w:p w14:paraId="20F537F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2501205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（2）《现场检查记录》《责令限期整改指令书》《抽样检验报告》《委托鉴定结论》等</w:t>
            </w:r>
            <w:r>
              <w:rPr>
                <w:rFonts w:hint="eastAsia" w:ascii="仿宋_GB2312" w:hAnsi="仿宋_GB2312" w:eastAsia="仿宋_GB2312" w:cs="仿宋_GB2312"/>
                <w:color w:val="auto"/>
                <w:kern w:val="0"/>
                <w:sz w:val="32"/>
                <w:szCs w:val="32"/>
              </w:rPr>
              <w:t>相关执法文书</w:t>
            </w:r>
            <w:r>
              <w:rPr>
                <w:rFonts w:hint="eastAsia" w:ascii="仿宋_GB2312" w:hAnsi="仿宋_GB2312" w:eastAsia="仿宋_GB2312" w:cs="仿宋_GB2312"/>
                <w:bCs/>
                <w:snapToGrid w:val="0"/>
                <w:color w:val="auto"/>
                <w:kern w:val="0"/>
                <w:sz w:val="32"/>
                <w:szCs w:val="32"/>
              </w:rPr>
              <w:t>；</w:t>
            </w:r>
          </w:p>
          <w:p w14:paraId="5C02D29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（3）烟花爆竹工厂设计专篇；</w:t>
            </w:r>
          </w:p>
          <w:p w14:paraId="52E0019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（4）烟花爆竹生产企业安全评价报告；</w:t>
            </w:r>
          </w:p>
          <w:p w14:paraId="30F3B9B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（5）监控设施运行记录；</w:t>
            </w:r>
          </w:p>
          <w:p w14:paraId="619D87B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（6）现场照片及影像资料；</w:t>
            </w:r>
          </w:p>
          <w:p w14:paraId="6933161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（7）企业相关人员任职文件、身份证明及其询问笔录；</w:t>
            </w:r>
          </w:p>
          <w:p w14:paraId="26648B1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（8）其他相关证据。</w:t>
            </w:r>
          </w:p>
        </w:tc>
        <w:tc>
          <w:tcPr>
            <w:tcW w:w="3899" w:type="dxa"/>
            <w:vAlign w:val="center"/>
          </w:tcPr>
          <w:p w14:paraId="23146940">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snapToGrid w:val="0"/>
                <w:color w:val="auto"/>
                <w:kern w:val="0"/>
                <w:sz w:val="32"/>
                <w:szCs w:val="32"/>
              </w:rPr>
              <w:t>《烟花爆竹安全管理条例》</w:t>
            </w:r>
            <w:r>
              <w:rPr>
                <w:rFonts w:hint="eastAsia" w:ascii="仿宋_GB2312" w:hAnsi="仿宋_GB2312" w:eastAsia="仿宋_GB2312" w:cs="仿宋_GB2312"/>
                <w:b/>
                <w:color w:val="auto"/>
                <w:sz w:val="32"/>
                <w:szCs w:val="32"/>
              </w:rPr>
              <w:t>第三十七条</w:t>
            </w:r>
            <w:r>
              <w:rPr>
                <w:rFonts w:hint="eastAsia" w:ascii="仿宋_GB2312" w:hAnsi="仿宋_GB2312" w:eastAsia="仿宋_GB2312" w:cs="仿宋_GB2312"/>
                <w:bCs/>
                <w:color w:val="auto"/>
                <w:sz w:val="32"/>
                <w:szCs w:val="32"/>
              </w:rPr>
              <w:t>生产烟花爆竹的企业有下列行为之一的，由安全生产监督管理部门责令限期改正，处1万元以上5万元以下的罚款；逾期不改正的，责令停产停业整顿，情节严重的，吊销安全生产许可证：……</w:t>
            </w:r>
          </w:p>
          <w:p w14:paraId="1F004462">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（二）生产工序或者生产作业不符合有关国家标准、行业标准的；……</w:t>
            </w:r>
          </w:p>
          <w:p w14:paraId="44A8768F">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《烟花爆竹生产经营安全规定》</w:t>
            </w:r>
            <w:r>
              <w:rPr>
                <w:rFonts w:hint="eastAsia" w:ascii="仿宋_GB2312" w:hAnsi="仿宋_GB2312" w:eastAsia="仿宋_GB2312" w:cs="仿宋_GB2312"/>
                <w:b/>
                <w:snapToGrid w:val="0"/>
                <w:color w:val="auto"/>
                <w:kern w:val="0"/>
                <w:sz w:val="32"/>
                <w:szCs w:val="32"/>
              </w:rPr>
              <w:t>第三十八条</w:t>
            </w:r>
            <w:r>
              <w:rPr>
                <w:rFonts w:hint="eastAsia" w:ascii="仿宋_GB2312" w:hAnsi="仿宋_GB2312" w:eastAsia="仿宋_GB2312" w:cs="仿宋_GB2312"/>
                <w:bCs/>
                <w:snapToGrid w:val="0"/>
                <w:color w:val="auto"/>
                <w:kern w:val="0"/>
                <w:sz w:val="32"/>
                <w:szCs w:val="32"/>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5A30E3F6">
            <w:pPr>
              <w:widowControl/>
              <w:numPr>
                <w:ilvl w:val="0"/>
                <w:numId w:val="85"/>
              </w:num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工（库）房超过核定人员、药量或者擅自改变设计用途使用工（库）房的；……</w:t>
            </w:r>
          </w:p>
          <w:p w14:paraId="3F5EFB1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4208DF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8B6F669">
            <w:pPr>
              <w:adjustRightInd w:val="0"/>
              <w:snapToGrid w:val="0"/>
              <w:ind w:firstLine="640" w:firstLineChars="200"/>
              <w:rPr>
                <w:rFonts w:hint="eastAsia" w:ascii="仿宋_GB2312" w:hAnsi="仿宋_GB2312" w:eastAsia="仿宋_GB2312" w:cs="仿宋_GB2312"/>
                <w:bCs/>
                <w:snapToGrid w:val="0"/>
                <w:color w:val="auto"/>
                <w:kern w:val="0"/>
                <w:sz w:val="32"/>
                <w:szCs w:val="32"/>
              </w:rPr>
            </w:pPr>
          </w:p>
        </w:tc>
        <w:tc>
          <w:tcPr>
            <w:tcW w:w="951" w:type="dxa"/>
            <w:vAlign w:val="center"/>
          </w:tcPr>
          <w:p w14:paraId="5D63AF34">
            <w:pPr>
              <w:jc w:val="center"/>
              <w:rPr>
                <w:rFonts w:hint="eastAsia" w:ascii="仿宋_GB2312" w:hAnsi="仿宋_GB2312" w:eastAsia="仿宋_GB2312" w:cs="仿宋_GB2312"/>
                <w:bCs/>
                <w:snapToGrid w:val="0"/>
                <w:color w:val="auto"/>
                <w:kern w:val="0"/>
                <w:sz w:val="32"/>
                <w:szCs w:val="32"/>
              </w:rPr>
            </w:pPr>
          </w:p>
        </w:tc>
      </w:tr>
      <w:tr w14:paraId="36B40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617" w:type="dxa"/>
            <w:vMerge w:val="continue"/>
            <w:vAlign w:val="center"/>
          </w:tcPr>
          <w:p w14:paraId="51279A81">
            <w:pPr>
              <w:jc w:val="center"/>
              <w:rPr>
                <w:rFonts w:hint="eastAsia" w:ascii="仿宋_GB2312" w:hAnsi="仿宋_GB2312" w:eastAsia="仿宋_GB2312" w:cs="仿宋_GB2312"/>
                <w:bCs/>
                <w:snapToGrid w:val="0"/>
                <w:color w:val="auto"/>
                <w:kern w:val="0"/>
                <w:sz w:val="32"/>
                <w:szCs w:val="32"/>
              </w:rPr>
            </w:pPr>
          </w:p>
        </w:tc>
        <w:tc>
          <w:tcPr>
            <w:tcW w:w="951" w:type="dxa"/>
            <w:vMerge w:val="continue"/>
            <w:vAlign w:val="center"/>
          </w:tcPr>
          <w:p w14:paraId="50F09BA1">
            <w:pPr>
              <w:adjustRightInd w:val="0"/>
              <w:snapToGrid w:val="0"/>
              <w:jc w:val="center"/>
              <w:rPr>
                <w:rFonts w:hint="eastAsia" w:ascii="仿宋_GB2312" w:hAnsi="仿宋_GB2312" w:eastAsia="仿宋_GB2312" w:cs="仿宋_GB2312"/>
                <w:bCs/>
                <w:snapToGrid w:val="0"/>
                <w:color w:val="auto"/>
                <w:kern w:val="0"/>
                <w:sz w:val="32"/>
                <w:szCs w:val="32"/>
              </w:rPr>
            </w:pPr>
          </w:p>
        </w:tc>
        <w:tc>
          <w:tcPr>
            <w:tcW w:w="951" w:type="dxa"/>
            <w:vAlign w:val="center"/>
          </w:tcPr>
          <w:p w14:paraId="642A929A">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2.16烟花爆竹的装卸</w:t>
            </w:r>
          </w:p>
        </w:tc>
        <w:tc>
          <w:tcPr>
            <w:tcW w:w="3899" w:type="dxa"/>
            <w:vAlign w:val="center"/>
          </w:tcPr>
          <w:p w14:paraId="4D6037A5">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《烟花爆竹生产经营安全规定》第二十五条第二款</w:t>
            </w:r>
            <w:r>
              <w:rPr>
                <w:rFonts w:hint="eastAsia" w:ascii="仿宋_GB2312" w:hAnsi="仿宋_GB2312" w:eastAsia="仿宋_GB2312" w:cs="仿宋_GB2312"/>
                <w:bCs/>
                <w:snapToGrid w:val="0"/>
                <w:color w:val="auto"/>
                <w:kern w:val="0"/>
                <w:sz w:val="32"/>
                <w:szCs w:val="32"/>
              </w:rPr>
              <w:t>生产企业、批发企业装卸烟花爆竹成品、半成品及原材料时，应当严格遵守作业规程。禁止碰撞、拖拉、抛摔、翻滚、摩擦、挤压等不安全行为。</w:t>
            </w:r>
          </w:p>
        </w:tc>
        <w:tc>
          <w:tcPr>
            <w:tcW w:w="3899" w:type="dxa"/>
            <w:vAlign w:val="center"/>
          </w:tcPr>
          <w:p w14:paraId="0324DE1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431C428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4743B16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（3）监控设施运行记录；</w:t>
            </w:r>
          </w:p>
          <w:p w14:paraId="23DAEAB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（4）相应工序作业安全规程；</w:t>
            </w:r>
          </w:p>
          <w:p w14:paraId="0E8943D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（5）现场照片及影像资料；</w:t>
            </w:r>
          </w:p>
          <w:p w14:paraId="5D3BEFB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（6）企业相关人员任职文件、身份证明及其询问笔录；</w:t>
            </w:r>
          </w:p>
          <w:p w14:paraId="795661D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（7）其他相关证据。</w:t>
            </w:r>
          </w:p>
        </w:tc>
        <w:tc>
          <w:tcPr>
            <w:tcW w:w="3899" w:type="dxa"/>
            <w:vAlign w:val="center"/>
          </w:tcPr>
          <w:p w14:paraId="121D310B">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《烟花爆竹生产经营安全规定》第三十八条</w:t>
            </w:r>
            <w:r>
              <w:rPr>
                <w:rFonts w:hint="eastAsia" w:ascii="仿宋_GB2312" w:hAnsi="仿宋_GB2312" w:eastAsia="仿宋_GB2312" w:cs="仿宋_GB2312"/>
                <w:bCs/>
                <w:snapToGrid w:val="0"/>
                <w:color w:val="auto"/>
                <w:kern w:val="0"/>
                <w:sz w:val="32"/>
                <w:szCs w:val="32"/>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7A2BAE6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（八）其他事故隐患。</w:t>
            </w:r>
          </w:p>
        </w:tc>
        <w:tc>
          <w:tcPr>
            <w:tcW w:w="951" w:type="dxa"/>
            <w:vAlign w:val="center"/>
          </w:tcPr>
          <w:p w14:paraId="64C1A79E">
            <w:pPr>
              <w:jc w:val="center"/>
              <w:rPr>
                <w:rFonts w:hint="eastAsia" w:ascii="仿宋_GB2312" w:hAnsi="仿宋_GB2312" w:eastAsia="仿宋_GB2312" w:cs="仿宋_GB2312"/>
                <w:bCs/>
                <w:snapToGrid w:val="0"/>
                <w:color w:val="auto"/>
                <w:kern w:val="0"/>
                <w:sz w:val="32"/>
                <w:szCs w:val="32"/>
              </w:rPr>
            </w:pPr>
          </w:p>
        </w:tc>
      </w:tr>
      <w:tr w14:paraId="14FF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17" w:type="dxa"/>
            <w:vMerge w:val="continue"/>
            <w:vAlign w:val="center"/>
          </w:tcPr>
          <w:p w14:paraId="697E2D01">
            <w:pPr>
              <w:jc w:val="center"/>
              <w:rPr>
                <w:rFonts w:hint="eastAsia" w:ascii="仿宋_GB2312" w:hAnsi="仿宋_GB2312" w:eastAsia="仿宋_GB2312" w:cs="仿宋_GB2312"/>
                <w:bCs/>
                <w:snapToGrid w:val="0"/>
                <w:color w:val="auto"/>
                <w:kern w:val="0"/>
                <w:sz w:val="32"/>
                <w:szCs w:val="32"/>
              </w:rPr>
            </w:pPr>
          </w:p>
        </w:tc>
        <w:tc>
          <w:tcPr>
            <w:tcW w:w="951" w:type="dxa"/>
            <w:vMerge w:val="continue"/>
            <w:vAlign w:val="center"/>
          </w:tcPr>
          <w:p w14:paraId="4F0C8193">
            <w:pPr>
              <w:adjustRightInd w:val="0"/>
              <w:snapToGrid w:val="0"/>
              <w:jc w:val="center"/>
              <w:rPr>
                <w:rFonts w:hint="eastAsia" w:ascii="仿宋_GB2312" w:hAnsi="仿宋_GB2312" w:eastAsia="仿宋_GB2312" w:cs="仿宋_GB2312"/>
                <w:bCs/>
                <w:snapToGrid w:val="0"/>
                <w:color w:val="auto"/>
                <w:kern w:val="0"/>
                <w:sz w:val="32"/>
                <w:szCs w:val="32"/>
              </w:rPr>
            </w:pPr>
          </w:p>
        </w:tc>
        <w:tc>
          <w:tcPr>
            <w:tcW w:w="951" w:type="dxa"/>
            <w:vAlign w:val="center"/>
          </w:tcPr>
          <w:p w14:paraId="51C56666">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2.17烟花爆竹产品存放（重大隐患）</w:t>
            </w:r>
          </w:p>
        </w:tc>
        <w:tc>
          <w:tcPr>
            <w:tcW w:w="3899" w:type="dxa"/>
            <w:vAlign w:val="center"/>
          </w:tcPr>
          <w:p w14:paraId="05873CE7">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《烟花爆竹安全管理条例》</w:t>
            </w:r>
            <w:r>
              <w:rPr>
                <w:rFonts w:hint="eastAsia" w:ascii="仿宋_GB2312" w:hAnsi="仿宋_GB2312" w:eastAsia="仿宋_GB2312" w:cs="仿宋_GB2312"/>
                <w:b/>
                <w:snapToGrid w:val="0"/>
                <w:color w:val="auto"/>
                <w:kern w:val="0"/>
                <w:sz w:val="32"/>
                <w:szCs w:val="32"/>
              </w:rPr>
              <w:t>第十一条</w:t>
            </w:r>
            <w:r>
              <w:rPr>
                <w:rFonts w:hint="eastAsia" w:ascii="仿宋_GB2312" w:hAnsi="仿宋_GB2312" w:eastAsia="仿宋_GB2312" w:cs="仿宋_GB2312"/>
                <w:bCs/>
                <w:snapToGrid w:val="0"/>
                <w:color w:val="auto"/>
                <w:kern w:val="0"/>
                <w:sz w:val="32"/>
                <w:szCs w:val="32"/>
              </w:rPr>
              <w:t xml:space="preserve">  生产烟花爆竹的企业，应当按照安全生产许可证核定的产品种类进行生产，生产工序和生产作业应当执行有关国家标准和行业标准。</w:t>
            </w:r>
          </w:p>
          <w:p w14:paraId="6AC7031C">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（生产工序和生产作业常用标准见《烟花爆竹作业安全技术规程》GB11652、《烟花爆竹工程设计安全规范》GB50161）</w:t>
            </w:r>
          </w:p>
          <w:p w14:paraId="628947F5">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《烟花爆竹生产经营安全规定》</w:t>
            </w:r>
            <w:r>
              <w:rPr>
                <w:rFonts w:hint="eastAsia" w:ascii="仿宋_GB2312" w:hAnsi="仿宋_GB2312" w:eastAsia="仿宋_GB2312" w:cs="仿宋_GB2312"/>
                <w:b/>
                <w:snapToGrid w:val="0"/>
                <w:color w:val="auto"/>
                <w:kern w:val="0"/>
                <w:sz w:val="32"/>
                <w:szCs w:val="32"/>
              </w:rPr>
              <w:t>第二十条</w:t>
            </w:r>
            <w:r>
              <w:rPr>
                <w:rFonts w:hint="eastAsia" w:ascii="仿宋_GB2312" w:hAnsi="仿宋_GB2312" w:eastAsia="仿宋_GB2312" w:cs="仿宋_GB2312"/>
                <w:bCs/>
                <w:snapToGrid w:val="0"/>
                <w:color w:val="auto"/>
                <w:kern w:val="0"/>
                <w:sz w:val="32"/>
                <w:szCs w:val="32"/>
              </w:rPr>
              <w:t>生产企业、批发企业应当按照设计用途、危险等级、核定药量使用药物总库和成品总库，并按规定堆码，分类分级存放，保持仓库内通道畅通，准确记录药物和产品数量。</w:t>
            </w:r>
          </w:p>
          <w:p w14:paraId="12175289">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禁止在仓库内进行拆箱、包装作业。禁止将性质不相容的物质混存。禁止将高危险等级物品储存在危险等级低的仓库。禁止在烟花爆竹仓库储存不属于烟花爆竹的其他危险物品。</w:t>
            </w:r>
          </w:p>
          <w:p w14:paraId="758F544D">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（常用标准见《烟花爆竹作业安全技术规程》GB11652）</w:t>
            </w:r>
          </w:p>
        </w:tc>
        <w:tc>
          <w:tcPr>
            <w:tcW w:w="3899" w:type="dxa"/>
            <w:vAlign w:val="center"/>
          </w:tcPr>
          <w:p w14:paraId="1E3D812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12EFFB9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378B8DD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（3）现场照片及影像资料；</w:t>
            </w:r>
          </w:p>
          <w:p w14:paraId="1FB2240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（4）勘验笔录；</w:t>
            </w:r>
          </w:p>
          <w:p w14:paraId="04A4C8B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（5）企业相关人员任职文件、身份证明及其询问笔录；</w:t>
            </w:r>
          </w:p>
          <w:p w14:paraId="593426E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899" w:type="dxa"/>
            <w:vAlign w:val="center"/>
          </w:tcPr>
          <w:p w14:paraId="60C4BB1F">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snapToGrid w:val="0"/>
                <w:color w:val="auto"/>
                <w:kern w:val="0"/>
                <w:sz w:val="32"/>
                <w:szCs w:val="32"/>
              </w:rPr>
              <w:t>《烟花爆竹安全管理条例》</w:t>
            </w:r>
            <w:r>
              <w:rPr>
                <w:rFonts w:hint="eastAsia" w:ascii="仿宋_GB2312" w:hAnsi="仿宋_GB2312" w:eastAsia="仿宋_GB2312" w:cs="仿宋_GB2312"/>
                <w:b/>
                <w:color w:val="auto"/>
                <w:sz w:val="32"/>
                <w:szCs w:val="32"/>
              </w:rPr>
              <w:t>第三十七条</w:t>
            </w:r>
            <w:r>
              <w:rPr>
                <w:rFonts w:hint="eastAsia" w:ascii="仿宋_GB2312" w:hAnsi="仿宋_GB2312" w:eastAsia="仿宋_GB2312" w:cs="仿宋_GB2312"/>
                <w:bCs/>
                <w:color w:val="auto"/>
                <w:sz w:val="32"/>
                <w:szCs w:val="32"/>
              </w:rPr>
              <w:t>生产烟花爆竹的企业有下列行为之一的，由安全生产监督管理部门责令限期改正，处1万元以上5万元以下的罚款；逾期不改正的，责令停产停业整顿，情节严重的，吊销安全生产许可证：……</w:t>
            </w:r>
          </w:p>
          <w:p w14:paraId="067EFEDC">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（二）生产工序或者生产作业不符合有关国家标准、行业标准的；……</w:t>
            </w:r>
          </w:p>
          <w:p w14:paraId="6A10B7CC">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《烟花爆竹生产经营安全规定》</w:t>
            </w:r>
            <w:r>
              <w:rPr>
                <w:rFonts w:hint="eastAsia" w:ascii="仿宋_GB2312" w:hAnsi="仿宋_GB2312" w:eastAsia="仿宋_GB2312" w:cs="仿宋_GB2312"/>
                <w:b/>
                <w:snapToGrid w:val="0"/>
                <w:color w:val="auto"/>
                <w:kern w:val="0"/>
                <w:sz w:val="32"/>
                <w:szCs w:val="32"/>
              </w:rPr>
              <w:t>第三十八条</w:t>
            </w:r>
            <w:r>
              <w:rPr>
                <w:rFonts w:hint="eastAsia" w:ascii="仿宋_GB2312" w:hAnsi="仿宋_GB2312" w:eastAsia="仿宋_GB2312" w:cs="仿宋_GB2312"/>
                <w:bCs/>
                <w:snapToGrid w:val="0"/>
                <w:color w:val="auto"/>
                <w:kern w:val="0"/>
                <w:sz w:val="32"/>
                <w:szCs w:val="32"/>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08F73FD6">
            <w:pPr>
              <w:widowControl/>
              <w:adjustRightInd w:val="0"/>
              <w:snapToGrid w:val="0"/>
              <w:ind w:firstLine="640" w:firstLineChars="20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（二）仓库内堆码、分类分级储存等违反国家标准或者行业标准规定的；</w:t>
            </w:r>
          </w:p>
          <w:p w14:paraId="1EE36859">
            <w:pPr>
              <w:widowControl/>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（三）在仓库内进行拆箱、包装作业，将性质不相容的物质混存的；……</w:t>
            </w:r>
          </w:p>
          <w:p w14:paraId="66F7230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DF70CE5">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A956D83">
            <w:pPr>
              <w:widowControl/>
              <w:adjustRightInd w:val="0"/>
              <w:snapToGrid w:val="0"/>
              <w:ind w:firstLine="640" w:firstLineChars="200"/>
              <w:jc w:val="left"/>
              <w:rPr>
                <w:rFonts w:hint="eastAsia" w:ascii="仿宋_GB2312" w:hAnsi="仿宋_GB2312" w:eastAsia="仿宋_GB2312" w:cs="仿宋_GB2312"/>
                <w:bCs/>
                <w:snapToGrid w:val="0"/>
                <w:color w:val="auto"/>
                <w:kern w:val="0"/>
                <w:sz w:val="32"/>
                <w:szCs w:val="32"/>
              </w:rPr>
            </w:pPr>
          </w:p>
        </w:tc>
        <w:tc>
          <w:tcPr>
            <w:tcW w:w="951" w:type="dxa"/>
            <w:vAlign w:val="center"/>
          </w:tcPr>
          <w:p w14:paraId="15C22482">
            <w:pPr>
              <w:jc w:val="center"/>
              <w:rPr>
                <w:rFonts w:hint="eastAsia" w:ascii="仿宋_GB2312" w:hAnsi="仿宋_GB2312" w:eastAsia="仿宋_GB2312" w:cs="仿宋_GB2312"/>
                <w:bCs/>
                <w:snapToGrid w:val="0"/>
                <w:color w:val="auto"/>
                <w:kern w:val="0"/>
                <w:sz w:val="32"/>
                <w:szCs w:val="32"/>
              </w:rPr>
            </w:pPr>
          </w:p>
        </w:tc>
      </w:tr>
      <w:tr w14:paraId="1B4C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Align w:val="center"/>
          </w:tcPr>
          <w:p w14:paraId="79D6A3F1">
            <w:pPr>
              <w:jc w:val="center"/>
              <w:rPr>
                <w:rFonts w:hint="eastAsia" w:ascii="仿宋_GB2312" w:hAnsi="仿宋_GB2312" w:eastAsia="仿宋_GB2312" w:cs="仿宋_GB2312"/>
                <w:bCs/>
                <w:snapToGrid w:val="0"/>
                <w:color w:val="auto"/>
                <w:kern w:val="0"/>
                <w:sz w:val="32"/>
                <w:szCs w:val="32"/>
              </w:rPr>
            </w:pPr>
          </w:p>
        </w:tc>
        <w:tc>
          <w:tcPr>
            <w:tcW w:w="951" w:type="dxa"/>
            <w:vAlign w:val="center"/>
          </w:tcPr>
          <w:p w14:paraId="0F8D00F7">
            <w:pPr>
              <w:adjustRightInd w:val="0"/>
              <w:snapToGrid w:val="0"/>
              <w:jc w:val="center"/>
              <w:rPr>
                <w:rFonts w:hint="eastAsia" w:ascii="仿宋_GB2312" w:hAnsi="仿宋_GB2312" w:eastAsia="仿宋_GB2312" w:cs="仿宋_GB2312"/>
                <w:bCs/>
                <w:snapToGrid w:val="0"/>
                <w:color w:val="auto"/>
                <w:kern w:val="0"/>
                <w:sz w:val="32"/>
                <w:szCs w:val="32"/>
              </w:rPr>
            </w:pPr>
          </w:p>
        </w:tc>
        <w:tc>
          <w:tcPr>
            <w:tcW w:w="951" w:type="dxa"/>
            <w:vAlign w:val="center"/>
          </w:tcPr>
          <w:p w14:paraId="1C883589">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2.18药物、半成品中转管理（重大隐患）</w:t>
            </w:r>
          </w:p>
        </w:tc>
        <w:tc>
          <w:tcPr>
            <w:tcW w:w="3899" w:type="dxa"/>
            <w:vAlign w:val="center"/>
          </w:tcPr>
          <w:p w14:paraId="539B41B1">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《烟花爆竹安全管理条例》</w:t>
            </w:r>
            <w:r>
              <w:rPr>
                <w:rFonts w:hint="eastAsia" w:ascii="仿宋_GB2312" w:hAnsi="仿宋_GB2312" w:eastAsia="仿宋_GB2312" w:cs="仿宋_GB2312"/>
                <w:b/>
                <w:snapToGrid w:val="0"/>
                <w:color w:val="auto"/>
                <w:kern w:val="0"/>
                <w:sz w:val="32"/>
                <w:szCs w:val="32"/>
              </w:rPr>
              <w:t>第十一条</w:t>
            </w:r>
            <w:r>
              <w:rPr>
                <w:rFonts w:hint="eastAsia" w:ascii="仿宋_GB2312" w:hAnsi="仿宋_GB2312" w:eastAsia="仿宋_GB2312" w:cs="仿宋_GB2312"/>
                <w:bCs/>
                <w:snapToGrid w:val="0"/>
                <w:color w:val="auto"/>
                <w:kern w:val="0"/>
                <w:sz w:val="32"/>
                <w:szCs w:val="32"/>
              </w:rPr>
              <w:t xml:space="preserve">  生产烟花爆竹的企业，应当按照安全生产许可证核定的产品种类进行生产，生产工序和生产作业应当执行有关国家标准和行业标准。</w:t>
            </w:r>
          </w:p>
          <w:p w14:paraId="469DDE2B">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《烟花爆竹作业安全技术规程》GB11652</w:t>
            </w:r>
          </w:p>
          <w:p w14:paraId="4B2A1C58">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《烟花爆竹生产经营安全规定》</w:t>
            </w:r>
            <w:r>
              <w:rPr>
                <w:rFonts w:hint="eastAsia" w:ascii="仿宋_GB2312" w:hAnsi="仿宋_GB2312" w:eastAsia="仿宋_GB2312" w:cs="仿宋_GB2312"/>
                <w:b/>
                <w:snapToGrid w:val="0"/>
                <w:color w:val="auto"/>
                <w:kern w:val="0"/>
                <w:sz w:val="32"/>
                <w:szCs w:val="32"/>
              </w:rPr>
              <w:t>第二十一条</w:t>
            </w:r>
            <w:r>
              <w:rPr>
                <w:rFonts w:hint="eastAsia" w:ascii="仿宋_GB2312" w:hAnsi="仿宋_GB2312" w:eastAsia="仿宋_GB2312" w:cs="仿宋_GB2312"/>
                <w:bCs/>
                <w:snapToGrid w:val="0"/>
                <w:color w:val="auto"/>
                <w:kern w:val="0"/>
                <w:sz w:val="32"/>
                <w:szCs w:val="32"/>
              </w:rPr>
              <w:t>生产企业的中转库数量、核定存药量、药物储存时间，应当符合国家标准或者行业标准规定，确保药物、半成品、成品合理中转，保障生产流程顺畅。禁止在中转库内超量或者超时储存药物、半成品、成品。</w:t>
            </w:r>
          </w:p>
          <w:p w14:paraId="195BB05C">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《烟花爆竹作业安全技术规程》GB11652第（5）（5）10</w:t>
            </w:r>
          </w:p>
        </w:tc>
        <w:tc>
          <w:tcPr>
            <w:tcW w:w="3899" w:type="dxa"/>
            <w:vAlign w:val="center"/>
          </w:tcPr>
          <w:p w14:paraId="1BF85EC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3182D34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3560EFA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（3）抽样检验报告、委托鉴定结论；</w:t>
            </w:r>
          </w:p>
          <w:p w14:paraId="43F41FD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（4）药物、半成品出入中转库记录；</w:t>
            </w:r>
          </w:p>
          <w:p w14:paraId="32A36A3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（5）现场照片及影像资料；</w:t>
            </w:r>
          </w:p>
          <w:p w14:paraId="74987CA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（6）企业相关人员任职文件、身份证明及其询问笔录；</w:t>
            </w:r>
          </w:p>
          <w:p w14:paraId="49C1D55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（7）其他相关证据。</w:t>
            </w:r>
          </w:p>
        </w:tc>
        <w:tc>
          <w:tcPr>
            <w:tcW w:w="3899" w:type="dxa"/>
            <w:vAlign w:val="center"/>
          </w:tcPr>
          <w:p w14:paraId="64FD8E66">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snapToGrid w:val="0"/>
                <w:color w:val="auto"/>
                <w:kern w:val="0"/>
                <w:sz w:val="32"/>
                <w:szCs w:val="32"/>
              </w:rPr>
              <w:t>《烟花爆竹安全管理条例》</w:t>
            </w:r>
            <w:r>
              <w:rPr>
                <w:rFonts w:hint="eastAsia" w:ascii="仿宋_GB2312" w:hAnsi="仿宋_GB2312" w:eastAsia="仿宋_GB2312" w:cs="仿宋_GB2312"/>
                <w:b/>
                <w:color w:val="auto"/>
                <w:sz w:val="32"/>
                <w:szCs w:val="32"/>
              </w:rPr>
              <w:t>第三十七条</w:t>
            </w:r>
            <w:r>
              <w:rPr>
                <w:rFonts w:hint="eastAsia" w:ascii="仿宋_GB2312" w:hAnsi="仿宋_GB2312" w:eastAsia="仿宋_GB2312" w:cs="仿宋_GB2312"/>
                <w:bCs/>
                <w:color w:val="auto"/>
                <w:sz w:val="32"/>
                <w:szCs w:val="32"/>
              </w:rPr>
              <w:t>生产烟花爆竹的企业有下列行为之一的，由安全生产监督管理部门责令限期改正，处1万元以上5万元以下的罚款；逾期不改正的，责令停产停业整顿，情节严重的，吊销安全生产许可证：……</w:t>
            </w:r>
          </w:p>
          <w:p w14:paraId="0FF8C1F6">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（二）生产工序或者生产作业不符合有关国家标准、行业标准的；……</w:t>
            </w:r>
          </w:p>
          <w:p w14:paraId="13B7B757">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《烟花爆竹生产经营安全规定》</w:t>
            </w:r>
            <w:r>
              <w:rPr>
                <w:rFonts w:hint="eastAsia" w:ascii="仿宋_GB2312" w:hAnsi="仿宋_GB2312" w:eastAsia="仿宋_GB2312" w:cs="仿宋_GB2312"/>
                <w:b/>
                <w:snapToGrid w:val="0"/>
                <w:color w:val="auto"/>
                <w:kern w:val="0"/>
                <w:sz w:val="32"/>
                <w:szCs w:val="32"/>
              </w:rPr>
              <w:t>第三十八条</w:t>
            </w:r>
            <w:r>
              <w:rPr>
                <w:rFonts w:hint="eastAsia" w:ascii="仿宋_GB2312" w:hAnsi="仿宋_GB2312" w:eastAsia="仿宋_GB2312" w:cs="仿宋_GB2312"/>
                <w:bCs/>
                <w:snapToGrid w:val="0"/>
                <w:color w:val="auto"/>
                <w:kern w:val="0"/>
                <w:sz w:val="32"/>
                <w:szCs w:val="32"/>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61B092A6">
            <w:pPr>
              <w:widowControl/>
              <w:numPr>
                <w:ilvl w:val="0"/>
                <w:numId w:val="82"/>
              </w:num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在中转库、中转间内，超量、超时储存药物、半成品、成品的；……</w:t>
            </w:r>
          </w:p>
          <w:p w14:paraId="368074D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1854D4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8763089">
            <w:pPr>
              <w:adjustRightInd w:val="0"/>
              <w:snapToGrid w:val="0"/>
              <w:ind w:firstLine="640" w:firstLineChars="200"/>
              <w:rPr>
                <w:rFonts w:hint="eastAsia" w:ascii="仿宋_GB2312" w:hAnsi="仿宋_GB2312" w:eastAsia="仿宋_GB2312" w:cs="仿宋_GB2312"/>
                <w:bCs/>
                <w:snapToGrid w:val="0"/>
                <w:color w:val="auto"/>
                <w:kern w:val="0"/>
                <w:sz w:val="32"/>
                <w:szCs w:val="32"/>
              </w:rPr>
            </w:pPr>
          </w:p>
        </w:tc>
        <w:tc>
          <w:tcPr>
            <w:tcW w:w="951" w:type="dxa"/>
            <w:vAlign w:val="center"/>
          </w:tcPr>
          <w:p w14:paraId="387BC3FA">
            <w:pPr>
              <w:jc w:val="center"/>
              <w:rPr>
                <w:rFonts w:hint="eastAsia" w:ascii="仿宋_GB2312" w:hAnsi="仿宋_GB2312" w:eastAsia="仿宋_GB2312" w:cs="仿宋_GB2312"/>
                <w:bCs/>
                <w:snapToGrid w:val="0"/>
                <w:color w:val="auto"/>
                <w:kern w:val="0"/>
                <w:sz w:val="32"/>
                <w:szCs w:val="32"/>
              </w:rPr>
            </w:pPr>
          </w:p>
        </w:tc>
      </w:tr>
      <w:tr w14:paraId="7956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617" w:type="dxa"/>
            <w:vMerge w:val="restart"/>
            <w:vAlign w:val="center"/>
          </w:tcPr>
          <w:p w14:paraId="7E733CC9">
            <w:pPr>
              <w:jc w:val="center"/>
              <w:rPr>
                <w:rFonts w:hint="eastAsia" w:ascii="仿宋_GB2312" w:hAnsi="仿宋_GB2312" w:eastAsia="仿宋_GB2312" w:cs="仿宋_GB2312"/>
                <w:bCs/>
                <w:snapToGrid w:val="0"/>
                <w:color w:val="auto"/>
                <w:kern w:val="0"/>
                <w:sz w:val="32"/>
                <w:szCs w:val="32"/>
              </w:rPr>
            </w:pPr>
          </w:p>
        </w:tc>
        <w:tc>
          <w:tcPr>
            <w:tcW w:w="951" w:type="dxa"/>
            <w:vMerge w:val="restart"/>
            <w:vAlign w:val="center"/>
          </w:tcPr>
          <w:p w14:paraId="3583500A">
            <w:pPr>
              <w:adjustRightInd w:val="0"/>
              <w:snapToGrid w:val="0"/>
              <w:jc w:val="center"/>
              <w:rPr>
                <w:rFonts w:hint="eastAsia" w:ascii="仿宋_GB2312" w:hAnsi="仿宋_GB2312" w:eastAsia="仿宋_GB2312" w:cs="仿宋_GB2312"/>
                <w:bCs/>
                <w:snapToGrid w:val="0"/>
                <w:color w:val="auto"/>
                <w:kern w:val="0"/>
                <w:sz w:val="32"/>
                <w:szCs w:val="32"/>
              </w:rPr>
            </w:pPr>
          </w:p>
        </w:tc>
        <w:tc>
          <w:tcPr>
            <w:tcW w:w="951" w:type="dxa"/>
            <w:vAlign w:val="center"/>
          </w:tcPr>
          <w:p w14:paraId="04991B8B">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2.19设备设施检维修管理</w:t>
            </w:r>
          </w:p>
        </w:tc>
        <w:tc>
          <w:tcPr>
            <w:tcW w:w="3899" w:type="dxa"/>
            <w:vAlign w:val="center"/>
          </w:tcPr>
          <w:p w14:paraId="3B1ED809">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第三十六条</w:t>
            </w:r>
            <w:r>
              <w:rPr>
                <w:rFonts w:hint="eastAsia" w:ascii="仿宋_GB2312" w:hAnsi="仿宋_GB2312" w:eastAsia="仿宋_GB2312" w:cs="仿宋_GB2312"/>
                <w:b/>
                <w:bCs/>
                <w:color w:val="auto"/>
                <w:kern w:val="0"/>
                <w:sz w:val="32"/>
                <w:szCs w:val="32"/>
              </w:rPr>
              <w:t>第二款</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生产经营单位必须对安全设备进行经常性维护、保养，并定期检测，保证正常运转。维护、保养、检测应当作好记录，并由有关人员签字。</w:t>
            </w:r>
          </w:p>
          <w:p w14:paraId="0B847DEB">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《烟花爆竹生产经营安全规定》</w:t>
            </w:r>
            <w:r>
              <w:rPr>
                <w:rFonts w:hint="eastAsia" w:ascii="仿宋_GB2312" w:hAnsi="仿宋_GB2312" w:eastAsia="仿宋_GB2312" w:cs="仿宋_GB2312"/>
                <w:b/>
                <w:snapToGrid w:val="0"/>
                <w:color w:val="auto"/>
                <w:kern w:val="0"/>
                <w:sz w:val="32"/>
                <w:szCs w:val="32"/>
              </w:rPr>
              <w:t>第二十二条</w:t>
            </w:r>
            <w:r>
              <w:rPr>
                <w:rFonts w:hint="eastAsia" w:ascii="仿宋_GB2312" w:hAnsi="仿宋_GB2312" w:eastAsia="仿宋_GB2312" w:cs="仿宋_GB2312"/>
                <w:bCs/>
                <w:snapToGrid w:val="0"/>
                <w:color w:val="auto"/>
                <w:kern w:val="0"/>
                <w:sz w:val="32"/>
                <w:szCs w:val="32"/>
              </w:rPr>
              <w:t>生产企业、批发企业应当定期检查工（库）房、安全设施、电气线路、机械设备等的运行状况和作业环境，及时维护保养；对有药物粉尘的工房，应当按照操作规程及时清理冲洗。</w:t>
            </w:r>
          </w:p>
          <w:p w14:paraId="2ACB267A">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3899" w:type="dxa"/>
            <w:vAlign w:val="center"/>
          </w:tcPr>
          <w:p w14:paraId="03A5CE62">
            <w:pPr>
              <w:adjustRightInd w:val="0"/>
              <w:snapToGrid w:val="0"/>
              <w:rPr>
                <w:rFonts w:hint="eastAsia" w:ascii="仿宋_GB2312" w:hAnsi="仿宋_GB2312" w:eastAsia="仿宋_GB2312" w:cs="仿宋_GB2312"/>
                <w:bCs/>
                <w:snapToGrid w:val="0"/>
                <w:color w:val="auto"/>
                <w:kern w:val="0"/>
                <w:sz w:val="32"/>
                <w:szCs w:val="32"/>
              </w:rPr>
            </w:pPr>
          </w:p>
          <w:p w14:paraId="22B6D80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70638E4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7E509F2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（3）安全设施、电气线路、机械设备等维护、保养制度；</w:t>
            </w:r>
          </w:p>
          <w:p w14:paraId="32A9DC9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（4）安全设施、电气线路、机械设备等维护、保养记录；</w:t>
            </w:r>
          </w:p>
          <w:p w14:paraId="6B74BD6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（5）检维修安全作业方案；</w:t>
            </w:r>
          </w:p>
          <w:p w14:paraId="2485457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（6）监控设施运行记录；</w:t>
            </w:r>
          </w:p>
          <w:p w14:paraId="09789B1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（7）现场照片及影像资料；</w:t>
            </w:r>
          </w:p>
          <w:p w14:paraId="6D13DC5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（8）企业相关人员任职文件、身份证明及其询问笔录；</w:t>
            </w:r>
          </w:p>
          <w:p w14:paraId="47CA766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（9）其他相关证据。</w:t>
            </w:r>
          </w:p>
        </w:tc>
        <w:tc>
          <w:tcPr>
            <w:tcW w:w="3899" w:type="dxa"/>
            <w:vAlign w:val="center"/>
          </w:tcPr>
          <w:p w14:paraId="70726F25">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第九十九条第三项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19BF357">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（三）未对安全设备进行经常性维护、保养和定期检测的；</w:t>
            </w:r>
          </w:p>
          <w:p w14:paraId="751AA57F">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《烟花爆竹生产经营安全规定》</w:t>
            </w:r>
            <w:r>
              <w:rPr>
                <w:rFonts w:hint="eastAsia" w:ascii="仿宋_GB2312" w:hAnsi="仿宋_GB2312" w:eastAsia="仿宋_GB2312" w:cs="仿宋_GB2312"/>
                <w:b/>
                <w:snapToGrid w:val="0"/>
                <w:color w:val="auto"/>
                <w:kern w:val="0"/>
                <w:sz w:val="32"/>
                <w:szCs w:val="32"/>
              </w:rPr>
              <w:t>第三十四条</w:t>
            </w:r>
            <w:r>
              <w:rPr>
                <w:rFonts w:hint="eastAsia" w:ascii="仿宋_GB2312" w:hAnsi="仿宋_GB2312" w:eastAsia="仿宋_GB2312" w:cs="仿宋_GB2312"/>
                <w:bCs/>
                <w:snapToGrid w:val="0"/>
                <w:color w:val="auto"/>
                <w:kern w:val="0"/>
                <w:sz w:val="32"/>
                <w:szCs w:val="32"/>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14:paraId="116AD88B">
            <w:pPr>
              <w:widowControl/>
              <w:adjustRightInd w:val="0"/>
              <w:snapToGrid w:val="0"/>
              <w:ind w:firstLine="640" w:firstLineChars="20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（三）在生产区、工（库）房等有药区域对安全设备进行检测、改造作业时，未将工（库）房内的药物、有药半成品、成品搬走并清理作业现场的。</w:t>
            </w:r>
          </w:p>
          <w:p w14:paraId="1F8A3767">
            <w:pPr>
              <w:widowControl/>
              <w:adjustRightInd w:val="0"/>
              <w:snapToGrid w:val="0"/>
              <w:ind w:firstLine="643" w:firstLineChars="20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《烟花爆竹生产经营安全规定》</w:t>
            </w:r>
            <w:r>
              <w:rPr>
                <w:rFonts w:hint="eastAsia" w:ascii="仿宋_GB2312" w:hAnsi="仿宋_GB2312" w:eastAsia="仿宋_GB2312" w:cs="仿宋_GB2312"/>
                <w:b/>
                <w:snapToGrid w:val="0"/>
                <w:color w:val="auto"/>
                <w:kern w:val="0"/>
                <w:sz w:val="32"/>
                <w:szCs w:val="32"/>
              </w:rPr>
              <w:t>第三十七条</w:t>
            </w:r>
            <w:r>
              <w:rPr>
                <w:rFonts w:hint="eastAsia" w:ascii="仿宋_GB2312" w:hAnsi="仿宋_GB2312" w:eastAsia="仿宋_GB2312" w:cs="仿宋_GB2312"/>
                <w:bCs/>
                <w:snapToGrid w:val="0"/>
                <w:color w:val="auto"/>
                <w:kern w:val="0"/>
                <w:sz w:val="32"/>
                <w:szCs w:val="32"/>
              </w:rPr>
              <w:t>生产经营单位有下列行为之一的，责令改正；拒不改正的，处一万元以上三万元以下的罚款，对其直接负责的主管人员和其他直接责任人员处五千元以上一万元以下的罚款：</w:t>
            </w:r>
          </w:p>
          <w:p w14:paraId="16E362C7">
            <w:pPr>
              <w:widowControl/>
              <w:adjustRightInd w:val="0"/>
              <w:snapToGrid w:val="0"/>
              <w:ind w:firstLine="640" w:firstLineChars="20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（一）对工（库）房、安全设施、电气线路、机械设备等进行检测、检修、维修、改造作业前，未制定安全作业方案，或者未切断被检修、维修的电气线路和机械设备电源的；……</w:t>
            </w:r>
          </w:p>
        </w:tc>
        <w:tc>
          <w:tcPr>
            <w:tcW w:w="951" w:type="dxa"/>
            <w:vAlign w:val="center"/>
          </w:tcPr>
          <w:p w14:paraId="461AFCE0">
            <w:pPr>
              <w:jc w:val="center"/>
              <w:rPr>
                <w:rFonts w:hint="eastAsia" w:ascii="仿宋_GB2312" w:hAnsi="仿宋_GB2312" w:eastAsia="仿宋_GB2312" w:cs="仿宋_GB2312"/>
                <w:bCs/>
                <w:snapToGrid w:val="0"/>
                <w:color w:val="auto"/>
                <w:kern w:val="0"/>
                <w:sz w:val="32"/>
                <w:szCs w:val="32"/>
              </w:rPr>
            </w:pPr>
          </w:p>
        </w:tc>
      </w:tr>
      <w:tr w14:paraId="57A9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617" w:type="dxa"/>
            <w:vMerge w:val="continue"/>
            <w:vAlign w:val="center"/>
          </w:tcPr>
          <w:p w14:paraId="6F7AAEF2">
            <w:pPr>
              <w:jc w:val="center"/>
              <w:rPr>
                <w:rFonts w:hint="eastAsia" w:ascii="仿宋_GB2312" w:hAnsi="仿宋_GB2312" w:eastAsia="仿宋_GB2312" w:cs="仿宋_GB2312"/>
                <w:bCs/>
                <w:snapToGrid w:val="0"/>
                <w:color w:val="auto"/>
                <w:kern w:val="0"/>
                <w:sz w:val="32"/>
                <w:szCs w:val="32"/>
              </w:rPr>
            </w:pPr>
          </w:p>
        </w:tc>
        <w:tc>
          <w:tcPr>
            <w:tcW w:w="951" w:type="dxa"/>
            <w:vMerge w:val="continue"/>
            <w:vAlign w:val="center"/>
          </w:tcPr>
          <w:p w14:paraId="21823A71">
            <w:pPr>
              <w:adjustRightInd w:val="0"/>
              <w:snapToGrid w:val="0"/>
              <w:jc w:val="center"/>
              <w:rPr>
                <w:rFonts w:hint="eastAsia" w:ascii="仿宋_GB2312" w:hAnsi="仿宋_GB2312" w:eastAsia="仿宋_GB2312" w:cs="仿宋_GB2312"/>
                <w:bCs/>
                <w:snapToGrid w:val="0"/>
                <w:color w:val="auto"/>
                <w:kern w:val="0"/>
                <w:sz w:val="32"/>
                <w:szCs w:val="32"/>
              </w:rPr>
            </w:pPr>
          </w:p>
        </w:tc>
        <w:tc>
          <w:tcPr>
            <w:tcW w:w="951" w:type="dxa"/>
            <w:vAlign w:val="center"/>
          </w:tcPr>
          <w:p w14:paraId="47DD4FE8">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2.20产品流向管理</w:t>
            </w:r>
          </w:p>
        </w:tc>
        <w:tc>
          <w:tcPr>
            <w:tcW w:w="3899" w:type="dxa"/>
            <w:vAlign w:val="center"/>
          </w:tcPr>
          <w:p w14:paraId="5071A7FB">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《烟花爆竹生产经营安全规定》第二十三条</w:t>
            </w:r>
            <w:r>
              <w:rPr>
                <w:rFonts w:hint="eastAsia" w:ascii="仿宋_GB2312" w:hAnsi="仿宋_GB2312" w:eastAsia="仿宋_GB2312" w:cs="仿宋_GB2312"/>
                <w:bCs/>
                <w:snapToGrid w:val="0"/>
                <w:color w:val="auto"/>
                <w:kern w:val="0"/>
                <w:sz w:val="32"/>
                <w:szCs w:val="32"/>
              </w:rPr>
              <w:t>生产企业、批发企业在烟花爆竹购销活动中，应当依法签订规范的烟花爆竹买卖合同，建立烟花爆竹买卖合同和流向管理制度，使用全国统一的烟花爆竹流向管理信息系统，如实登记烟花爆竹流向。</w:t>
            </w:r>
          </w:p>
          <w:p w14:paraId="713C4209">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生产企业应当在专业燃放类产品包装（包括运输包装和销售包装）及个人燃放类产品运输包装上张贴流向登记标签，并在产品入库和销售出库时登记录入。</w:t>
            </w:r>
          </w:p>
          <w:p w14:paraId="1BECFED4">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w:t>
            </w:r>
          </w:p>
        </w:tc>
        <w:tc>
          <w:tcPr>
            <w:tcW w:w="3899" w:type="dxa"/>
            <w:vAlign w:val="center"/>
          </w:tcPr>
          <w:p w14:paraId="7CFCB3E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22D4B84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7DBEEC7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（3）烟花爆竹买卖合同；</w:t>
            </w:r>
          </w:p>
          <w:p w14:paraId="237E3A5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（4）烟花爆竹流向管理制度；</w:t>
            </w:r>
          </w:p>
          <w:p w14:paraId="7ADB9A7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（5）烟花爆竹进出库登记台账；</w:t>
            </w:r>
          </w:p>
          <w:p w14:paraId="5555FD7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（6）烟花爆竹流向管理信息系统查询登记情况；</w:t>
            </w:r>
          </w:p>
          <w:p w14:paraId="7D7EAE0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（7）企业相关人员任职文件、身份证明及其询问笔录；</w:t>
            </w:r>
          </w:p>
          <w:p w14:paraId="1EE2428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（8）其他相关证据。</w:t>
            </w:r>
          </w:p>
        </w:tc>
        <w:tc>
          <w:tcPr>
            <w:tcW w:w="3899" w:type="dxa"/>
            <w:vAlign w:val="center"/>
          </w:tcPr>
          <w:p w14:paraId="40DFD3C7">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《烟花爆竹生产经营安全规定》第三十五条</w:t>
            </w:r>
            <w:r>
              <w:rPr>
                <w:rFonts w:hint="eastAsia" w:ascii="仿宋_GB2312" w:hAnsi="仿宋_GB2312" w:eastAsia="仿宋_GB2312" w:cs="仿宋_GB2312"/>
                <w:bCs/>
                <w:snapToGrid w:val="0"/>
                <w:color w:val="auto"/>
                <w:kern w:val="0"/>
                <w:sz w:val="32"/>
                <w:szCs w:val="32"/>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14:paraId="6956AF40">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（三）未建立烟花爆竹买卖合同管理制度的；</w:t>
            </w:r>
          </w:p>
          <w:p w14:paraId="2390A312">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（四）未按规定建立烟花爆竹流向管理制度的。</w:t>
            </w:r>
          </w:p>
        </w:tc>
        <w:tc>
          <w:tcPr>
            <w:tcW w:w="951" w:type="dxa"/>
            <w:vAlign w:val="center"/>
          </w:tcPr>
          <w:p w14:paraId="2253483D">
            <w:pPr>
              <w:jc w:val="center"/>
              <w:rPr>
                <w:rFonts w:hint="eastAsia" w:ascii="仿宋_GB2312" w:hAnsi="仿宋_GB2312" w:eastAsia="仿宋_GB2312" w:cs="仿宋_GB2312"/>
                <w:bCs/>
                <w:snapToGrid w:val="0"/>
                <w:color w:val="auto"/>
                <w:kern w:val="0"/>
                <w:sz w:val="32"/>
                <w:szCs w:val="32"/>
              </w:rPr>
            </w:pPr>
          </w:p>
        </w:tc>
      </w:tr>
      <w:tr w14:paraId="3D40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17" w:type="dxa"/>
            <w:vMerge w:val="continue"/>
            <w:vAlign w:val="center"/>
          </w:tcPr>
          <w:p w14:paraId="0CFAE8A1">
            <w:pPr>
              <w:jc w:val="center"/>
              <w:rPr>
                <w:rFonts w:hint="eastAsia" w:ascii="仿宋_GB2312" w:hAnsi="仿宋_GB2312" w:eastAsia="仿宋_GB2312" w:cs="仿宋_GB2312"/>
                <w:bCs/>
                <w:snapToGrid w:val="0"/>
                <w:color w:val="auto"/>
                <w:kern w:val="0"/>
                <w:sz w:val="32"/>
                <w:szCs w:val="32"/>
              </w:rPr>
            </w:pPr>
          </w:p>
        </w:tc>
        <w:tc>
          <w:tcPr>
            <w:tcW w:w="951" w:type="dxa"/>
            <w:vMerge w:val="continue"/>
            <w:vAlign w:val="center"/>
          </w:tcPr>
          <w:p w14:paraId="71571258">
            <w:pPr>
              <w:adjustRightInd w:val="0"/>
              <w:snapToGrid w:val="0"/>
              <w:jc w:val="center"/>
              <w:rPr>
                <w:rFonts w:hint="eastAsia" w:ascii="仿宋_GB2312" w:hAnsi="仿宋_GB2312" w:eastAsia="仿宋_GB2312" w:cs="仿宋_GB2312"/>
                <w:bCs/>
                <w:snapToGrid w:val="0"/>
                <w:color w:val="auto"/>
                <w:kern w:val="0"/>
                <w:sz w:val="32"/>
                <w:szCs w:val="32"/>
              </w:rPr>
            </w:pPr>
          </w:p>
        </w:tc>
        <w:tc>
          <w:tcPr>
            <w:tcW w:w="951" w:type="dxa"/>
            <w:vAlign w:val="center"/>
          </w:tcPr>
          <w:p w14:paraId="5E013600">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2.21运输车辆、工具管理</w:t>
            </w:r>
          </w:p>
        </w:tc>
        <w:tc>
          <w:tcPr>
            <w:tcW w:w="3899" w:type="dxa"/>
            <w:vAlign w:val="center"/>
          </w:tcPr>
          <w:p w14:paraId="0926FEFE">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《烟花爆竹生产经营安全规定》第二十五条第一款</w:t>
            </w:r>
            <w:r>
              <w:rPr>
                <w:rFonts w:hint="eastAsia" w:ascii="仿宋_GB2312" w:hAnsi="仿宋_GB2312" w:eastAsia="仿宋_GB2312" w:cs="仿宋_GB2312"/>
                <w:bCs/>
                <w:snapToGrid w:val="0"/>
                <w:color w:val="auto"/>
                <w:kern w:val="0"/>
                <w:sz w:val="32"/>
                <w:szCs w:val="32"/>
              </w:rPr>
              <w:t>在生产企业、批发企业内部及生产区、库区之间运输烟花爆竹成品、半成品及原材料时，应当使用符合国家标准或者行业标准规定安全条件的车辆、工具。企业内部运输应当严格按照规定路线、速度行驶。</w:t>
            </w:r>
          </w:p>
          <w:p w14:paraId="4FB8D7EE">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（常用标准见《烟花爆竹作业安全技术规程》GB11652）</w:t>
            </w:r>
          </w:p>
        </w:tc>
        <w:tc>
          <w:tcPr>
            <w:tcW w:w="3899" w:type="dxa"/>
            <w:vAlign w:val="center"/>
          </w:tcPr>
          <w:p w14:paraId="770D6C4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425485F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4B0F319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（3）运输车辆管理制度；</w:t>
            </w:r>
          </w:p>
          <w:p w14:paraId="52783D8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（4）现场照片及影像资料；</w:t>
            </w:r>
          </w:p>
          <w:p w14:paraId="3A7F853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（5）监控设施运行记录；</w:t>
            </w:r>
          </w:p>
          <w:p w14:paraId="351E0C1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（6）企业相关人员任职文件、身份证明及其询问笔录；</w:t>
            </w:r>
          </w:p>
          <w:p w14:paraId="69E2F14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（7）其他相关证据。</w:t>
            </w:r>
          </w:p>
        </w:tc>
        <w:tc>
          <w:tcPr>
            <w:tcW w:w="3899" w:type="dxa"/>
            <w:vAlign w:val="center"/>
          </w:tcPr>
          <w:p w14:paraId="3E8EBC62">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《烟花爆竹生产经营安全规定》第三十八条</w:t>
            </w:r>
            <w:r>
              <w:rPr>
                <w:rFonts w:hint="eastAsia" w:ascii="仿宋_GB2312" w:hAnsi="仿宋_GB2312" w:eastAsia="仿宋_GB2312" w:cs="仿宋_GB2312"/>
                <w:bCs/>
                <w:snapToGrid w:val="0"/>
                <w:color w:val="auto"/>
                <w:kern w:val="0"/>
                <w:sz w:val="32"/>
                <w:szCs w:val="32"/>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33D402AB">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（六）企业内部及生产区、库区之间运输烟花爆竹成品、半成品及原材料的车辆、工具不符合国家标准或者行业标准规定安全条件的；……</w:t>
            </w:r>
          </w:p>
        </w:tc>
        <w:tc>
          <w:tcPr>
            <w:tcW w:w="951" w:type="dxa"/>
            <w:vAlign w:val="center"/>
          </w:tcPr>
          <w:p w14:paraId="4D8A0F28">
            <w:pPr>
              <w:jc w:val="center"/>
              <w:rPr>
                <w:rFonts w:hint="eastAsia" w:ascii="仿宋_GB2312" w:hAnsi="仿宋_GB2312" w:eastAsia="仿宋_GB2312" w:cs="仿宋_GB2312"/>
                <w:bCs/>
                <w:snapToGrid w:val="0"/>
                <w:color w:val="auto"/>
                <w:kern w:val="0"/>
                <w:sz w:val="32"/>
                <w:szCs w:val="32"/>
              </w:rPr>
            </w:pPr>
          </w:p>
        </w:tc>
      </w:tr>
      <w:tr w14:paraId="1734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17" w:type="dxa"/>
            <w:vMerge w:val="continue"/>
            <w:vAlign w:val="center"/>
          </w:tcPr>
          <w:p w14:paraId="36A9518D">
            <w:pPr>
              <w:jc w:val="center"/>
              <w:rPr>
                <w:rFonts w:hint="eastAsia" w:ascii="仿宋_GB2312" w:hAnsi="仿宋_GB2312" w:eastAsia="仿宋_GB2312" w:cs="仿宋_GB2312"/>
                <w:bCs/>
                <w:snapToGrid w:val="0"/>
                <w:color w:val="auto"/>
                <w:kern w:val="0"/>
                <w:sz w:val="32"/>
                <w:szCs w:val="32"/>
              </w:rPr>
            </w:pPr>
          </w:p>
        </w:tc>
        <w:tc>
          <w:tcPr>
            <w:tcW w:w="951" w:type="dxa"/>
            <w:vMerge w:val="continue"/>
            <w:vAlign w:val="center"/>
          </w:tcPr>
          <w:p w14:paraId="461A542E">
            <w:pPr>
              <w:adjustRightInd w:val="0"/>
              <w:snapToGrid w:val="0"/>
              <w:jc w:val="center"/>
              <w:rPr>
                <w:rFonts w:hint="eastAsia" w:ascii="仿宋_GB2312" w:hAnsi="仿宋_GB2312" w:eastAsia="仿宋_GB2312" w:cs="仿宋_GB2312"/>
                <w:bCs/>
                <w:snapToGrid w:val="0"/>
                <w:color w:val="auto"/>
                <w:kern w:val="0"/>
                <w:sz w:val="32"/>
                <w:szCs w:val="32"/>
              </w:rPr>
            </w:pPr>
          </w:p>
        </w:tc>
        <w:tc>
          <w:tcPr>
            <w:tcW w:w="951" w:type="dxa"/>
            <w:vAlign w:val="center"/>
          </w:tcPr>
          <w:p w14:paraId="0BCE35E8">
            <w:pPr>
              <w:adjustRightInd w:val="0"/>
              <w:snapToGrid w:val="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2.22危险废弃物处置</w:t>
            </w:r>
          </w:p>
        </w:tc>
        <w:tc>
          <w:tcPr>
            <w:tcW w:w="3899" w:type="dxa"/>
            <w:vAlign w:val="center"/>
          </w:tcPr>
          <w:p w14:paraId="1A455D5C">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《烟花爆竹生产经营安全规定》第二十六条</w:t>
            </w:r>
            <w:r>
              <w:rPr>
                <w:rFonts w:hint="eastAsia" w:ascii="仿宋_GB2312" w:hAnsi="仿宋_GB2312" w:eastAsia="仿宋_GB2312" w:cs="仿宋_GB2312"/>
                <w:bCs/>
                <w:snapToGrid w:val="0"/>
                <w:color w:val="auto"/>
                <w:kern w:val="0"/>
                <w:sz w:val="32"/>
                <w:szCs w:val="32"/>
              </w:rPr>
              <w:t>生产企业、批发企业应当及时妥善处置生产经营过程中产生的各类危险性废弃物。不得留存过期的烟花爆竹成品、半成品、原材料及各类危险性废弃物。</w:t>
            </w:r>
          </w:p>
          <w:p w14:paraId="0FB47563">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《烟花爆竹作业安全技术规程》</w:t>
            </w:r>
            <w:r>
              <w:rPr>
                <w:rFonts w:hint="eastAsia" w:ascii="仿宋_GB2312" w:hAnsi="仿宋_GB2312" w:eastAsia="仿宋_GB2312" w:cs="仿宋_GB2312"/>
                <w:bCs/>
                <w:snapToGrid w:val="0"/>
                <w:color w:val="auto"/>
                <w:kern w:val="0"/>
                <w:sz w:val="32"/>
                <w:szCs w:val="32"/>
              </w:rPr>
              <w:t>GB11652第13条</w:t>
            </w:r>
          </w:p>
        </w:tc>
        <w:tc>
          <w:tcPr>
            <w:tcW w:w="3899" w:type="dxa"/>
            <w:vAlign w:val="center"/>
          </w:tcPr>
          <w:p w14:paraId="3F8E8C4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138A82A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1F56AC1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（3）烟花爆竹危险性废弃物销毁处置制度；</w:t>
            </w:r>
          </w:p>
          <w:p w14:paraId="4F1CD9F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（4）烟花爆竹危险性废弃物销毁处置方案；</w:t>
            </w:r>
          </w:p>
          <w:p w14:paraId="3E99BE8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（5）现场照片及影像资料；</w:t>
            </w:r>
          </w:p>
          <w:p w14:paraId="4D8EBAF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（6）企业相关人员任职文件、身份证明及其询问笔录；</w:t>
            </w:r>
          </w:p>
          <w:p w14:paraId="12D2E49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（7）其他相关证据。</w:t>
            </w:r>
          </w:p>
        </w:tc>
        <w:tc>
          <w:tcPr>
            <w:tcW w:w="3899" w:type="dxa"/>
            <w:vAlign w:val="center"/>
          </w:tcPr>
          <w:p w14:paraId="6BA9E1B0">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《烟花爆竹生产经营安全规定》第三十八条</w:t>
            </w:r>
            <w:r>
              <w:rPr>
                <w:rFonts w:hint="eastAsia" w:ascii="仿宋_GB2312" w:hAnsi="仿宋_GB2312" w:eastAsia="仿宋_GB2312" w:cs="仿宋_GB2312"/>
                <w:bCs/>
                <w:snapToGrid w:val="0"/>
                <w:color w:val="auto"/>
                <w:kern w:val="0"/>
                <w:sz w:val="32"/>
                <w:szCs w:val="32"/>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0E2BE51A">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（五）留存过期及废弃的烟花爆竹成品、半成品、原材料等危险废弃物的；……</w:t>
            </w:r>
          </w:p>
        </w:tc>
        <w:tc>
          <w:tcPr>
            <w:tcW w:w="951" w:type="dxa"/>
            <w:vAlign w:val="center"/>
          </w:tcPr>
          <w:p w14:paraId="697DEE1F">
            <w:pPr>
              <w:jc w:val="center"/>
              <w:rPr>
                <w:rFonts w:hint="eastAsia" w:ascii="仿宋_GB2312" w:hAnsi="仿宋_GB2312" w:eastAsia="仿宋_GB2312" w:cs="仿宋_GB2312"/>
                <w:bCs/>
                <w:snapToGrid w:val="0"/>
                <w:color w:val="auto"/>
                <w:kern w:val="0"/>
                <w:sz w:val="32"/>
                <w:szCs w:val="32"/>
              </w:rPr>
            </w:pPr>
          </w:p>
        </w:tc>
      </w:tr>
      <w:tr w14:paraId="367B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5167" w:type="dxa"/>
            <w:gridSpan w:val="7"/>
            <w:vAlign w:val="center"/>
          </w:tcPr>
          <w:p w14:paraId="69020767">
            <w:pPr>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说明：1、根据本清单提供的证照及资料有原件的，应核实原件后留存复印件；无原件的提供复印件。所有复印件资料均应加盖企业公章。</w:t>
            </w:r>
          </w:p>
          <w:p w14:paraId="5BFC802C">
            <w:pPr>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证照及资料有正副本的，均核验留存复印件。</w:t>
            </w:r>
          </w:p>
          <w:p w14:paraId="3F815753">
            <w:pPr>
              <w:ind w:firstLine="960" w:firstLineChars="300"/>
              <w:jc w:val="left"/>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2、其他相关证据：能够证明企业违法违规行为的其他相关资料。</w:t>
            </w:r>
          </w:p>
        </w:tc>
      </w:tr>
    </w:tbl>
    <w:p w14:paraId="631DA604">
      <w:pPr>
        <w:pStyle w:val="3"/>
        <w:spacing w:line="240" w:lineRule="auto"/>
        <w:jc w:val="center"/>
        <w:rPr>
          <w:rFonts w:hint="eastAsia" w:ascii="仿宋_GB2312" w:hAnsi="仿宋_GB2312" w:eastAsia="仿宋_GB2312" w:cs="仿宋_GB2312"/>
          <w:color w:val="auto"/>
          <w:sz w:val="32"/>
          <w:szCs w:val="32"/>
        </w:rPr>
        <w:sectPr>
          <w:footerReference r:id="rId3" w:type="default"/>
          <w:pgSz w:w="16838" w:h="11906" w:orient="landscape"/>
          <w:pgMar w:top="1134" w:right="680" w:bottom="1134" w:left="680" w:header="851" w:footer="992" w:gutter="0"/>
          <w:pgNumType w:fmt="numberInDash" w:start="1"/>
          <w:cols w:space="425" w:num="1"/>
          <w:docGrid w:type="lines" w:linePitch="312" w:charSpace="0"/>
        </w:sectPr>
      </w:pPr>
    </w:p>
    <w:p w14:paraId="6B3AEE61">
      <w:pPr>
        <w:pStyle w:val="3"/>
        <w:spacing w:line="240" w:lineRule="auto"/>
        <w:jc w:val="center"/>
        <w:rPr>
          <w:rFonts w:hint="eastAsia" w:ascii="仿宋_GB2312" w:hAnsi="仿宋_GB2312" w:eastAsia="仿宋_GB2312" w:cs="仿宋_GB2312"/>
          <w:color w:val="auto"/>
          <w:sz w:val="32"/>
          <w:szCs w:val="32"/>
        </w:rPr>
      </w:pPr>
      <w:bookmarkStart w:id="16" w:name="_Toc8623"/>
      <w:r>
        <w:rPr>
          <w:rFonts w:hint="eastAsia" w:ascii="仿宋_GB2312" w:hAnsi="仿宋_GB2312" w:eastAsia="仿宋_GB2312" w:cs="仿宋_GB2312"/>
          <w:color w:val="auto"/>
          <w:sz w:val="32"/>
          <w:szCs w:val="32"/>
        </w:rPr>
        <w:t>烟花爆竹经营企业检查清单</w:t>
      </w:r>
      <w:bookmarkEnd w:id="16"/>
    </w:p>
    <w:tbl>
      <w:tblPr>
        <w:tblStyle w:val="8"/>
        <w:tblW w:w="15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950"/>
        <w:gridCol w:w="951"/>
        <w:gridCol w:w="3900"/>
        <w:gridCol w:w="3900"/>
        <w:gridCol w:w="3900"/>
        <w:gridCol w:w="951"/>
      </w:tblGrid>
      <w:tr w14:paraId="2B3A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blHeader/>
          <w:jc w:val="center"/>
        </w:trPr>
        <w:tc>
          <w:tcPr>
            <w:tcW w:w="616" w:type="dxa"/>
            <w:vAlign w:val="center"/>
          </w:tcPr>
          <w:p w14:paraId="12734798">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序号</w:t>
            </w:r>
          </w:p>
        </w:tc>
        <w:tc>
          <w:tcPr>
            <w:tcW w:w="950" w:type="dxa"/>
            <w:vAlign w:val="center"/>
          </w:tcPr>
          <w:p w14:paraId="4D6456FE">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检查事项</w:t>
            </w:r>
          </w:p>
        </w:tc>
        <w:tc>
          <w:tcPr>
            <w:tcW w:w="951" w:type="dxa"/>
            <w:vAlign w:val="center"/>
          </w:tcPr>
          <w:p w14:paraId="3C027754">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检查内容</w:t>
            </w:r>
          </w:p>
        </w:tc>
        <w:tc>
          <w:tcPr>
            <w:tcW w:w="3900" w:type="dxa"/>
            <w:vAlign w:val="center"/>
          </w:tcPr>
          <w:p w14:paraId="4B3F5BB8">
            <w:pPr>
              <w:ind w:firstLine="643" w:firstLineChars="20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检查依据</w:t>
            </w:r>
          </w:p>
        </w:tc>
        <w:tc>
          <w:tcPr>
            <w:tcW w:w="3900" w:type="dxa"/>
            <w:vAlign w:val="center"/>
          </w:tcPr>
          <w:p w14:paraId="29821C7F">
            <w:pPr>
              <w:ind w:firstLine="643" w:firstLineChars="20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主要证据</w:t>
            </w:r>
          </w:p>
        </w:tc>
        <w:tc>
          <w:tcPr>
            <w:tcW w:w="3900" w:type="dxa"/>
            <w:vAlign w:val="center"/>
          </w:tcPr>
          <w:p w14:paraId="5B5E4E83">
            <w:pPr>
              <w:ind w:firstLine="643" w:firstLineChars="20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法律责任</w:t>
            </w:r>
          </w:p>
        </w:tc>
        <w:tc>
          <w:tcPr>
            <w:tcW w:w="951" w:type="dxa"/>
            <w:vAlign w:val="center"/>
          </w:tcPr>
          <w:p w14:paraId="40CD5F3E">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检查结果</w:t>
            </w:r>
          </w:p>
        </w:tc>
      </w:tr>
      <w:tr w14:paraId="5CE6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dxa"/>
            <w:vMerge w:val="restart"/>
            <w:vAlign w:val="center"/>
          </w:tcPr>
          <w:p w14:paraId="2EC5B62C">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p>
        </w:tc>
        <w:tc>
          <w:tcPr>
            <w:tcW w:w="950" w:type="dxa"/>
            <w:vMerge w:val="restart"/>
            <w:vAlign w:val="center"/>
          </w:tcPr>
          <w:p w14:paraId="71D50EFC">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烟花爆竹经营许可情况</w:t>
            </w:r>
          </w:p>
        </w:tc>
        <w:tc>
          <w:tcPr>
            <w:tcW w:w="951" w:type="dxa"/>
            <w:vAlign w:val="center"/>
          </w:tcPr>
          <w:p w14:paraId="1DBA8C22">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1.1取得许可证经营</w:t>
            </w:r>
          </w:p>
        </w:tc>
        <w:tc>
          <w:tcPr>
            <w:tcW w:w="3900" w:type="dxa"/>
            <w:vAlign w:val="center"/>
          </w:tcPr>
          <w:p w14:paraId="2EF0AE1E">
            <w:pPr>
              <w:widowControl/>
              <w:shd w:val="clear" w:color="auto" w:fill="FFFFFF"/>
              <w:ind w:firstLine="321" w:firstLineChars="1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第二十条</w:t>
            </w:r>
            <w:r>
              <w:rPr>
                <w:rFonts w:hint="eastAsia" w:ascii="仿宋_GB2312" w:hAnsi="仿宋_GB2312" w:eastAsia="仿宋_GB2312" w:cs="仿宋_GB2312"/>
                <w:bCs/>
                <w:snapToGrid w:val="0"/>
                <w:color w:val="auto"/>
                <w:kern w:val="0"/>
                <w:sz w:val="32"/>
                <w:szCs w:val="32"/>
              </w:rPr>
              <w:t>生产经营单位应当具备本法和有关法律、行政法规和国家标准或者行业标准规定的安全生产条件；不具备安全生产条件的，不得从事生产经营活动。</w:t>
            </w:r>
          </w:p>
          <w:p w14:paraId="5641303C">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《烟花爆竹安全管理条例》</w:t>
            </w:r>
            <w:r>
              <w:rPr>
                <w:rFonts w:hint="eastAsia" w:ascii="仿宋_GB2312" w:hAnsi="仿宋_GB2312" w:eastAsia="仿宋_GB2312" w:cs="仿宋_GB2312"/>
                <w:b/>
                <w:snapToGrid w:val="0"/>
                <w:color w:val="auto"/>
                <w:kern w:val="0"/>
                <w:sz w:val="32"/>
                <w:szCs w:val="32"/>
              </w:rPr>
              <w:t>第三条</w:t>
            </w:r>
            <w:r>
              <w:rPr>
                <w:rFonts w:hint="eastAsia" w:ascii="仿宋_GB2312" w:hAnsi="仿宋_GB2312" w:eastAsia="仿宋_GB2312" w:cs="仿宋_GB2312"/>
                <w:bCs/>
                <w:snapToGrid w:val="0"/>
                <w:color w:val="auto"/>
                <w:kern w:val="0"/>
                <w:sz w:val="32"/>
                <w:szCs w:val="32"/>
              </w:rPr>
              <w:t>国家对烟花爆竹的生产、经营、运输和举办焰火晚会以及其他大型焰火燃放活动，实行许可证制度。</w:t>
            </w:r>
          </w:p>
          <w:p w14:paraId="040F0ABA">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未经许可，任何单位或者个人不得生产、经营、运输烟花爆竹，不得举办焰火晚会以及其他大型焰火燃放活动。</w:t>
            </w:r>
          </w:p>
          <w:p w14:paraId="446174AA">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《烟花爆竹经营许可实施办法》</w:t>
            </w:r>
            <w:r>
              <w:rPr>
                <w:rFonts w:hint="eastAsia" w:ascii="仿宋_GB2312" w:hAnsi="仿宋_GB2312" w:eastAsia="仿宋_GB2312" w:cs="仿宋_GB2312"/>
                <w:b/>
                <w:snapToGrid w:val="0"/>
                <w:color w:val="auto"/>
                <w:kern w:val="0"/>
                <w:sz w:val="32"/>
                <w:szCs w:val="32"/>
              </w:rPr>
              <w:t>第三条</w:t>
            </w:r>
            <w:r>
              <w:rPr>
                <w:rFonts w:hint="eastAsia" w:ascii="仿宋_GB2312" w:hAnsi="仿宋_GB2312" w:eastAsia="仿宋_GB2312" w:cs="仿宋_GB2312"/>
                <w:bCs/>
                <w:snapToGrid w:val="0"/>
                <w:color w:val="auto"/>
                <w:kern w:val="0"/>
                <w:sz w:val="32"/>
                <w:szCs w:val="32"/>
              </w:rPr>
              <w:t>从事烟花爆竹批发的企业（以下简称批发企业）和从事烟花爆竹零售的经营者（以下简称零售经营者）应当按照本办法的规定，分别取得《烟花爆竹经营（批发）许可证》（以下简称批发许可证）和《烟花爆竹经营（零售）许可证》（以下简称零售许可证）。</w:t>
            </w:r>
          </w:p>
          <w:p w14:paraId="013EF392">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从事烟花爆竹进出口的企业，应当按照本办法的规定申请办理批发许可证。</w:t>
            </w:r>
          </w:p>
          <w:p w14:paraId="6646C6AE">
            <w:pPr>
              <w:adjustRightInd w:val="0"/>
              <w:snapToGrid w:val="0"/>
              <w:ind w:firstLine="640" w:firstLineChars="200"/>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Cs/>
                <w:snapToGrid w:val="0"/>
                <w:color w:val="auto"/>
                <w:kern w:val="0"/>
                <w:sz w:val="32"/>
                <w:szCs w:val="32"/>
              </w:rPr>
              <w:t>未取得烟花爆竹经营许可证的，任何单位或者个人不得从事烟花爆竹经营活动。</w:t>
            </w:r>
          </w:p>
        </w:tc>
        <w:tc>
          <w:tcPr>
            <w:tcW w:w="3900" w:type="dxa"/>
            <w:vAlign w:val="center"/>
          </w:tcPr>
          <w:p w14:paraId="15E668D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4ECB46A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（2）《现场检查记录》《责令限期整改指令书》《现场处理措施决定书》《查封扣押决定书》等相关执法文书；</w:t>
            </w:r>
          </w:p>
          <w:p w14:paraId="3324401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（3）未取得烟花爆竹经营许可证的证明材料；</w:t>
            </w:r>
          </w:p>
          <w:p w14:paraId="74063AE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（4）产品流向登记记录；</w:t>
            </w:r>
          </w:p>
          <w:p w14:paraId="03CF383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（5）出入库登记记录；</w:t>
            </w:r>
          </w:p>
          <w:p w14:paraId="7DF6F0C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（6）销售合同及相关账务资料；</w:t>
            </w:r>
          </w:p>
          <w:p w14:paraId="2F00B2E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（7）现场照片及影像资料；</w:t>
            </w:r>
          </w:p>
          <w:p w14:paraId="40D986B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（8）企业相关人员任职文件、身份证明及其询问笔录；</w:t>
            </w:r>
          </w:p>
          <w:p w14:paraId="79AAA5C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（9）其他相关证据。</w:t>
            </w:r>
          </w:p>
        </w:tc>
        <w:tc>
          <w:tcPr>
            <w:tcW w:w="3900" w:type="dxa"/>
            <w:vAlign w:val="center"/>
          </w:tcPr>
          <w:p w14:paraId="3EF122B3">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第一百条</w:t>
            </w:r>
            <w:r>
              <w:rPr>
                <w:rFonts w:hint="eastAsia" w:ascii="仿宋_GB2312" w:hAnsi="仿宋_GB2312" w:eastAsia="仿宋_GB2312" w:cs="仿宋_GB2312"/>
                <w:bCs/>
                <w:snapToGrid w:val="0"/>
                <w:color w:val="auto"/>
                <w:kern w:val="0"/>
                <w:sz w:val="32"/>
                <w:szCs w:val="32"/>
              </w:rPr>
              <w:t>未经依法批准，擅自生产、经营、运输、储存、使用危险物品或者处置废弃危险物品的，依照有关危险物品安全管理的法律、行政法规的规定予以处罚；构成犯罪的，依照刑法有关规定追究刑事责任。</w:t>
            </w:r>
          </w:p>
          <w:p w14:paraId="66C4E6BC">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《烟花爆竹安全管理条例》</w:t>
            </w:r>
            <w:r>
              <w:rPr>
                <w:rFonts w:hint="eastAsia" w:ascii="仿宋_GB2312" w:hAnsi="仿宋_GB2312" w:eastAsia="仿宋_GB2312" w:cs="仿宋_GB2312"/>
                <w:b/>
                <w:snapToGrid w:val="0"/>
                <w:color w:val="auto"/>
                <w:kern w:val="0"/>
                <w:sz w:val="32"/>
                <w:szCs w:val="32"/>
              </w:rPr>
              <w:t>第三十六条</w:t>
            </w:r>
            <w:r>
              <w:rPr>
                <w:rFonts w:hint="eastAsia" w:ascii="仿宋_GB2312" w:hAnsi="仿宋_GB2312" w:eastAsia="仿宋_GB2312" w:cs="仿宋_GB2312"/>
                <w:bCs/>
                <w:snapToGrid w:val="0"/>
                <w:color w:val="auto"/>
                <w:kern w:val="0"/>
                <w:sz w:val="32"/>
                <w:szCs w:val="32"/>
              </w:rPr>
              <w:t xml:space="preserve">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14:paraId="46742E6C">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 xml:space="preserve"> ……</w:t>
            </w:r>
          </w:p>
          <w:p w14:paraId="1A718708">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非法生产、经营、运输烟花爆竹，构成违反治安管理行为的，依法给予治安管理处罚；构成犯罪的，依法追究刑事责任。</w:t>
            </w:r>
          </w:p>
          <w:p w14:paraId="214991B3">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《烟花爆竹经营许可实施办法》</w:t>
            </w:r>
            <w:r>
              <w:rPr>
                <w:rFonts w:hint="eastAsia" w:ascii="仿宋_GB2312" w:hAnsi="仿宋_GB2312" w:eastAsia="仿宋_GB2312" w:cs="仿宋_GB2312"/>
                <w:b/>
                <w:snapToGrid w:val="0"/>
                <w:color w:val="auto"/>
                <w:kern w:val="0"/>
                <w:sz w:val="32"/>
                <w:szCs w:val="32"/>
              </w:rPr>
              <w:t>第三十一条</w:t>
            </w:r>
            <w:r>
              <w:rPr>
                <w:rFonts w:hint="eastAsia" w:ascii="仿宋_GB2312" w:hAnsi="仿宋_GB2312" w:eastAsia="仿宋_GB2312" w:cs="仿宋_GB2312"/>
                <w:bCs/>
                <w:snapToGrid w:val="0"/>
                <w:color w:val="auto"/>
                <w:kern w:val="0"/>
                <w:sz w:val="32"/>
                <w:szCs w:val="32"/>
              </w:rPr>
              <w:t>对未经许可经营、超许可范围经营、许可证过期继续经营烟花爆竹的，责令其停止非法经营活动，处2万元以上10万元以下的罚款，并没收非法经营的物品及违法所得。</w:t>
            </w:r>
          </w:p>
        </w:tc>
        <w:tc>
          <w:tcPr>
            <w:tcW w:w="951" w:type="dxa"/>
            <w:vAlign w:val="center"/>
          </w:tcPr>
          <w:p w14:paraId="51BF11E2">
            <w:pPr>
              <w:jc w:val="center"/>
              <w:rPr>
                <w:rFonts w:hint="eastAsia" w:ascii="仿宋_GB2312" w:hAnsi="仿宋_GB2312" w:eastAsia="仿宋_GB2312" w:cs="仿宋_GB2312"/>
                <w:bCs/>
                <w:color w:val="auto"/>
                <w:sz w:val="32"/>
                <w:szCs w:val="32"/>
              </w:rPr>
            </w:pPr>
          </w:p>
        </w:tc>
      </w:tr>
      <w:tr w14:paraId="79D0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16" w:type="dxa"/>
            <w:vMerge w:val="continue"/>
            <w:vAlign w:val="center"/>
          </w:tcPr>
          <w:p w14:paraId="40304095">
            <w:pPr>
              <w:jc w:val="center"/>
              <w:rPr>
                <w:rFonts w:hint="eastAsia" w:ascii="仿宋_GB2312" w:hAnsi="仿宋_GB2312" w:eastAsia="仿宋_GB2312" w:cs="仿宋_GB2312"/>
                <w:bCs/>
                <w:color w:val="auto"/>
                <w:sz w:val="32"/>
                <w:szCs w:val="32"/>
              </w:rPr>
            </w:pPr>
          </w:p>
        </w:tc>
        <w:tc>
          <w:tcPr>
            <w:tcW w:w="950" w:type="dxa"/>
            <w:vMerge w:val="continue"/>
            <w:vAlign w:val="center"/>
          </w:tcPr>
          <w:p w14:paraId="7990D01C">
            <w:pPr>
              <w:jc w:val="center"/>
              <w:rPr>
                <w:rFonts w:hint="eastAsia" w:ascii="仿宋_GB2312" w:hAnsi="仿宋_GB2312" w:eastAsia="仿宋_GB2312" w:cs="仿宋_GB2312"/>
                <w:bCs/>
                <w:color w:val="auto"/>
                <w:sz w:val="32"/>
                <w:szCs w:val="32"/>
              </w:rPr>
            </w:pPr>
          </w:p>
        </w:tc>
        <w:tc>
          <w:tcPr>
            <w:tcW w:w="951" w:type="dxa"/>
            <w:vAlign w:val="center"/>
          </w:tcPr>
          <w:p w14:paraId="4CC6096E">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1.2</w:t>
            </w:r>
            <w:r>
              <w:rPr>
                <w:rFonts w:hint="eastAsia" w:ascii="仿宋_GB2312" w:hAnsi="仿宋_GB2312" w:eastAsia="仿宋_GB2312" w:cs="仿宋_GB2312"/>
                <w:bCs/>
                <w:snapToGrid w:val="0"/>
                <w:color w:val="auto"/>
                <w:kern w:val="0"/>
                <w:sz w:val="32"/>
                <w:szCs w:val="32"/>
              </w:rPr>
              <w:t>批发</w:t>
            </w:r>
            <w:r>
              <w:rPr>
                <w:rFonts w:hint="eastAsia" w:ascii="仿宋_GB2312" w:hAnsi="仿宋_GB2312" w:eastAsia="仿宋_GB2312" w:cs="仿宋_GB2312"/>
                <w:bCs/>
                <w:color w:val="auto"/>
                <w:sz w:val="32"/>
                <w:szCs w:val="32"/>
              </w:rPr>
              <w:t>许可证延期（重大隐患）</w:t>
            </w:r>
          </w:p>
        </w:tc>
        <w:tc>
          <w:tcPr>
            <w:tcW w:w="3900" w:type="dxa"/>
            <w:vAlign w:val="center"/>
          </w:tcPr>
          <w:p w14:paraId="68B1B143">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《烟花爆竹经营许可实施办法》</w:t>
            </w:r>
            <w:r>
              <w:rPr>
                <w:rFonts w:hint="eastAsia" w:ascii="仿宋_GB2312" w:hAnsi="仿宋_GB2312" w:eastAsia="仿宋_GB2312" w:cs="仿宋_GB2312"/>
                <w:b/>
                <w:color w:val="auto"/>
                <w:sz w:val="32"/>
                <w:szCs w:val="32"/>
              </w:rPr>
              <w:t>第十二条</w:t>
            </w:r>
            <w:r>
              <w:rPr>
                <w:rFonts w:hint="eastAsia" w:ascii="仿宋_GB2312" w:hAnsi="仿宋_GB2312" w:eastAsia="仿宋_GB2312" w:cs="仿宋_GB2312"/>
                <w:bCs/>
                <w:snapToGrid w:val="0"/>
                <w:color w:val="auto"/>
                <w:kern w:val="0"/>
                <w:sz w:val="32"/>
                <w:szCs w:val="32"/>
              </w:rPr>
              <w:t>批发许可证的有效期限为3年。</w:t>
            </w:r>
          </w:p>
          <w:p w14:paraId="057CB56B">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批发许可证有效期满后，批发企业拟继续从事烟花爆竹批发经营活动的，应当在有效期届满前3个月向原发证机关提出延期申请，并提交下列文件、资料：……</w:t>
            </w:r>
          </w:p>
        </w:tc>
        <w:tc>
          <w:tcPr>
            <w:tcW w:w="3900" w:type="dxa"/>
            <w:vAlign w:val="center"/>
          </w:tcPr>
          <w:p w14:paraId="5E89EE1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501661A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（2）《现场检查记录》《责令限期整改指令书》《现场处理措施决定书》《查封扣押决定书》等相关执法文书；</w:t>
            </w:r>
          </w:p>
          <w:p w14:paraId="1463126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（3）原烟花爆竹经营许可证发证机关未办理延期手续的证明材料；</w:t>
            </w:r>
          </w:p>
          <w:p w14:paraId="09B16FA9">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（4）出入库登记记录；</w:t>
            </w:r>
          </w:p>
          <w:p w14:paraId="22C4C1B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（5）买卖合同；</w:t>
            </w:r>
          </w:p>
          <w:p w14:paraId="0964339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（6）烟花爆竹经营许可期届满后销售烟花爆竹记录及账务材料；</w:t>
            </w:r>
          </w:p>
          <w:p w14:paraId="71A8C31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（7）烟花爆竹流向管理信息系统记录资料；</w:t>
            </w:r>
          </w:p>
          <w:p w14:paraId="6CE9F83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（8）企业相关人员任职文件、身份证明及其询问笔录；</w:t>
            </w:r>
          </w:p>
          <w:p w14:paraId="29B781B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（9）其他相关证据。</w:t>
            </w:r>
          </w:p>
        </w:tc>
        <w:tc>
          <w:tcPr>
            <w:tcW w:w="3900" w:type="dxa"/>
            <w:vAlign w:val="center"/>
          </w:tcPr>
          <w:p w14:paraId="22EF9044">
            <w:pPr>
              <w:widowControl/>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《烟花爆竹经营许可实施办法》</w:t>
            </w:r>
            <w:r>
              <w:rPr>
                <w:rFonts w:hint="eastAsia" w:ascii="仿宋_GB2312" w:hAnsi="仿宋_GB2312" w:eastAsia="仿宋_GB2312" w:cs="仿宋_GB2312"/>
                <w:b/>
                <w:color w:val="auto"/>
                <w:sz w:val="32"/>
                <w:szCs w:val="32"/>
              </w:rPr>
              <w:t>第三十一条</w:t>
            </w:r>
            <w:r>
              <w:rPr>
                <w:rFonts w:hint="eastAsia" w:ascii="仿宋_GB2312" w:hAnsi="仿宋_GB2312" w:eastAsia="仿宋_GB2312" w:cs="仿宋_GB2312"/>
                <w:bCs/>
                <w:snapToGrid w:val="0"/>
                <w:color w:val="auto"/>
                <w:kern w:val="0"/>
                <w:sz w:val="32"/>
                <w:szCs w:val="32"/>
              </w:rPr>
              <w:t>对未经许可经营、超许可范围经营、许可证过期继续经营烟花爆竹的，责令其停止非法经营活动，处2万元以上10万元以下的罚款，并没收非法经营的物品及违法所得。</w:t>
            </w:r>
          </w:p>
          <w:p w14:paraId="2F82944D">
            <w:pPr>
              <w:adjustRightInd w:val="0"/>
              <w:snapToGrid w:val="0"/>
              <w:ind w:firstLine="640" w:firstLineChars="200"/>
              <w:rPr>
                <w:rFonts w:hint="eastAsia" w:ascii="仿宋_GB2312" w:hAnsi="仿宋_GB2312" w:eastAsia="仿宋_GB2312" w:cs="仿宋_GB2312"/>
                <w:bCs/>
                <w:color w:val="auto"/>
                <w:sz w:val="32"/>
                <w:szCs w:val="32"/>
              </w:rPr>
            </w:pPr>
          </w:p>
        </w:tc>
        <w:tc>
          <w:tcPr>
            <w:tcW w:w="951" w:type="dxa"/>
            <w:vAlign w:val="center"/>
          </w:tcPr>
          <w:p w14:paraId="53901212">
            <w:pPr>
              <w:jc w:val="center"/>
              <w:rPr>
                <w:rFonts w:hint="eastAsia" w:ascii="仿宋_GB2312" w:hAnsi="仿宋_GB2312" w:eastAsia="仿宋_GB2312" w:cs="仿宋_GB2312"/>
                <w:bCs/>
                <w:color w:val="auto"/>
                <w:sz w:val="32"/>
                <w:szCs w:val="32"/>
              </w:rPr>
            </w:pPr>
          </w:p>
        </w:tc>
      </w:tr>
      <w:tr w14:paraId="5D99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6" w:type="dxa"/>
            <w:vMerge w:val="continue"/>
            <w:vAlign w:val="center"/>
          </w:tcPr>
          <w:p w14:paraId="619BBE0C">
            <w:pPr>
              <w:jc w:val="center"/>
              <w:rPr>
                <w:rFonts w:hint="eastAsia" w:ascii="仿宋_GB2312" w:hAnsi="仿宋_GB2312" w:eastAsia="仿宋_GB2312" w:cs="仿宋_GB2312"/>
                <w:bCs/>
                <w:color w:val="auto"/>
                <w:sz w:val="32"/>
                <w:szCs w:val="32"/>
              </w:rPr>
            </w:pPr>
          </w:p>
        </w:tc>
        <w:tc>
          <w:tcPr>
            <w:tcW w:w="950" w:type="dxa"/>
            <w:vMerge w:val="continue"/>
            <w:vAlign w:val="center"/>
          </w:tcPr>
          <w:p w14:paraId="0E7A9D3B">
            <w:pPr>
              <w:jc w:val="center"/>
              <w:rPr>
                <w:rFonts w:hint="eastAsia" w:ascii="仿宋_GB2312" w:hAnsi="仿宋_GB2312" w:eastAsia="仿宋_GB2312" w:cs="仿宋_GB2312"/>
                <w:bCs/>
                <w:color w:val="auto"/>
                <w:sz w:val="32"/>
                <w:szCs w:val="32"/>
              </w:rPr>
            </w:pPr>
          </w:p>
        </w:tc>
        <w:tc>
          <w:tcPr>
            <w:tcW w:w="951" w:type="dxa"/>
            <w:vAlign w:val="center"/>
          </w:tcPr>
          <w:p w14:paraId="4C563CFB">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1.3</w:t>
            </w:r>
            <w:r>
              <w:rPr>
                <w:rFonts w:hint="eastAsia" w:ascii="仿宋_GB2312" w:hAnsi="仿宋_GB2312" w:eastAsia="仿宋_GB2312" w:cs="仿宋_GB2312"/>
                <w:bCs/>
                <w:snapToGrid w:val="0"/>
                <w:color w:val="auto"/>
                <w:kern w:val="0"/>
                <w:sz w:val="32"/>
                <w:szCs w:val="32"/>
              </w:rPr>
              <w:t>批发</w:t>
            </w:r>
            <w:r>
              <w:rPr>
                <w:rFonts w:hint="eastAsia" w:ascii="仿宋_GB2312" w:hAnsi="仿宋_GB2312" w:eastAsia="仿宋_GB2312" w:cs="仿宋_GB2312"/>
                <w:bCs/>
                <w:color w:val="auto"/>
                <w:sz w:val="32"/>
                <w:szCs w:val="32"/>
              </w:rPr>
              <w:t>许可证变更</w:t>
            </w:r>
          </w:p>
        </w:tc>
        <w:tc>
          <w:tcPr>
            <w:tcW w:w="3900" w:type="dxa"/>
            <w:vAlign w:val="center"/>
          </w:tcPr>
          <w:p w14:paraId="00CADF1A">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《烟花爆竹经营许可实施办法》第十五条</w:t>
            </w:r>
            <w:r>
              <w:rPr>
                <w:rFonts w:hint="eastAsia" w:ascii="仿宋_GB2312" w:hAnsi="仿宋_GB2312" w:eastAsia="仿宋_GB2312" w:cs="仿宋_GB2312"/>
                <w:bCs/>
                <w:snapToGrid w:val="0"/>
                <w:color w:val="auto"/>
                <w:kern w:val="0"/>
                <w:sz w:val="32"/>
                <w:szCs w:val="32"/>
              </w:rPr>
              <w:t>批发企业在批发许可证有效期内变更企业名称、主要负责人和注册地址的，应当自变更之日起10个工作日内向原发证机关提出变更，并提交下列文件、资料：……</w:t>
            </w:r>
          </w:p>
        </w:tc>
        <w:tc>
          <w:tcPr>
            <w:tcW w:w="3900" w:type="dxa"/>
            <w:vAlign w:val="center"/>
          </w:tcPr>
          <w:p w14:paraId="6E75F48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7427AA2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291A0D6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（3）变更企业名称、主要负责人、注册地址工商登记变更资料；</w:t>
            </w:r>
          </w:p>
          <w:p w14:paraId="506E476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（4）烟花爆竹经营许可证发证机关未变更许可证的证明材料；</w:t>
            </w:r>
          </w:p>
          <w:p w14:paraId="00A1606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（5）企业相关人员任职文件、身份证明及其询问笔录；</w:t>
            </w:r>
          </w:p>
          <w:p w14:paraId="6A40B4E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0" w:type="dxa"/>
            <w:vAlign w:val="center"/>
          </w:tcPr>
          <w:p w14:paraId="074F5792">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snapToGrid w:val="0"/>
                <w:color w:val="auto"/>
                <w:kern w:val="0"/>
                <w:sz w:val="32"/>
                <w:szCs w:val="32"/>
              </w:rPr>
              <w:t>《烟花爆竹经营许可实施办法》</w:t>
            </w:r>
            <w:r>
              <w:rPr>
                <w:rFonts w:hint="eastAsia" w:ascii="仿宋_GB2312" w:hAnsi="仿宋_GB2312" w:eastAsia="仿宋_GB2312" w:cs="仿宋_GB2312"/>
                <w:b/>
                <w:color w:val="auto"/>
                <w:sz w:val="32"/>
                <w:szCs w:val="32"/>
              </w:rPr>
              <w:t>第三十二条</w:t>
            </w:r>
            <w:r>
              <w:rPr>
                <w:rFonts w:hint="eastAsia" w:ascii="仿宋_GB2312" w:hAnsi="仿宋_GB2312" w:eastAsia="仿宋_GB2312" w:cs="仿宋_GB2312"/>
                <w:bCs/>
                <w:color w:val="auto"/>
                <w:sz w:val="32"/>
                <w:szCs w:val="32"/>
              </w:rPr>
              <w:t>批发企业有下列行为之一的，责令其限期改正，处5000元以上3万元以下的罚款：……</w:t>
            </w:r>
          </w:p>
          <w:p w14:paraId="556400FA">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（九）变更企业名称、主要负责人、注册地址，未申请办理许可证变更手续的；……</w:t>
            </w:r>
          </w:p>
        </w:tc>
        <w:tc>
          <w:tcPr>
            <w:tcW w:w="951" w:type="dxa"/>
            <w:vMerge w:val="restart"/>
            <w:vAlign w:val="center"/>
          </w:tcPr>
          <w:p w14:paraId="166DA2CF">
            <w:pPr>
              <w:jc w:val="center"/>
              <w:rPr>
                <w:rFonts w:hint="eastAsia" w:ascii="仿宋_GB2312" w:hAnsi="仿宋_GB2312" w:eastAsia="仿宋_GB2312" w:cs="仿宋_GB2312"/>
                <w:bCs/>
                <w:color w:val="auto"/>
                <w:sz w:val="32"/>
                <w:szCs w:val="32"/>
              </w:rPr>
            </w:pPr>
          </w:p>
        </w:tc>
      </w:tr>
      <w:tr w14:paraId="3EF1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616" w:type="dxa"/>
            <w:vMerge w:val="continue"/>
            <w:vAlign w:val="center"/>
          </w:tcPr>
          <w:p w14:paraId="40197308">
            <w:pPr>
              <w:jc w:val="center"/>
              <w:rPr>
                <w:rFonts w:hint="eastAsia" w:ascii="仿宋_GB2312" w:hAnsi="仿宋_GB2312" w:eastAsia="仿宋_GB2312" w:cs="仿宋_GB2312"/>
                <w:bCs/>
                <w:color w:val="auto"/>
                <w:sz w:val="32"/>
                <w:szCs w:val="32"/>
              </w:rPr>
            </w:pPr>
          </w:p>
        </w:tc>
        <w:tc>
          <w:tcPr>
            <w:tcW w:w="950" w:type="dxa"/>
            <w:vMerge w:val="continue"/>
            <w:vAlign w:val="center"/>
          </w:tcPr>
          <w:p w14:paraId="72FE509E">
            <w:pPr>
              <w:jc w:val="center"/>
              <w:rPr>
                <w:rFonts w:hint="eastAsia" w:ascii="仿宋_GB2312" w:hAnsi="仿宋_GB2312" w:eastAsia="仿宋_GB2312" w:cs="仿宋_GB2312"/>
                <w:bCs/>
                <w:color w:val="auto"/>
                <w:sz w:val="32"/>
                <w:szCs w:val="32"/>
              </w:rPr>
            </w:pPr>
          </w:p>
        </w:tc>
        <w:tc>
          <w:tcPr>
            <w:tcW w:w="951" w:type="dxa"/>
            <w:vAlign w:val="center"/>
          </w:tcPr>
          <w:p w14:paraId="0FCE3BC2">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1.4零售许可证重新申领</w:t>
            </w:r>
          </w:p>
        </w:tc>
        <w:tc>
          <w:tcPr>
            <w:tcW w:w="3900" w:type="dxa"/>
            <w:vAlign w:val="center"/>
          </w:tcPr>
          <w:p w14:paraId="1401DA4E">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《烟花爆竹经营许可实施办法》</w:t>
            </w:r>
            <w:r>
              <w:rPr>
                <w:rFonts w:hint="eastAsia" w:ascii="仿宋_GB2312" w:hAnsi="仿宋_GB2312" w:eastAsia="仿宋_GB2312" w:cs="仿宋_GB2312"/>
                <w:b/>
                <w:color w:val="auto"/>
                <w:sz w:val="32"/>
                <w:szCs w:val="32"/>
              </w:rPr>
              <w:t>第二十一条</w:t>
            </w:r>
            <w:r>
              <w:rPr>
                <w:rFonts w:hint="eastAsia" w:ascii="仿宋_GB2312" w:hAnsi="仿宋_GB2312" w:eastAsia="仿宋_GB2312" w:cs="仿宋_GB2312"/>
                <w:bCs/>
                <w:color w:val="auto"/>
                <w:sz w:val="32"/>
                <w:szCs w:val="32"/>
              </w:rPr>
              <w:t>零售许可证的有效期限由发证机关确定，最长不超过2年。零售许可证有效期满后拟继续从事烟花爆竹零售经营活动，或者在有效期内变更零售点名称、主要负责人、零售场所和许可范围的，应当重新申请取得零售许可证。</w:t>
            </w:r>
          </w:p>
        </w:tc>
        <w:tc>
          <w:tcPr>
            <w:tcW w:w="3900" w:type="dxa"/>
            <w:vAlign w:val="center"/>
          </w:tcPr>
          <w:p w14:paraId="414336D1">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26DDEA5D">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（2）《现场检查记录》《责令限期整改指令书》等相关执法文书；</w:t>
            </w:r>
          </w:p>
          <w:p w14:paraId="0FDDD46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（3）零售点名称、主要负责人或者经营场所工商登记变更资料；</w:t>
            </w:r>
          </w:p>
          <w:p w14:paraId="0DB7B4B8">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（4）烟花爆竹零售许可证发证机关未变更许可证的证明材料；</w:t>
            </w:r>
          </w:p>
          <w:p w14:paraId="4C11D68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（5）零售经营者安全教育培训合格证明；</w:t>
            </w:r>
          </w:p>
          <w:p w14:paraId="36C85E3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（6）经营场所现场照片及影像资料；</w:t>
            </w:r>
          </w:p>
          <w:p w14:paraId="0A07E7F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（7）零售经营者身份证明及询问笔录；</w:t>
            </w:r>
          </w:p>
          <w:p w14:paraId="4B6F046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（8）其他相关证据。</w:t>
            </w:r>
          </w:p>
        </w:tc>
        <w:tc>
          <w:tcPr>
            <w:tcW w:w="3900" w:type="dxa"/>
            <w:vAlign w:val="center"/>
          </w:tcPr>
          <w:p w14:paraId="3C6740FA">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snapToGrid w:val="0"/>
                <w:color w:val="auto"/>
                <w:kern w:val="0"/>
                <w:sz w:val="32"/>
                <w:szCs w:val="32"/>
              </w:rPr>
              <w:t>《烟花爆竹经营许可实施办法》</w:t>
            </w:r>
            <w:r>
              <w:rPr>
                <w:rFonts w:hint="eastAsia" w:ascii="仿宋_GB2312" w:hAnsi="仿宋_GB2312" w:eastAsia="仿宋_GB2312" w:cs="仿宋_GB2312"/>
                <w:b/>
                <w:color w:val="auto"/>
                <w:sz w:val="32"/>
                <w:szCs w:val="32"/>
              </w:rPr>
              <w:t>第三十五条</w:t>
            </w:r>
            <w:r>
              <w:rPr>
                <w:rFonts w:hint="eastAsia" w:ascii="仿宋_GB2312" w:hAnsi="仿宋_GB2312" w:eastAsia="仿宋_GB2312" w:cs="仿宋_GB2312"/>
                <w:bCs/>
                <w:color w:val="auto"/>
                <w:sz w:val="32"/>
                <w:szCs w:val="32"/>
              </w:rPr>
              <w:t>零售经营者有下列行为之一的，责令其限期改正，处1000元以上5000元以下的罚款；情节严重的，处5000元以上30000元以下的罚款：</w:t>
            </w:r>
          </w:p>
          <w:p w14:paraId="714287C7">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color w:val="auto"/>
                <w:sz w:val="32"/>
                <w:szCs w:val="32"/>
              </w:rPr>
              <w:t>（一）变更零售点名称、主要负责人或者经营场所，未重新办理零售许可证的；……</w:t>
            </w:r>
          </w:p>
        </w:tc>
        <w:tc>
          <w:tcPr>
            <w:tcW w:w="951" w:type="dxa"/>
            <w:vMerge w:val="continue"/>
            <w:vAlign w:val="center"/>
          </w:tcPr>
          <w:p w14:paraId="506BECA2">
            <w:pPr>
              <w:jc w:val="center"/>
              <w:rPr>
                <w:rFonts w:hint="eastAsia" w:ascii="仿宋_GB2312" w:hAnsi="仿宋_GB2312" w:eastAsia="仿宋_GB2312" w:cs="仿宋_GB2312"/>
                <w:bCs/>
                <w:color w:val="auto"/>
                <w:sz w:val="32"/>
                <w:szCs w:val="32"/>
              </w:rPr>
            </w:pPr>
          </w:p>
        </w:tc>
      </w:tr>
      <w:tr w14:paraId="1567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616" w:type="dxa"/>
            <w:vMerge w:val="continue"/>
            <w:vAlign w:val="center"/>
          </w:tcPr>
          <w:p w14:paraId="3AC7876A">
            <w:pPr>
              <w:jc w:val="center"/>
              <w:rPr>
                <w:rFonts w:hint="eastAsia" w:ascii="仿宋_GB2312" w:hAnsi="仿宋_GB2312" w:eastAsia="仿宋_GB2312" w:cs="仿宋_GB2312"/>
                <w:bCs/>
                <w:color w:val="auto"/>
                <w:sz w:val="32"/>
                <w:szCs w:val="32"/>
              </w:rPr>
            </w:pPr>
          </w:p>
        </w:tc>
        <w:tc>
          <w:tcPr>
            <w:tcW w:w="950" w:type="dxa"/>
            <w:vMerge w:val="continue"/>
            <w:vAlign w:val="center"/>
          </w:tcPr>
          <w:p w14:paraId="6864AD86">
            <w:pPr>
              <w:jc w:val="center"/>
              <w:rPr>
                <w:rFonts w:hint="eastAsia" w:ascii="仿宋_GB2312" w:hAnsi="仿宋_GB2312" w:eastAsia="仿宋_GB2312" w:cs="仿宋_GB2312"/>
                <w:bCs/>
                <w:color w:val="auto"/>
                <w:sz w:val="32"/>
                <w:szCs w:val="32"/>
              </w:rPr>
            </w:pPr>
          </w:p>
        </w:tc>
        <w:tc>
          <w:tcPr>
            <w:tcW w:w="951" w:type="dxa"/>
            <w:vMerge w:val="restart"/>
            <w:vAlign w:val="center"/>
          </w:tcPr>
          <w:p w14:paraId="04E7A0C6">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1.5出租、出借、转让、买卖、冒用许可证或者使用伪造的许可证（重大隐患）</w:t>
            </w:r>
          </w:p>
        </w:tc>
        <w:tc>
          <w:tcPr>
            <w:tcW w:w="3900" w:type="dxa"/>
            <w:vAlign w:val="center"/>
          </w:tcPr>
          <w:p w14:paraId="4393BC07">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color w:val="auto"/>
                <w:sz w:val="32"/>
                <w:szCs w:val="32"/>
              </w:rPr>
              <w:t>《烟花爆竹经营许可实施办法》第二十六条</w:t>
            </w:r>
            <w:r>
              <w:rPr>
                <w:rFonts w:hint="eastAsia" w:ascii="仿宋_GB2312" w:hAnsi="仿宋_GB2312" w:eastAsia="仿宋_GB2312" w:cs="仿宋_GB2312"/>
                <w:bCs/>
                <w:color w:val="auto"/>
                <w:sz w:val="32"/>
                <w:szCs w:val="32"/>
              </w:rPr>
              <w:t>烟花爆竹经营单位不得出租、出借、转让、买卖、……烟花爆竹经营许可证。</w:t>
            </w:r>
          </w:p>
        </w:tc>
        <w:tc>
          <w:tcPr>
            <w:tcW w:w="3900" w:type="dxa"/>
            <w:vAlign w:val="center"/>
          </w:tcPr>
          <w:p w14:paraId="130E359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535E93D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（2）《现场检查记录》《现场处理措施决定书》等相关执法文书；</w:t>
            </w:r>
          </w:p>
          <w:p w14:paraId="33B3A33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（3）出租、出借、转让、买卖的协议、财务资料；</w:t>
            </w:r>
          </w:p>
          <w:p w14:paraId="6DD300DA">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（4）现场照片及影像资料；</w:t>
            </w:r>
          </w:p>
          <w:p w14:paraId="4CA4B82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（5）相关人员任职文件、身份证明及其询问笔录；</w:t>
            </w:r>
          </w:p>
          <w:p w14:paraId="0E49CC2C">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0" w:type="dxa"/>
            <w:vAlign w:val="center"/>
          </w:tcPr>
          <w:p w14:paraId="4BBFA162">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snapToGrid w:val="0"/>
                <w:color w:val="auto"/>
                <w:kern w:val="0"/>
                <w:sz w:val="32"/>
                <w:szCs w:val="32"/>
              </w:rPr>
              <w:t>《烟花爆竹经营许可实施办法》</w:t>
            </w:r>
            <w:r>
              <w:rPr>
                <w:rFonts w:hint="eastAsia" w:ascii="仿宋_GB2312" w:hAnsi="仿宋_GB2312" w:eastAsia="仿宋_GB2312" w:cs="仿宋_GB2312"/>
                <w:b/>
                <w:color w:val="auto"/>
                <w:sz w:val="32"/>
                <w:szCs w:val="32"/>
              </w:rPr>
              <w:t>第三十六条第一款</w:t>
            </w:r>
            <w:r>
              <w:rPr>
                <w:rFonts w:hint="eastAsia" w:ascii="仿宋_GB2312" w:hAnsi="仿宋_GB2312" w:eastAsia="仿宋_GB2312" w:cs="仿宋_GB2312"/>
                <w:bCs/>
                <w:color w:val="auto"/>
                <w:sz w:val="32"/>
                <w:szCs w:val="32"/>
              </w:rPr>
              <w:t>烟花爆竹经营单位出租、出借、转让、买卖烟花爆竹经营许可证的，责令其停止违法行为，处1万元以上3万元以下的罚款，并依法撤销烟花爆竹经营许可证。</w:t>
            </w:r>
          </w:p>
          <w:p w14:paraId="1FE81AA0">
            <w:pPr>
              <w:adjustRightInd w:val="0"/>
              <w:snapToGrid w:val="0"/>
              <w:ind w:firstLine="640" w:firstLineChars="200"/>
              <w:rPr>
                <w:rFonts w:hint="eastAsia" w:ascii="仿宋_GB2312" w:hAnsi="仿宋_GB2312" w:eastAsia="仿宋_GB2312" w:cs="仿宋_GB2312"/>
                <w:bCs/>
                <w:snapToGrid w:val="0"/>
                <w:color w:val="auto"/>
                <w:kern w:val="0"/>
                <w:sz w:val="32"/>
                <w:szCs w:val="32"/>
              </w:rPr>
            </w:pPr>
          </w:p>
        </w:tc>
        <w:tc>
          <w:tcPr>
            <w:tcW w:w="951" w:type="dxa"/>
            <w:vMerge w:val="continue"/>
            <w:vAlign w:val="center"/>
          </w:tcPr>
          <w:p w14:paraId="5210B9C5">
            <w:pPr>
              <w:jc w:val="center"/>
              <w:rPr>
                <w:rFonts w:hint="eastAsia" w:ascii="仿宋_GB2312" w:hAnsi="仿宋_GB2312" w:eastAsia="仿宋_GB2312" w:cs="仿宋_GB2312"/>
                <w:bCs/>
                <w:color w:val="auto"/>
                <w:sz w:val="32"/>
                <w:szCs w:val="32"/>
              </w:rPr>
            </w:pPr>
          </w:p>
        </w:tc>
      </w:tr>
      <w:tr w14:paraId="6C39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616" w:type="dxa"/>
            <w:vMerge w:val="continue"/>
            <w:vAlign w:val="center"/>
          </w:tcPr>
          <w:p w14:paraId="67B13DA9">
            <w:pPr>
              <w:jc w:val="center"/>
              <w:rPr>
                <w:rFonts w:hint="eastAsia" w:ascii="仿宋_GB2312" w:hAnsi="仿宋_GB2312" w:eastAsia="仿宋_GB2312" w:cs="仿宋_GB2312"/>
                <w:bCs/>
                <w:color w:val="auto"/>
                <w:sz w:val="32"/>
                <w:szCs w:val="32"/>
              </w:rPr>
            </w:pPr>
          </w:p>
        </w:tc>
        <w:tc>
          <w:tcPr>
            <w:tcW w:w="950" w:type="dxa"/>
            <w:vMerge w:val="continue"/>
            <w:vAlign w:val="center"/>
          </w:tcPr>
          <w:p w14:paraId="0F445C51">
            <w:pPr>
              <w:jc w:val="center"/>
              <w:rPr>
                <w:rFonts w:hint="eastAsia" w:ascii="仿宋_GB2312" w:hAnsi="仿宋_GB2312" w:eastAsia="仿宋_GB2312" w:cs="仿宋_GB2312"/>
                <w:bCs/>
                <w:color w:val="auto"/>
                <w:sz w:val="32"/>
                <w:szCs w:val="32"/>
              </w:rPr>
            </w:pPr>
          </w:p>
        </w:tc>
        <w:tc>
          <w:tcPr>
            <w:tcW w:w="951" w:type="dxa"/>
            <w:vMerge w:val="continue"/>
            <w:vAlign w:val="center"/>
          </w:tcPr>
          <w:p w14:paraId="3D064F34">
            <w:pPr>
              <w:adjustRightInd w:val="0"/>
              <w:snapToGrid w:val="0"/>
              <w:jc w:val="left"/>
              <w:rPr>
                <w:rFonts w:hint="eastAsia" w:ascii="仿宋_GB2312" w:hAnsi="仿宋_GB2312" w:eastAsia="仿宋_GB2312" w:cs="仿宋_GB2312"/>
                <w:bCs/>
                <w:color w:val="auto"/>
                <w:sz w:val="32"/>
                <w:szCs w:val="32"/>
              </w:rPr>
            </w:pPr>
          </w:p>
        </w:tc>
        <w:tc>
          <w:tcPr>
            <w:tcW w:w="3900" w:type="dxa"/>
            <w:vAlign w:val="center"/>
          </w:tcPr>
          <w:p w14:paraId="3EBE2823">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《烟花爆竹经营许可实施办法》第二十六条</w:t>
            </w:r>
            <w:r>
              <w:rPr>
                <w:rFonts w:hint="eastAsia" w:ascii="仿宋_GB2312" w:hAnsi="仿宋_GB2312" w:eastAsia="仿宋_GB2312" w:cs="仿宋_GB2312"/>
                <w:bCs/>
                <w:color w:val="auto"/>
                <w:sz w:val="32"/>
                <w:szCs w:val="32"/>
              </w:rPr>
              <w:t>烟花爆竹经营单位不得……冒用或者使用伪造的烟花爆竹经营许可证。</w:t>
            </w:r>
          </w:p>
        </w:tc>
        <w:tc>
          <w:tcPr>
            <w:tcW w:w="3900" w:type="dxa"/>
            <w:vAlign w:val="center"/>
          </w:tcPr>
          <w:p w14:paraId="17C238F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（1）相关证照；</w:t>
            </w:r>
          </w:p>
          <w:p w14:paraId="10A1AB00">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（2）《现场检查记录》《现场处理措施决定书》《查封扣押决定书》等相关执法文书；</w:t>
            </w:r>
          </w:p>
          <w:p w14:paraId="67311912">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（3）冒用或伪造的烟花爆竹经营许可证原件；</w:t>
            </w:r>
          </w:p>
          <w:p w14:paraId="72A5A927">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（4）被冒用的烟花爆竹经营许可证复印件；</w:t>
            </w:r>
          </w:p>
          <w:p w14:paraId="57227B2E">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（5）烟花爆竹经营许可证发证机关印证伪造的材料；</w:t>
            </w:r>
          </w:p>
          <w:p w14:paraId="6B304084">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（6）销售收入情况；</w:t>
            </w:r>
          </w:p>
          <w:p w14:paraId="32CE9295">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（7）鉴定结论；</w:t>
            </w:r>
          </w:p>
          <w:p w14:paraId="372A3193">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（8）现场照片及影像资料；</w:t>
            </w:r>
          </w:p>
          <w:p w14:paraId="337CCC7F">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（9）相关人员身份证明及其询问笔录；</w:t>
            </w:r>
          </w:p>
          <w:p w14:paraId="2910597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（10）其他相关证据。</w:t>
            </w:r>
          </w:p>
        </w:tc>
        <w:tc>
          <w:tcPr>
            <w:tcW w:w="3900" w:type="dxa"/>
            <w:vAlign w:val="center"/>
          </w:tcPr>
          <w:p w14:paraId="5B5DBFF2">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snapToGrid w:val="0"/>
                <w:color w:val="auto"/>
                <w:kern w:val="0"/>
                <w:sz w:val="32"/>
                <w:szCs w:val="32"/>
              </w:rPr>
              <w:t>《烟花爆竹经营许可实施办法》</w:t>
            </w:r>
            <w:r>
              <w:rPr>
                <w:rFonts w:hint="eastAsia" w:ascii="仿宋_GB2312" w:hAnsi="仿宋_GB2312" w:eastAsia="仿宋_GB2312" w:cs="仿宋_GB2312"/>
                <w:b/>
                <w:color w:val="auto"/>
                <w:sz w:val="32"/>
                <w:szCs w:val="32"/>
              </w:rPr>
              <w:t>第三十六条第二款</w:t>
            </w:r>
            <w:r>
              <w:rPr>
                <w:rFonts w:hint="eastAsia" w:ascii="仿宋_GB2312" w:hAnsi="仿宋_GB2312" w:eastAsia="仿宋_GB2312" w:cs="仿宋_GB2312"/>
                <w:bCs/>
                <w:color w:val="auto"/>
                <w:sz w:val="32"/>
                <w:szCs w:val="32"/>
              </w:rPr>
              <w:t>冒用或者使用伪造的烟花爆竹经营许可证的，依照本办法第三十一条的规定处罚。</w:t>
            </w:r>
          </w:p>
          <w:p w14:paraId="364F03A9">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《烟花爆竹经营许可实施办法》第三十一条</w:t>
            </w:r>
            <w:r>
              <w:rPr>
                <w:rFonts w:hint="eastAsia" w:ascii="仿宋_GB2312" w:hAnsi="仿宋_GB2312" w:eastAsia="仿宋_GB2312" w:cs="仿宋_GB2312"/>
                <w:bCs/>
                <w:snapToGrid w:val="0"/>
                <w:color w:val="auto"/>
                <w:kern w:val="0"/>
                <w:sz w:val="32"/>
                <w:szCs w:val="32"/>
              </w:rPr>
              <w:t>对未经许可经营、超许可范围经营、许可证过期继续经营烟花爆竹的，责令其停止非法经营活动，处2万元以上10万元以下的罚款，并没收非法经营的物品及违法所得。</w:t>
            </w:r>
          </w:p>
        </w:tc>
        <w:tc>
          <w:tcPr>
            <w:tcW w:w="951" w:type="dxa"/>
            <w:vMerge w:val="continue"/>
            <w:vAlign w:val="center"/>
          </w:tcPr>
          <w:p w14:paraId="28AA50FD">
            <w:pPr>
              <w:jc w:val="center"/>
              <w:rPr>
                <w:rFonts w:hint="eastAsia" w:ascii="仿宋_GB2312" w:hAnsi="仿宋_GB2312" w:eastAsia="仿宋_GB2312" w:cs="仿宋_GB2312"/>
                <w:bCs/>
                <w:color w:val="auto"/>
                <w:sz w:val="32"/>
                <w:szCs w:val="32"/>
              </w:rPr>
            </w:pPr>
          </w:p>
        </w:tc>
      </w:tr>
      <w:tr w14:paraId="05C0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dxa"/>
            <w:vMerge w:val="restart"/>
            <w:vAlign w:val="center"/>
          </w:tcPr>
          <w:p w14:paraId="3C938CD8">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p>
        </w:tc>
        <w:tc>
          <w:tcPr>
            <w:tcW w:w="950" w:type="dxa"/>
            <w:vMerge w:val="restart"/>
            <w:vAlign w:val="center"/>
          </w:tcPr>
          <w:p w14:paraId="5805105B">
            <w:pPr>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经营管理情况</w:t>
            </w:r>
          </w:p>
        </w:tc>
        <w:tc>
          <w:tcPr>
            <w:tcW w:w="951" w:type="dxa"/>
            <w:vAlign w:val="center"/>
          </w:tcPr>
          <w:p w14:paraId="601E2F01">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2.1采购和销售非法生产、经营的烟花爆竹，采购和销售产品质量不符合标准规定的烟花爆竹，销售应当由专业燃放人员燃放的烟花爆竹</w:t>
            </w:r>
          </w:p>
        </w:tc>
        <w:tc>
          <w:tcPr>
            <w:tcW w:w="3900" w:type="dxa"/>
            <w:vAlign w:val="center"/>
          </w:tcPr>
          <w:p w14:paraId="783EF0DB">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《烟花爆竹安全管理条例</w:t>
            </w:r>
            <w:r>
              <w:rPr>
                <w:rFonts w:hint="eastAsia" w:ascii="仿宋_GB2312" w:hAnsi="仿宋_GB2312" w:eastAsia="仿宋_GB2312" w:cs="仿宋_GB2312"/>
                <w:b/>
                <w:color w:val="auto"/>
                <w:sz w:val="32"/>
                <w:szCs w:val="32"/>
              </w:rPr>
              <w:t>》第二十条第二款、第三款</w:t>
            </w:r>
            <w:r>
              <w:rPr>
                <w:rFonts w:hint="eastAsia" w:ascii="仿宋_GB2312" w:hAnsi="仿宋_GB2312" w:eastAsia="仿宋_GB2312" w:cs="仿宋_GB2312"/>
                <w:bCs/>
                <w:color w:val="auto"/>
                <w:sz w:val="32"/>
                <w:szCs w:val="32"/>
              </w:rPr>
              <w:t>从事烟花爆竹批发的企业、零售经营者不得采购和销售非法生产、经营的烟花爆竹。</w:t>
            </w:r>
          </w:p>
          <w:p w14:paraId="6523B439">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从事烟花爆竹批发的企业，不得向从事烟花爆竹零售的经营者供应按照国家标准规定应由专业燃放人员燃放的烟花爆竹。从事烟花爆竹零售的经营者，不得销售按照国家标准规定应由专业燃放人员燃放的烟花爆竹。</w:t>
            </w:r>
          </w:p>
          <w:p w14:paraId="09DE4CD4">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《烟花爆竹经营许可实施办法》</w:t>
            </w:r>
            <w:r>
              <w:rPr>
                <w:rFonts w:hint="eastAsia" w:ascii="仿宋_GB2312" w:hAnsi="仿宋_GB2312" w:eastAsia="仿宋_GB2312" w:cs="仿宋_GB2312"/>
                <w:b/>
                <w:color w:val="auto"/>
                <w:sz w:val="32"/>
                <w:szCs w:val="32"/>
              </w:rPr>
              <w:t>第二十二条</w:t>
            </w:r>
            <w:r>
              <w:rPr>
                <w:rFonts w:hint="eastAsia" w:ascii="仿宋_GB2312" w:hAnsi="仿宋_GB2312" w:eastAsia="仿宋_GB2312" w:cs="仿宋_GB2312"/>
                <w:bCs/>
                <w:color w:val="auto"/>
                <w:sz w:val="32"/>
                <w:szCs w:val="32"/>
              </w:rPr>
              <w:t>批发企业、零售经营者不得采购和销售非法生产、经营的烟花爆竹和产品质量不符合国家标准或者行业标准规定的烟花爆竹。</w:t>
            </w:r>
          </w:p>
          <w:p w14:paraId="15D0F2CB">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批发企业不得向未取得零售许可证的单位或者个人销售烟花爆竹，不得向零售经营者销售礼花弹等应当由专业燃放人员燃放的烟花爆竹；从事黑火药、引火线批发的企业不得向无《烟花爆竹安全生产许可证》的单位或者个人销售烟火药、黑火药、引火线。</w:t>
            </w:r>
          </w:p>
          <w:p w14:paraId="16AC627D">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零售经营者应当向批发企业采购烟花爆竹，不得采购、储存和销售礼花弹等应当由专业燃放人员燃放的烟花爆竹，不得采购、储存和销售烟火药、黑火药、引火线。</w:t>
            </w:r>
          </w:p>
          <w:p w14:paraId="4481FB41">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《烟花爆竹生产经营安全规定》</w:t>
            </w:r>
            <w:r>
              <w:rPr>
                <w:rFonts w:hint="eastAsia" w:ascii="仿宋_GB2312" w:hAnsi="仿宋_GB2312" w:eastAsia="仿宋_GB2312" w:cs="仿宋_GB2312"/>
                <w:b/>
                <w:snapToGrid w:val="0"/>
                <w:color w:val="auto"/>
                <w:kern w:val="0"/>
                <w:sz w:val="32"/>
                <w:szCs w:val="32"/>
              </w:rPr>
              <w:t>第二十四条</w:t>
            </w:r>
            <w:r>
              <w:rPr>
                <w:rFonts w:hint="eastAsia" w:ascii="仿宋_GB2312" w:hAnsi="仿宋_GB2312" w:eastAsia="仿宋_GB2312" w:cs="仿宋_GB2312"/>
                <w:bCs/>
                <w:snapToGrid w:val="0"/>
                <w:color w:val="auto"/>
                <w:kern w:val="0"/>
                <w:sz w:val="32"/>
                <w:szCs w:val="32"/>
              </w:rPr>
              <w:t>生产企业、批发企业所生产、销售烟花爆竹的质量、包装、标志应当符合国家标准或者行业标准的规定。</w:t>
            </w:r>
          </w:p>
        </w:tc>
        <w:tc>
          <w:tcPr>
            <w:tcW w:w="3900" w:type="dxa"/>
            <w:vAlign w:val="center"/>
          </w:tcPr>
          <w:p w14:paraId="4692B59D">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（1）相关证照；</w:t>
            </w:r>
          </w:p>
          <w:p w14:paraId="007CA1AD">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snapToGrid w:val="0"/>
                <w:color w:val="auto"/>
                <w:kern w:val="0"/>
                <w:sz w:val="32"/>
                <w:szCs w:val="32"/>
              </w:rPr>
              <w:t>《现场检查记录》《现场处理措施决定书》《查封扣押决定书》等相关执法文书；</w:t>
            </w:r>
          </w:p>
          <w:p w14:paraId="02744CBD">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（3）买卖合同；</w:t>
            </w:r>
          </w:p>
          <w:p w14:paraId="4B911722">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（4）流向登记记录；</w:t>
            </w:r>
          </w:p>
          <w:p w14:paraId="6E99E05A">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（5）产品出入库登记记录；</w:t>
            </w:r>
          </w:p>
          <w:p w14:paraId="5E279FCE">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（6）产品质量鉴定结论；</w:t>
            </w:r>
          </w:p>
          <w:p w14:paraId="428DED59">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（7）产品消费类别鉴定结论；</w:t>
            </w:r>
          </w:p>
          <w:p w14:paraId="52B64854">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（8）销售记录及账务资料等；</w:t>
            </w:r>
          </w:p>
          <w:p w14:paraId="78C28772">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（9）非法生产、经营烟花爆竹的证明材料；</w:t>
            </w:r>
          </w:p>
          <w:p w14:paraId="7617C188">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（10）现场照片及影像资料；</w:t>
            </w:r>
          </w:p>
          <w:p w14:paraId="2CDA038B">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color w:val="auto"/>
                <w:sz w:val="32"/>
                <w:szCs w:val="32"/>
              </w:rPr>
              <w:t>（11）企业</w:t>
            </w:r>
            <w:r>
              <w:rPr>
                <w:rFonts w:hint="eastAsia" w:ascii="仿宋_GB2312" w:hAnsi="仿宋_GB2312" w:eastAsia="仿宋_GB2312" w:cs="仿宋_GB2312"/>
                <w:bCs/>
                <w:snapToGrid w:val="0"/>
                <w:color w:val="auto"/>
                <w:kern w:val="0"/>
                <w:sz w:val="32"/>
                <w:szCs w:val="32"/>
              </w:rPr>
              <w:t>相关人员任职文件、身份证明及其询问笔录；</w:t>
            </w:r>
          </w:p>
          <w:p w14:paraId="50871996">
            <w:pPr>
              <w:adjustRightInd w:val="0"/>
              <w:snapToGrid w:val="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（12）其他相关证据。</w:t>
            </w:r>
          </w:p>
        </w:tc>
        <w:tc>
          <w:tcPr>
            <w:tcW w:w="3900" w:type="dxa"/>
            <w:vAlign w:val="center"/>
          </w:tcPr>
          <w:p w14:paraId="69D7F023">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《烟花爆竹安全管理条例》</w:t>
            </w:r>
            <w:r>
              <w:rPr>
                <w:rFonts w:hint="eastAsia" w:ascii="仿宋_GB2312" w:hAnsi="仿宋_GB2312" w:eastAsia="仿宋_GB2312" w:cs="仿宋_GB2312"/>
                <w:b/>
                <w:color w:val="auto"/>
                <w:sz w:val="32"/>
                <w:szCs w:val="32"/>
              </w:rPr>
              <w:t>第三十八条</w:t>
            </w:r>
            <w:r>
              <w:rPr>
                <w:rFonts w:hint="eastAsia" w:ascii="仿宋_GB2312" w:hAnsi="仿宋_GB2312" w:eastAsia="仿宋_GB2312" w:cs="仿宋_GB2312"/>
                <w:bCs/>
                <w:color w:val="auto"/>
                <w:sz w:val="32"/>
                <w:szCs w:val="32"/>
              </w:rPr>
              <w:t>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14:paraId="5A56CCB0">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14:paraId="643DDA07">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《烟花爆竹经营许可实施办法》</w:t>
            </w:r>
            <w:r>
              <w:rPr>
                <w:rFonts w:hint="eastAsia" w:ascii="仿宋_GB2312" w:hAnsi="仿宋_GB2312" w:eastAsia="仿宋_GB2312" w:cs="仿宋_GB2312"/>
                <w:b/>
                <w:color w:val="auto"/>
                <w:sz w:val="32"/>
                <w:szCs w:val="32"/>
              </w:rPr>
              <w:t>第三十二条</w:t>
            </w:r>
            <w:r>
              <w:rPr>
                <w:rFonts w:hint="eastAsia" w:ascii="仿宋_GB2312" w:hAnsi="仿宋_GB2312" w:eastAsia="仿宋_GB2312" w:cs="仿宋_GB2312"/>
                <w:bCs/>
                <w:color w:val="auto"/>
                <w:sz w:val="32"/>
                <w:szCs w:val="32"/>
              </w:rPr>
              <w:t>批发企业有下列行为之一的，责令其限期改正，处5000元以上3万元以下的罚款：……</w:t>
            </w:r>
          </w:p>
          <w:p w14:paraId="7CA4FFD4">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（二）采购和销售质量不符合国家标准或者行业标准规定的烟花爆竹的；……</w:t>
            </w:r>
          </w:p>
          <w:p w14:paraId="40F09CB5">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（十）向未取得零售许可证的单位或者个人销售烟花爆竹的。</w:t>
            </w:r>
          </w:p>
          <w:p w14:paraId="5462FE96">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《烟花爆竹经营许可实施办法》</w:t>
            </w:r>
            <w:r>
              <w:rPr>
                <w:rFonts w:hint="eastAsia" w:ascii="仿宋_GB2312" w:hAnsi="仿宋_GB2312" w:eastAsia="仿宋_GB2312" w:cs="仿宋_GB2312"/>
                <w:b/>
                <w:color w:val="auto"/>
                <w:sz w:val="32"/>
                <w:szCs w:val="32"/>
              </w:rPr>
              <w:t>第三十四条</w:t>
            </w:r>
            <w:r>
              <w:rPr>
                <w:rFonts w:hint="eastAsia" w:ascii="仿宋_GB2312" w:hAnsi="仿宋_GB2312" w:eastAsia="仿宋_GB2312" w:cs="仿宋_GB2312"/>
                <w:bCs/>
                <w:color w:val="auto"/>
                <w:sz w:val="32"/>
                <w:szCs w:val="32"/>
              </w:rPr>
              <w:t>零售经营者有下列行为之一的，责令其停止违法行为，处1000元以上5000元以下的罚款，并没收非法经营的物品及违法所得；情节严重的，依法吊销零售许可证：</w:t>
            </w:r>
          </w:p>
          <w:p w14:paraId="42A820C8">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（一）销售非法生产、经营的烟花爆竹的；</w:t>
            </w:r>
          </w:p>
          <w:p w14:paraId="17CF3D9E">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（二）销售礼花弹等按照国家标准规定应当由专业人员燃放的烟花爆竹的。</w:t>
            </w:r>
          </w:p>
          <w:p w14:paraId="2C90E08B">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snapToGrid w:val="0"/>
                <w:color w:val="auto"/>
                <w:kern w:val="0"/>
                <w:sz w:val="32"/>
                <w:szCs w:val="32"/>
              </w:rPr>
              <w:t>《烟花爆竹生产经营安全规定》</w:t>
            </w:r>
            <w:r>
              <w:rPr>
                <w:rFonts w:hint="eastAsia" w:ascii="仿宋_GB2312" w:hAnsi="仿宋_GB2312" w:eastAsia="仿宋_GB2312" w:cs="仿宋_GB2312"/>
                <w:b/>
                <w:color w:val="auto"/>
                <w:sz w:val="32"/>
                <w:szCs w:val="32"/>
              </w:rPr>
              <w:t>第三十九条</w:t>
            </w:r>
            <w:r>
              <w:rPr>
                <w:rFonts w:hint="eastAsia" w:ascii="仿宋_GB2312" w:hAnsi="仿宋_GB2312" w:eastAsia="仿宋_GB2312" w:cs="仿宋_GB2312"/>
                <w:bCs/>
                <w:color w:val="auto"/>
                <w:sz w:val="32"/>
                <w:szCs w:val="32"/>
              </w:rPr>
              <w:t>违反本规定，构成《中华人民共和国安全生产法》  及其他法律、行政法规规定的其他违法行为的，依照《中华人民共和国安全生产法》  等法律、行政法规的规定处理。涉嫌犯罪的，依法移送司法机关追究刑事责任。</w:t>
            </w:r>
          </w:p>
        </w:tc>
        <w:tc>
          <w:tcPr>
            <w:tcW w:w="951" w:type="dxa"/>
            <w:vAlign w:val="center"/>
          </w:tcPr>
          <w:p w14:paraId="2818A3B7">
            <w:pPr>
              <w:jc w:val="center"/>
              <w:rPr>
                <w:rFonts w:hint="eastAsia" w:ascii="仿宋_GB2312" w:hAnsi="仿宋_GB2312" w:eastAsia="仿宋_GB2312" w:cs="仿宋_GB2312"/>
                <w:bCs/>
                <w:color w:val="auto"/>
                <w:sz w:val="32"/>
                <w:szCs w:val="32"/>
              </w:rPr>
            </w:pPr>
          </w:p>
        </w:tc>
      </w:tr>
      <w:tr w14:paraId="40D2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6" w:type="dxa"/>
            <w:vMerge w:val="continue"/>
            <w:vAlign w:val="center"/>
          </w:tcPr>
          <w:p w14:paraId="7FCC1CAA">
            <w:pPr>
              <w:jc w:val="center"/>
              <w:rPr>
                <w:rFonts w:hint="eastAsia" w:ascii="仿宋_GB2312" w:hAnsi="仿宋_GB2312" w:eastAsia="仿宋_GB2312" w:cs="仿宋_GB2312"/>
                <w:bCs/>
                <w:color w:val="auto"/>
                <w:sz w:val="32"/>
                <w:szCs w:val="32"/>
              </w:rPr>
            </w:pPr>
          </w:p>
        </w:tc>
        <w:tc>
          <w:tcPr>
            <w:tcW w:w="950" w:type="dxa"/>
            <w:vMerge w:val="continue"/>
            <w:vAlign w:val="center"/>
          </w:tcPr>
          <w:p w14:paraId="5F51B80D">
            <w:pPr>
              <w:jc w:val="center"/>
              <w:rPr>
                <w:rFonts w:hint="eastAsia" w:ascii="仿宋_GB2312" w:hAnsi="仿宋_GB2312" w:eastAsia="仿宋_GB2312" w:cs="仿宋_GB2312"/>
                <w:bCs/>
                <w:color w:val="auto"/>
                <w:sz w:val="32"/>
                <w:szCs w:val="32"/>
              </w:rPr>
            </w:pPr>
          </w:p>
        </w:tc>
        <w:tc>
          <w:tcPr>
            <w:tcW w:w="951" w:type="dxa"/>
            <w:vAlign w:val="center"/>
          </w:tcPr>
          <w:p w14:paraId="2B46AF44">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2.2批发企业合同管理、流向管理和黑火药、引火线购销记录备案</w:t>
            </w:r>
          </w:p>
        </w:tc>
        <w:tc>
          <w:tcPr>
            <w:tcW w:w="3900" w:type="dxa"/>
            <w:vAlign w:val="center"/>
          </w:tcPr>
          <w:p w14:paraId="78DDBDAB">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《烟花爆竹经营许可实施办法》</w:t>
            </w:r>
            <w:r>
              <w:rPr>
                <w:rFonts w:hint="eastAsia" w:ascii="仿宋_GB2312" w:hAnsi="仿宋_GB2312" w:eastAsia="仿宋_GB2312" w:cs="仿宋_GB2312"/>
                <w:b/>
                <w:color w:val="auto"/>
                <w:sz w:val="32"/>
                <w:szCs w:val="32"/>
              </w:rPr>
              <w:t>第二十五条</w:t>
            </w:r>
            <w:r>
              <w:rPr>
                <w:rFonts w:hint="eastAsia" w:ascii="仿宋_GB2312" w:hAnsi="仿宋_GB2312" w:eastAsia="仿宋_GB2312" w:cs="仿宋_GB2312"/>
                <w:bCs/>
                <w:color w:val="auto"/>
                <w:sz w:val="32"/>
                <w:szCs w:val="32"/>
              </w:rPr>
              <w:t>批发企业应当建立并严格执行合同管理、流向登记制度，健全合同管理和流向登记档案，并留存3年备查。</w:t>
            </w:r>
          </w:p>
          <w:p w14:paraId="073D8C9B">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黑火药、引火线批发企业的采购、销售记录，应当自购买或者销售之日起3日内报所在地县级安全监管局备案。</w:t>
            </w:r>
          </w:p>
          <w:p w14:paraId="77D0AD3B">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《烟花爆竹生产经营安全规定》</w:t>
            </w:r>
            <w:r>
              <w:rPr>
                <w:rFonts w:hint="eastAsia" w:ascii="仿宋_GB2312" w:hAnsi="仿宋_GB2312" w:eastAsia="仿宋_GB2312" w:cs="仿宋_GB2312"/>
                <w:b/>
                <w:color w:val="auto"/>
                <w:sz w:val="32"/>
                <w:szCs w:val="32"/>
              </w:rPr>
              <w:t>第二十三条</w:t>
            </w:r>
            <w:r>
              <w:rPr>
                <w:rFonts w:hint="eastAsia" w:ascii="仿宋_GB2312" w:hAnsi="仿宋_GB2312" w:eastAsia="仿宋_GB2312" w:cs="仿宋_GB2312"/>
                <w:bCs/>
                <w:color w:val="auto"/>
                <w:sz w:val="32"/>
                <w:szCs w:val="32"/>
              </w:rPr>
              <w:t>  生产企业、批发企业在烟花爆竹购销活动中，应当依法签订规范的烟花爆竹买卖合同，建立烟花爆竹买卖合同和流向管理制度，使用全国统一的烟花爆竹流向管理信息系统，如实登记烟花爆竹流向。</w:t>
            </w:r>
          </w:p>
          <w:p w14:paraId="77D1F1A8">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生产企业应当在专业燃放类产品包装（包括运输包装和销售包装）及个人燃放类产品运输包装上张贴流向登记标签，并在产品入库和销售出库时登记录入。</w:t>
            </w:r>
          </w:p>
          <w:p w14:paraId="5965C59C">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批发企业购进烟花爆竹时，应当查验流向登记标签，并在产品入库和销售出库时登记录入。</w:t>
            </w:r>
          </w:p>
          <w:p w14:paraId="071CC159">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标准见《烟花爆竹流向登记通用规范》AQ4102</w:t>
            </w:r>
          </w:p>
        </w:tc>
        <w:tc>
          <w:tcPr>
            <w:tcW w:w="3900" w:type="dxa"/>
            <w:vAlign w:val="center"/>
          </w:tcPr>
          <w:p w14:paraId="077327F7">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（1）相关证照；</w:t>
            </w:r>
          </w:p>
          <w:p w14:paraId="56641BBB">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snapToGrid w:val="0"/>
                <w:color w:val="auto"/>
                <w:kern w:val="0"/>
                <w:sz w:val="32"/>
                <w:szCs w:val="32"/>
              </w:rPr>
              <w:t>《现场检查记录》《责令限期整改指令书》等相关执法文书；</w:t>
            </w:r>
          </w:p>
          <w:p w14:paraId="6D34149C">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（3）烟花爆竹买卖合同；</w:t>
            </w:r>
          </w:p>
          <w:p w14:paraId="266371E2">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（4）流向信息资料；</w:t>
            </w:r>
          </w:p>
          <w:p w14:paraId="456A1E57">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（5）合同管理、流向登记制度；</w:t>
            </w:r>
          </w:p>
          <w:p w14:paraId="66AD4156">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（6）属地应急管理部门未备案证明；</w:t>
            </w:r>
          </w:p>
          <w:p w14:paraId="09E52EE7">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（7）黑火药、引火线的采购、销售记录；</w:t>
            </w:r>
          </w:p>
          <w:p w14:paraId="30D63449">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（8）现场照片及影像资料；</w:t>
            </w:r>
          </w:p>
          <w:p w14:paraId="42A3EA54">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（9）企业相关人员任职文件、身份证明及其询问笔录；</w:t>
            </w:r>
          </w:p>
          <w:p w14:paraId="2A290FD5">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napToGrid w:val="0"/>
                <w:color w:val="auto"/>
                <w:kern w:val="0"/>
                <w:sz w:val="32"/>
                <w:szCs w:val="32"/>
              </w:rPr>
              <w:t>（10）其他相关证据。</w:t>
            </w:r>
          </w:p>
        </w:tc>
        <w:tc>
          <w:tcPr>
            <w:tcW w:w="3900" w:type="dxa"/>
            <w:vAlign w:val="center"/>
          </w:tcPr>
          <w:p w14:paraId="61567431">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《烟花爆竹经营许可实施办法》第三十二条</w:t>
            </w:r>
            <w:r>
              <w:rPr>
                <w:rFonts w:hint="eastAsia" w:ascii="仿宋_GB2312" w:hAnsi="仿宋_GB2312" w:eastAsia="仿宋_GB2312" w:cs="仿宋_GB2312"/>
                <w:bCs/>
                <w:color w:val="auto"/>
                <w:sz w:val="32"/>
                <w:szCs w:val="32"/>
              </w:rPr>
              <w:t>批发企业有下列行为之一的，责令其限期改正，处5000元以上3万元以下的罚款：……</w:t>
            </w:r>
          </w:p>
          <w:p w14:paraId="3E0CD34B">
            <w:pPr>
              <w:widowControl/>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（六）未执行合同管理、流向登记制度或者未按照规定应用烟花爆竹流向管理信息系统的；</w:t>
            </w:r>
          </w:p>
          <w:p w14:paraId="62046754">
            <w:pPr>
              <w:widowControl/>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（七）未将黑火药、引火线的采购、销售记录报所在地县级安全监管局备案的；……</w:t>
            </w:r>
          </w:p>
          <w:p w14:paraId="4CD99D4C">
            <w:pPr>
              <w:widowControl/>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《烟花爆竹生产经营安全规定》</w:t>
            </w:r>
            <w:r>
              <w:rPr>
                <w:rFonts w:hint="eastAsia" w:ascii="仿宋_GB2312" w:hAnsi="仿宋_GB2312" w:eastAsia="仿宋_GB2312" w:cs="仿宋_GB2312"/>
                <w:b/>
                <w:color w:val="auto"/>
                <w:sz w:val="32"/>
                <w:szCs w:val="32"/>
              </w:rPr>
              <w:t>第三十五条</w:t>
            </w:r>
            <w:r>
              <w:rPr>
                <w:rFonts w:hint="eastAsia" w:ascii="仿宋_GB2312" w:hAnsi="仿宋_GB2312" w:eastAsia="仿宋_GB2312" w:cs="仿宋_GB2312"/>
                <w:bCs/>
                <w:color w:val="auto"/>
                <w:sz w:val="32"/>
                <w:szCs w:val="32"/>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14:paraId="53DACEFC">
            <w:pPr>
              <w:widowControl/>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（三）未建立烟花爆竹买卖合同管理制度的；</w:t>
            </w:r>
          </w:p>
          <w:p w14:paraId="02396E6E">
            <w:pPr>
              <w:widowControl/>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（四）未按规定建立烟花爆竹流向管理制度的。</w:t>
            </w:r>
          </w:p>
        </w:tc>
        <w:tc>
          <w:tcPr>
            <w:tcW w:w="951" w:type="dxa"/>
            <w:vAlign w:val="center"/>
          </w:tcPr>
          <w:p w14:paraId="2981DFAE">
            <w:pPr>
              <w:jc w:val="center"/>
              <w:rPr>
                <w:rFonts w:hint="eastAsia" w:ascii="仿宋_GB2312" w:hAnsi="仿宋_GB2312" w:eastAsia="仿宋_GB2312" w:cs="仿宋_GB2312"/>
                <w:bCs/>
                <w:color w:val="auto"/>
                <w:sz w:val="32"/>
                <w:szCs w:val="32"/>
              </w:rPr>
            </w:pPr>
          </w:p>
        </w:tc>
      </w:tr>
      <w:tr w14:paraId="6F37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616" w:type="dxa"/>
            <w:vMerge w:val="continue"/>
            <w:vAlign w:val="center"/>
          </w:tcPr>
          <w:p w14:paraId="5C4AC0FD">
            <w:pPr>
              <w:jc w:val="center"/>
              <w:rPr>
                <w:rFonts w:hint="eastAsia" w:ascii="仿宋_GB2312" w:hAnsi="仿宋_GB2312" w:eastAsia="仿宋_GB2312" w:cs="仿宋_GB2312"/>
                <w:bCs/>
                <w:color w:val="auto"/>
                <w:sz w:val="32"/>
                <w:szCs w:val="32"/>
              </w:rPr>
            </w:pPr>
          </w:p>
        </w:tc>
        <w:tc>
          <w:tcPr>
            <w:tcW w:w="950" w:type="dxa"/>
            <w:vMerge w:val="continue"/>
            <w:vAlign w:val="center"/>
          </w:tcPr>
          <w:p w14:paraId="0E59F537">
            <w:pPr>
              <w:jc w:val="center"/>
              <w:rPr>
                <w:rFonts w:hint="eastAsia" w:ascii="仿宋_GB2312" w:hAnsi="仿宋_GB2312" w:eastAsia="仿宋_GB2312" w:cs="仿宋_GB2312"/>
                <w:bCs/>
                <w:color w:val="auto"/>
                <w:sz w:val="32"/>
                <w:szCs w:val="32"/>
              </w:rPr>
            </w:pPr>
          </w:p>
        </w:tc>
        <w:tc>
          <w:tcPr>
            <w:tcW w:w="951" w:type="dxa"/>
            <w:vAlign w:val="center"/>
          </w:tcPr>
          <w:p w14:paraId="494A8C46">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2.3批发企业储存及零售点存放管理（重大隐患）</w:t>
            </w:r>
          </w:p>
        </w:tc>
        <w:tc>
          <w:tcPr>
            <w:tcW w:w="3900" w:type="dxa"/>
            <w:vAlign w:val="center"/>
          </w:tcPr>
          <w:p w14:paraId="69132297">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《烟花爆竹经营许可实施办法》</w:t>
            </w:r>
            <w:r>
              <w:rPr>
                <w:rFonts w:hint="eastAsia" w:ascii="仿宋_GB2312" w:hAnsi="仿宋_GB2312" w:eastAsia="仿宋_GB2312" w:cs="仿宋_GB2312"/>
                <w:b/>
                <w:color w:val="auto"/>
                <w:sz w:val="32"/>
                <w:szCs w:val="32"/>
              </w:rPr>
              <w:t>第二十三条</w:t>
            </w:r>
            <w:r>
              <w:rPr>
                <w:rFonts w:hint="eastAsia" w:ascii="仿宋_GB2312" w:hAnsi="仿宋_GB2312" w:eastAsia="仿宋_GB2312" w:cs="仿宋_GB2312"/>
                <w:bCs/>
                <w:color w:val="auto"/>
                <w:sz w:val="32"/>
                <w:szCs w:val="32"/>
              </w:rPr>
              <w:t>禁止在烟花爆竹经营许可证载明的储存（零售）场所以外储存烟花爆竹。</w:t>
            </w:r>
          </w:p>
          <w:p w14:paraId="23A2C2D1">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烟花爆竹仓库储存的烟花爆竹品种、规格和数量，不得超过国家标准或者行业标准规定的危险等级和核定限量。</w:t>
            </w:r>
          </w:p>
          <w:p w14:paraId="55D7A81A">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零售点存放的烟花爆竹品种和数量，不得超过烟花爆竹经营许可证载明的范围和限量。</w:t>
            </w:r>
          </w:p>
          <w:p w14:paraId="22BD57C3">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标准见《烟花爆竹作业安全技术规程》GB11652</w:t>
            </w:r>
          </w:p>
          <w:p w14:paraId="658F0275">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《烟花爆竹生产经营安全规定》</w:t>
            </w:r>
            <w:r>
              <w:rPr>
                <w:rFonts w:hint="eastAsia" w:ascii="仿宋_GB2312" w:hAnsi="仿宋_GB2312" w:eastAsia="仿宋_GB2312" w:cs="仿宋_GB2312"/>
                <w:b/>
                <w:snapToGrid w:val="0"/>
                <w:color w:val="auto"/>
                <w:kern w:val="0"/>
                <w:sz w:val="32"/>
                <w:szCs w:val="32"/>
              </w:rPr>
              <w:t>第二十条</w:t>
            </w:r>
            <w:r>
              <w:rPr>
                <w:rFonts w:hint="eastAsia" w:ascii="仿宋_GB2312" w:hAnsi="仿宋_GB2312" w:eastAsia="仿宋_GB2312" w:cs="仿宋_GB2312"/>
                <w:bCs/>
                <w:snapToGrid w:val="0"/>
                <w:color w:val="auto"/>
                <w:kern w:val="0"/>
                <w:sz w:val="32"/>
                <w:szCs w:val="32"/>
              </w:rPr>
              <w:t>生产企业、批发企业应当按照设计用途、危险等级、核定药量使用药物总库和成品总库，并按规定堆码，分类分级存放，保持仓库内通道畅通，准确记录药物和产品数量。</w:t>
            </w:r>
          </w:p>
          <w:p w14:paraId="0F678E0F">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禁止在仓库内进行拆箱、包装作业。禁止将性质不相容的物质混存。禁止将高危险等级物品储存在危险等级低的仓库。禁止在烟花爆竹仓库储存不属于烟花爆竹的其他危险物品。</w:t>
            </w:r>
          </w:p>
        </w:tc>
        <w:tc>
          <w:tcPr>
            <w:tcW w:w="3900" w:type="dxa"/>
            <w:vAlign w:val="center"/>
          </w:tcPr>
          <w:p w14:paraId="2565965D">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（1）相关证照；</w:t>
            </w:r>
          </w:p>
          <w:p w14:paraId="1EE9C47A">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snapToGrid w:val="0"/>
                <w:color w:val="auto"/>
                <w:kern w:val="0"/>
                <w:sz w:val="32"/>
                <w:szCs w:val="32"/>
              </w:rPr>
              <w:t>《现场检查记录》《责令限期整改指令书》等相关执法文书；</w:t>
            </w:r>
          </w:p>
          <w:p w14:paraId="7E9F6D5A">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（3）现场照片及影像资料；</w:t>
            </w:r>
          </w:p>
          <w:p w14:paraId="27A6186A">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（4）烟花爆竹安全评价报告；</w:t>
            </w:r>
          </w:p>
          <w:p w14:paraId="4899CB4C">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（5）烟花爆竹仓库设计图；</w:t>
            </w:r>
          </w:p>
          <w:p w14:paraId="0AB8FEA8">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（6）抽样检测报告；</w:t>
            </w:r>
          </w:p>
          <w:p w14:paraId="1168D56A">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（7）委托鉴定结论；</w:t>
            </w:r>
          </w:p>
          <w:p w14:paraId="1C7C8220">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（8）企业相关人员任职文件、身份证明及其询问笔录；</w:t>
            </w:r>
          </w:p>
          <w:p w14:paraId="2108757B">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napToGrid w:val="0"/>
                <w:color w:val="auto"/>
                <w:kern w:val="0"/>
                <w:sz w:val="32"/>
                <w:szCs w:val="32"/>
              </w:rPr>
              <w:t>（9）其他相关证据。</w:t>
            </w:r>
          </w:p>
        </w:tc>
        <w:tc>
          <w:tcPr>
            <w:tcW w:w="3900" w:type="dxa"/>
            <w:vAlign w:val="center"/>
          </w:tcPr>
          <w:p w14:paraId="481AE562">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《烟花爆竹经营许可实施办法》</w:t>
            </w:r>
            <w:r>
              <w:rPr>
                <w:rFonts w:hint="eastAsia" w:ascii="仿宋_GB2312" w:hAnsi="仿宋_GB2312" w:eastAsia="仿宋_GB2312" w:cs="仿宋_GB2312"/>
                <w:b/>
                <w:color w:val="auto"/>
                <w:sz w:val="32"/>
                <w:szCs w:val="32"/>
              </w:rPr>
              <w:t>第三十二条</w:t>
            </w:r>
            <w:r>
              <w:rPr>
                <w:rFonts w:hint="eastAsia" w:ascii="仿宋_GB2312" w:hAnsi="仿宋_GB2312" w:eastAsia="仿宋_GB2312" w:cs="仿宋_GB2312"/>
                <w:bCs/>
                <w:color w:val="auto"/>
                <w:sz w:val="32"/>
                <w:szCs w:val="32"/>
              </w:rPr>
              <w:t>批发企业有下列行为之一的，责令其限期改正，处5000元以上3万元以下的罚款：……</w:t>
            </w:r>
          </w:p>
          <w:p w14:paraId="34A3AB25">
            <w:pPr>
              <w:widowControl/>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（三）在仓库内违反国家标准或者行业标准规定储存烟花爆竹的；</w:t>
            </w:r>
          </w:p>
          <w:p w14:paraId="7206D689">
            <w:pPr>
              <w:widowControl/>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（四）在烟花爆竹经营许可证载明的仓库以外储存烟花爆竹的；……</w:t>
            </w:r>
          </w:p>
          <w:p w14:paraId="609E9181">
            <w:pPr>
              <w:widowControl/>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《烟花爆竹经营许可实施办法》</w:t>
            </w:r>
            <w:r>
              <w:rPr>
                <w:rFonts w:hint="eastAsia" w:ascii="仿宋_GB2312" w:hAnsi="仿宋_GB2312" w:eastAsia="仿宋_GB2312" w:cs="仿宋_GB2312"/>
                <w:b/>
                <w:color w:val="auto"/>
                <w:sz w:val="32"/>
                <w:szCs w:val="32"/>
              </w:rPr>
              <w:t>第三十五条</w:t>
            </w:r>
            <w:r>
              <w:rPr>
                <w:rFonts w:hint="eastAsia" w:ascii="仿宋_GB2312" w:hAnsi="仿宋_GB2312" w:eastAsia="仿宋_GB2312" w:cs="仿宋_GB2312"/>
                <w:bCs/>
                <w:color w:val="auto"/>
                <w:sz w:val="32"/>
                <w:szCs w:val="32"/>
              </w:rPr>
              <w:t>零售经营者有下列行为之一的，责令其限期改正，处1000元以上5000元以下的罚款；情节严重的，处5000元以上30000元以下的罚款：……</w:t>
            </w:r>
          </w:p>
          <w:p w14:paraId="5533ED64">
            <w:pPr>
              <w:widowControl/>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（二）存放的烟花爆竹数量超过零售许可证载明范围的。</w:t>
            </w:r>
          </w:p>
          <w:p w14:paraId="192FA414">
            <w:pPr>
              <w:widowControl/>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《烟花爆竹生产经营安全规定》</w:t>
            </w:r>
            <w:r>
              <w:rPr>
                <w:rFonts w:hint="eastAsia" w:ascii="仿宋_GB2312" w:hAnsi="仿宋_GB2312" w:eastAsia="仿宋_GB2312" w:cs="仿宋_GB2312"/>
                <w:b/>
                <w:color w:val="auto"/>
                <w:sz w:val="32"/>
                <w:szCs w:val="32"/>
              </w:rPr>
              <w:t>第三十八条</w:t>
            </w:r>
            <w:r>
              <w:rPr>
                <w:rFonts w:hint="eastAsia" w:ascii="仿宋_GB2312" w:hAnsi="仿宋_GB2312" w:eastAsia="仿宋_GB2312" w:cs="仿宋_GB2312"/>
                <w:bCs/>
                <w:color w:val="auto"/>
                <w:sz w:val="32"/>
                <w:szCs w:val="32"/>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7089D368">
            <w:pPr>
              <w:widowControl/>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（二）仓库内堆码、分类分级储存等违反国家标准或者行业标准规定的；</w:t>
            </w:r>
          </w:p>
          <w:p w14:paraId="5BECD568">
            <w:pPr>
              <w:widowControl/>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（三）在仓库内进行拆箱、包装作业，将性质不相容的物质混存的；……</w:t>
            </w:r>
          </w:p>
          <w:p w14:paraId="35EFC55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5ED5E6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6119A66">
            <w:pPr>
              <w:widowControl/>
              <w:adjustRightInd w:val="0"/>
              <w:snapToGrid w:val="0"/>
              <w:ind w:firstLine="640" w:firstLineChars="200"/>
              <w:rPr>
                <w:rFonts w:hint="eastAsia" w:ascii="仿宋_GB2312" w:hAnsi="仿宋_GB2312" w:eastAsia="仿宋_GB2312" w:cs="仿宋_GB2312"/>
                <w:bCs/>
                <w:color w:val="auto"/>
                <w:sz w:val="32"/>
                <w:szCs w:val="32"/>
              </w:rPr>
            </w:pPr>
          </w:p>
        </w:tc>
        <w:tc>
          <w:tcPr>
            <w:tcW w:w="951" w:type="dxa"/>
            <w:vMerge w:val="restart"/>
            <w:vAlign w:val="center"/>
          </w:tcPr>
          <w:p w14:paraId="763DF8E4">
            <w:pPr>
              <w:jc w:val="center"/>
              <w:rPr>
                <w:rFonts w:hint="eastAsia" w:ascii="仿宋_GB2312" w:hAnsi="仿宋_GB2312" w:eastAsia="仿宋_GB2312" w:cs="仿宋_GB2312"/>
                <w:bCs/>
                <w:color w:val="auto"/>
                <w:sz w:val="32"/>
                <w:szCs w:val="32"/>
              </w:rPr>
            </w:pPr>
          </w:p>
        </w:tc>
      </w:tr>
      <w:tr w14:paraId="11FD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16" w:type="dxa"/>
            <w:vMerge w:val="continue"/>
            <w:vAlign w:val="center"/>
          </w:tcPr>
          <w:p w14:paraId="7C6D6EFE">
            <w:pPr>
              <w:jc w:val="center"/>
              <w:rPr>
                <w:rFonts w:hint="eastAsia" w:ascii="仿宋_GB2312" w:hAnsi="仿宋_GB2312" w:eastAsia="仿宋_GB2312" w:cs="仿宋_GB2312"/>
                <w:bCs/>
                <w:color w:val="auto"/>
                <w:sz w:val="32"/>
                <w:szCs w:val="32"/>
              </w:rPr>
            </w:pPr>
          </w:p>
        </w:tc>
        <w:tc>
          <w:tcPr>
            <w:tcW w:w="950" w:type="dxa"/>
            <w:vMerge w:val="continue"/>
            <w:vAlign w:val="center"/>
          </w:tcPr>
          <w:p w14:paraId="0AB5302C">
            <w:pPr>
              <w:jc w:val="center"/>
              <w:rPr>
                <w:rFonts w:hint="eastAsia" w:ascii="仿宋_GB2312" w:hAnsi="仿宋_GB2312" w:eastAsia="仿宋_GB2312" w:cs="仿宋_GB2312"/>
                <w:bCs/>
                <w:color w:val="auto"/>
                <w:sz w:val="32"/>
                <w:szCs w:val="32"/>
              </w:rPr>
            </w:pPr>
          </w:p>
        </w:tc>
        <w:tc>
          <w:tcPr>
            <w:tcW w:w="951" w:type="dxa"/>
            <w:vAlign w:val="center"/>
          </w:tcPr>
          <w:p w14:paraId="0BD6035D">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2.4批发企业废弃产品销毁管理</w:t>
            </w:r>
          </w:p>
        </w:tc>
        <w:tc>
          <w:tcPr>
            <w:tcW w:w="3900" w:type="dxa"/>
            <w:vAlign w:val="center"/>
          </w:tcPr>
          <w:p w14:paraId="59D153D1">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snapToGrid w:val="0"/>
                <w:color w:val="auto"/>
                <w:kern w:val="0"/>
                <w:sz w:val="32"/>
                <w:szCs w:val="32"/>
              </w:rPr>
              <w:t>《烟花爆竹经营许可实施办法》第二十四条</w:t>
            </w:r>
            <w:r>
              <w:rPr>
                <w:rFonts w:hint="eastAsia" w:ascii="仿宋_GB2312" w:hAnsi="仿宋_GB2312" w:eastAsia="仿宋_GB2312" w:cs="仿宋_GB2312"/>
                <w:bCs/>
                <w:color w:val="auto"/>
                <w:sz w:val="32"/>
                <w:szCs w:val="32"/>
              </w:rPr>
              <w:t>批发企业对非法生产、假冒伪劣、过期、含有违禁药物以及其他存在严重质量问题的烟花爆竹，应当及时、妥善销毁。</w:t>
            </w:r>
          </w:p>
          <w:p w14:paraId="5534E902">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p>
          <w:p w14:paraId="1D7A2C4F">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《烟花爆竹生产经营安全规定》</w:t>
            </w:r>
            <w:r>
              <w:rPr>
                <w:rFonts w:hint="eastAsia" w:ascii="仿宋_GB2312" w:hAnsi="仿宋_GB2312" w:eastAsia="仿宋_GB2312" w:cs="仿宋_GB2312"/>
                <w:b/>
                <w:color w:val="auto"/>
                <w:sz w:val="32"/>
                <w:szCs w:val="32"/>
              </w:rPr>
              <w:t>第二十六条</w:t>
            </w:r>
            <w:r>
              <w:rPr>
                <w:rFonts w:hint="eastAsia" w:ascii="仿宋_GB2312" w:hAnsi="仿宋_GB2312" w:eastAsia="仿宋_GB2312" w:cs="仿宋_GB2312"/>
                <w:bCs/>
                <w:color w:val="auto"/>
                <w:sz w:val="32"/>
                <w:szCs w:val="32"/>
              </w:rPr>
              <w:t>生产企业、批发企业应当及时妥善处置生产经营过程中产生的各类危险性废弃物。不得留存过期的烟花爆竹成品、半成品、原材料及各类危险性废弃物。</w:t>
            </w:r>
          </w:p>
          <w:p w14:paraId="0E245DA5">
            <w:pPr>
              <w:adjustRightInd w:val="0"/>
              <w:snapToGrid w:val="0"/>
              <w:ind w:firstLine="640" w:firstLineChars="200"/>
              <w:rPr>
                <w:rFonts w:hint="eastAsia" w:ascii="仿宋_GB2312" w:hAnsi="仿宋_GB2312" w:eastAsia="仿宋_GB2312" w:cs="仿宋_GB2312"/>
                <w:bCs/>
                <w:color w:val="auto"/>
                <w:sz w:val="32"/>
                <w:szCs w:val="32"/>
              </w:rPr>
            </w:pPr>
          </w:p>
        </w:tc>
        <w:tc>
          <w:tcPr>
            <w:tcW w:w="3900" w:type="dxa"/>
            <w:vAlign w:val="center"/>
          </w:tcPr>
          <w:p w14:paraId="7C46ADB4">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（1）相关证照；</w:t>
            </w:r>
          </w:p>
          <w:p w14:paraId="1EF97E56">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snapToGrid w:val="0"/>
                <w:color w:val="auto"/>
                <w:kern w:val="0"/>
                <w:sz w:val="32"/>
                <w:szCs w:val="32"/>
              </w:rPr>
              <w:t>《现场检查记录》《责令限期整改指令书》等相关执法文书；</w:t>
            </w:r>
          </w:p>
          <w:p w14:paraId="1ACAF935">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（3）烟花爆竹废弃产品销毁处置制度；</w:t>
            </w:r>
          </w:p>
          <w:p w14:paraId="322159DA">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（4）现场照片及影像资料；</w:t>
            </w:r>
          </w:p>
          <w:p w14:paraId="71B80FDE">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（5）企业相关人员任职文件、身份证明及其询问笔录；</w:t>
            </w:r>
          </w:p>
          <w:p w14:paraId="77A5844B">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napToGrid w:val="0"/>
                <w:color w:val="auto"/>
                <w:kern w:val="0"/>
                <w:sz w:val="32"/>
                <w:szCs w:val="32"/>
              </w:rPr>
              <w:t>（6）其他相关证据。</w:t>
            </w:r>
          </w:p>
        </w:tc>
        <w:tc>
          <w:tcPr>
            <w:tcW w:w="3900" w:type="dxa"/>
            <w:vAlign w:val="center"/>
          </w:tcPr>
          <w:p w14:paraId="798A78C3">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《烟花爆竹经营许可实施办法》第三十二条</w:t>
            </w:r>
            <w:r>
              <w:rPr>
                <w:rFonts w:hint="eastAsia" w:ascii="仿宋_GB2312" w:hAnsi="仿宋_GB2312" w:eastAsia="仿宋_GB2312" w:cs="仿宋_GB2312"/>
                <w:bCs/>
                <w:color w:val="auto"/>
                <w:sz w:val="32"/>
                <w:szCs w:val="32"/>
              </w:rPr>
              <w:t>批发企业有下列行为之一的，责令其限期改正，处5000元以上3万元以下的罚款：……</w:t>
            </w:r>
          </w:p>
          <w:p w14:paraId="1182FF9C">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（五）对假冒伪劣、过期、含有超量、违禁药物以及其他存在严重质量问题的烟花爆竹未及时销毁的；……</w:t>
            </w:r>
          </w:p>
          <w:p w14:paraId="56EC2E34">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《烟花爆竹生产经营安全规定》第三十八条</w:t>
            </w:r>
            <w:r>
              <w:rPr>
                <w:rFonts w:hint="eastAsia" w:ascii="仿宋_GB2312" w:hAnsi="仿宋_GB2312" w:eastAsia="仿宋_GB2312" w:cs="仿宋_GB2312"/>
                <w:bCs/>
                <w:color w:val="auto"/>
                <w:sz w:val="32"/>
                <w:szCs w:val="32"/>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763570A0">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（五）留存过期及废弃的烟花爆竹成品、半成品、原材料等危险废弃物的；……</w:t>
            </w:r>
          </w:p>
        </w:tc>
        <w:tc>
          <w:tcPr>
            <w:tcW w:w="951" w:type="dxa"/>
            <w:vMerge w:val="continue"/>
            <w:vAlign w:val="center"/>
          </w:tcPr>
          <w:p w14:paraId="651CCCF2">
            <w:pPr>
              <w:jc w:val="center"/>
              <w:rPr>
                <w:rFonts w:hint="eastAsia" w:ascii="仿宋_GB2312" w:hAnsi="仿宋_GB2312" w:eastAsia="仿宋_GB2312" w:cs="仿宋_GB2312"/>
                <w:bCs/>
                <w:color w:val="auto"/>
                <w:sz w:val="32"/>
                <w:szCs w:val="32"/>
              </w:rPr>
            </w:pPr>
          </w:p>
        </w:tc>
      </w:tr>
      <w:tr w14:paraId="0B89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16" w:type="dxa"/>
            <w:vMerge w:val="restart"/>
            <w:vAlign w:val="center"/>
          </w:tcPr>
          <w:p w14:paraId="6E384F4E">
            <w:pPr>
              <w:jc w:val="center"/>
              <w:rPr>
                <w:rFonts w:hint="eastAsia" w:ascii="仿宋_GB2312" w:hAnsi="仿宋_GB2312" w:eastAsia="仿宋_GB2312" w:cs="仿宋_GB2312"/>
                <w:bCs/>
                <w:color w:val="auto"/>
                <w:sz w:val="32"/>
                <w:szCs w:val="32"/>
              </w:rPr>
            </w:pPr>
          </w:p>
        </w:tc>
        <w:tc>
          <w:tcPr>
            <w:tcW w:w="950" w:type="dxa"/>
            <w:vMerge w:val="restart"/>
            <w:vAlign w:val="center"/>
          </w:tcPr>
          <w:p w14:paraId="67595F46">
            <w:pPr>
              <w:jc w:val="center"/>
              <w:rPr>
                <w:rFonts w:hint="eastAsia" w:ascii="仿宋_GB2312" w:hAnsi="仿宋_GB2312" w:eastAsia="仿宋_GB2312" w:cs="仿宋_GB2312"/>
                <w:bCs/>
                <w:color w:val="auto"/>
                <w:sz w:val="32"/>
                <w:szCs w:val="32"/>
              </w:rPr>
            </w:pPr>
          </w:p>
        </w:tc>
        <w:tc>
          <w:tcPr>
            <w:tcW w:w="951" w:type="dxa"/>
            <w:vAlign w:val="center"/>
          </w:tcPr>
          <w:p w14:paraId="50D4D1DF">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2.5批发企业安全生产标志标识</w:t>
            </w:r>
          </w:p>
        </w:tc>
        <w:tc>
          <w:tcPr>
            <w:tcW w:w="3900" w:type="dxa"/>
            <w:vAlign w:val="center"/>
          </w:tcPr>
          <w:p w14:paraId="2733D3BA">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第三十五条</w:t>
            </w:r>
            <w:r>
              <w:rPr>
                <w:rFonts w:hint="eastAsia" w:ascii="仿宋_GB2312" w:hAnsi="仿宋_GB2312" w:eastAsia="仿宋_GB2312" w:cs="仿宋_GB2312"/>
                <w:bCs/>
                <w:snapToGrid w:val="0"/>
                <w:color w:val="auto"/>
                <w:kern w:val="0"/>
                <w:sz w:val="32"/>
                <w:szCs w:val="32"/>
              </w:rPr>
              <w:t>生产经营单位应当在有较大危险因素的生产经营场所和有关设施、设备上，设置明显的安全警示标志。</w:t>
            </w:r>
          </w:p>
          <w:p w14:paraId="63849CDD">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《烟花爆竹生产经营安全规定》</w:t>
            </w:r>
            <w:r>
              <w:rPr>
                <w:rFonts w:hint="eastAsia" w:ascii="仿宋_GB2312" w:hAnsi="仿宋_GB2312" w:eastAsia="仿宋_GB2312" w:cs="仿宋_GB2312"/>
                <w:b/>
                <w:color w:val="auto"/>
                <w:sz w:val="32"/>
                <w:szCs w:val="32"/>
              </w:rPr>
              <w:t>第十一条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
                <w:color w:val="auto"/>
                <w:sz w:val="32"/>
                <w:szCs w:val="32"/>
              </w:rPr>
              <w:t>第一款</w:t>
            </w:r>
            <w:r>
              <w:rPr>
                <w:rFonts w:hint="eastAsia" w:ascii="仿宋_GB2312" w:hAnsi="仿宋_GB2312" w:eastAsia="仿宋_GB2312" w:cs="仿宋_GB2312"/>
                <w:bCs/>
                <w:color w:val="auto"/>
                <w:sz w:val="32"/>
                <w:szCs w:val="32"/>
              </w:rPr>
              <w:t>生产企业、批发企业的生产区、总仓库区、工（库）房及其他有较大危险因素的生产经营场所和有关设施设备上，应当设置明显的安全警示标志；所有工（库）房应当按照国家标准或者行业标准的规定设置准确、清晰、醒目的定员、定量、定级标识。</w:t>
            </w:r>
          </w:p>
          <w:p w14:paraId="008D46E4">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常用标准见《烟花爆竹安全生产标志》AQ4114</w:t>
            </w:r>
          </w:p>
        </w:tc>
        <w:tc>
          <w:tcPr>
            <w:tcW w:w="3900" w:type="dxa"/>
            <w:vAlign w:val="center"/>
          </w:tcPr>
          <w:p w14:paraId="0AC7EBD7">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（1）相关证照；</w:t>
            </w:r>
          </w:p>
          <w:p w14:paraId="2C871BA3">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snapToGrid w:val="0"/>
                <w:color w:val="auto"/>
                <w:kern w:val="0"/>
                <w:sz w:val="32"/>
                <w:szCs w:val="32"/>
              </w:rPr>
              <w:t>《现场检查记录》《责令限期整改指令书》等相关执法文书；</w:t>
            </w:r>
          </w:p>
          <w:p w14:paraId="42DFC154">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（3）烟花爆竹安全评价报告（安全技术参数表）；</w:t>
            </w:r>
          </w:p>
          <w:p w14:paraId="0017BD8A">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（4）现场照片及影像资料；</w:t>
            </w:r>
          </w:p>
          <w:p w14:paraId="3E63ED08">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（5）企业相关人员任职文件、身份证明及其询问笔录；</w:t>
            </w:r>
          </w:p>
          <w:p w14:paraId="663E026B">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napToGrid w:val="0"/>
                <w:color w:val="auto"/>
                <w:kern w:val="0"/>
                <w:sz w:val="32"/>
                <w:szCs w:val="32"/>
              </w:rPr>
              <w:t>（6）其他相关证据。</w:t>
            </w:r>
          </w:p>
        </w:tc>
        <w:tc>
          <w:tcPr>
            <w:tcW w:w="3900" w:type="dxa"/>
            <w:vAlign w:val="center"/>
          </w:tcPr>
          <w:p w14:paraId="5BE0201C">
            <w:pPr>
              <w:widowControl/>
              <w:shd w:val="clear" w:color="auto" w:fill="FFFFFF"/>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第九十九条第一项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520CE68">
            <w:pPr>
              <w:widowControl/>
              <w:shd w:val="clear" w:color="auto" w:fill="FFFFFF"/>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（一）未在有较大危险因素的生产经营场所和有关设施、设备上设置明显的安全警示标志的；</w:t>
            </w:r>
          </w:p>
          <w:p w14:paraId="65A64FEC">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《烟花爆竹生产经营安全规定》</w:t>
            </w:r>
            <w:r>
              <w:rPr>
                <w:rFonts w:hint="eastAsia" w:ascii="仿宋_GB2312" w:hAnsi="仿宋_GB2312" w:eastAsia="仿宋_GB2312" w:cs="仿宋_GB2312"/>
                <w:b/>
                <w:color w:val="auto"/>
                <w:sz w:val="32"/>
                <w:szCs w:val="32"/>
              </w:rPr>
              <w:t>第三十三条</w:t>
            </w:r>
            <w:r>
              <w:rPr>
                <w:rFonts w:hint="eastAsia" w:ascii="仿宋_GB2312" w:hAnsi="仿宋_GB2312" w:eastAsia="仿宋_GB2312" w:cs="仿宋_GB2312"/>
                <w:bCs/>
                <w:color w:val="auto"/>
                <w:sz w:val="32"/>
                <w:szCs w:val="32"/>
              </w:rPr>
              <w:t>生产企业、批发企业有下列行为之一的，责令限期改正；逾期未改正的，处一万元以上三万元以下的罚款：</w:t>
            </w:r>
          </w:p>
          <w:p w14:paraId="59A559CC">
            <w:p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（一）工（库）房没有设置准确、清晰、醒目的定员、定量、定级标识的；……</w:t>
            </w:r>
          </w:p>
        </w:tc>
        <w:tc>
          <w:tcPr>
            <w:tcW w:w="951" w:type="dxa"/>
            <w:vAlign w:val="center"/>
          </w:tcPr>
          <w:p w14:paraId="5E77B301">
            <w:pPr>
              <w:jc w:val="center"/>
              <w:rPr>
                <w:rFonts w:hint="eastAsia" w:ascii="仿宋_GB2312" w:hAnsi="仿宋_GB2312" w:eastAsia="仿宋_GB2312" w:cs="仿宋_GB2312"/>
                <w:bCs/>
                <w:color w:val="auto"/>
                <w:sz w:val="32"/>
                <w:szCs w:val="32"/>
              </w:rPr>
            </w:pPr>
          </w:p>
        </w:tc>
      </w:tr>
      <w:tr w14:paraId="7070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616" w:type="dxa"/>
            <w:vMerge w:val="continue"/>
            <w:vAlign w:val="center"/>
          </w:tcPr>
          <w:p w14:paraId="42D557E5">
            <w:pPr>
              <w:jc w:val="center"/>
              <w:rPr>
                <w:rFonts w:hint="eastAsia" w:ascii="仿宋_GB2312" w:hAnsi="仿宋_GB2312" w:eastAsia="仿宋_GB2312" w:cs="仿宋_GB2312"/>
                <w:bCs/>
                <w:color w:val="auto"/>
                <w:sz w:val="32"/>
                <w:szCs w:val="32"/>
              </w:rPr>
            </w:pPr>
          </w:p>
        </w:tc>
        <w:tc>
          <w:tcPr>
            <w:tcW w:w="950" w:type="dxa"/>
            <w:vMerge w:val="continue"/>
            <w:vAlign w:val="center"/>
          </w:tcPr>
          <w:p w14:paraId="137B4067">
            <w:pPr>
              <w:jc w:val="center"/>
              <w:rPr>
                <w:rFonts w:hint="eastAsia" w:ascii="仿宋_GB2312" w:hAnsi="仿宋_GB2312" w:eastAsia="仿宋_GB2312" w:cs="仿宋_GB2312"/>
                <w:bCs/>
                <w:color w:val="auto"/>
                <w:sz w:val="32"/>
                <w:szCs w:val="32"/>
              </w:rPr>
            </w:pPr>
          </w:p>
        </w:tc>
        <w:tc>
          <w:tcPr>
            <w:tcW w:w="951" w:type="dxa"/>
            <w:vAlign w:val="center"/>
          </w:tcPr>
          <w:p w14:paraId="18289455">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2.6批发企业安全风险和隐患管理</w:t>
            </w:r>
          </w:p>
        </w:tc>
        <w:tc>
          <w:tcPr>
            <w:tcW w:w="3900" w:type="dxa"/>
            <w:vAlign w:val="center"/>
          </w:tcPr>
          <w:p w14:paraId="45DBD4EA">
            <w:pPr>
              <w:widowControl/>
              <w:shd w:val="clear" w:color="auto" w:fill="FFFFFF"/>
              <w:ind w:firstLine="321" w:firstLineChars="1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第四十一条第一款、第二款</w:t>
            </w:r>
            <w:r>
              <w:rPr>
                <w:rFonts w:hint="eastAsia" w:ascii="仿宋_GB2312" w:hAnsi="仿宋_GB2312" w:eastAsia="仿宋_GB2312" w:cs="仿宋_GB2312"/>
                <w:bCs/>
                <w:snapToGrid w:val="0"/>
                <w:color w:val="auto"/>
                <w:kern w:val="0"/>
                <w:sz w:val="32"/>
                <w:szCs w:val="32"/>
              </w:rPr>
              <w:t>生产经营单位应当建立安全风险分级管控制度，按照安全风险分级采取相应的管控措施。</w:t>
            </w:r>
          </w:p>
          <w:p w14:paraId="13047F57">
            <w:pPr>
              <w:widowControl/>
              <w:shd w:val="clear" w:color="auto" w:fill="FFFFFF"/>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46B5FC01">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《烟花爆竹生产经营安全规定》</w:t>
            </w:r>
            <w:r>
              <w:rPr>
                <w:rFonts w:hint="eastAsia" w:ascii="仿宋_GB2312" w:hAnsi="仿宋_GB2312" w:eastAsia="仿宋_GB2312" w:cs="仿宋_GB2312"/>
                <w:b/>
                <w:color w:val="auto"/>
                <w:sz w:val="32"/>
                <w:szCs w:val="32"/>
              </w:rPr>
              <w:t>第十五条</w:t>
            </w:r>
            <w:r>
              <w:rPr>
                <w:rFonts w:hint="eastAsia" w:ascii="仿宋_GB2312" w:hAnsi="仿宋_GB2312" w:eastAsia="仿宋_GB2312" w:cs="仿宋_GB2312"/>
                <w:bCs/>
                <w:color w:val="auto"/>
                <w:sz w:val="32"/>
                <w:szCs w:val="32"/>
              </w:rPr>
              <w:t xml:space="preserve">  生产企业、批发企业应当依法建立安全风险分级管控和事故隐患排查治理双重预防机制，采取技术、管理等措施，管控安全风险，及时消除事故隐患，建立安全风险分级管控和事故隐患排查治理档案，如实记录安全风险分级管控和事故隐患排查治理情况，并向本企业从业人员通报。</w:t>
            </w:r>
          </w:p>
        </w:tc>
        <w:tc>
          <w:tcPr>
            <w:tcW w:w="3900" w:type="dxa"/>
            <w:vAlign w:val="center"/>
          </w:tcPr>
          <w:p w14:paraId="6FFE179E">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（1）相关证照；</w:t>
            </w:r>
          </w:p>
          <w:p w14:paraId="10524DAF">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snapToGrid w:val="0"/>
                <w:color w:val="auto"/>
                <w:kern w:val="0"/>
                <w:sz w:val="32"/>
                <w:szCs w:val="32"/>
              </w:rPr>
              <w:t>《现场检查记录》《责令限期整改指令书》等相关执法文书；</w:t>
            </w:r>
          </w:p>
          <w:p w14:paraId="662B61A3">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（3）安全风险分级评估报告；</w:t>
            </w:r>
          </w:p>
          <w:p w14:paraId="4D4FE8D0">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（4）事故隐患排查治理台账及记录；</w:t>
            </w:r>
          </w:p>
          <w:p w14:paraId="5C6CB3E0">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（5）安全风险分级管控和事故隐患排查治理制度；</w:t>
            </w:r>
          </w:p>
          <w:p w14:paraId="6935605B">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（6）企业相关人员任职文件、身份证明及其询问笔录；</w:t>
            </w:r>
          </w:p>
          <w:p w14:paraId="38AAC8D5">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napToGrid w:val="0"/>
                <w:color w:val="auto"/>
                <w:kern w:val="0"/>
                <w:sz w:val="32"/>
                <w:szCs w:val="32"/>
              </w:rPr>
              <w:t>（7）其他相关证据。</w:t>
            </w:r>
          </w:p>
        </w:tc>
        <w:tc>
          <w:tcPr>
            <w:tcW w:w="3900" w:type="dxa"/>
            <w:vAlign w:val="center"/>
          </w:tcPr>
          <w:p w14:paraId="03D25C51">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《中华人民共和国安全生产法》第一百零一条第四项、第五项</w:t>
            </w:r>
            <w:r>
              <w:rPr>
                <w:rFonts w:hint="eastAsia" w:ascii="仿宋_GB2312" w:hAnsi="仿宋_GB2312" w:eastAsia="仿宋_GB2312" w:cs="仿宋_GB2312"/>
                <w:bCs/>
                <w:snapToGrid w:val="0"/>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01A3E4A4">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（四）未建立安全风险分级管控制度或者未按照安全风险分级采取相应管控措施的；</w:t>
            </w:r>
          </w:p>
          <w:p w14:paraId="12931CFB">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（五）未建立事故隐患排查治理制度，或者重大事故隐患排查治理情况未按照规定报告的。</w:t>
            </w:r>
          </w:p>
          <w:p w14:paraId="430E061A">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第九十七条第五项</w:t>
            </w:r>
            <w:r>
              <w:rPr>
                <w:rFonts w:hint="eastAsia" w:ascii="仿宋_GB2312" w:hAnsi="仿宋_GB2312" w:eastAsia="仿宋_GB2312" w:cs="仿宋_GB2312"/>
                <w:bCs/>
                <w:color w:val="auto"/>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3738E65C">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（五）未将事故隐患排查治理情况如实记录或者未向从业人员通报的；</w:t>
            </w:r>
          </w:p>
          <w:p w14:paraId="5993E839">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sz w:val="32"/>
                <w:szCs w:val="32"/>
              </w:rPr>
              <w:t>《烟花爆竹生产经营安全规定》</w:t>
            </w:r>
            <w:r>
              <w:rPr>
                <w:rFonts w:hint="eastAsia" w:ascii="仿宋_GB2312" w:hAnsi="仿宋_GB2312" w:eastAsia="仿宋_GB2312" w:cs="仿宋_GB2312"/>
                <w:b/>
                <w:color w:val="auto"/>
                <w:sz w:val="32"/>
                <w:szCs w:val="32"/>
              </w:rPr>
              <w:t>第三十九条</w:t>
            </w:r>
            <w:r>
              <w:rPr>
                <w:rFonts w:hint="eastAsia" w:ascii="仿宋_GB2312" w:hAnsi="仿宋_GB2312" w:eastAsia="仿宋_GB2312" w:cs="仿宋_GB2312"/>
                <w:bCs/>
                <w:color w:val="auto"/>
                <w:sz w:val="32"/>
                <w:szCs w:val="32"/>
              </w:rPr>
              <w:t>违反本规定，构成《中华人民共和国安全生产法》  及其他法律、行政法规规定的其他违法行为的，依照《中华人民共和国安全生产法》  等法律、行政法规的规定处理。涉嫌犯罪的，依法移送司法机关追究刑事责任。</w:t>
            </w:r>
          </w:p>
        </w:tc>
        <w:tc>
          <w:tcPr>
            <w:tcW w:w="951" w:type="dxa"/>
            <w:vAlign w:val="center"/>
          </w:tcPr>
          <w:p w14:paraId="3589D54D">
            <w:pPr>
              <w:jc w:val="center"/>
              <w:rPr>
                <w:rFonts w:hint="eastAsia" w:ascii="仿宋_GB2312" w:hAnsi="仿宋_GB2312" w:eastAsia="仿宋_GB2312" w:cs="仿宋_GB2312"/>
                <w:bCs/>
                <w:color w:val="auto"/>
                <w:sz w:val="32"/>
                <w:szCs w:val="32"/>
              </w:rPr>
            </w:pPr>
          </w:p>
        </w:tc>
      </w:tr>
      <w:tr w14:paraId="1E59E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616" w:type="dxa"/>
            <w:vMerge w:val="continue"/>
            <w:vAlign w:val="center"/>
          </w:tcPr>
          <w:p w14:paraId="1D6A44DD">
            <w:pPr>
              <w:jc w:val="center"/>
              <w:rPr>
                <w:rFonts w:hint="eastAsia" w:ascii="仿宋_GB2312" w:hAnsi="仿宋_GB2312" w:eastAsia="仿宋_GB2312" w:cs="仿宋_GB2312"/>
                <w:bCs/>
                <w:color w:val="auto"/>
                <w:sz w:val="32"/>
                <w:szCs w:val="32"/>
              </w:rPr>
            </w:pPr>
          </w:p>
        </w:tc>
        <w:tc>
          <w:tcPr>
            <w:tcW w:w="950" w:type="dxa"/>
            <w:vMerge w:val="continue"/>
            <w:vAlign w:val="center"/>
          </w:tcPr>
          <w:p w14:paraId="3047E7B1">
            <w:pPr>
              <w:jc w:val="center"/>
              <w:rPr>
                <w:rFonts w:hint="eastAsia" w:ascii="仿宋_GB2312" w:hAnsi="仿宋_GB2312" w:eastAsia="仿宋_GB2312" w:cs="仿宋_GB2312"/>
                <w:bCs/>
                <w:color w:val="auto"/>
                <w:sz w:val="32"/>
                <w:szCs w:val="32"/>
              </w:rPr>
            </w:pPr>
          </w:p>
        </w:tc>
        <w:tc>
          <w:tcPr>
            <w:tcW w:w="951" w:type="dxa"/>
            <w:vMerge w:val="restart"/>
            <w:vAlign w:val="center"/>
          </w:tcPr>
          <w:p w14:paraId="14D33C12">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2.7批发企业人员、车辆出入库管理（重大隐患）</w:t>
            </w:r>
          </w:p>
        </w:tc>
        <w:tc>
          <w:tcPr>
            <w:tcW w:w="3900" w:type="dxa"/>
            <w:vAlign w:val="center"/>
          </w:tcPr>
          <w:p w14:paraId="15A88AAD">
            <w:pPr>
              <w:adjustRightInd w:val="0"/>
              <w:snapToGrid w:val="0"/>
              <w:ind w:firstLine="643"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《烟花爆竹生产经营安全规定》第十六条</w:t>
            </w:r>
            <w:r>
              <w:rPr>
                <w:rFonts w:hint="eastAsia" w:ascii="仿宋_GB2312" w:hAnsi="仿宋_GB2312" w:eastAsia="仿宋_GB2312" w:cs="仿宋_GB2312"/>
                <w:bCs/>
                <w:color w:val="auto"/>
                <w:sz w:val="32"/>
                <w:szCs w:val="32"/>
              </w:rPr>
              <w:t>生产企业、批发企业必须建立值班制度和现场巡查制度，全面掌握当日各岗位人员数量及药物分布等安全生产情况，确保不超员超量，并及时处置异常情况。</w:t>
            </w:r>
          </w:p>
          <w:p w14:paraId="495EE0CD">
            <w:pPr>
              <w:adjustRightInd w:val="0"/>
              <w:snapToGrid w:val="0"/>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生产企业、批发企业的危险品生产区、总仓库区，应当确保二十四小时有人值班，并保持监控设施有效、通信畅通。</w:t>
            </w:r>
          </w:p>
        </w:tc>
        <w:tc>
          <w:tcPr>
            <w:tcW w:w="3900" w:type="dxa"/>
            <w:vAlign w:val="center"/>
          </w:tcPr>
          <w:p w14:paraId="25895BA4">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（1）相关证照；</w:t>
            </w:r>
          </w:p>
          <w:p w14:paraId="6EFF36EB">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snapToGrid w:val="0"/>
                <w:color w:val="auto"/>
                <w:kern w:val="0"/>
                <w:sz w:val="32"/>
                <w:szCs w:val="32"/>
              </w:rPr>
              <w:t>《现场检查记录》《责令限期整改指令书》等相关执法文书；</w:t>
            </w:r>
          </w:p>
          <w:p w14:paraId="491B1EC4">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（3）值班制度和现场巡查制度；</w:t>
            </w:r>
          </w:p>
          <w:p w14:paraId="527A424F">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（4）值班记录和巡查记录等资料；</w:t>
            </w:r>
          </w:p>
          <w:p w14:paraId="021EE7EE">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（5）监控设施运行记录；</w:t>
            </w:r>
          </w:p>
          <w:p w14:paraId="0A13D684">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（6）现场照片及影像资料；</w:t>
            </w:r>
          </w:p>
          <w:p w14:paraId="126C048C">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（7）企业相关人员任职文件、身份证明及其询问笔录；</w:t>
            </w:r>
          </w:p>
          <w:p w14:paraId="4CEFCAE5">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napToGrid w:val="0"/>
                <w:color w:val="auto"/>
                <w:kern w:val="0"/>
                <w:sz w:val="32"/>
                <w:szCs w:val="32"/>
              </w:rPr>
              <w:t>（8）其他相关证据。</w:t>
            </w:r>
          </w:p>
        </w:tc>
        <w:tc>
          <w:tcPr>
            <w:tcW w:w="3900" w:type="dxa"/>
            <w:vAlign w:val="center"/>
          </w:tcPr>
          <w:p w14:paraId="346ED7BE">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《烟花爆竹生产经营安全规定》第三十九条</w:t>
            </w:r>
            <w:r>
              <w:rPr>
                <w:rFonts w:hint="eastAsia" w:ascii="仿宋_GB2312" w:hAnsi="仿宋_GB2312" w:eastAsia="仿宋_GB2312" w:cs="仿宋_GB2312"/>
                <w:bCs/>
                <w:color w:val="auto"/>
                <w:sz w:val="32"/>
                <w:szCs w:val="32"/>
              </w:rPr>
              <w:t xml:space="preserve">  违反本规定，构成《中华人民共和国安全生产法》  及其他法律、行政法规规定的其他违法行为的，依照《中华人民共和国安全生产法》  等法律、行政法规的规定处理。涉嫌犯罪的，依法移送司法机关追究刑事责任。</w:t>
            </w:r>
          </w:p>
        </w:tc>
        <w:tc>
          <w:tcPr>
            <w:tcW w:w="951" w:type="dxa"/>
            <w:vMerge w:val="restart"/>
            <w:vAlign w:val="center"/>
          </w:tcPr>
          <w:p w14:paraId="6C7EBFA1">
            <w:pPr>
              <w:jc w:val="center"/>
              <w:rPr>
                <w:rFonts w:hint="eastAsia" w:ascii="仿宋_GB2312" w:hAnsi="仿宋_GB2312" w:eastAsia="仿宋_GB2312" w:cs="仿宋_GB2312"/>
                <w:bCs/>
                <w:color w:val="auto"/>
                <w:sz w:val="32"/>
                <w:szCs w:val="32"/>
              </w:rPr>
            </w:pPr>
          </w:p>
        </w:tc>
      </w:tr>
      <w:tr w14:paraId="76DD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6" w:type="dxa"/>
            <w:vMerge w:val="continue"/>
            <w:vAlign w:val="center"/>
          </w:tcPr>
          <w:p w14:paraId="4ED454E1">
            <w:pPr>
              <w:jc w:val="center"/>
              <w:rPr>
                <w:rFonts w:hint="eastAsia" w:ascii="仿宋_GB2312" w:hAnsi="仿宋_GB2312" w:eastAsia="仿宋_GB2312" w:cs="仿宋_GB2312"/>
                <w:bCs/>
                <w:color w:val="auto"/>
                <w:sz w:val="32"/>
                <w:szCs w:val="32"/>
              </w:rPr>
            </w:pPr>
          </w:p>
        </w:tc>
        <w:tc>
          <w:tcPr>
            <w:tcW w:w="950" w:type="dxa"/>
            <w:vMerge w:val="continue"/>
            <w:vAlign w:val="center"/>
          </w:tcPr>
          <w:p w14:paraId="332179CA">
            <w:pPr>
              <w:jc w:val="center"/>
              <w:rPr>
                <w:rFonts w:hint="eastAsia" w:ascii="仿宋_GB2312" w:hAnsi="仿宋_GB2312" w:eastAsia="仿宋_GB2312" w:cs="仿宋_GB2312"/>
                <w:bCs/>
                <w:color w:val="auto"/>
                <w:sz w:val="32"/>
                <w:szCs w:val="32"/>
              </w:rPr>
            </w:pPr>
          </w:p>
        </w:tc>
        <w:tc>
          <w:tcPr>
            <w:tcW w:w="951" w:type="dxa"/>
            <w:vMerge w:val="continue"/>
            <w:vAlign w:val="center"/>
          </w:tcPr>
          <w:p w14:paraId="2663F701">
            <w:pPr>
              <w:adjustRightInd w:val="0"/>
              <w:snapToGrid w:val="0"/>
              <w:jc w:val="left"/>
              <w:rPr>
                <w:rFonts w:hint="eastAsia" w:ascii="仿宋_GB2312" w:hAnsi="仿宋_GB2312" w:eastAsia="仿宋_GB2312" w:cs="仿宋_GB2312"/>
                <w:bCs/>
                <w:color w:val="auto"/>
                <w:sz w:val="32"/>
                <w:szCs w:val="32"/>
              </w:rPr>
            </w:pPr>
          </w:p>
        </w:tc>
        <w:tc>
          <w:tcPr>
            <w:tcW w:w="3900" w:type="dxa"/>
            <w:vAlign w:val="center"/>
          </w:tcPr>
          <w:p w14:paraId="2BBBE2E6">
            <w:pPr>
              <w:adjustRightInd w:val="0"/>
              <w:snapToGrid w:val="0"/>
              <w:ind w:firstLine="643"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《烟花爆竹生产经营安全规定》第十七条</w:t>
            </w:r>
            <w:r>
              <w:rPr>
                <w:rFonts w:hint="eastAsia" w:ascii="仿宋_GB2312" w:hAnsi="仿宋_GB2312" w:eastAsia="仿宋_GB2312" w:cs="仿宋_GB2312"/>
                <w:bCs/>
                <w:color w:val="auto"/>
                <w:sz w:val="32"/>
                <w:szCs w:val="32"/>
              </w:rPr>
              <w:t>生产企业、批发企业应当建立从业人员、外来人员、车辆进出厂（库）区登记制度，对进出厂（库）区的从业人员、外来人员、车辆如实登记记录，随时掌握厂（库）区人员和车辆的情况。禁止无关人员和车辆进入厂（库）区。禁止未安装阻火装置等不符合国家标准或者行业标准规定安全条件的机动车辆进入生产区和仓库区。</w:t>
            </w:r>
          </w:p>
        </w:tc>
        <w:tc>
          <w:tcPr>
            <w:tcW w:w="3900" w:type="dxa"/>
            <w:vAlign w:val="center"/>
          </w:tcPr>
          <w:p w14:paraId="7623A982">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（1）相关证照；</w:t>
            </w:r>
          </w:p>
          <w:p w14:paraId="19267A37">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snapToGrid w:val="0"/>
                <w:color w:val="auto"/>
                <w:kern w:val="0"/>
                <w:sz w:val="32"/>
                <w:szCs w:val="32"/>
              </w:rPr>
              <w:t>《现场检查记录》《责令限期整改指令书》等相关执法文书；</w:t>
            </w:r>
          </w:p>
          <w:p w14:paraId="2CB74E4A">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（3）从业人员、外来人员、车辆进出厂（库）区登记制度及登记情况；</w:t>
            </w:r>
          </w:p>
          <w:p w14:paraId="73D4C0DF">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（4）从业人员、外来人员、车辆出入厂（库）现场照片及影像资料；</w:t>
            </w:r>
          </w:p>
          <w:p w14:paraId="3E0F6891">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（5）监控设施运行记录；</w:t>
            </w:r>
          </w:p>
          <w:p w14:paraId="3DED4A9F">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（6）企业相关人员任职文件、身份证明及其询问笔录；</w:t>
            </w:r>
          </w:p>
          <w:p w14:paraId="481AF3F0">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napToGrid w:val="0"/>
                <w:color w:val="auto"/>
                <w:kern w:val="0"/>
                <w:sz w:val="32"/>
                <w:szCs w:val="32"/>
              </w:rPr>
              <w:t>（7）其他相关证据。</w:t>
            </w:r>
          </w:p>
        </w:tc>
        <w:tc>
          <w:tcPr>
            <w:tcW w:w="3900" w:type="dxa"/>
            <w:vAlign w:val="center"/>
          </w:tcPr>
          <w:p w14:paraId="13501BE3">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《烟花爆竹生产经营安全规定》第三十五条</w:t>
            </w:r>
            <w:r>
              <w:rPr>
                <w:rFonts w:hint="eastAsia" w:ascii="仿宋_GB2312" w:hAnsi="仿宋_GB2312" w:eastAsia="仿宋_GB2312" w:cs="仿宋_GB2312"/>
                <w:bCs/>
                <w:color w:val="auto"/>
                <w:sz w:val="32"/>
                <w:szCs w:val="32"/>
              </w:rPr>
              <w:t>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14:paraId="79211F3B">
            <w:pPr>
              <w:adjustRightInd w:val="0"/>
              <w:snapToGrid w:val="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（一）未建立从业人员、外来人员、车辆出入厂（库）区登记制度的；……</w:t>
            </w:r>
          </w:p>
          <w:p w14:paraId="3A212700">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《烟花爆竹生产经营安全规定》第三十八条</w:t>
            </w:r>
            <w:r>
              <w:rPr>
                <w:rFonts w:hint="eastAsia" w:ascii="仿宋_GB2312" w:hAnsi="仿宋_GB2312" w:eastAsia="仿宋_GB2312" w:cs="仿宋_GB2312"/>
                <w:bCs/>
                <w:color w:val="auto"/>
                <w:sz w:val="32"/>
                <w:szCs w:val="32"/>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4A3A24FE">
            <w:pPr>
              <w:widowControl/>
              <w:numPr>
                <w:ilvl w:val="0"/>
                <w:numId w:val="84"/>
              </w:numPr>
              <w:adjustRightInd w:val="0"/>
              <w:snapToGrid w:val="0"/>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允许未安装阻火装置等不具备国家标准或者行业标准规定安全条件的机动车辆进入生产区和仓库区的；……</w:t>
            </w:r>
          </w:p>
          <w:p w14:paraId="4415077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63E123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A3DE98F">
            <w:pPr>
              <w:adjustRightInd w:val="0"/>
              <w:snapToGrid w:val="0"/>
              <w:rPr>
                <w:rFonts w:hint="eastAsia" w:ascii="仿宋_GB2312" w:hAnsi="仿宋_GB2312" w:eastAsia="仿宋_GB2312" w:cs="仿宋_GB2312"/>
                <w:bCs/>
                <w:color w:val="auto"/>
                <w:sz w:val="32"/>
                <w:szCs w:val="32"/>
              </w:rPr>
            </w:pPr>
          </w:p>
        </w:tc>
        <w:tc>
          <w:tcPr>
            <w:tcW w:w="951" w:type="dxa"/>
            <w:vMerge w:val="continue"/>
            <w:vAlign w:val="center"/>
          </w:tcPr>
          <w:p w14:paraId="28D68A18">
            <w:pPr>
              <w:jc w:val="center"/>
              <w:rPr>
                <w:rFonts w:hint="eastAsia" w:ascii="仿宋_GB2312" w:hAnsi="仿宋_GB2312" w:eastAsia="仿宋_GB2312" w:cs="仿宋_GB2312"/>
                <w:bCs/>
                <w:color w:val="auto"/>
                <w:sz w:val="32"/>
                <w:szCs w:val="32"/>
              </w:rPr>
            </w:pPr>
          </w:p>
        </w:tc>
      </w:tr>
      <w:tr w14:paraId="0961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16" w:type="dxa"/>
            <w:vMerge w:val="continue"/>
            <w:vAlign w:val="center"/>
          </w:tcPr>
          <w:p w14:paraId="767EC1E6">
            <w:pPr>
              <w:jc w:val="center"/>
              <w:rPr>
                <w:rFonts w:hint="eastAsia" w:ascii="仿宋_GB2312" w:hAnsi="仿宋_GB2312" w:eastAsia="仿宋_GB2312" w:cs="仿宋_GB2312"/>
                <w:bCs/>
                <w:color w:val="auto"/>
                <w:sz w:val="32"/>
                <w:szCs w:val="32"/>
              </w:rPr>
            </w:pPr>
          </w:p>
        </w:tc>
        <w:tc>
          <w:tcPr>
            <w:tcW w:w="950" w:type="dxa"/>
            <w:vMerge w:val="continue"/>
            <w:vAlign w:val="center"/>
          </w:tcPr>
          <w:p w14:paraId="3016F6E9">
            <w:pPr>
              <w:jc w:val="center"/>
              <w:rPr>
                <w:rFonts w:hint="eastAsia" w:ascii="仿宋_GB2312" w:hAnsi="仿宋_GB2312" w:eastAsia="仿宋_GB2312" w:cs="仿宋_GB2312"/>
                <w:bCs/>
                <w:color w:val="auto"/>
                <w:sz w:val="32"/>
                <w:szCs w:val="32"/>
              </w:rPr>
            </w:pPr>
          </w:p>
        </w:tc>
        <w:tc>
          <w:tcPr>
            <w:tcW w:w="951" w:type="dxa"/>
            <w:vAlign w:val="center"/>
          </w:tcPr>
          <w:p w14:paraId="48E3A848">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2.8批发企业作业安全管理（重大隐患）</w:t>
            </w:r>
          </w:p>
        </w:tc>
        <w:tc>
          <w:tcPr>
            <w:tcW w:w="3900" w:type="dxa"/>
            <w:vAlign w:val="center"/>
          </w:tcPr>
          <w:p w14:paraId="4054F39C">
            <w:pPr>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《烟花爆竹生产经营安全规定》</w:t>
            </w:r>
            <w:r>
              <w:rPr>
                <w:rFonts w:hint="eastAsia" w:ascii="仿宋_GB2312" w:hAnsi="仿宋_GB2312" w:eastAsia="仿宋_GB2312" w:cs="仿宋_GB2312"/>
                <w:b/>
                <w:color w:val="auto"/>
                <w:kern w:val="0"/>
                <w:sz w:val="32"/>
                <w:szCs w:val="32"/>
              </w:rPr>
              <w:t>第十九条</w:t>
            </w:r>
            <w:r>
              <w:rPr>
                <w:rFonts w:hint="eastAsia" w:ascii="仿宋_GB2312" w:hAnsi="仿宋_GB2312" w:eastAsia="仿宋_GB2312" w:cs="仿宋_GB2312"/>
                <w:bCs/>
                <w:color w:val="auto"/>
                <w:kern w:val="0"/>
                <w:sz w:val="32"/>
                <w:szCs w:val="32"/>
              </w:rPr>
              <w:t>生产企业、批发企业应当加强日常安全检查，采取安全监控、巡查检查等措施，及时发现、纠正违反安全操作规程和规章制度的行为。禁止工（库）房超员、超量作业，禁止擅自改变工（库）房设计用途，禁止作业人员随意串岗、换岗、离岗。</w:t>
            </w:r>
          </w:p>
          <w:p w14:paraId="2F125CA5">
            <w:pPr>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《烟花爆竹生产经营安全规定》</w:t>
            </w:r>
            <w:r>
              <w:rPr>
                <w:rFonts w:hint="eastAsia" w:ascii="仿宋_GB2312" w:hAnsi="仿宋_GB2312" w:eastAsia="仿宋_GB2312" w:cs="仿宋_GB2312"/>
                <w:b/>
                <w:color w:val="auto"/>
                <w:kern w:val="0"/>
                <w:sz w:val="32"/>
                <w:szCs w:val="32"/>
              </w:rPr>
              <w:t>第二十五条第二款</w:t>
            </w:r>
            <w:r>
              <w:rPr>
                <w:rFonts w:hint="eastAsia" w:ascii="仿宋_GB2312" w:hAnsi="仿宋_GB2312" w:eastAsia="仿宋_GB2312" w:cs="仿宋_GB2312"/>
                <w:bCs/>
                <w:color w:val="auto"/>
                <w:kern w:val="0"/>
                <w:sz w:val="32"/>
                <w:szCs w:val="32"/>
              </w:rPr>
              <w:t>生产企业、批发企业装卸烟花爆竹成品、半成品及原材料时，应当严格遵守作业规程。禁止碰撞、拖拉、抛摔、翻滚、摩擦、挤压等不安全行为。</w:t>
            </w:r>
          </w:p>
        </w:tc>
        <w:tc>
          <w:tcPr>
            <w:tcW w:w="3900" w:type="dxa"/>
            <w:vAlign w:val="center"/>
          </w:tcPr>
          <w:p w14:paraId="21FBE43A">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（1）相关证照；</w:t>
            </w:r>
          </w:p>
          <w:p w14:paraId="7E4D4C8E">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w:t>
            </w:r>
            <w:r>
              <w:rPr>
                <w:rFonts w:hint="eastAsia" w:ascii="仿宋_GB2312" w:hAnsi="仿宋_GB2312" w:eastAsia="仿宋_GB2312" w:cs="仿宋_GB2312"/>
                <w:bCs/>
                <w:snapToGrid w:val="0"/>
                <w:color w:val="auto"/>
                <w:kern w:val="0"/>
                <w:sz w:val="32"/>
                <w:szCs w:val="32"/>
              </w:rPr>
              <w:t>《现场检查记录》《责令限期整改指令书》等相关执法文书；</w:t>
            </w:r>
          </w:p>
          <w:p w14:paraId="471EB1CC">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（3）烟花爆竹工厂设计专篇；</w:t>
            </w:r>
          </w:p>
          <w:p w14:paraId="46834AAA">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（4）烟花爆竹生产企业安全评价报告；</w:t>
            </w:r>
          </w:p>
          <w:p w14:paraId="65F75E18">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（5）监控设施运行记录；</w:t>
            </w:r>
          </w:p>
          <w:p w14:paraId="7BF8A9C9">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（6）抽样检验报告、委托鉴定结论；</w:t>
            </w:r>
          </w:p>
          <w:p w14:paraId="251EFDBD">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（7）现场照片及影像资料；</w:t>
            </w:r>
          </w:p>
          <w:p w14:paraId="5A68BB87">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（8）企业相关人员任职文件、身份证明及其询问笔录；</w:t>
            </w:r>
          </w:p>
          <w:p w14:paraId="48966907">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snapToGrid w:val="0"/>
                <w:color w:val="auto"/>
                <w:kern w:val="0"/>
                <w:sz w:val="32"/>
                <w:szCs w:val="32"/>
              </w:rPr>
              <w:t>（9）其他相关证据。</w:t>
            </w:r>
          </w:p>
        </w:tc>
        <w:tc>
          <w:tcPr>
            <w:tcW w:w="3900" w:type="dxa"/>
            <w:vAlign w:val="center"/>
          </w:tcPr>
          <w:p w14:paraId="3FC30FC8">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auto"/>
                <w:sz w:val="32"/>
                <w:szCs w:val="32"/>
              </w:rPr>
              <w:t>《烟花爆竹生产经营安全规定》</w:t>
            </w:r>
            <w:r>
              <w:rPr>
                <w:rFonts w:hint="eastAsia" w:ascii="仿宋_GB2312" w:hAnsi="仿宋_GB2312" w:eastAsia="仿宋_GB2312" w:cs="仿宋_GB2312"/>
                <w:b/>
                <w:color w:val="auto"/>
                <w:sz w:val="32"/>
                <w:szCs w:val="32"/>
              </w:rPr>
              <w:t>第三十八条</w:t>
            </w:r>
            <w:r>
              <w:rPr>
                <w:rFonts w:hint="eastAsia" w:ascii="仿宋_GB2312" w:hAnsi="仿宋_GB2312" w:eastAsia="仿宋_GB2312" w:cs="仿宋_GB2312"/>
                <w:bCs/>
                <w:color w:val="auto"/>
                <w:sz w:val="32"/>
                <w:szCs w:val="32"/>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3BD9B4D0">
            <w:pPr>
              <w:adjustRightInd w:val="0"/>
              <w:snapToGrid w:val="0"/>
              <w:ind w:firstLine="320" w:firstLineChars="1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color w:val="auto"/>
                <w:sz w:val="32"/>
                <w:szCs w:val="32"/>
              </w:rPr>
              <w:t>（一）工（库）房超过核定人员、药量或者擅自改变设计用途使用工（库）房的；</w:t>
            </w:r>
            <w:r>
              <w:rPr>
                <w:rFonts w:hint="eastAsia" w:ascii="仿宋_GB2312" w:hAnsi="仿宋_GB2312" w:eastAsia="仿宋_GB2312" w:cs="仿宋_GB2312"/>
                <w:bCs/>
                <w:snapToGrid w:val="0"/>
                <w:color w:val="auto"/>
                <w:kern w:val="0"/>
                <w:sz w:val="32"/>
                <w:szCs w:val="32"/>
              </w:rPr>
              <w:t>……</w:t>
            </w:r>
          </w:p>
          <w:p w14:paraId="2B357A83">
            <w:pPr>
              <w:widowControl/>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（八）其他事故隐患。</w:t>
            </w:r>
          </w:p>
          <w:p w14:paraId="1A029C0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4A8121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0E3EA5A">
            <w:pPr>
              <w:adjustRightInd w:val="0"/>
              <w:snapToGrid w:val="0"/>
              <w:ind w:firstLine="320" w:firstLineChars="100"/>
              <w:rPr>
                <w:rFonts w:hint="eastAsia" w:ascii="仿宋_GB2312" w:hAnsi="仿宋_GB2312" w:eastAsia="仿宋_GB2312" w:cs="仿宋_GB2312"/>
                <w:bCs/>
                <w:color w:val="auto"/>
                <w:sz w:val="32"/>
                <w:szCs w:val="32"/>
              </w:rPr>
            </w:pPr>
          </w:p>
        </w:tc>
        <w:tc>
          <w:tcPr>
            <w:tcW w:w="951" w:type="dxa"/>
            <w:vAlign w:val="center"/>
          </w:tcPr>
          <w:p w14:paraId="6866D954">
            <w:pPr>
              <w:jc w:val="center"/>
              <w:rPr>
                <w:rFonts w:hint="eastAsia" w:ascii="仿宋_GB2312" w:hAnsi="仿宋_GB2312" w:eastAsia="仿宋_GB2312" w:cs="仿宋_GB2312"/>
                <w:bCs/>
                <w:color w:val="auto"/>
                <w:sz w:val="32"/>
                <w:szCs w:val="32"/>
              </w:rPr>
            </w:pPr>
          </w:p>
        </w:tc>
      </w:tr>
      <w:tr w14:paraId="507E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16" w:type="dxa"/>
            <w:vMerge w:val="restart"/>
            <w:vAlign w:val="center"/>
          </w:tcPr>
          <w:p w14:paraId="4CFD37A3">
            <w:pPr>
              <w:jc w:val="center"/>
              <w:rPr>
                <w:rFonts w:hint="eastAsia" w:ascii="仿宋_GB2312" w:hAnsi="仿宋_GB2312" w:eastAsia="仿宋_GB2312" w:cs="仿宋_GB2312"/>
                <w:bCs/>
                <w:color w:val="auto"/>
                <w:sz w:val="32"/>
                <w:szCs w:val="32"/>
              </w:rPr>
            </w:pPr>
          </w:p>
        </w:tc>
        <w:tc>
          <w:tcPr>
            <w:tcW w:w="950" w:type="dxa"/>
            <w:vMerge w:val="restart"/>
            <w:vAlign w:val="center"/>
          </w:tcPr>
          <w:p w14:paraId="2AA8F233">
            <w:pPr>
              <w:jc w:val="center"/>
              <w:rPr>
                <w:rFonts w:hint="eastAsia" w:ascii="仿宋_GB2312" w:hAnsi="仿宋_GB2312" w:eastAsia="仿宋_GB2312" w:cs="仿宋_GB2312"/>
                <w:bCs/>
                <w:color w:val="auto"/>
                <w:sz w:val="32"/>
                <w:szCs w:val="32"/>
              </w:rPr>
            </w:pPr>
          </w:p>
        </w:tc>
        <w:tc>
          <w:tcPr>
            <w:tcW w:w="951" w:type="dxa"/>
            <w:vAlign w:val="center"/>
          </w:tcPr>
          <w:p w14:paraId="4DD7B431">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2.9批发企业产品存放（重大隐患）</w:t>
            </w:r>
          </w:p>
        </w:tc>
        <w:tc>
          <w:tcPr>
            <w:tcW w:w="3900" w:type="dxa"/>
            <w:vAlign w:val="center"/>
          </w:tcPr>
          <w:p w14:paraId="515D69EE">
            <w:pPr>
              <w:adjustRightInd w:val="0"/>
              <w:snapToGrid w:val="0"/>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snapToGrid w:val="0"/>
                <w:color w:val="auto"/>
                <w:kern w:val="0"/>
                <w:sz w:val="32"/>
                <w:szCs w:val="32"/>
              </w:rPr>
              <w:t>《烟花爆竹安全管理条例》</w:t>
            </w:r>
            <w:r>
              <w:rPr>
                <w:rFonts w:hint="eastAsia" w:ascii="仿宋_GB2312" w:hAnsi="仿宋_GB2312" w:eastAsia="仿宋_GB2312" w:cs="仿宋_GB2312"/>
                <w:b/>
                <w:snapToGrid w:val="0"/>
                <w:color w:val="auto"/>
                <w:kern w:val="0"/>
                <w:sz w:val="32"/>
                <w:szCs w:val="32"/>
              </w:rPr>
              <w:t>第十一条</w:t>
            </w:r>
            <w:r>
              <w:rPr>
                <w:rFonts w:hint="eastAsia" w:ascii="仿宋_GB2312" w:hAnsi="仿宋_GB2312" w:eastAsia="仿宋_GB2312" w:cs="仿宋_GB2312"/>
                <w:bCs/>
                <w:snapToGrid w:val="0"/>
                <w:color w:val="auto"/>
                <w:kern w:val="0"/>
                <w:sz w:val="32"/>
                <w:szCs w:val="32"/>
              </w:rPr>
              <w:t xml:space="preserve">  生产烟花爆竹的企业，应当按照安全生产许可证核定的产品种类进行生产，生产工序和生产作业应当执行有关国家标准和行业标准。</w:t>
            </w:r>
          </w:p>
          <w:p w14:paraId="07E42539">
            <w:pPr>
              <w:adjustRightInd w:val="0"/>
              <w:snapToGrid w:val="0"/>
              <w:ind w:firstLine="640"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（生产工序和生产作业常用标准见《烟花爆竹作业安全技术规程》GB11652、《烟花爆竹工程设计安全规范》GB50161）</w:t>
            </w:r>
          </w:p>
          <w:p w14:paraId="24A1E3B4">
            <w:pPr>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《烟花爆竹生产经营安全规定》</w:t>
            </w:r>
            <w:r>
              <w:rPr>
                <w:rFonts w:hint="eastAsia" w:ascii="仿宋_GB2312" w:hAnsi="仿宋_GB2312" w:eastAsia="仿宋_GB2312" w:cs="仿宋_GB2312"/>
                <w:b/>
                <w:color w:val="auto"/>
                <w:kern w:val="0"/>
                <w:sz w:val="32"/>
                <w:szCs w:val="32"/>
              </w:rPr>
              <w:t>第二十条</w:t>
            </w:r>
            <w:r>
              <w:rPr>
                <w:rFonts w:hint="eastAsia" w:ascii="仿宋_GB2312" w:hAnsi="仿宋_GB2312" w:eastAsia="仿宋_GB2312" w:cs="仿宋_GB2312"/>
                <w:bCs/>
                <w:color w:val="auto"/>
                <w:kern w:val="0"/>
                <w:sz w:val="32"/>
                <w:szCs w:val="32"/>
              </w:rPr>
              <w:t>生产企业、批发企业应当按照设计用途、危险等级、核定药量使用药物总库和成品总库，并按规定堆码，分类分级存放，保持仓库内通道畅通，准确记录药物和产品数量。</w:t>
            </w:r>
          </w:p>
          <w:p w14:paraId="600F36DD">
            <w:pPr>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禁止在仓库内进行拆箱、包装作业。禁止将性质不相容的物质混存。禁止将高危险等级物品储存在危险等级低的仓库。禁止在烟花爆竹仓库储存不属于烟花爆竹的其他危险物品。</w:t>
            </w:r>
          </w:p>
          <w:p w14:paraId="1296DCC2">
            <w:pPr>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snapToGrid w:val="0"/>
                <w:color w:val="auto"/>
                <w:kern w:val="0"/>
                <w:sz w:val="32"/>
                <w:szCs w:val="32"/>
              </w:rPr>
              <w:t>（常用标准见《烟花爆竹作业安全技术规程》GB11652）</w:t>
            </w:r>
          </w:p>
        </w:tc>
        <w:tc>
          <w:tcPr>
            <w:tcW w:w="3900" w:type="dxa"/>
            <w:vAlign w:val="center"/>
          </w:tcPr>
          <w:p w14:paraId="346325A6">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（1）相关证照；</w:t>
            </w:r>
          </w:p>
          <w:p w14:paraId="441CADC7">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w:t>
            </w:r>
            <w:r>
              <w:rPr>
                <w:rFonts w:hint="eastAsia" w:ascii="仿宋_GB2312" w:hAnsi="仿宋_GB2312" w:eastAsia="仿宋_GB2312" w:cs="仿宋_GB2312"/>
                <w:bCs/>
                <w:snapToGrid w:val="0"/>
                <w:color w:val="auto"/>
                <w:kern w:val="0"/>
                <w:sz w:val="32"/>
                <w:szCs w:val="32"/>
              </w:rPr>
              <w:t>《现场检查记录》《责令限期整改指令书》等相关执法文书；</w:t>
            </w:r>
          </w:p>
          <w:p w14:paraId="177EDF42">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（3）现场照片及影像资料；</w:t>
            </w:r>
          </w:p>
          <w:p w14:paraId="03F385CE">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（4）勘验笔录；</w:t>
            </w:r>
          </w:p>
          <w:p w14:paraId="0BAF30C0">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（5）企业相关人员任职文件、身份证明及其询问笔录；</w:t>
            </w:r>
          </w:p>
          <w:p w14:paraId="77027795">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snapToGrid w:val="0"/>
                <w:color w:val="auto"/>
                <w:kern w:val="0"/>
                <w:sz w:val="32"/>
                <w:szCs w:val="32"/>
              </w:rPr>
              <w:t>（6）其他相关证据。</w:t>
            </w:r>
          </w:p>
        </w:tc>
        <w:tc>
          <w:tcPr>
            <w:tcW w:w="3900" w:type="dxa"/>
            <w:vAlign w:val="center"/>
          </w:tcPr>
          <w:p w14:paraId="0E3FFB2A">
            <w:pPr>
              <w:adjustRightInd w:val="0"/>
              <w:snapToGrid w:val="0"/>
              <w:ind w:firstLine="643"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snapToGrid w:val="0"/>
                <w:color w:val="auto"/>
                <w:kern w:val="0"/>
                <w:sz w:val="32"/>
                <w:szCs w:val="32"/>
              </w:rPr>
              <w:t>《烟花爆竹安全管理条例》</w:t>
            </w:r>
            <w:r>
              <w:rPr>
                <w:rFonts w:hint="eastAsia" w:ascii="仿宋_GB2312" w:hAnsi="仿宋_GB2312" w:eastAsia="仿宋_GB2312" w:cs="仿宋_GB2312"/>
                <w:b/>
                <w:color w:val="auto"/>
                <w:sz w:val="32"/>
                <w:szCs w:val="32"/>
              </w:rPr>
              <w:t>第三十七条</w:t>
            </w:r>
            <w:r>
              <w:rPr>
                <w:rFonts w:hint="eastAsia" w:ascii="仿宋_GB2312" w:hAnsi="仿宋_GB2312" w:eastAsia="仿宋_GB2312" w:cs="仿宋_GB2312"/>
                <w:bCs/>
                <w:color w:val="auto"/>
                <w:sz w:val="32"/>
                <w:szCs w:val="32"/>
              </w:rPr>
              <w:t>生产烟花爆竹的企业有下列行为之一的，由安全生产监督管理部门责令限期改正，处1万元以上5万元以下的罚款；逾期不改正的，责令停产停业整顿，情节严重的，吊销安全生产许可证：……</w:t>
            </w:r>
          </w:p>
          <w:p w14:paraId="541B1FEE">
            <w:pPr>
              <w:adjustRightInd w:val="0"/>
              <w:snapToGrid w:val="0"/>
              <w:ind w:firstLine="320" w:firstLineChars="1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（二）生产工序或者生产作业不符合有关国家标准、行业标准的；……</w:t>
            </w:r>
          </w:p>
          <w:p w14:paraId="79AEAB5F">
            <w:pPr>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《烟花爆竹生产经营安全规定》</w:t>
            </w:r>
            <w:r>
              <w:rPr>
                <w:rFonts w:hint="eastAsia" w:ascii="仿宋_GB2312" w:hAnsi="仿宋_GB2312" w:eastAsia="仿宋_GB2312" w:cs="仿宋_GB2312"/>
                <w:b/>
                <w:color w:val="auto"/>
                <w:kern w:val="0"/>
                <w:sz w:val="32"/>
                <w:szCs w:val="32"/>
              </w:rPr>
              <w:t>第三十八条</w:t>
            </w:r>
            <w:r>
              <w:rPr>
                <w:rFonts w:hint="eastAsia" w:ascii="仿宋_GB2312" w:hAnsi="仿宋_GB2312" w:eastAsia="仿宋_GB2312" w:cs="仿宋_GB2312"/>
                <w:bCs/>
                <w:color w:val="auto"/>
                <w:kern w:val="0"/>
                <w:sz w:val="32"/>
                <w:szCs w:val="32"/>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291EE0F6">
            <w:pPr>
              <w:widowControl/>
              <w:adjustRightInd w:val="0"/>
              <w:snapToGrid w:val="0"/>
              <w:ind w:firstLine="320" w:firstLineChars="1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（二）仓库内堆码、分类分级储存等违反国家标准或者行业标准规定的；</w:t>
            </w:r>
          </w:p>
          <w:p w14:paraId="35DBA4FB">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（三）在仓库内进行拆箱、包装作业，将性质不相容的物质混存的；……</w:t>
            </w:r>
          </w:p>
          <w:p w14:paraId="429D24D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3FF1F7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137E171">
            <w:pPr>
              <w:widowControl/>
              <w:adjustRightInd w:val="0"/>
              <w:snapToGrid w:val="0"/>
              <w:ind w:firstLine="320" w:firstLineChars="100"/>
              <w:jc w:val="left"/>
              <w:rPr>
                <w:rFonts w:hint="eastAsia" w:ascii="仿宋_GB2312" w:hAnsi="仿宋_GB2312" w:eastAsia="仿宋_GB2312" w:cs="仿宋_GB2312"/>
                <w:bCs/>
                <w:color w:val="auto"/>
                <w:kern w:val="0"/>
                <w:sz w:val="32"/>
                <w:szCs w:val="32"/>
              </w:rPr>
            </w:pPr>
          </w:p>
        </w:tc>
        <w:tc>
          <w:tcPr>
            <w:tcW w:w="951" w:type="dxa"/>
            <w:vAlign w:val="center"/>
          </w:tcPr>
          <w:p w14:paraId="6CC919AA">
            <w:pPr>
              <w:jc w:val="center"/>
              <w:rPr>
                <w:rFonts w:hint="eastAsia" w:ascii="仿宋_GB2312" w:hAnsi="仿宋_GB2312" w:eastAsia="仿宋_GB2312" w:cs="仿宋_GB2312"/>
                <w:bCs/>
                <w:color w:val="auto"/>
                <w:sz w:val="32"/>
                <w:szCs w:val="32"/>
              </w:rPr>
            </w:pPr>
          </w:p>
        </w:tc>
      </w:tr>
      <w:tr w14:paraId="5721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616" w:type="dxa"/>
            <w:vMerge w:val="continue"/>
            <w:vAlign w:val="center"/>
          </w:tcPr>
          <w:p w14:paraId="72E2E56C">
            <w:pPr>
              <w:jc w:val="center"/>
              <w:rPr>
                <w:rFonts w:hint="eastAsia" w:ascii="仿宋_GB2312" w:hAnsi="仿宋_GB2312" w:eastAsia="仿宋_GB2312" w:cs="仿宋_GB2312"/>
                <w:bCs/>
                <w:color w:val="auto"/>
                <w:sz w:val="32"/>
                <w:szCs w:val="32"/>
              </w:rPr>
            </w:pPr>
          </w:p>
        </w:tc>
        <w:tc>
          <w:tcPr>
            <w:tcW w:w="950" w:type="dxa"/>
            <w:vMerge w:val="continue"/>
            <w:vAlign w:val="center"/>
          </w:tcPr>
          <w:p w14:paraId="764F1A48">
            <w:pPr>
              <w:jc w:val="center"/>
              <w:rPr>
                <w:rFonts w:hint="eastAsia" w:ascii="仿宋_GB2312" w:hAnsi="仿宋_GB2312" w:eastAsia="仿宋_GB2312" w:cs="仿宋_GB2312"/>
                <w:bCs/>
                <w:color w:val="auto"/>
                <w:sz w:val="32"/>
                <w:szCs w:val="32"/>
              </w:rPr>
            </w:pPr>
          </w:p>
        </w:tc>
        <w:tc>
          <w:tcPr>
            <w:tcW w:w="951" w:type="dxa"/>
            <w:vAlign w:val="center"/>
          </w:tcPr>
          <w:p w14:paraId="51E763CB">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2.10批发企业设备设施检维修管理</w:t>
            </w:r>
          </w:p>
        </w:tc>
        <w:tc>
          <w:tcPr>
            <w:tcW w:w="3900" w:type="dxa"/>
            <w:vAlign w:val="center"/>
          </w:tcPr>
          <w:p w14:paraId="7A5CD54C">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第三十六条第二项</w:t>
            </w:r>
            <w:r>
              <w:rPr>
                <w:rFonts w:hint="eastAsia" w:ascii="仿宋_GB2312" w:hAnsi="仿宋_GB2312" w:eastAsia="仿宋_GB2312" w:cs="仿宋_GB2312"/>
                <w:bCs/>
                <w:snapToGrid w:val="0"/>
                <w:color w:val="auto"/>
                <w:kern w:val="0"/>
                <w:sz w:val="32"/>
                <w:szCs w:val="32"/>
              </w:rPr>
              <w:t>生产经营单位必须对安全设备进行经常性维护、保养，并定期检测，保证正常运转。维护、保养、检测应当作好记录，并由有关人员签字。</w:t>
            </w:r>
          </w:p>
          <w:p w14:paraId="09F425B5">
            <w:pPr>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《烟花爆竹生产经营安全规定》</w:t>
            </w:r>
            <w:r>
              <w:rPr>
                <w:rFonts w:hint="eastAsia" w:ascii="仿宋_GB2312" w:hAnsi="仿宋_GB2312" w:eastAsia="仿宋_GB2312" w:cs="仿宋_GB2312"/>
                <w:b/>
                <w:color w:val="auto"/>
                <w:kern w:val="0"/>
                <w:sz w:val="32"/>
                <w:szCs w:val="32"/>
              </w:rPr>
              <w:t>第二十二条</w:t>
            </w:r>
            <w:r>
              <w:rPr>
                <w:rFonts w:hint="eastAsia" w:ascii="仿宋_GB2312" w:hAnsi="仿宋_GB2312" w:eastAsia="仿宋_GB2312" w:cs="仿宋_GB2312"/>
                <w:bCs/>
                <w:color w:val="auto"/>
                <w:kern w:val="0"/>
                <w:sz w:val="32"/>
                <w:szCs w:val="32"/>
              </w:rPr>
              <w:t>生产企业、批发企业应当定期检查工（库）房、安全设施、电气线路、机械设备等的运行状况和作业环境，及时维护保养；对有药物粉尘的工房，应当按照操作规程及时清理冲洗。</w:t>
            </w:r>
          </w:p>
          <w:p w14:paraId="7695FB08">
            <w:pPr>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对工（库）房、安全设施、电气线路、机械设备等进行检测、检修、维修、改造作业前，生产企业、批发企业应当制定安全作业方案，停止相关生产经营活动，转移烟花爆竹成品、半成品和原材料，清除残存药物和粉尘，切断被检测、检修、维修、改造的电气线路和机械设备电源，严格控制检修、维修作业人员数量，撤离无关的人员。</w:t>
            </w:r>
          </w:p>
        </w:tc>
        <w:tc>
          <w:tcPr>
            <w:tcW w:w="3900" w:type="dxa"/>
            <w:vAlign w:val="center"/>
          </w:tcPr>
          <w:p w14:paraId="7BA066D2">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（1）相关证照；</w:t>
            </w:r>
          </w:p>
          <w:p w14:paraId="3BB81FCB">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w:t>
            </w:r>
            <w:r>
              <w:rPr>
                <w:rFonts w:hint="eastAsia" w:ascii="仿宋_GB2312" w:hAnsi="仿宋_GB2312" w:eastAsia="仿宋_GB2312" w:cs="仿宋_GB2312"/>
                <w:bCs/>
                <w:snapToGrid w:val="0"/>
                <w:color w:val="auto"/>
                <w:kern w:val="0"/>
                <w:sz w:val="32"/>
                <w:szCs w:val="32"/>
              </w:rPr>
              <w:t>《现场检查记录》《责令限期整改指令书》等相关执法文书；</w:t>
            </w:r>
          </w:p>
          <w:p w14:paraId="3601BCD8">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（3）安全设施、电气线路、机械设备等维护、保养制度；</w:t>
            </w:r>
          </w:p>
          <w:p w14:paraId="63608027">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（4）安全设施、电气线路、机械设备等维护、保养记录；</w:t>
            </w:r>
          </w:p>
          <w:p w14:paraId="29980902">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（5）检维修安全作业方案；</w:t>
            </w:r>
          </w:p>
          <w:p w14:paraId="0605900F">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（6）监控设施运行记录；</w:t>
            </w:r>
          </w:p>
          <w:p w14:paraId="6A8FC2EC">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（7）现场照片及影像资料；</w:t>
            </w:r>
          </w:p>
          <w:p w14:paraId="362522F5">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（8）企业相关人员任职文件、身份证明及其询问笔录；</w:t>
            </w:r>
          </w:p>
          <w:p w14:paraId="600F7DA8">
            <w:pPr>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snapToGrid w:val="0"/>
                <w:color w:val="auto"/>
                <w:kern w:val="0"/>
                <w:sz w:val="32"/>
                <w:szCs w:val="32"/>
              </w:rPr>
              <w:t>（9）其他相关证据。</w:t>
            </w:r>
          </w:p>
        </w:tc>
        <w:tc>
          <w:tcPr>
            <w:tcW w:w="3900" w:type="dxa"/>
            <w:vAlign w:val="center"/>
          </w:tcPr>
          <w:p w14:paraId="210AC3C2">
            <w:pPr>
              <w:widowControl/>
              <w:shd w:val="clear" w:color="auto" w:fill="FFFFFF"/>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snapToGrid w:val="0"/>
                <w:color w:val="auto"/>
                <w:kern w:val="0"/>
                <w:sz w:val="32"/>
                <w:szCs w:val="32"/>
              </w:rPr>
              <w:t xml:space="preserve">《中华人民共和国安全生产法》  </w:t>
            </w:r>
            <w:r>
              <w:rPr>
                <w:rFonts w:hint="eastAsia" w:ascii="仿宋_GB2312" w:hAnsi="仿宋_GB2312" w:eastAsia="仿宋_GB2312" w:cs="仿宋_GB2312"/>
                <w:b/>
                <w:snapToGrid w:val="0"/>
                <w:color w:val="auto"/>
                <w:kern w:val="0"/>
                <w:sz w:val="32"/>
                <w:szCs w:val="32"/>
              </w:rPr>
              <w:t>第九十九条第三项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0AD8CEEC">
            <w:pPr>
              <w:widowControl/>
              <w:shd w:val="clear" w:color="auto" w:fill="FFFFFF"/>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（三）未对安全设备进行经常性维护、保养和定期检测的；</w:t>
            </w:r>
          </w:p>
          <w:p w14:paraId="25C58C04">
            <w:pPr>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《烟花爆竹生产经营安全规定》</w:t>
            </w:r>
            <w:r>
              <w:rPr>
                <w:rFonts w:hint="eastAsia" w:ascii="仿宋_GB2312" w:hAnsi="仿宋_GB2312" w:eastAsia="仿宋_GB2312" w:cs="仿宋_GB2312"/>
                <w:b/>
                <w:color w:val="auto"/>
                <w:kern w:val="0"/>
                <w:sz w:val="32"/>
                <w:szCs w:val="32"/>
              </w:rPr>
              <w:t>第三十四条</w:t>
            </w:r>
            <w:r>
              <w:rPr>
                <w:rFonts w:hint="eastAsia" w:ascii="仿宋_GB2312" w:hAnsi="仿宋_GB2312" w:eastAsia="仿宋_GB2312" w:cs="仿宋_GB2312"/>
                <w:bCs/>
                <w:color w:val="auto"/>
                <w:kern w:val="0"/>
                <w:sz w:val="32"/>
                <w:szCs w:val="32"/>
              </w:rPr>
              <w:t>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14:paraId="033C8D44">
            <w:pPr>
              <w:widowControl/>
              <w:adjustRightInd w:val="0"/>
              <w:snapToGrid w:val="0"/>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（三）在生产区、工（库）房等有药区域对安全设备进行检测、改造作业时，未将工（库）房内的药物、有药半成品、成品搬走并清理作业现场的。</w:t>
            </w:r>
          </w:p>
          <w:p w14:paraId="68B40F57">
            <w:pPr>
              <w:widowControl/>
              <w:adjustRightInd w:val="0"/>
              <w:snapToGrid w:val="0"/>
              <w:ind w:firstLine="643"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《烟花爆竹生产经营安全规定》</w:t>
            </w:r>
            <w:r>
              <w:rPr>
                <w:rFonts w:hint="eastAsia" w:ascii="仿宋_GB2312" w:hAnsi="仿宋_GB2312" w:eastAsia="仿宋_GB2312" w:cs="仿宋_GB2312"/>
                <w:b/>
                <w:color w:val="auto"/>
                <w:kern w:val="0"/>
                <w:sz w:val="32"/>
                <w:szCs w:val="32"/>
              </w:rPr>
              <w:t>第三十七条</w:t>
            </w:r>
            <w:r>
              <w:rPr>
                <w:rFonts w:hint="eastAsia" w:ascii="仿宋_GB2312" w:hAnsi="仿宋_GB2312" w:eastAsia="仿宋_GB2312" w:cs="仿宋_GB2312"/>
                <w:bCs/>
                <w:color w:val="auto"/>
                <w:kern w:val="0"/>
                <w:sz w:val="32"/>
                <w:szCs w:val="32"/>
              </w:rPr>
              <w:t>生产经营单位有下列行为之一的，责令改正；拒不改正的，处一万元以上三万元以下的罚款，对其直接负责的主管人员和其他直接责任人员处五千元以上一万元以下的罚款：</w:t>
            </w:r>
          </w:p>
          <w:p w14:paraId="4BFA5BBC">
            <w:pPr>
              <w:widowControl/>
              <w:adjustRightInd w:val="0"/>
              <w:snapToGrid w:val="0"/>
              <w:ind w:firstLine="640" w:firstLineChars="20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（一）对工（库）房、安全设施、电气线路、机械设备等进行检测、检修、维修、改造作业前，未制定安全作业方案，或者未切断被检修、维修的电气线路和机械设备电源的；……</w:t>
            </w:r>
          </w:p>
        </w:tc>
        <w:tc>
          <w:tcPr>
            <w:tcW w:w="951" w:type="dxa"/>
            <w:vAlign w:val="center"/>
          </w:tcPr>
          <w:p w14:paraId="7DE46A51">
            <w:pPr>
              <w:jc w:val="center"/>
              <w:rPr>
                <w:rFonts w:hint="eastAsia" w:ascii="仿宋_GB2312" w:hAnsi="仿宋_GB2312" w:eastAsia="仿宋_GB2312" w:cs="仿宋_GB2312"/>
                <w:bCs/>
                <w:color w:val="auto"/>
                <w:sz w:val="32"/>
                <w:szCs w:val="32"/>
              </w:rPr>
            </w:pPr>
          </w:p>
        </w:tc>
      </w:tr>
      <w:tr w14:paraId="2B56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16" w:type="dxa"/>
            <w:vAlign w:val="center"/>
          </w:tcPr>
          <w:p w14:paraId="2D409438">
            <w:pPr>
              <w:jc w:val="center"/>
              <w:rPr>
                <w:rFonts w:hint="eastAsia" w:ascii="仿宋_GB2312" w:hAnsi="仿宋_GB2312" w:eastAsia="仿宋_GB2312" w:cs="仿宋_GB2312"/>
                <w:bCs/>
                <w:color w:val="auto"/>
                <w:sz w:val="32"/>
                <w:szCs w:val="32"/>
              </w:rPr>
            </w:pPr>
          </w:p>
        </w:tc>
        <w:tc>
          <w:tcPr>
            <w:tcW w:w="950" w:type="dxa"/>
            <w:vAlign w:val="center"/>
          </w:tcPr>
          <w:p w14:paraId="1E30D994">
            <w:pPr>
              <w:jc w:val="center"/>
              <w:rPr>
                <w:rFonts w:hint="eastAsia" w:ascii="仿宋_GB2312" w:hAnsi="仿宋_GB2312" w:eastAsia="仿宋_GB2312" w:cs="仿宋_GB2312"/>
                <w:bCs/>
                <w:color w:val="auto"/>
                <w:sz w:val="32"/>
                <w:szCs w:val="32"/>
              </w:rPr>
            </w:pPr>
          </w:p>
        </w:tc>
        <w:tc>
          <w:tcPr>
            <w:tcW w:w="951" w:type="dxa"/>
            <w:vAlign w:val="center"/>
          </w:tcPr>
          <w:p w14:paraId="327C68AE">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2.11批发企业运输车辆、工具管理</w:t>
            </w:r>
          </w:p>
        </w:tc>
        <w:tc>
          <w:tcPr>
            <w:tcW w:w="3900" w:type="dxa"/>
            <w:vAlign w:val="center"/>
          </w:tcPr>
          <w:p w14:paraId="4FBB54AD">
            <w:pPr>
              <w:adjustRightInd w:val="0"/>
              <w:snapToGrid w:val="0"/>
              <w:ind w:firstLine="643"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《烟花爆竹生产经营安全规定》第二十五条第一款</w:t>
            </w:r>
            <w:r>
              <w:rPr>
                <w:rFonts w:hint="eastAsia" w:ascii="仿宋_GB2312" w:hAnsi="仿宋_GB2312" w:eastAsia="仿宋_GB2312" w:cs="仿宋_GB2312"/>
                <w:bCs/>
                <w:color w:val="auto"/>
                <w:sz w:val="32"/>
                <w:szCs w:val="32"/>
              </w:rPr>
              <w:t>在生产企业、批发企业内部及生产区、库区之间运输烟花爆竹成品、半成品及原材料时，应当使用符合国家标准或者行业标准规定安全条件的车辆、工具。企业内部运输应当严格按照规定路线、速度行驶。</w:t>
            </w:r>
          </w:p>
          <w:p w14:paraId="765D95FA">
            <w:pPr>
              <w:adjustRightInd w:val="0"/>
              <w:snapToGrid w:val="0"/>
              <w:rPr>
                <w:rFonts w:hint="eastAsia" w:ascii="仿宋_GB2312" w:hAnsi="仿宋_GB2312" w:eastAsia="仿宋_GB2312" w:cs="仿宋_GB2312"/>
                <w:bCs/>
                <w:color w:val="auto"/>
                <w:sz w:val="32"/>
                <w:szCs w:val="32"/>
              </w:rPr>
            </w:pPr>
          </w:p>
        </w:tc>
        <w:tc>
          <w:tcPr>
            <w:tcW w:w="3900" w:type="dxa"/>
            <w:vAlign w:val="center"/>
          </w:tcPr>
          <w:p w14:paraId="4A2EE470">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（1）相关证照；</w:t>
            </w:r>
          </w:p>
          <w:p w14:paraId="0E6E23FD">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snapToGrid w:val="0"/>
                <w:color w:val="auto"/>
                <w:kern w:val="0"/>
                <w:sz w:val="32"/>
                <w:szCs w:val="32"/>
              </w:rPr>
              <w:t>《现场检查记录》《责令限期整改指令书》等相关执法文书；</w:t>
            </w:r>
          </w:p>
          <w:p w14:paraId="56F2FF7D">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（3）运输车辆管理制度；</w:t>
            </w:r>
          </w:p>
          <w:p w14:paraId="4EDD5E86">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（4）现场照片及影像资料；</w:t>
            </w:r>
          </w:p>
          <w:p w14:paraId="51663C2C">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（5）监控设施运行记录；</w:t>
            </w:r>
          </w:p>
          <w:p w14:paraId="380CC546">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（6）企业相关人员任职文件、身份证明及其询问笔录；</w:t>
            </w:r>
          </w:p>
          <w:p w14:paraId="1B848F38">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napToGrid w:val="0"/>
                <w:color w:val="auto"/>
                <w:kern w:val="0"/>
                <w:sz w:val="32"/>
                <w:szCs w:val="32"/>
              </w:rPr>
              <w:t>（7）其他相关证据。</w:t>
            </w:r>
          </w:p>
        </w:tc>
        <w:tc>
          <w:tcPr>
            <w:tcW w:w="3900" w:type="dxa"/>
            <w:vAlign w:val="center"/>
          </w:tcPr>
          <w:p w14:paraId="15C28A01">
            <w:pPr>
              <w:adjustRightInd w:val="0"/>
              <w:snapToGrid w:val="0"/>
              <w:ind w:firstLine="643"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《烟花爆竹生产经营安全规定》第三十八条</w:t>
            </w:r>
            <w:r>
              <w:rPr>
                <w:rFonts w:hint="eastAsia" w:ascii="仿宋_GB2312" w:hAnsi="仿宋_GB2312" w:eastAsia="仿宋_GB2312" w:cs="仿宋_GB2312"/>
                <w:bCs/>
                <w:color w:val="auto"/>
                <w:sz w:val="32"/>
                <w:szCs w:val="32"/>
              </w:rPr>
              <w:t>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14:paraId="460B4BC2">
            <w:pPr>
              <w:adjustRightInd w:val="0"/>
              <w:snapToGrid w:val="0"/>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（六）企业内部及生产区、库区之间运输烟花爆竹成品、半成品及原材料的车辆、工具不符合国家标准或者行业标准规定安全条件的；……</w:t>
            </w:r>
          </w:p>
        </w:tc>
        <w:tc>
          <w:tcPr>
            <w:tcW w:w="951" w:type="dxa"/>
            <w:vAlign w:val="center"/>
          </w:tcPr>
          <w:p w14:paraId="6683FF74">
            <w:pPr>
              <w:jc w:val="center"/>
              <w:rPr>
                <w:rFonts w:hint="eastAsia" w:ascii="仿宋_GB2312" w:hAnsi="仿宋_GB2312" w:eastAsia="仿宋_GB2312" w:cs="仿宋_GB2312"/>
                <w:bCs/>
                <w:color w:val="auto"/>
                <w:sz w:val="32"/>
                <w:szCs w:val="32"/>
              </w:rPr>
            </w:pPr>
          </w:p>
        </w:tc>
      </w:tr>
      <w:tr w14:paraId="6EB7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616" w:type="dxa"/>
            <w:vAlign w:val="center"/>
          </w:tcPr>
          <w:p w14:paraId="676A832B">
            <w:pPr>
              <w:jc w:val="center"/>
              <w:rPr>
                <w:rFonts w:hint="eastAsia" w:ascii="仿宋_GB2312" w:hAnsi="仿宋_GB2312" w:eastAsia="仿宋_GB2312" w:cs="仿宋_GB2312"/>
                <w:bCs/>
                <w:color w:val="auto"/>
                <w:sz w:val="32"/>
                <w:szCs w:val="32"/>
              </w:rPr>
            </w:pPr>
          </w:p>
        </w:tc>
        <w:tc>
          <w:tcPr>
            <w:tcW w:w="950" w:type="dxa"/>
            <w:vAlign w:val="center"/>
          </w:tcPr>
          <w:p w14:paraId="4E98D49F">
            <w:pPr>
              <w:jc w:val="center"/>
              <w:rPr>
                <w:rFonts w:hint="eastAsia" w:ascii="仿宋_GB2312" w:hAnsi="仿宋_GB2312" w:eastAsia="仿宋_GB2312" w:cs="仿宋_GB2312"/>
                <w:bCs/>
                <w:color w:val="auto"/>
                <w:sz w:val="32"/>
                <w:szCs w:val="32"/>
              </w:rPr>
            </w:pPr>
          </w:p>
        </w:tc>
        <w:tc>
          <w:tcPr>
            <w:tcW w:w="951" w:type="dxa"/>
            <w:vAlign w:val="center"/>
          </w:tcPr>
          <w:p w14:paraId="66C6729B">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2.12配送管理</w:t>
            </w:r>
          </w:p>
        </w:tc>
        <w:tc>
          <w:tcPr>
            <w:tcW w:w="3900" w:type="dxa"/>
            <w:vAlign w:val="center"/>
          </w:tcPr>
          <w:p w14:paraId="23B41D2F">
            <w:pPr>
              <w:adjustRightInd w:val="0"/>
              <w:snapToGrid w:val="0"/>
              <w:ind w:firstLine="643"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《烟花爆竹生产经营安全规定》第二十七条</w:t>
            </w:r>
            <w:r>
              <w:rPr>
                <w:rFonts w:hint="eastAsia" w:ascii="仿宋_GB2312" w:hAnsi="仿宋_GB2312" w:eastAsia="仿宋_GB2312" w:cs="仿宋_GB2312"/>
                <w:bCs/>
                <w:color w:val="auto"/>
                <w:sz w:val="32"/>
                <w:szCs w:val="32"/>
              </w:rPr>
              <w:t>批发企业应当向零售经营者及零售经营场所提供烟花爆竹配送服务。配送烟花爆竹抵达零售经营场所装卸作业时，应当轻拿轻放、妥善码放，禁止碰撞、拖拉、抛摔、翻滚、摩擦、挤压等不安全行为。</w:t>
            </w:r>
          </w:p>
          <w:p w14:paraId="3CE0BA30">
            <w:pPr>
              <w:adjustRightInd w:val="0"/>
              <w:snapToGrid w:val="0"/>
              <w:ind w:firstLine="643"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《烟花爆竹生产经营安全规定》第二十八条</w:t>
            </w:r>
            <w:r>
              <w:rPr>
                <w:rFonts w:hint="eastAsia" w:ascii="仿宋_GB2312" w:hAnsi="仿宋_GB2312" w:eastAsia="仿宋_GB2312" w:cs="仿宋_GB2312"/>
                <w:bCs/>
                <w:color w:val="auto"/>
                <w:sz w:val="32"/>
                <w:szCs w:val="32"/>
              </w:rPr>
              <w:t>零售经营者应当向批发企业采购烟花爆竹并接受批发企业配送服务，不得到企业仓库自行提取烟花爆竹。</w:t>
            </w:r>
          </w:p>
        </w:tc>
        <w:tc>
          <w:tcPr>
            <w:tcW w:w="3900" w:type="dxa"/>
            <w:vAlign w:val="center"/>
          </w:tcPr>
          <w:p w14:paraId="581894D9">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（1）相关证照；</w:t>
            </w:r>
          </w:p>
          <w:p w14:paraId="65A9CB5D">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snapToGrid w:val="0"/>
                <w:color w:val="auto"/>
                <w:kern w:val="0"/>
                <w:sz w:val="32"/>
                <w:szCs w:val="32"/>
              </w:rPr>
              <w:t>《现场检查记录》《责令限期整改指令书》等相关执法文书；</w:t>
            </w:r>
          </w:p>
          <w:p w14:paraId="2F805EFE">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（3）出入库登记记录；</w:t>
            </w:r>
          </w:p>
          <w:p w14:paraId="5B96AD6A">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（4）视频监控资料；</w:t>
            </w:r>
          </w:p>
          <w:p w14:paraId="5D7853B6">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（5）烟花爆竹买卖合同；</w:t>
            </w:r>
          </w:p>
          <w:p w14:paraId="0BA0BCCA">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（6）烟花爆竹配送制度；</w:t>
            </w:r>
          </w:p>
          <w:p w14:paraId="1388C1B9">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（7）烟花爆竹流向登记资料；</w:t>
            </w:r>
          </w:p>
          <w:p w14:paraId="717C6A40">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（8）烟花爆竹提货单；</w:t>
            </w:r>
          </w:p>
          <w:p w14:paraId="513FD85A">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（9）现场照片及影像资料；</w:t>
            </w:r>
          </w:p>
          <w:p w14:paraId="68D51426">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（10）相关人员任职文件、身份证明及其询问笔录；</w:t>
            </w:r>
          </w:p>
          <w:p w14:paraId="5B5D3BF8">
            <w:pPr>
              <w:adjustRightInd w:val="0"/>
              <w:snapToGrid w:val="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snapToGrid w:val="0"/>
                <w:color w:val="auto"/>
                <w:kern w:val="0"/>
                <w:sz w:val="32"/>
                <w:szCs w:val="32"/>
              </w:rPr>
              <w:t>（11）其他相关证据。</w:t>
            </w:r>
          </w:p>
        </w:tc>
        <w:tc>
          <w:tcPr>
            <w:tcW w:w="3900" w:type="dxa"/>
            <w:vAlign w:val="center"/>
          </w:tcPr>
          <w:p w14:paraId="0C15CB5E">
            <w:pPr>
              <w:adjustRightInd w:val="0"/>
              <w:snapToGrid w:val="0"/>
              <w:ind w:firstLine="643"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《烟花爆竹生产经营安全规定》第三十三条</w:t>
            </w:r>
            <w:r>
              <w:rPr>
                <w:rFonts w:hint="eastAsia" w:ascii="仿宋_GB2312" w:hAnsi="仿宋_GB2312" w:eastAsia="仿宋_GB2312" w:cs="仿宋_GB2312"/>
                <w:bCs/>
                <w:color w:val="auto"/>
                <w:sz w:val="32"/>
                <w:szCs w:val="32"/>
              </w:rPr>
              <w:t>生产企业、批发企业有下列行为之一的，责令限期改正；逾期未改正的，处一万元以上三万元以下的罚款：……</w:t>
            </w:r>
          </w:p>
          <w:p w14:paraId="3661C72C">
            <w:pPr>
              <w:widowControl/>
              <w:adjustRightInd w:val="0"/>
              <w:snapToGrid w:val="0"/>
              <w:ind w:firstLine="320" w:firstLineChars="1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（二）未向零售经营者或者零售经营场所提供烟花爆竹配送服务的。</w:t>
            </w:r>
          </w:p>
          <w:p w14:paraId="48A1A03F">
            <w:pPr>
              <w:widowControl/>
              <w:adjustRightInd w:val="0"/>
              <w:snapToGrid w:val="0"/>
              <w:ind w:firstLine="643"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《烟花爆竹生产经营安全规定》第三十六条</w:t>
            </w:r>
            <w:r>
              <w:rPr>
                <w:rFonts w:hint="eastAsia" w:ascii="仿宋_GB2312" w:hAnsi="仿宋_GB2312" w:eastAsia="仿宋_GB2312" w:cs="仿宋_GB2312"/>
                <w:bCs/>
                <w:color w:val="auto"/>
                <w:sz w:val="32"/>
                <w:szCs w:val="32"/>
              </w:rPr>
              <w:t>零售经营者有下列行为之一的，责令其限期改正，可以处一千元以上五千元以下的罚款；逾期未改正的，处五千元以上一万元以下的罚款：……</w:t>
            </w:r>
          </w:p>
          <w:p w14:paraId="732A3905">
            <w:pPr>
              <w:widowControl/>
              <w:adjustRightInd w:val="0"/>
              <w:snapToGrid w:val="0"/>
              <w:ind w:firstLine="320" w:firstLineChars="1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（二）到批发企业仓库自行提取烟花爆竹的。</w:t>
            </w:r>
          </w:p>
        </w:tc>
        <w:tc>
          <w:tcPr>
            <w:tcW w:w="951" w:type="dxa"/>
            <w:vAlign w:val="center"/>
          </w:tcPr>
          <w:p w14:paraId="4D9268DC">
            <w:pPr>
              <w:jc w:val="center"/>
              <w:rPr>
                <w:rFonts w:hint="eastAsia" w:ascii="仿宋_GB2312" w:hAnsi="仿宋_GB2312" w:eastAsia="仿宋_GB2312" w:cs="仿宋_GB2312"/>
                <w:bCs/>
                <w:color w:val="auto"/>
                <w:sz w:val="32"/>
                <w:szCs w:val="32"/>
              </w:rPr>
            </w:pPr>
          </w:p>
        </w:tc>
      </w:tr>
      <w:tr w14:paraId="49E0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5168" w:type="dxa"/>
            <w:gridSpan w:val="7"/>
            <w:vAlign w:val="center"/>
          </w:tcPr>
          <w:p w14:paraId="3C5C70B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说明：1、根据本清单提供的证照及资料有原件的，应核实原件后留存复印件；无原件的提供复印件。所有复印件资料均应加盖企业公章。</w:t>
            </w:r>
          </w:p>
          <w:p w14:paraId="6816AA3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证照及资料有正副本的，均核验留存复印件。</w:t>
            </w:r>
          </w:p>
          <w:p w14:paraId="0984BB78">
            <w:pPr>
              <w:ind w:firstLine="960" w:firstLineChars="3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2、其他相关证据：能够证明企业违法违规行为的其他相关资料。</w:t>
            </w:r>
          </w:p>
        </w:tc>
      </w:tr>
    </w:tbl>
    <w:p w14:paraId="6BF143DE">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p w14:paraId="3032DEBB">
      <w:pPr>
        <w:pStyle w:val="3"/>
        <w:spacing w:line="240" w:lineRule="auto"/>
        <w:jc w:val="center"/>
        <w:rPr>
          <w:rFonts w:hint="eastAsia" w:ascii="仿宋_GB2312" w:hAnsi="仿宋_GB2312" w:eastAsia="仿宋_GB2312" w:cs="仿宋_GB2312"/>
          <w:color w:val="auto"/>
          <w:sz w:val="32"/>
          <w:szCs w:val="32"/>
        </w:rPr>
      </w:pPr>
      <w:bookmarkStart w:id="17" w:name="_Toc17664"/>
      <w:r>
        <w:rPr>
          <w:rFonts w:hint="eastAsia" w:ascii="仿宋_GB2312" w:hAnsi="仿宋_GB2312" w:eastAsia="仿宋_GB2312" w:cs="仿宋_GB2312"/>
          <w:color w:val="auto"/>
          <w:sz w:val="32"/>
          <w:szCs w:val="32"/>
        </w:rPr>
        <w:t>冶金企业检查清单</w:t>
      </w:r>
      <w:bookmarkEnd w:id="17"/>
    </w:p>
    <w:tbl>
      <w:tblPr>
        <w:tblStyle w:val="8"/>
        <w:tblW w:w="15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7"/>
        <w:gridCol w:w="951"/>
        <w:gridCol w:w="951"/>
        <w:gridCol w:w="3899"/>
        <w:gridCol w:w="3899"/>
        <w:gridCol w:w="3899"/>
        <w:gridCol w:w="951"/>
      </w:tblGrid>
      <w:tr w14:paraId="0751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atLeast"/>
          <w:tblHeader/>
          <w:jc w:val="center"/>
        </w:trPr>
        <w:tc>
          <w:tcPr>
            <w:tcW w:w="617" w:type="dxa"/>
            <w:vAlign w:val="center"/>
          </w:tcPr>
          <w:p w14:paraId="7679202D">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序号</w:t>
            </w:r>
          </w:p>
        </w:tc>
        <w:tc>
          <w:tcPr>
            <w:tcW w:w="951" w:type="dxa"/>
            <w:vAlign w:val="center"/>
          </w:tcPr>
          <w:p w14:paraId="2851A68E">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检查事项</w:t>
            </w:r>
          </w:p>
        </w:tc>
        <w:tc>
          <w:tcPr>
            <w:tcW w:w="951" w:type="dxa"/>
            <w:vAlign w:val="center"/>
          </w:tcPr>
          <w:p w14:paraId="284221DE">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检查内容</w:t>
            </w:r>
          </w:p>
        </w:tc>
        <w:tc>
          <w:tcPr>
            <w:tcW w:w="3899" w:type="dxa"/>
            <w:vAlign w:val="center"/>
          </w:tcPr>
          <w:p w14:paraId="58C7F721">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检查依据</w:t>
            </w:r>
          </w:p>
        </w:tc>
        <w:tc>
          <w:tcPr>
            <w:tcW w:w="3899" w:type="dxa"/>
            <w:vAlign w:val="center"/>
          </w:tcPr>
          <w:p w14:paraId="0F294B7E">
            <w:pPr>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主要证据</w:t>
            </w:r>
          </w:p>
        </w:tc>
        <w:tc>
          <w:tcPr>
            <w:tcW w:w="3899" w:type="dxa"/>
            <w:vAlign w:val="center"/>
          </w:tcPr>
          <w:p w14:paraId="4CE832CD">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法律责任</w:t>
            </w:r>
          </w:p>
        </w:tc>
        <w:tc>
          <w:tcPr>
            <w:tcW w:w="951" w:type="dxa"/>
            <w:vAlign w:val="center"/>
          </w:tcPr>
          <w:p w14:paraId="235944D4">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检查结果</w:t>
            </w:r>
          </w:p>
        </w:tc>
      </w:tr>
      <w:tr w14:paraId="4BEB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86" w:hRule="atLeast"/>
          <w:jc w:val="center"/>
        </w:trPr>
        <w:tc>
          <w:tcPr>
            <w:tcW w:w="617" w:type="dxa"/>
            <w:vAlign w:val="center"/>
          </w:tcPr>
          <w:p w14:paraId="7ADD37F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951" w:type="dxa"/>
            <w:vAlign w:val="center"/>
          </w:tcPr>
          <w:p w14:paraId="42289D1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人员管理情况</w:t>
            </w:r>
          </w:p>
        </w:tc>
        <w:tc>
          <w:tcPr>
            <w:tcW w:w="13599" w:type="dxa"/>
            <w:gridSpan w:val="5"/>
            <w:vAlign w:val="center"/>
          </w:tcPr>
          <w:p w14:paraId="1C498AC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对冶金企业内的金属冶炼企业，按照《安全生产监督检查综合事项》第3项、第4项、第5项执行</w:t>
            </w:r>
          </w:p>
        </w:tc>
      </w:tr>
      <w:tr w14:paraId="6445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81" w:hRule="atLeast"/>
          <w:jc w:val="center"/>
        </w:trPr>
        <w:tc>
          <w:tcPr>
            <w:tcW w:w="617" w:type="dxa"/>
            <w:vAlign w:val="center"/>
          </w:tcPr>
          <w:p w14:paraId="71D6EB44">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951" w:type="dxa"/>
            <w:vAlign w:val="center"/>
          </w:tcPr>
          <w:p w14:paraId="2721B2C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建设项目安全评价及建设项目安全设施“三同时”情况</w:t>
            </w:r>
          </w:p>
        </w:tc>
        <w:tc>
          <w:tcPr>
            <w:tcW w:w="13599" w:type="dxa"/>
            <w:gridSpan w:val="5"/>
            <w:vAlign w:val="center"/>
          </w:tcPr>
          <w:p w14:paraId="0600B97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对冶金企业内的金属冶炼企业，按照《安全生产监督检查综合事项》第6项执行。</w:t>
            </w:r>
          </w:p>
        </w:tc>
      </w:tr>
      <w:tr w14:paraId="5932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538" w:hRule="atLeast"/>
          <w:jc w:val="center"/>
        </w:trPr>
        <w:tc>
          <w:tcPr>
            <w:tcW w:w="617" w:type="dxa"/>
            <w:vAlign w:val="center"/>
          </w:tcPr>
          <w:p w14:paraId="445D021D">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951" w:type="dxa"/>
            <w:vAlign w:val="center"/>
          </w:tcPr>
          <w:p w14:paraId="6C688FD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安全警示标志情况</w:t>
            </w:r>
          </w:p>
        </w:tc>
        <w:tc>
          <w:tcPr>
            <w:tcW w:w="951" w:type="dxa"/>
            <w:vAlign w:val="center"/>
          </w:tcPr>
          <w:p w14:paraId="25C0895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在有较大危险因素的场所和有关设施、设备上，是否设置明显的安全警示标志</w:t>
            </w:r>
          </w:p>
        </w:tc>
        <w:tc>
          <w:tcPr>
            <w:tcW w:w="3899" w:type="dxa"/>
            <w:vAlign w:val="center"/>
          </w:tcPr>
          <w:p w14:paraId="12BAFF9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第三十五条</w:t>
            </w:r>
            <w:r>
              <w:rPr>
                <w:rFonts w:hint="eastAsia" w:ascii="仿宋_GB2312" w:hAnsi="仿宋_GB2312" w:eastAsia="仿宋_GB2312" w:cs="仿宋_GB2312"/>
                <w:color w:val="auto"/>
                <w:kern w:val="0"/>
                <w:sz w:val="32"/>
                <w:szCs w:val="32"/>
              </w:rPr>
              <w:t>生产经营单位应当在有较大危险因素的生产经营场所和有关设施、设备上，设置明显的安全警示标志。</w:t>
            </w:r>
          </w:p>
        </w:tc>
        <w:tc>
          <w:tcPr>
            <w:tcW w:w="3899" w:type="dxa"/>
            <w:vAlign w:val="center"/>
          </w:tcPr>
          <w:p w14:paraId="46BF36B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（1）营业执照和有关证照；</w:t>
            </w:r>
          </w:p>
          <w:p w14:paraId="558F134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（2）安全设备登记表；</w:t>
            </w:r>
          </w:p>
          <w:p w14:paraId="69DBC7F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（3）设施、设备操作规程；</w:t>
            </w:r>
          </w:p>
          <w:p w14:paraId="0228196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（4）相关现场管理制度；</w:t>
            </w:r>
          </w:p>
          <w:p w14:paraId="20CB34C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602DCBF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1AF5332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（7）相关人员任职文件、身份证明及其询问笔录；</w:t>
            </w:r>
          </w:p>
          <w:p w14:paraId="4B920C17">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（8）证人证言</w:t>
            </w:r>
            <w:r>
              <w:rPr>
                <w:rFonts w:hint="eastAsia" w:ascii="仿宋_GB2312" w:hAnsi="仿宋_GB2312" w:eastAsia="仿宋_GB2312" w:cs="仿宋_GB2312"/>
                <w:color w:val="auto"/>
                <w:sz w:val="32"/>
                <w:szCs w:val="32"/>
              </w:rPr>
              <w:t>；</w:t>
            </w:r>
          </w:p>
          <w:p w14:paraId="5C601BB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（9）其他相关证据。</w:t>
            </w:r>
          </w:p>
        </w:tc>
        <w:tc>
          <w:tcPr>
            <w:tcW w:w="3899" w:type="dxa"/>
            <w:vAlign w:val="center"/>
          </w:tcPr>
          <w:p w14:paraId="7903191F">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第九十九条第一项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55D8501">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（一）未在有较大危险因素的生产经营场所和有关设施、设备上设置明显的安全警示标志的；</w:t>
            </w:r>
          </w:p>
        </w:tc>
        <w:tc>
          <w:tcPr>
            <w:tcW w:w="951" w:type="dxa"/>
            <w:vAlign w:val="center"/>
          </w:tcPr>
          <w:p w14:paraId="38CBA06F">
            <w:pPr>
              <w:widowControl/>
              <w:adjustRightInd w:val="0"/>
              <w:snapToGrid w:val="0"/>
              <w:rPr>
                <w:rFonts w:hint="eastAsia" w:ascii="仿宋_GB2312" w:hAnsi="仿宋_GB2312" w:eastAsia="仿宋_GB2312" w:cs="仿宋_GB2312"/>
                <w:color w:val="auto"/>
                <w:kern w:val="0"/>
                <w:sz w:val="32"/>
                <w:szCs w:val="32"/>
              </w:rPr>
            </w:pPr>
          </w:p>
        </w:tc>
      </w:tr>
      <w:tr w14:paraId="6619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98" w:hRule="atLeast"/>
          <w:jc w:val="center"/>
        </w:trPr>
        <w:tc>
          <w:tcPr>
            <w:tcW w:w="617" w:type="dxa"/>
            <w:vAlign w:val="center"/>
          </w:tcPr>
          <w:p w14:paraId="65FA600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951" w:type="dxa"/>
            <w:vAlign w:val="center"/>
          </w:tcPr>
          <w:p w14:paraId="4D9CE79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人员聚集场所设置情况</w:t>
            </w:r>
          </w:p>
        </w:tc>
        <w:tc>
          <w:tcPr>
            <w:tcW w:w="951" w:type="dxa"/>
            <w:vAlign w:val="center"/>
          </w:tcPr>
          <w:p w14:paraId="4FA6A3C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会议室、活动室、休息室、更衣室等场所是否设置在安全地点（重大隐患）</w:t>
            </w:r>
          </w:p>
        </w:tc>
        <w:tc>
          <w:tcPr>
            <w:tcW w:w="3899" w:type="dxa"/>
            <w:vAlign w:val="center"/>
          </w:tcPr>
          <w:p w14:paraId="11D048E8">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198F717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《冶金企业和有色金属企业安全生产规定》第二十七条</w:t>
            </w:r>
            <w:r>
              <w:rPr>
                <w:rFonts w:hint="eastAsia" w:ascii="仿宋_GB2312" w:hAnsi="仿宋_GB2312" w:eastAsia="仿宋_GB2312" w:cs="仿宋_GB2312"/>
                <w:color w:val="auto"/>
                <w:kern w:val="0"/>
                <w:sz w:val="32"/>
                <w:szCs w:val="32"/>
              </w:rPr>
              <w:t>企业的操作室、会议室、活动室、休息室、更衣室等场所不得设置在高温熔融金属吊运的影响范围内。进行高温熔融金属吊运时，吊罐（包）与大型槽体、高压设备、高压管路、压力容器的安全距离应当符合有关国家标准或者行业标准的规定，并采取有效的防护措施。</w:t>
            </w:r>
          </w:p>
          <w:p w14:paraId="6A55A3F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《高温熔融金属吊运安全规程》（AQ7011—2018）5.7</w:t>
            </w:r>
            <w:r>
              <w:rPr>
                <w:rFonts w:hint="eastAsia" w:ascii="仿宋_GB2312" w:hAnsi="仿宋_GB2312" w:eastAsia="仿宋_GB2312" w:cs="仿宋_GB2312"/>
                <w:color w:val="auto"/>
                <w:kern w:val="0"/>
                <w:sz w:val="32"/>
                <w:szCs w:val="32"/>
              </w:rPr>
              <w:t>高温熔融金属和熔渣吊运行走区域禁止设置操作室、会议室、交接班室、活动室、休息室、更衣室、澡堂等人员集聚场所；不应设置放置可燃、易燃物品的仓库、储物间；不应有液压站、电气间、电缆桥架等重要防火场所和设施。危险区域附近的上述建筑物的门、窗应背对吊运区域。</w:t>
            </w:r>
          </w:p>
          <w:p w14:paraId="7534E53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5.17  熔融金属罐冷热修区不应设在吊运路线上，应设置通风降温设施，地面应有安全通道。</w:t>
            </w:r>
          </w:p>
          <w:p w14:paraId="29248306">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《工贸行业重大生产安全事故隐患判定标准（2017版）》（安监总管四〔2017〕129号）</w:t>
            </w:r>
          </w:p>
          <w:p w14:paraId="529B64C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7F42D88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（一）冶金行业。</w:t>
            </w:r>
          </w:p>
          <w:p w14:paraId="062D608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1.会议室、活动室、休息室、更衣室等场所设置在铁水、钢水与液渣吊运影响的范围内。</w:t>
            </w:r>
          </w:p>
          <w:p w14:paraId="2409C44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《冶金企业和有色金属企业安全生产规定》第二十七条企业的操作室、会议室、活动室、休息室、更衣室等场所不得设置在高温熔融金属吊运的影响范围内。</w:t>
            </w:r>
          </w:p>
        </w:tc>
        <w:tc>
          <w:tcPr>
            <w:tcW w:w="3899" w:type="dxa"/>
            <w:vAlign w:val="center"/>
          </w:tcPr>
          <w:p w14:paraId="0227BC7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（1）营业执照和有关证照；</w:t>
            </w:r>
          </w:p>
          <w:p w14:paraId="3F3446D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（2）厂区平面布置设计文件；</w:t>
            </w:r>
          </w:p>
          <w:p w14:paraId="1E54BEA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（3）上述场所实测安全距离（现场图片或影像资料）；</w:t>
            </w:r>
          </w:p>
          <w:p w14:paraId="45B5558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（4）其它现场图片或影像资料；</w:t>
            </w:r>
          </w:p>
          <w:p w14:paraId="72137D4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77F974A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（6）相关人员任职文件、身份证明及其询问笔录；</w:t>
            </w:r>
          </w:p>
          <w:p w14:paraId="0DD343F2">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（7）证人证言</w:t>
            </w:r>
            <w:r>
              <w:rPr>
                <w:rFonts w:hint="eastAsia" w:ascii="仿宋_GB2312" w:hAnsi="仿宋_GB2312" w:eastAsia="仿宋_GB2312" w:cs="仿宋_GB2312"/>
                <w:color w:val="auto"/>
                <w:sz w:val="32"/>
                <w:szCs w:val="32"/>
              </w:rPr>
              <w:t>；</w:t>
            </w:r>
          </w:p>
          <w:p w14:paraId="281B030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（8）其他相关证据。</w:t>
            </w:r>
          </w:p>
        </w:tc>
        <w:tc>
          <w:tcPr>
            <w:tcW w:w="3899" w:type="dxa"/>
            <w:vAlign w:val="center"/>
          </w:tcPr>
          <w:p w14:paraId="6B0C1F8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EFEC60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《冶金企业和有色金属企业安全生产规定》第四十六条</w:t>
            </w:r>
            <w:r>
              <w:rPr>
                <w:rFonts w:hint="eastAsia" w:ascii="仿宋_GB2312" w:hAnsi="仿宋_GB2312" w:eastAsia="仿宋_GB2312" w:cs="仿宋_GB2312"/>
                <w:color w:val="auto"/>
                <w:kern w:val="0"/>
                <w:sz w:val="32"/>
                <w:szCs w:val="32"/>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7C1636D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7B6C4DA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9A5361E">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0268887A">
            <w:pPr>
              <w:widowControl/>
              <w:adjustRightInd w:val="0"/>
              <w:snapToGrid w:val="0"/>
              <w:rPr>
                <w:rFonts w:hint="eastAsia" w:ascii="仿宋_GB2312" w:hAnsi="仿宋_GB2312" w:eastAsia="仿宋_GB2312" w:cs="仿宋_GB2312"/>
                <w:color w:val="auto"/>
                <w:kern w:val="0"/>
                <w:sz w:val="32"/>
                <w:szCs w:val="32"/>
              </w:rPr>
            </w:pPr>
          </w:p>
        </w:tc>
      </w:tr>
      <w:tr w14:paraId="11DA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723" w:hRule="atLeast"/>
          <w:jc w:val="center"/>
        </w:trPr>
        <w:tc>
          <w:tcPr>
            <w:tcW w:w="617" w:type="dxa"/>
            <w:vMerge w:val="restart"/>
            <w:vAlign w:val="center"/>
          </w:tcPr>
          <w:p w14:paraId="43BC4E4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951" w:type="dxa"/>
            <w:vMerge w:val="restart"/>
            <w:vAlign w:val="center"/>
          </w:tcPr>
          <w:p w14:paraId="5F7B278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起重机情况</w:t>
            </w:r>
          </w:p>
        </w:tc>
        <w:tc>
          <w:tcPr>
            <w:tcW w:w="951" w:type="dxa"/>
            <w:vAlign w:val="center"/>
          </w:tcPr>
          <w:p w14:paraId="3C373D6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5.1吊运铁水、钢水或液渣时是否采用固定式龙门钩的铸造起重机（重大隐患）</w:t>
            </w:r>
          </w:p>
        </w:tc>
        <w:tc>
          <w:tcPr>
            <w:tcW w:w="3899" w:type="dxa"/>
            <w:vAlign w:val="center"/>
          </w:tcPr>
          <w:p w14:paraId="5A15320C">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7C84FF18">
            <w:pPr>
              <w:widowControl/>
              <w:adjustRightInd w:val="0"/>
              <w:snapToGrid w:val="0"/>
              <w:ind w:firstLine="640" w:firstLineChars="200"/>
              <w:rPr>
                <w:rFonts w:hint="eastAsia" w:ascii="仿宋_GB2312" w:hAnsi="仿宋_GB2312" w:eastAsia="仿宋_GB2312" w:cs="仿宋_GB2312"/>
                <w:color w:val="auto"/>
                <w:kern w:val="0"/>
                <w:sz w:val="32"/>
                <w:szCs w:val="32"/>
              </w:rPr>
            </w:pPr>
          </w:p>
          <w:p w14:paraId="26764EC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《四川省安全生产条例》第四条第二款</w:t>
            </w:r>
            <w:r>
              <w:rPr>
                <w:rFonts w:hint="eastAsia" w:ascii="仿宋_GB2312" w:hAnsi="仿宋_GB2312" w:eastAsia="仿宋_GB2312" w:cs="仿宋_GB2312"/>
                <w:color w:val="auto"/>
                <w:kern w:val="0"/>
                <w:sz w:val="32"/>
                <w:szCs w:val="32"/>
              </w:rPr>
              <w:t>生产经营单位及其从业人员必须遵守安全生产法律、法规、规章、标准、规范、作业规程以及安全技术措施等相关规定。</w:t>
            </w:r>
          </w:p>
          <w:p w14:paraId="24D31570">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《高温熔融金属吊运安全规程》（AQ7011—2018）</w:t>
            </w:r>
          </w:p>
          <w:p w14:paraId="1FB3E0D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8.4.4炼钢车间铁水、钢水或液渣，应使用铸造起重机，铸造起重机额定能力应符合GB50439的规定。</w:t>
            </w:r>
          </w:p>
          <w:p w14:paraId="7FD4E8D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《高温熔融金属吊运安全规程》（AQ7011-2018）</w:t>
            </w:r>
          </w:p>
          <w:p w14:paraId="6801BA25">
            <w:pPr>
              <w:widowControl/>
              <w:adjustRightInd w:val="0"/>
              <w:snapToGrid w:val="0"/>
              <w:ind w:firstLine="640"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kern w:val="0"/>
                <w:sz w:val="32"/>
                <w:szCs w:val="32"/>
              </w:rPr>
              <w:t>6.1.2 炼钢企业吊运铁水、钢水或液渣，应使用带有固定龙门钩的铸造起重机，铸造起重机额定能力应符合GB50439的规定。</w:t>
            </w:r>
          </w:p>
          <w:p w14:paraId="4DDDB1F4">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《工贸行业重大生产安全事故隐患判定标准（2017版）》（安监总管四〔2017〕129号）</w:t>
            </w:r>
          </w:p>
          <w:p w14:paraId="2A2E7C71">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二、行业类重大事故隐患</w:t>
            </w:r>
          </w:p>
          <w:p w14:paraId="5F9F217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（一）冶金行业。</w:t>
            </w:r>
          </w:p>
          <w:p w14:paraId="38B09F9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吊运铁水、钢水与液渣起重机不符合冶金起重机的相关要求；炼钢厂在吊运重罐铁水、钢水或液渣时，未使用固定式龙门钩的铸造起重机。</w:t>
            </w:r>
          </w:p>
        </w:tc>
        <w:tc>
          <w:tcPr>
            <w:tcW w:w="3899" w:type="dxa"/>
            <w:vAlign w:val="center"/>
          </w:tcPr>
          <w:p w14:paraId="02A0118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（1）营业执照和有关证照；</w:t>
            </w:r>
          </w:p>
          <w:p w14:paraId="310BD0B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（2）起重设备登记表；</w:t>
            </w:r>
          </w:p>
          <w:p w14:paraId="0C29157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（3）起重机相关报告；</w:t>
            </w:r>
          </w:p>
          <w:p w14:paraId="7E1CA06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（4）起重设备管理、使用制度相关内容；</w:t>
            </w:r>
          </w:p>
          <w:p w14:paraId="52FBD7D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5F8A1E0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1A531B3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（7）相关人员任职文件、身份证明及其询问笔录；</w:t>
            </w:r>
          </w:p>
          <w:p w14:paraId="6828F69C">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（8）证人证言</w:t>
            </w:r>
            <w:r>
              <w:rPr>
                <w:rFonts w:hint="eastAsia" w:ascii="仿宋_GB2312" w:hAnsi="仿宋_GB2312" w:eastAsia="仿宋_GB2312" w:cs="仿宋_GB2312"/>
                <w:color w:val="auto"/>
                <w:sz w:val="32"/>
                <w:szCs w:val="32"/>
              </w:rPr>
              <w:t>；</w:t>
            </w:r>
          </w:p>
          <w:p w14:paraId="4156659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（9）其他相关证据。</w:t>
            </w:r>
          </w:p>
        </w:tc>
        <w:tc>
          <w:tcPr>
            <w:tcW w:w="3899" w:type="dxa"/>
            <w:vAlign w:val="center"/>
          </w:tcPr>
          <w:p w14:paraId="7347467C">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6839FF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14:paraId="1982CB7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5C49A3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E770271">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5313716F">
            <w:pPr>
              <w:widowControl/>
              <w:adjustRightInd w:val="0"/>
              <w:snapToGrid w:val="0"/>
              <w:rPr>
                <w:rFonts w:hint="eastAsia" w:ascii="仿宋_GB2312" w:hAnsi="仿宋_GB2312" w:eastAsia="仿宋_GB2312" w:cs="仿宋_GB2312"/>
                <w:color w:val="auto"/>
                <w:kern w:val="0"/>
                <w:sz w:val="32"/>
                <w:szCs w:val="32"/>
              </w:rPr>
            </w:pPr>
          </w:p>
        </w:tc>
      </w:tr>
      <w:tr w14:paraId="5B23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Merge w:val="continue"/>
            <w:vAlign w:val="center"/>
          </w:tcPr>
          <w:p w14:paraId="3672B399">
            <w:pPr>
              <w:jc w:val="center"/>
              <w:rPr>
                <w:rFonts w:hint="eastAsia" w:ascii="仿宋_GB2312" w:hAnsi="仿宋_GB2312" w:eastAsia="仿宋_GB2312" w:cs="仿宋_GB2312"/>
                <w:color w:val="auto"/>
                <w:sz w:val="32"/>
                <w:szCs w:val="32"/>
              </w:rPr>
            </w:pPr>
          </w:p>
        </w:tc>
        <w:tc>
          <w:tcPr>
            <w:tcW w:w="951" w:type="dxa"/>
            <w:vMerge w:val="continue"/>
            <w:vAlign w:val="center"/>
          </w:tcPr>
          <w:p w14:paraId="66810201">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40F4988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5.2吊运熔融金属的起重机龙门钩横梁、耳轴销和吊钩、钢丝绳及其端头固定零件，是否进行定期检查。</w:t>
            </w:r>
          </w:p>
          <w:p w14:paraId="00AFF24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盛装铁水、钢水与液渣的罐（包、盆）等容器本体、耳轴是否按国家标准规定要求定期进行探伤检测（重大隐患）</w:t>
            </w:r>
          </w:p>
        </w:tc>
        <w:tc>
          <w:tcPr>
            <w:tcW w:w="3899" w:type="dxa"/>
            <w:vAlign w:val="center"/>
          </w:tcPr>
          <w:p w14:paraId="265E8350">
            <w:pPr>
              <w:widowControl/>
              <w:shd w:val="clear" w:color="auto" w:fill="FFFFFF"/>
              <w:ind w:firstLine="48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《冶金企业和有色金属企业安全生产规定》第三十条第二款</w:t>
            </w:r>
            <w:r>
              <w:rPr>
                <w:rFonts w:hint="eastAsia" w:ascii="仿宋_GB2312" w:hAnsi="仿宋_GB2312" w:eastAsia="仿宋_GB2312" w:cs="仿宋_GB2312"/>
                <w:color w:val="auto"/>
                <w:kern w:val="0"/>
                <w:sz w:val="32"/>
                <w:szCs w:val="32"/>
              </w:rPr>
              <w:t>企业应当定期对吊运、盛装熔融金属的吊具、罐体（本体、耳轴）进行安全检查和探伤检测。</w:t>
            </w:r>
          </w:p>
          <w:p w14:paraId="7F8C181B">
            <w:pPr>
              <w:widowControl/>
              <w:shd w:val="clear" w:color="auto" w:fill="FFFFFF"/>
              <w:ind w:firstLine="480"/>
              <w:jc w:val="left"/>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《炼钢安全规程》（AQ2001-2018）</w:t>
            </w:r>
          </w:p>
          <w:p w14:paraId="67543114">
            <w:pPr>
              <w:widowControl/>
              <w:shd w:val="clear" w:color="auto" w:fill="FFFFFF"/>
              <w:ind w:firstLine="48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8.4.3铁水罐、钢水罐龙门钩的横梁、耳轴销和吊钩、钢丝绳及其端头固定零件，应定期进行检查，发现问题及时处理，应定期对吊钩本体作超声波探伤检查。</w:t>
            </w:r>
          </w:p>
          <w:p w14:paraId="668D0222">
            <w:pPr>
              <w:widowControl/>
              <w:shd w:val="clear" w:color="auto" w:fill="FFFFFF"/>
              <w:ind w:firstLine="48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《高温熔融金属吊运安全规程》（AQ7011-2018）</w:t>
            </w:r>
          </w:p>
          <w:p w14:paraId="0905CCCF">
            <w:pPr>
              <w:widowControl/>
              <w:shd w:val="clear" w:color="auto" w:fill="FFFFFF"/>
              <w:ind w:firstLine="48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4.6  起重机械应按照GB/T6067.1和特种设备安全监督管理的有关规定定期进行检测检验。吊钩、板钩、横梁等吊具部件应每年至少进行一次离线探伤检查；吊钩、板钩等出现严重磨损、钩片开片等情况应进行更换，并对板钩、横梁的轴进行探伤检查；必要时进行金相检查，防止发生蠕变现象。</w:t>
            </w:r>
          </w:p>
          <w:p w14:paraId="1894F6EB">
            <w:pPr>
              <w:pStyle w:val="2"/>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6.2.6  罐体和浇包耳轴加工后应进行探伤检查，探伤的要求应遵守JB/T 5000的规定。使用中的熔融金属罐体和包体每年应至少对耳轴作一次无损探伤检查，做好记录，并存档。凡耳轴出现内裂纹、壳体焊缝开裂、明显变形、耳轴磨损超过原轴直径的10%、机械失灵、内衬损坏超过规定，均应报修或报废。</w:t>
            </w:r>
          </w:p>
          <w:p w14:paraId="725BA326">
            <w:pPr>
              <w:widowControl/>
              <w:shd w:val="clear" w:color="auto" w:fill="FFFFFF"/>
              <w:ind w:firstLine="48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《工贸行业重大生产安全事故隐患判定标准（2017版）》（安监总管四〔2017〕129号）</w:t>
            </w:r>
          </w:p>
          <w:p w14:paraId="5627F67D">
            <w:pPr>
              <w:widowControl/>
              <w:shd w:val="clear" w:color="auto" w:fill="FFFFFF"/>
              <w:ind w:firstLine="48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34AB591F">
            <w:pPr>
              <w:widowControl/>
              <w:shd w:val="clear" w:color="auto" w:fill="FFFFFF"/>
              <w:ind w:firstLine="48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（一）冶金行业。</w:t>
            </w:r>
          </w:p>
          <w:p w14:paraId="0B343577">
            <w:pPr>
              <w:widowControl/>
              <w:shd w:val="clear" w:color="auto" w:fill="FFFFFF"/>
              <w:ind w:firstLine="48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2.吊运铁水、钢水与液渣起重机的龙门钩横梁、耳轴销和吊钩、钢丝绳及其端头固定零件，未进行定期检查，发现问题未及时整改。</w:t>
            </w:r>
          </w:p>
          <w:p w14:paraId="6B3CE99A">
            <w:pPr>
              <w:widowControl/>
              <w:shd w:val="clear" w:color="auto" w:fill="FFFFFF"/>
              <w:ind w:firstLine="48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3.盛装铁水、钢水与液渣的罐（包、盆）等容器耳轴未按国家标准规定要求定期进行探伤检测。</w:t>
            </w:r>
          </w:p>
        </w:tc>
        <w:tc>
          <w:tcPr>
            <w:tcW w:w="3899" w:type="dxa"/>
            <w:vAlign w:val="center"/>
          </w:tcPr>
          <w:p w14:paraId="19F6F53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（1）营业执照和有关证照；</w:t>
            </w:r>
          </w:p>
          <w:p w14:paraId="1B5DAA6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（2）起重设备登记表；</w:t>
            </w:r>
          </w:p>
          <w:p w14:paraId="2C26DED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（3）起重设备吊具、罐体安全检查登记台账；</w:t>
            </w:r>
          </w:p>
          <w:p w14:paraId="12D5D31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（4）起重设备管理、使用制度相关内容；</w:t>
            </w:r>
          </w:p>
          <w:p w14:paraId="39FC265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（5）起重设备吊具、罐体检测报告、探伤检测报告；</w:t>
            </w:r>
          </w:p>
          <w:p w14:paraId="0EF072A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（6）现场图片或影像资料；</w:t>
            </w:r>
          </w:p>
          <w:p w14:paraId="17D6831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6B31ACB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（8）相关人员任职文件、身份证明及其询问笔录；</w:t>
            </w:r>
          </w:p>
          <w:p w14:paraId="43A1A1F6">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（9）证人证言</w:t>
            </w:r>
            <w:r>
              <w:rPr>
                <w:rFonts w:hint="eastAsia" w:ascii="仿宋_GB2312" w:hAnsi="仿宋_GB2312" w:eastAsia="仿宋_GB2312" w:cs="仿宋_GB2312"/>
                <w:color w:val="auto"/>
                <w:sz w:val="32"/>
                <w:szCs w:val="32"/>
              </w:rPr>
              <w:t>；</w:t>
            </w:r>
          </w:p>
          <w:p w14:paraId="7DD630F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（10）其他相关证据。</w:t>
            </w:r>
          </w:p>
        </w:tc>
        <w:tc>
          <w:tcPr>
            <w:tcW w:w="3899" w:type="dxa"/>
            <w:vAlign w:val="center"/>
          </w:tcPr>
          <w:p w14:paraId="02DA8A6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《冶金企业和有色金属企业安全生产规定》第四十六条</w:t>
            </w:r>
            <w:r>
              <w:rPr>
                <w:rFonts w:hint="eastAsia" w:ascii="仿宋_GB2312" w:hAnsi="仿宋_GB2312" w:eastAsia="仿宋_GB2312" w:cs="仿宋_GB2312"/>
                <w:color w:val="auto"/>
                <w:kern w:val="0"/>
                <w:sz w:val="32"/>
                <w:szCs w:val="32"/>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582C48F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C29163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A6ED323">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208EE46A">
            <w:pPr>
              <w:widowControl/>
              <w:adjustRightInd w:val="0"/>
              <w:snapToGrid w:val="0"/>
              <w:rPr>
                <w:rFonts w:hint="eastAsia" w:ascii="仿宋_GB2312" w:hAnsi="仿宋_GB2312" w:eastAsia="仿宋_GB2312" w:cs="仿宋_GB2312"/>
                <w:color w:val="auto"/>
                <w:kern w:val="0"/>
                <w:sz w:val="32"/>
                <w:szCs w:val="32"/>
              </w:rPr>
            </w:pPr>
          </w:p>
        </w:tc>
      </w:tr>
      <w:tr w14:paraId="1AB0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14:paraId="5597E6BA">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p>
        </w:tc>
        <w:tc>
          <w:tcPr>
            <w:tcW w:w="951" w:type="dxa"/>
            <w:vAlign w:val="center"/>
          </w:tcPr>
          <w:p w14:paraId="147BF06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防积水情况</w:t>
            </w:r>
          </w:p>
        </w:tc>
        <w:tc>
          <w:tcPr>
            <w:tcW w:w="951" w:type="dxa"/>
            <w:vAlign w:val="center"/>
          </w:tcPr>
          <w:p w14:paraId="03F4B6F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冶炼、熔炼、精炼生产区域的安全坑内及熔体泄漏、喷溅影响范围不得存在积水，不得放置有易燃易爆物品（重大隐患）</w:t>
            </w:r>
          </w:p>
        </w:tc>
        <w:tc>
          <w:tcPr>
            <w:tcW w:w="3899" w:type="dxa"/>
            <w:vAlign w:val="center"/>
          </w:tcPr>
          <w:p w14:paraId="4FAD3E1B">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r>
              <w:rPr>
                <w:rFonts w:hint="eastAsia" w:ascii="仿宋_GB2312" w:hAnsi="仿宋_GB2312" w:eastAsia="仿宋_GB2312" w:cs="仿宋_GB2312"/>
                <w:color w:val="auto"/>
                <w:kern w:val="0"/>
                <w:sz w:val="32"/>
                <w:szCs w:val="32"/>
              </w:rPr>
              <w:t>。</w:t>
            </w:r>
          </w:p>
          <w:p w14:paraId="5438F8F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《冶金企业和有色金属企业安全生产规定》第二十八条第一款</w:t>
            </w:r>
            <w:r>
              <w:rPr>
                <w:rFonts w:hint="eastAsia" w:ascii="仿宋_GB2312" w:hAnsi="仿宋_GB2312" w:eastAsia="仿宋_GB2312" w:cs="仿宋_GB2312"/>
                <w:color w:val="auto"/>
                <w:kern w:val="0"/>
                <w:sz w:val="32"/>
                <w:szCs w:val="32"/>
              </w:rPr>
              <w:t>企业在进行高温熔融金属冶炼、保温、运输、吊运过程中，应当采取防止泄漏、喷溅、爆炸伤人的安全措施，其影响区域不得有非生产性积水。</w:t>
            </w:r>
          </w:p>
          <w:p w14:paraId="72114EAA">
            <w:pPr>
              <w:widowControl/>
              <w:adjustRightInd w:val="0"/>
              <w:snapToGri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第二十九条企业对电炉、电解车间应当采取防雨措施和有效的排水设施，防止雨水进入槽下地坪，确保电炉、电解槽下没有积水。</w:t>
            </w:r>
          </w:p>
          <w:p w14:paraId="230853F8">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《炼钢安全规程》（AQ2001-2018）</w:t>
            </w:r>
          </w:p>
          <w:p w14:paraId="0707297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6.2.7铁水预处理、转炉、AOD炉、电炉、精炼炉的炉下区域，应采取防止积水的措施；炉下漏钢坑应按防水要求设计施工，其内表应砌相应防护材料保护，且干燥后方可使用；炉下钢水罐车、渣罐车运行区域，地面应保持干燥；炉下热泼渣区，周围应设隔热防护结构，其他坪应防止积水；炉渣冲击与挖掘机铲渣地点，应在耐热混凝土基础上铺砌厚铸铁板或采取其他措施保护。</w:t>
            </w:r>
          </w:p>
          <w:p w14:paraId="2E43534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6.2.8不允许渗水的坑、槽、沟，应按防水要求设计施工。</w:t>
            </w:r>
          </w:p>
          <w:p w14:paraId="559D351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7.3.4混铁炉与倒罐站作业区地坪及受铁坑内，不应有水。凡受铁水辐射热及喷溅影响的建、构筑物，均应采取防护措施。</w:t>
            </w:r>
          </w:p>
          <w:p w14:paraId="5CC127D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9.1.3炉基周围应保持清洁干燥，不应积水和堆积废料。炉基水槽应保持畅通。</w:t>
            </w:r>
          </w:p>
          <w:p w14:paraId="5BA51E7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《工贸行业重大生产安全事故隐患判定标准（2017版）》（安监总管四〔2017〕129号）</w:t>
            </w:r>
          </w:p>
          <w:p w14:paraId="6C16CF1D">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79007F5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（一）冶金行业。</w:t>
            </w:r>
          </w:p>
          <w:p w14:paraId="22C25767">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4.冶炼、熔炼、精炼生产区域的安全坑内及熔体泄漏、喷溅影响范围内存在积水，放置有易燃易爆物品。</w:t>
            </w:r>
          </w:p>
        </w:tc>
        <w:tc>
          <w:tcPr>
            <w:tcW w:w="3899" w:type="dxa"/>
            <w:vAlign w:val="center"/>
          </w:tcPr>
          <w:p w14:paraId="3B4D902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（1）营业执照和有关证照；</w:t>
            </w:r>
          </w:p>
          <w:p w14:paraId="1A0BFD6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（2）相关安全生产管理制度；</w:t>
            </w:r>
          </w:p>
          <w:p w14:paraId="3EFAC90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（3）生产现场安全巡查记录台账；</w:t>
            </w:r>
          </w:p>
          <w:p w14:paraId="50FDB86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（4）现场图片或影像资料；</w:t>
            </w:r>
          </w:p>
          <w:p w14:paraId="1CEC04C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6BE483D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（6）相关人员任职文件、身份证明及其询问笔录；</w:t>
            </w:r>
          </w:p>
          <w:p w14:paraId="1E3CDF1F">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（7）证人证言</w:t>
            </w:r>
            <w:r>
              <w:rPr>
                <w:rFonts w:hint="eastAsia" w:ascii="仿宋_GB2312" w:hAnsi="仿宋_GB2312" w:eastAsia="仿宋_GB2312" w:cs="仿宋_GB2312"/>
                <w:color w:val="auto"/>
                <w:sz w:val="32"/>
                <w:szCs w:val="32"/>
              </w:rPr>
              <w:t>；</w:t>
            </w:r>
          </w:p>
          <w:p w14:paraId="0C8DED5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（8）其他相关证据。</w:t>
            </w:r>
          </w:p>
        </w:tc>
        <w:tc>
          <w:tcPr>
            <w:tcW w:w="3899" w:type="dxa"/>
            <w:vAlign w:val="center"/>
          </w:tcPr>
          <w:p w14:paraId="2E01500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3BDD0E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《冶金企业和有色金属企业安全生产规定》第四十六条</w:t>
            </w:r>
            <w:r>
              <w:rPr>
                <w:rFonts w:hint="eastAsia" w:ascii="仿宋_GB2312" w:hAnsi="仿宋_GB2312" w:eastAsia="仿宋_GB2312" w:cs="仿宋_GB2312"/>
                <w:color w:val="auto"/>
                <w:kern w:val="0"/>
                <w:sz w:val="32"/>
                <w:szCs w:val="32"/>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0386819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3CB7D7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6E60C7E">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16120216">
            <w:pPr>
              <w:widowControl/>
              <w:adjustRightInd w:val="0"/>
              <w:snapToGrid w:val="0"/>
              <w:rPr>
                <w:rFonts w:hint="eastAsia" w:ascii="仿宋_GB2312" w:hAnsi="仿宋_GB2312" w:eastAsia="仿宋_GB2312" w:cs="仿宋_GB2312"/>
                <w:color w:val="auto"/>
                <w:kern w:val="0"/>
                <w:sz w:val="32"/>
                <w:szCs w:val="32"/>
              </w:rPr>
            </w:pPr>
          </w:p>
        </w:tc>
      </w:tr>
      <w:tr w14:paraId="0239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31" w:hRule="atLeast"/>
          <w:jc w:val="center"/>
        </w:trPr>
        <w:tc>
          <w:tcPr>
            <w:tcW w:w="617" w:type="dxa"/>
            <w:vAlign w:val="center"/>
          </w:tcPr>
          <w:p w14:paraId="05C78D1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p>
        </w:tc>
        <w:tc>
          <w:tcPr>
            <w:tcW w:w="951" w:type="dxa"/>
            <w:vAlign w:val="center"/>
          </w:tcPr>
          <w:p w14:paraId="744C4C3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煤气柜防火间距情况</w:t>
            </w:r>
          </w:p>
        </w:tc>
        <w:tc>
          <w:tcPr>
            <w:tcW w:w="951" w:type="dxa"/>
            <w:vAlign w:val="center"/>
          </w:tcPr>
          <w:p w14:paraId="06FD728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煤气柜与有关建筑物、设施等的防护间距是否符合有关标准规定（重大隐患）</w:t>
            </w:r>
          </w:p>
        </w:tc>
        <w:tc>
          <w:tcPr>
            <w:tcW w:w="3899" w:type="dxa"/>
            <w:vAlign w:val="center"/>
          </w:tcPr>
          <w:p w14:paraId="0902B1F0">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1EC9D24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《四川省安全生产条例》第四条第二款</w:t>
            </w:r>
            <w:r>
              <w:rPr>
                <w:rFonts w:hint="eastAsia" w:ascii="仿宋_GB2312" w:hAnsi="仿宋_GB2312" w:eastAsia="仿宋_GB2312" w:cs="仿宋_GB2312"/>
                <w:color w:val="auto"/>
                <w:kern w:val="0"/>
                <w:sz w:val="32"/>
                <w:szCs w:val="32"/>
              </w:rPr>
              <w:t>生产经营单位及其从业人员必须遵守安全生产法律、法规、规章、标准、规范、作业规程以及安全技术措施等相关规定。</w:t>
            </w:r>
          </w:p>
          <w:p w14:paraId="13D01D2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《建筑设计防火规范》（GB50016-2014）4.3.1 </w:t>
            </w:r>
            <w:r>
              <w:rPr>
                <w:rFonts w:hint="eastAsia" w:ascii="仿宋_GB2312" w:hAnsi="仿宋_GB2312" w:eastAsia="仿宋_GB2312" w:cs="仿宋_GB2312"/>
                <w:color w:val="auto"/>
                <w:kern w:val="0"/>
                <w:sz w:val="32"/>
                <w:szCs w:val="32"/>
              </w:rPr>
              <w:t>可燃气体储罐与建筑物、储罐、堆场等的防火间距应符合表4.3.1 的规定。</w:t>
            </w:r>
          </w:p>
          <w:p w14:paraId="39E0ACD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《钢铁冶金企业设计防火标准》（GB50414-2018）4.2.4</w:t>
            </w:r>
            <w:r>
              <w:rPr>
                <w:rFonts w:hint="eastAsia" w:ascii="仿宋_GB2312" w:hAnsi="仿宋_GB2312" w:eastAsia="仿宋_GB2312" w:cs="仿宋_GB2312"/>
                <w:color w:val="auto"/>
                <w:kern w:val="0"/>
                <w:sz w:val="32"/>
                <w:szCs w:val="32"/>
              </w:rPr>
              <w:t>湿式可燃气体储罐与建筑物、储罐、堆场的防火间距不应小于表4.2.4规定。</w:t>
            </w:r>
          </w:p>
          <w:p w14:paraId="6FA94E3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《工业企业煤气安全规程》（GB6222-2005）9.1.1.1 </w:t>
            </w:r>
            <w:r>
              <w:rPr>
                <w:rFonts w:hint="eastAsia" w:ascii="仿宋_GB2312" w:hAnsi="仿宋_GB2312" w:eastAsia="仿宋_GB2312" w:cs="仿宋_GB2312"/>
                <w:color w:val="auto"/>
                <w:kern w:val="0"/>
                <w:sz w:val="32"/>
                <w:szCs w:val="32"/>
              </w:rPr>
              <w:t>新建湿式柜不应建设在居民稠密区，应远离大型建筑、仓库、通信和交通枢纽等重要设施，并应布置在通风良好的地方。</w:t>
            </w:r>
          </w:p>
          <w:p w14:paraId="5EA5DB5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《工业企业煤气安全规程》（GB6222-2005）9.1.2.8</w:t>
            </w:r>
            <w:r>
              <w:rPr>
                <w:rFonts w:hint="eastAsia" w:ascii="仿宋_GB2312" w:hAnsi="仿宋_GB2312" w:eastAsia="仿宋_GB2312" w:cs="仿宋_GB2312"/>
                <w:color w:val="auto"/>
                <w:kern w:val="0"/>
                <w:sz w:val="32"/>
                <w:szCs w:val="32"/>
              </w:rPr>
              <w:t>湿式柜柜顶和柜壁外的爆炸性气体环境危险区域的范围应遵守GB50058的规定。</w:t>
            </w:r>
          </w:p>
          <w:p w14:paraId="5248697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《工贸行业重大生产安全事故隐患判定标准（2017版）》（安监总管四〔2017〕129号）</w:t>
            </w:r>
          </w:p>
          <w:p w14:paraId="050F37E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1678D29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（一）冶金行业。</w:t>
            </w:r>
          </w:p>
          <w:p w14:paraId="0C48F30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7.煤气柜建设在居民稠密区，未远离大型建筑、仓库、通信和交通枢纽等重要设施；附属设备设施未按防火防爆要求配置防爆型设备；柜顶未设置防雷装置。</w:t>
            </w:r>
          </w:p>
        </w:tc>
        <w:tc>
          <w:tcPr>
            <w:tcW w:w="3899" w:type="dxa"/>
            <w:vAlign w:val="center"/>
          </w:tcPr>
          <w:p w14:paraId="3E1E41F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（1）营业执照和有关证照；</w:t>
            </w:r>
          </w:p>
          <w:p w14:paraId="58485C5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7EF830B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（3）设施设计报告；</w:t>
            </w:r>
          </w:p>
          <w:p w14:paraId="6684326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（4）安全距离是否符合有关标准规定（现场图片或影像资料）；</w:t>
            </w:r>
          </w:p>
          <w:p w14:paraId="2A58413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（5）其他现场图片或影像资料；</w:t>
            </w:r>
          </w:p>
          <w:p w14:paraId="2A56931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60967CF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（7）相关人员任职文件、身份证明及其询问笔录；</w:t>
            </w:r>
          </w:p>
          <w:p w14:paraId="6421B985">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（8）证人证言</w:t>
            </w:r>
            <w:r>
              <w:rPr>
                <w:rFonts w:hint="eastAsia" w:ascii="仿宋_GB2312" w:hAnsi="仿宋_GB2312" w:eastAsia="仿宋_GB2312" w:cs="仿宋_GB2312"/>
                <w:color w:val="auto"/>
                <w:sz w:val="32"/>
                <w:szCs w:val="32"/>
              </w:rPr>
              <w:t>；</w:t>
            </w:r>
          </w:p>
          <w:p w14:paraId="61F0E2B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（9）其他相关证据。</w:t>
            </w:r>
          </w:p>
        </w:tc>
        <w:tc>
          <w:tcPr>
            <w:tcW w:w="3899" w:type="dxa"/>
            <w:vAlign w:val="center"/>
          </w:tcPr>
          <w:p w14:paraId="66DA240E">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1E1ADFC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14:paraId="3D2984F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A8E60C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CB00FA5">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56F80E2B">
            <w:pPr>
              <w:widowControl/>
              <w:adjustRightInd w:val="0"/>
              <w:snapToGrid w:val="0"/>
              <w:rPr>
                <w:rFonts w:hint="eastAsia" w:ascii="仿宋_GB2312" w:hAnsi="仿宋_GB2312" w:eastAsia="仿宋_GB2312" w:cs="仿宋_GB2312"/>
                <w:color w:val="auto"/>
                <w:kern w:val="0"/>
                <w:sz w:val="32"/>
                <w:szCs w:val="32"/>
              </w:rPr>
            </w:pPr>
          </w:p>
        </w:tc>
      </w:tr>
      <w:tr w14:paraId="528FB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31" w:hRule="atLeast"/>
          <w:jc w:val="center"/>
        </w:trPr>
        <w:tc>
          <w:tcPr>
            <w:tcW w:w="617" w:type="dxa"/>
            <w:vAlign w:val="center"/>
          </w:tcPr>
          <w:p w14:paraId="78671ACA">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p>
        </w:tc>
        <w:tc>
          <w:tcPr>
            <w:tcW w:w="951" w:type="dxa"/>
            <w:vAlign w:val="center"/>
          </w:tcPr>
          <w:p w14:paraId="7CF9B04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煤气柜附属设备设施防爆、防雷情况</w:t>
            </w:r>
          </w:p>
        </w:tc>
        <w:tc>
          <w:tcPr>
            <w:tcW w:w="951" w:type="dxa"/>
            <w:vAlign w:val="center"/>
          </w:tcPr>
          <w:p w14:paraId="4D51B55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煤气柜附属设备设施是否按防火防爆要求配置防爆型设备；柜顶是否设置防雷装置（重大隐患）</w:t>
            </w:r>
          </w:p>
        </w:tc>
        <w:tc>
          <w:tcPr>
            <w:tcW w:w="3899" w:type="dxa"/>
            <w:vAlign w:val="center"/>
          </w:tcPr>
          <w:p w14:paraId="3793E35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《四川省安全生产条例》第四十四条</w:t>
            </w:r>
            <w:r>
              <w:rPr>
                <w:rFonts w:hint="eastAsia" w:ascii="仿宋_GB2312" w:hAnsi="仿宋_GB2312" w:eastAsia="仿宋_GB2312" w:cs="仿宋_GB2312"/>
                <w:color w:val="auto"/>
                <w:kern w:val="0"/>
                <w:sz w:val="32"/>
                <w:szCs w:val="32"/>
              </w:rPr>
              <w:t>生产、储存、使用危险化学品的，应当根据危险化学品的种类、特性，在车间、库房等作业场所设置相应的监测、通风、防晒、调温、防火、灭火、防爆、泄压、防毒、消毒、中和、防潮、防雷、防静电、防腐、防渗漏或者隔离操作等安全设备、设施，并按照国家标准和有关规定进行监控、维护、保养，保证其符合安全运行要求。</w:t>
            </w:r>
          </w:p>
        </w:tc>
        <w:tc>
          <w:tcPr>
            <w:tcW w:w="3899" w:type="dxa"/>
            <w:vAlign w:val="center"/>
          </w:tcPr>
          <w:p w14:paraId="5EF33BC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（1）营业执照和有关证照；</w:t>
            </w:r>
          </w:p>
          <w:p w14:paraId="36EDC33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290CA03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（3）设施设计报告；</w:t>
            </w:r>
          </w:p>
          <w:p w14:paraId="052E1EC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（4）设备技术说明书；</w:t>
            </w:r>
          </w:p>
          <w:p w14:paraId="5B1AE20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2A77036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（6）设施、设备合格证明；</w:t>
            </w:r>
          </w:p>
          <w:p w14:paraId="4FA5B74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（7）设施、设备管理、维护、保养等规章制度或类似文件；</w:t>
            </w:r>
          </w:p>
          <w:p w14:paraId="793A486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（8）设施、设备维护、保养记录等相关资料；</w:t>
            </w:r>
          </w:p>
          <w:p w14:paraId="70407B8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657BAC3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（10）相关人员任职文件、身份证明及其询问笔录；</w:t>
            </w:r>
          </w:p>
          <w:p w14:paraId="4A01F02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（11）证人证言；</w:t>
            </w:r>
          </w:p>
          <w:p w14:paraId="7F14180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kern w:val="0"/>
                <w:sz w:val="32"/>
                <w:szCs w:val="32"/>
              </w:rPr>
              <w:t>其他相关证据。</w:t>
            </w:r>
          </w:p>
        </w:tc>
        <w:tc>
          <w:tcPr>
            <w:tcW w:w="3899" w:type="dxa"/>
            <w:vAlign w:val="center"/>
          </w:tcPr>
          <w:p w14:paraId="7EB29F1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14:paraId="19213AD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F37A167">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0F05515">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41A79D9B">
            <w:pPr>
              <w:widowControl/>
              <w:adjustRightInd w:val="0"/>
              <w:snapToGrid w:val="0"/>
              <w:rPr>
                <w:rFonts w:hint="eastAsia" w:ascii="仿宋_GB2312" w:hAnsi="仿宋_GB2312" w:eastAsia="仿宋_GB2312" w:cs="仿宋_GB2312"/>
                <w:color w:val="auto"/>
                <w:kern w:val="0"/>
                <w:sz w:val="32"/>
                <w:szCs w:val="32"/>
              </w:rPr>
            </w:pPr>
          </w:p>
        </w:tc>
      </w:tr>
      <w:tr w14:paraId="56DC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14:paraId="77DC6ACA">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p>
        </w:tc>
        <w:tc>
          <w:tcPr>
            <w:tcW w:w="951" w:type="dxa"/>
            <w:vAlign w:val="center"/>
          </w:tcPr>
          <w:p w14:paraId="13D2321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煤气区域报警装置及警示情况</w:t>
            </w:r>
          </w:p>
        </w:tc>
        <w:tc>
          <w:tcPr>
            <w:tcW w:w="951" w:type="dxa"/>
            <w:vAlign w:val="center"/>
          </w:tcPr>
          <w:p w14:paraId="255BF4E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煤气可能泄露区域是否设置固定式煤气检测报警仪和安全警示标志（重大隐患）</w:t>
            </w:r>
          </w:p>
        </w:tc>
        <w:tc>
          <w:tcPr>
            <w:tcW w:w="3899" w:type="dxa"/>
            <w:vAlign w:val="center"/>
          </w:tcPr>
          <w:p w14:paraId="4B9817C7">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  第三十六条第一款、第二款、第三款 </w:t>
            </w:r>
            <w:r>
              <w:rPr>
                <w:rFonts w:hint="eastAsia" w:ascii="仿宋_GB2312" w:hAnsi="仿宋_GB2312" w:eastAsia="仿宋_GB2312" w:cs="仿宋_GB2312"/>
                <w:bCs/>
                <w:color w:val="auto"/>
                <w:kern w:val="0"/>
                <w:sz w:val="32"/>
                <w:szCs w:val="32"/>
              </w:rPr>
              <w:t>安</w:t>
            </w:r>
            <w:r>
              <w:rPr>
                <w:rFonts w:hint="eastAsia" w:ascii="仿宋_GB2312" w:hAnsi="仿宋_GB2312" w:eastAsia="仿宋_GB2312" w:cs="仿宋_GB2312"/>
                <w:color w:val="auto"/>
                <w:kern w:val="0"/>
                <w:sz w:val="32"/>
                <w:szCs w:val="32"/>
              </w:rPr>
              <w:t>全设备的设计、制造、安装、使用、检测、维修、改造和报废，应当符合国家标准或者行业标准。</w:t>
            </w:r>
          </w:p>
          <w:p w14:paraId="021C4B87">
            <w:pPr>
              <w:widowControl/>
              <w:shd w:val="clear" w:color="auto" w:fill="FFFFFF"/>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p w14:paraId="48A0EC5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生产经营单位不得关闭、破坏直接关系生产安全的监控、报警、防护、救生设备、设施，或者篡改、隐瞒、销毁其相关数据、信息。</w:t>
            </w:r>
          </w:p>
          <w:p w14:paraId="551D1436">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《工业企业煤气安全规程》（GB 6222-2005）</w:t>
            </w:r>
          </w:p>
          <w:p w14:paraId="6ACC3E6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4.10 煤气危险区(如地下室、加压站、热风炉及各种煤气发生设施附近)的一氧化碳浓度应定期测定，在关键部位应设置一氧化碳监测装置。作业环境一氧化碳最高允许浓度为30mg/m3（24ppm）。</w:t>
            </w:r>
          </w:p>
          <w:p w14:paraId="168FFEC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8.2.4站房内应设有一氧化碳监测装置，并把检测信号传送到管理室内。</w:t>
            </w:r>
          </w:p>
          <w:p w14:paraId="13D4CE7D">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9.2.2.3活塞上部应备有一氧化碳检测报警装置及空气呼吸器。</w:t>
            </w:r>
          </w:p>
          <w:p w14:paraId="67E9DBFE">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《工贸行业重大生产安全事故隐患判定标准（2017版）》（安监总管四〔2017〕129号）</w:t>
            </w:r>
          </w:p>
          <w:p w14:paraId="5B1E998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7C82A96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（一）冶金行业。</w:t>
            </w:r>
          </w:p>
          <w:p w14:paraId="7691353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8.煤气区域的值班室、操作室等人员较集中的地方，未设置固定式一氧化碳监测报警装置。</w:t>
            </w:r>
            <w:r>
              <w:rPr>
                <w:rFonts w:hint="eastAsia" w:ascii="仿宋_GB2312" w:hAnsi="仿宋_GB2312" w:eastAsia="仿宋_GB2312" w:cs="仿宋_GB2312"/>
                <w:b/>
                <w:bCs/>
                <w:color w:val="auto"/>
                <w:kern w:val="0"/>
                <w:sz w:val="32"/>
                <w:szCs w:val="32"/>
              </w:rPr>
              <w:t>《冶金企业和有色金属企业安全生产规定》第三十二条第一款</w:t>
            </w:r>
            <w:r>
              <w:rPr>
                <w:rFonts w:hint="eastAsia" w:ascii="仿宋_GB2312" w:hAnsi="仿宋_GB2312" w:eastAsia="仿宋_GB2312" w:cs="仿宋_GB2312"/>
                <w:color w:val="auto"/>
                <w:kern w:val="0"/>
                <w:sz w:val="32"/>
                <w:szCs w:val="32"/>
              </w:rPr>
              <w:t>生产、储存、使用煤气的企业应当严格执行《工业企业煤气安全规程》（GB6222），在可能发生煤气泄漏、聚集的场所，设置固定式煤气检测报警仪和安全警示标志。</w:t>
            </w:r>
          </w:p>
        </w:tc>
        <w:tc>
          <w:tcPr>
            <w:tcW w:w="3899" w:type="dxa"/>
            <w:vAlign w:val="center"/>
          </w:tcPr>
          <w:p w14:paraId="3265F6B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（1）营业执照和有关证照；</w:t>
            </w:r>
          </w:p>
          <w:p w14:paraId="0BD1AFA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（2）煤气检测报警仪技术说明书、合格证书或证明；</w:t>
            </w:r>
          </w:p>
          <w:p w14:paraId="7397ED3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42609FC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35FDD92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（5）相关人员任职文件、身份证明及其询问笔录；</w:t>
            </w:r>
          </w:p>
          <w:p w14:paraId="79E625E5">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（6）证人证言</w:t>
            </w:r>
            <w:r>
              <w:rPr>
                <w:rFonts w:hint="eastAsia" w:ascii="仿宋_GB2312" w:hAnsi="仿宋_GB2312" w:eastAsia="仿宋_GB2312" w:cs="仿宋_GB2312"/>
                <w:color w:val="auto"/>
                <w:sz w:val="32"/>
                <w:szCs w:val="32"/>
              </w:rPr>
              <w:t>；</w:t>
            </w:r>
          </w:p>
          <w:p w14:paraId="1B43B35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（7）其他相关证据。</w:t>
            </w:r>
          </w:p>
        </w:tc>
        <w:tc>
          <w:tcPr>
            <w:tcW w:w="3899" w:type="dxa"/>
            <w:vAlign w:val="center"/>
          </w:tcPr>
          <w:p w14:paraId="693CBC3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第九十九条第二项、第三项、第四项</w:t>
            </w:r>
            <w:r>
              <w:rPr>
                <w:rFonts w:hint="eastAsia" w:ascii="仿宋_GB2312" w:hAnsi="仿宋_GB2312" w:eastAsia="仿宋_GB2312" w:cs="仿宋_GB2312"/>
                <w:color w:val="auto"/>
                <w:kern w:val="0"/>
                <w:sz w:val="32"/>
                <w:szCs w:val="32"/>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7561CE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79B97F9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（三）未对安全设备进行经常性维护、保养和定期检测的；</w:t>
            </w:r>
          </w:p>
          <w:p w14:paraId="177568F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（四）关闭、破坏直接关系生产安全的监控、报警、防护、救生设备、设施，或者篡改、隐瞒、销毁其相关数据、信息的；</w:t>
            </w:r>
          </w:p>
          <w:p w14:paraId="2984214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《冶金企业和有色金属企业安全生产规定》第四十六条</w:t>
            </w:r>
            <w:r>
              <w:rPr>
                <w:rFonts w:hint="eastAsia" w:ascii="仿宋_GB2312" w:hAnsi="仿宋_GB2312" w:eastAsia="仿宋_GB2312" w:cs="仿宋_GB2312"/>
                <w:color w:val="auto"/>
                <w:kern w:val="0"/>
                <w:sz w:val="32"/>
                <w:szCs w:val="32"/>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1B75E2D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BD4CB6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4EE3FC7">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6E9CC6F8">
            <w:pPr>
              <w:widowControl/>
              <w:adjustRightInd w:val="0"/>
              <w:snapToGrid w:val="0"/>
              <w:rPr>
                <w:rFonts w:hint="eastAsia" w:ascii="仿宋_GB2312" w:hAnsi="仿宋_GB2312" w:eastAsia="仿宋_GB2312" w:cs="仿宋_GB2312"/>
                <w:color w:val="auto"/>
                <w:kern w:val="0"/>
                <w:sz w:val="32"/>
                <w:szCs w:val="32"/>
              </w:rPr>
            </w:pPr>
          </w:p>
        </w:tc>
      </w:tr>
      <w:tr w14:paraId="4D41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195" w:hRule="atLeast"/>
          <w:jc w:val="center"/>
        </w:trPr>
        <w:tc>
          <w:tcPr>
            <w:tcW w:w="617" w:type="dxa"/>
            <w:vAlign w:val="center"/>
          </w:tcPr>
          <w:p w14:paraId="2568A5E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w:t>
            </w:r>
          </w:p>
        </w:tc>
        <w:tc>
          <w:tcPr>
            <w:tcW w:w="951" w:type="dxa"/>
            <w:vAlign w:val="center"/>
          </w:tcPr>
          <w:p w14:paraId="22DCE65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金属铸造、连铸、浇铸流程中高温熔融金属紧急排放和应急储存设施情况</w:t>
            </w:r>
          </w:p>
        </w:tc>
        <w:tc>
          <w:tcPr>
            <w:tcW w:w="951" w:type="dxa"/>
            <w:vAlign w:val="center"/>
          </w:tcPr>
          <w:p w14:paraId="72A9B64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金属铸造、连铸、浇铸流程是否设置铁水罐、钢水罐、溢流槽、中间溢流罐等高温熔融金属紧急排放和应急储存设施（重大隐患）</w:t>
            </w:r>
          </w:p>
        </w:tc>
        <w:tc>
          <w:tcPr>
            <w:tcW w:w="3899" w:type="dxa"/>
            <w:vAlign w:val="center"/>
          </w:tcPr>
          <w:p w14:paraId="6869E32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《冶金企业和有色金属企业安全生产规定》第二十九条第二款</w:t>
            </w:r>
            <w:r>
              <w:rPr>
                <w:rFonts w:hint="eastAsia" w:ascii="仿宋_GB2312" w:hAnsi="仿宋_GB2312" w:eastAsia="仿宋_GB2312" w:cs="仿宋_GB2312"/>
                <w:color w:val="auto"/>
                <w:kern w:val="0"/>
                <w:sz w:val="32"/>
                <w:szCs w:val="32"/>
              </w:rPr>
              <w:t>企业对电炉、铸造熔炼炉、保温炉、倾翻炉、铸机、流液槽、熔盐电解槽等设备，应当设置熔融金属紧急排放和储存的设施，并在设备周围设置拦挡围堰，防止熔融金属外流。</w:t>
            </w:r>
          </w:p>
          <w:p w14:paraId="092B0BA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《炼钢安全规程》（AQ2001-2018）12.3.3</w:t>
            </w:r>
            <w:r>
              <w:rPr>
                <w:rFonts w:hint="eastAsia" w:ascii="仿宋_GB2312" w:hAnsi="仿宋_GB2312" w:eastAsia="仿宋_GB2312" w:cs="仿宋_GB2312"/>
                <w:color w:val="auto"/>
                <w:kern w:val="0"/>
                <w:sz w:val="32"/>
                <w:szCs w:val="32"/>
              </w:rPr>
              <w:t>连铸浇注区，应设事故钢水罐、溢流槽、中间溢流罐、钢水罐漏钢回转溜槽、中间罐漏钢坑及钢水罐滑板事故关闭系统……</w:t>
            </w:r>
          </w:p>
          <w:p w14:paraId="0F46A45D">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《高温熔融金属吊运安全规程》（AQ7011-2018）</w:t>
            </w:r>
          </w:p>
          <w:p w14:paraId="694364C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5.9  吊运高温熔融金属和熔渣的区域应设置事故罐，事故罐放置应在专用位置或专用支架上，并设置明显安全警示标识。</w:t>
            </w:r>
          </w:p>
          <w:p w14:paraId="3BD619E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《工贸行业重大生产安全事故隐患判定标准（2017版）》（安监总管四〔2017〕129号）</w:t>
            </w:r>
          </w:p>
          <w:p w14:paraId="77F9586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5B335025">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（一）冶金行业。</w:t>
            </w:r>
          </w:p>
          <w:p w14:paraId="1EDBB89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4.金属铸造、连铸、浇铸流程未设置铁水罐、钢水罐、溢流槽、中间溢流罐等高温熔融金属紧急排放和应急储存设施。</w:t>
            </w:r>
          </w:p>
        </w:tc>
        <w:tc>
          <w:tcPr>
            <w:tcW w:w="3899" w:type="dxa"/>
            <w:vAlign w:val="center"/>
          </w:tcPr>
          <w:p w14:paraId="7DEF92B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（1）营业执照和有关证照；</w:t>
            </w:r>
          </w:p>
          <w:p w14:paraId="7F15121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33EF31E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（3）设施设计报告；</w:t>
            </w:r>
          </w:p>
          <w:p w14:paraId="43F00EA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（4）设施验收报告、合格证书或其他合格证明资料；</w:t>
            </w:r>
          </w:p>
          <w:p w14:paraId="27C1B1F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4A2FE7A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731F2AD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（7）相关人员任职文件、身份证明及其询问笔录；</w:t>
            </w:r>
          </w:p>
          <w:p w14:paraId="42D4FEF6">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（8）证人证言</w:t>
            </w:r>
            <w:r>
              <w:rPr>
                <w:rFonts w:hint="eastAsia" w:ascii="仿宋_GB2312" w:hAnsi="仿宋_GB2312" w:eastAsia="仿宋_GB2312" w:cs="仿宋_GB2312"/>
                <w:color w:val="auto"/>
                <w:sz w:val="32"/>
                <w:szCs w:val="32"/>
              </w:rPr>
              <w:t>；</w:t>
            </w:r>
          </w:p>
          <w:p w14:paraId="4AD7E11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（9）其他相关证据。</w:t>
            </w:r>
          </w:p>
        </w:tc>
        <w:tc>
          <w:tcPr>
            <w:tcW w:w="3899" w:type="dxa"/>
            <w:vAlign w:val="center"/>
          </w:tcPr>
          <w:p w14:paraId="70DF894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《冶金企业和有色金属企业安全生产规定》第四十六条</w:t>
            </w:r>
            <w:r>
              <w:rPr>
                <w:rFonts w:hint="eastAsia" w:ascii="仿宋_GB2312" w:hAnsi="仿宋_GB2312" w:eastAsia="仿宋_GB2312" w:cs="仿宋_GB2312"/>
                <w:color w:val="auto"/>
                <w:kern w:val="0"/>
                <w:sz w:val="32"/>
                <w:szCs w:val="32"/>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377EBE0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8906F6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94726E1">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541006D7">
            <w:pPr>
              <w:widowControl/>
              <w:adjustRightInd w:val="0"/>
              <w:snapToGrid w:val="0"/>
              <w:rPr>
                <w:rFonts w:hint="eastAsia" w:ascii="仿宋_GB2312" w:hAnsi="仿宋_GB2312" w:eastAsia="仿宋_GB2312" w:cs="仿宋_GB2312"/>
                <w:color w:val="auto"/>
                <w:kern w:val="0"/>
                <w:sz w:val="32"/>
                <w:szCs w:val="32"/>
              </w:rPr>
            </w:pPr>
          </w:p>
        </w:tc>
      </w:tr>
      <w:tr w14:paraId="2666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3" w:hRule="atLeast"/>
          <w:jc w:val="center"/>
        </w:trPr>
        <w:tc>
          <w:tcPr>
            <w:tcW w:w="617" w:type="dxa"/>
            <w:vAlign w:val="center"/>
          </w:tcPr>
          <w:p w14:paraId="5FE400D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p>
        </w:tc>
        <w:tc>
          <w:tcPr>
            <w:tcW w:w="951" w:type="dxa"/>
            <w:vAlign w:val="center"/>
          </w:tcPr>
          <w:p w14:paraId="38A3CE6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煤气分配主管、车间内各类燃气管线切断阀设置情况</w:t>
            </w:r>
          </w:p>
        </w:tc>
        <w:tc>
          <w:tcPr>
            <w:tcW w:w="951" w:type="dxa"/>
            <w:vAlign w:val="center"/>
          </w:tcPr>
          <w:p w14:paraId="55D0207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煤气分配主管上支管引接处，是否设置可靠的切断（使用介质为热煤气的除外）车间内各类燃气管线，在车间入口是否设置总管切断阀（重大隐患）</w:t>
            </w:r>
          </w:p>
        </w:tc>
        <w:tc>
          <w:tcPr>
            <w:tcW w:w="3899" w:type="dxa"/>
            <w:vAlign w:val="center"/>
          </w:tcPr>
          <w:p w14:paraId="5147E103">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第三十六条第一款、第二款</w:t>
            </w:r>
            <w:r>
              <w:rPr>
                <w:rFonts w:hint="eastAsia" w:ascii="仿宋_GB2312" w:hAnsi="仿宋_GB2312" w:eastAsia="仿宋_GB2312" w:cs="仿宋_GB2312"/>
                <w:bCs/>
                <w:color w:val="auto"/>
                <w:kern w:val="0"/>
                <w:sz w:val="32"/>
                <w:szCs w:val="32"/>
              </w:rPr>
              <w:t>安</w:t>
            </w:r>
            <w:r>
              <w:rPr>
                <w:rFonts w:hint="eastAsia" w:ascii="仿宋_GB2312" w:hAnsi="仿宋_GB2312" w:eastAsia="仿宋_GB2312" w:cs="仿宋_GB2312"/>
                <w:color w:val="auto"/>
                <w:kern w:val="0"/>
                <w:sz w:val="32"/>
                <w:szCs w:val="32"/>
              </w:rPr>
              <w:t>全设备的设计、制造、安装、使用、检测、维修、改造和报废，应当符合国家标准或者行业标准。</w:t>
            </w:r>
          </w:p>
          <w:p w14:paraId="0ECA5EC1">
            <w:pPr>
              <w:widowControl/>
              <w:shd w:val="clear" w:color="auto" w:fill="FFFFFF"/>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p w14:paraId="59FD5E5A">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《工业企业煤气安全规程》（GB 6222-2005）</w:t>
            </w:r>
          </w:p>
          <w:p w14:paraId="429C45FF">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6.2.1.10  煤气分配主管上支管引接处( 热发生炉煤气管除外)，应设置可靠的隔断装置</w:t>
            </w:r>
          </w:p>
          <w:p w14:paraId="56876217">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《工贸行业重大生产安全事故隐患判定标准（2017版）》（安监总管四〔2017〕129号）</w:t>
            </w:r>
          </w:p>
          <w:p w14:paraId="49BACF62">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二、行业类重大事故隐患</w:t>
            </w:r>
          </w:p>
          <w:p w14:paraId="348D65BA">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（一）冶金行业。</w:t>
            </w:r>
          </w:p>
          <w:p w14:paraId="43E93F0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10.煤气分配主管上支管引接处，未设置可靠的切断装置；车间内各类燃气管线，在车间入口未设置总管切断阀。</w:t>
            </w:r>
          </w:p>
        </w:tc>
        <w:tc>
          <w:tcPr>
            <w:tcW w:w="3899" w:type="dxa"/>
            <w:vAlign w:val="center"/>
          </w:tcPr>
          <w:p w14:paraId="5D5E933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（1）营业执照和有关证照；</w:t>
            </w:r>
          </w:p>
          <w:p w14:paraId="0EB090B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2F06205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（3）设施设计报告；</w:t>
            </w:r>
          </w:p>
          <w:p w14:paraId="4C07FD2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（4）设施验收报告、合格证书或其他合格证明资料；</w:t>
            </w:r>
          </w:p>
          <w:p w14:paraId="34AF3A5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（5）日常检维修登记台账；</w:t>
            </w:r>
          </w:p>
          <w:p w14:paraId="417C442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（6）现场图片或影像资料；</w:t>
            </w:r>
          </w:p>
          <w:p w14:paraId="5C6E223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5D09F1B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（8）相关人员任职文件、身份证明及其询问笔录；</w:t>
            </w:r>
          </w:p>
          <w:p w14:paraId="2E067AA8">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（9）证人证言</w:t>
            </w:r>
            <w:r>
              <w:rPr>
                <w:rFonts w:hint="eastAsia" w:ascii="仿宋_GB2312" w:hAnsi="仿宋_GB2312" w:eastAsia="仿宋_GB2312" w:cs="仿宋_GB2312"/>
                <w:color w:val="auto"/>
                <w:sz w:val="32"/>
                <w:szCs w:val="32"/>
              </w:rPr>
              <w:t>；</w:t>
            </w:r>
          </w:p>
          <w:p w14:paraId="097A74E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（10）其他相关证据。</w:t>
            </w:r>
          </w:p>
        </w:tc>
        <w:tc>
          <w:tcPr>
            <w:tcW w:w="3899" w:type="dxa"/>
            <w:vAlign w:val="center"/>
          </w:tcPr>
          <w:p w14:paraId="4DBB5EF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第九十九条第二项、第三项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6008E0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5AA14A0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（三）未对安全设备进行经常性维护、保养和定期检测的；</w:t>
            </w:r>
          </w:p>
          <w:p w14:paraId="78269C4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97A543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A1BB1F3">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408EC4CC">
            <w:pPr>
              <w:widowControl/>
              <w:adjustRightInd w:val="0"/>
              <w:snapToGrid w:val="0"/>
              <w:rPr>
                <w:rFonts w:hint="eastAsia" w:ascii="仿宋_GB2312" w:hAnsi="仿宋_GB2312" w:eastAsia="仿宋_GB2312" w:cs="仿宋_GB2312"/>
                <w:color w:val="auto"/>
                <w:kern w:val="0"/>
                <w:sz w:val="32"/>
                <w:szCs w:val="32"/>
              </w:rPr>
            </w:pPr>
          </w:p>
        </w:tc>
      </w:tr>
      <w:tr w14:paraId="2D94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77" w:hRule="atLeast"/>
          <w:jc w:val="center"/>
        </w:trPr>
        <w:tc>
          <w:tcPr>
            <w:tcW w:w="617" w:type="dxa"/>
            <w:vAlign w:val="center"/>
          </w:tcPr>
          <w:p w14:paraId="313AD498">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p>
        </w:tc>
        <w:tc>
          <w:tcPr>
            <w:tcW w:w="951" w:type="dxa"/>
            <w:vAlign w:val="center"/>
          </w:tcPr>
          <w:p w14:paraId="7E0E656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氧枪等水冷元件情况</w:t>
            </w:r>
          </w:p>
        </w:tc>
        <w:tc>
          <w:tcPr>
            <w:tcW w:w="951" w:type="dxa"/>
            <w:vAlign w:val="center"/>
          </w:tcPr>
          <w:p w14:paraId="2B2D596A">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氧枪等水冷元件是否配置出水温度与进出水流量差检测、报警装置及温度监测，是否</w:t>
            </w:r>
            <w:r>
              <w:rPr>
                <w:rFonts w:hint="eastAsia" w:ascii="仿宋_GB2312" w:hAnsi="仿宋_GB2312" w:eastAsia="仿宋_GB2312" w:cs="仿宋_GB2312"/>
                <w:color w:val="auto"/>
                <w:kern w:val="0"/>
                <w:sz w:val="32"/>
                <w:szCs w:val="32"/>
              </w:rPr>
              <w:t>炉</w:t>
            </w:r>
            <w:r>
              <w:rPr>
                <w:rFonts w:hint="eastAsia" w:ascii="仿宋_GB2312" w:hAnsi="仿宋_GB2312" w:eastAsia="仿宋_GB2312" w:cs="仿宋_GB2312"/>
                <w:color w:val="auto"/>
                <w:sz w:val="32"/>
                <w:szCs w:val="32"/>
              </w:rPr>
              <w:t>体倾动、氧气开闭等联锁（重大隐患）</w:t>
            </w:r>
          </w:p>
        </w:tc>
        <w:tc>
          <w:tcPr>
            <w:tcW w:w="3899" w:type="dxa"/>
            <w:vAlign w:val="center"/>
          </w:tcPr>
          <w:p w14:paraId="2D6D8D1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《四川省安全生产条例》第四条第二款</w:t>
            </w:r>
            <w:r>
              <w:rPr>
                <w:rFonts w:hint="eastAsia" w:ascii="仿宋_GB2312" w:hAnsi="仿宋_GB2312" w:eastAsia="仿宋_GB2312" w:cs="仿宋_GB2312"/>
                <w:color w:val="auto"/>
                <w:kern w:val="0"/>
                <w:sz w:val="32"/>
                <w:szCs w:val="32"/>
              </w:rPr>
              <w:t>生产经营单位及其从业人员必须遵守安全生产法律、法规、规章、标准、规范、作业规程以及安全技术措施等相关规定。</w:t>
            </w:r>
          </w:p>
          <w:p w14:paraId="6DDF071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《炼钢安全规程》（AQ2001-2018）9.1.4</w:t>
            </w:r>
            <w:r>
              <w:rPr>
                <w:rFonts w:hint="eastAsia" w:ascii="仿宋_GB2312" w:hAnsi="仿宋_GB2312" w:eastAsia="仿宋_GB2312" w:cs="仿宋_GB2312"/>
                <w:color w:val="auto"/>
                <w:kern w:val="0"/>
                <w:sz w:val="32"/>
                <w:szCs w:val="32"/>
              </w:rPr>
              <w:t>转炉氧枪升降装置，应配备钢绳张力测定、钢绳断裂防坠、事故驱动等安全装置；各枪位停靠点，应与转炉倾动、氧气开闭、冷却水流量和温度等联锁……</w:t>
            </w:r>
          </w:p>
          <w:p w14:paraId="0306033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《炼钢安全规程》（AQ2001-2018）9.1.9</w:t>
            </w:r>
            <w:r>
              <w:rPr>
                <w:rFonts w:hint="eastAsia" w:ascii="仿宋_GB2312" w:hAnsi="仿宋_GB2312" w:eastAsia="仿宋_GB2312" w:cs="仿宋_GB2312"/>
                <w:color w:val="auto"/>
                <w:kern w:val="0"/>
                <w:sz w:val="32"/>
                <w:szCs w:val="32"/>
              </w:rPr>
              <w:t>烟道上的氧、副枪孔与加料口，应设可靠的氮封。转炉炉子跨炉口以上的各层平台，应设固定式煤气检测与报警装置，除就地报警外，煤气检测和报警应在转炉主控室集中显示……</w:t>
            </w:r>
          </w:p>
          <w:p w14:paraId="11782BE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10.1.8 水冷炉壁与炉盖的水冷板、Consteel炉连接小车水套、竖井水冷件等，应配置出水温度与进出水流量差检测、报警装置。出水温度超过规定值、进出水流量差报警时，应自动断电并升起电极停止冶炼，操作人员应迅速查明原因，排除故障，然后恢复供电。</w:t>
            </w:r>
          </w:p>
          <w:p w14:paraId="19F85BF7">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11.1.4 受钢液高温影响的水冷元件，应采取必要的安全措施，确保在断电期间保护设备免遭损坏；可能因冷却水泄漏酿成爆炸事故的水冷元件，如VOD、CAS-OB、IR-UT、RH-KTB中的水冷氧枪，应配备进出水流量差报警装置；报警信号发出后，氧枪应自动提升并停止供氧，停止精炼作业。</w:t>
            </w:r>
          </w:p>
          <w:p w14:paraId="396CA32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《工贸行业重大生产安全事故隐患判定标准（2017版）》（安监总管四〔2017〕129号）</w:t>
            </w:r>
          </w:p>
          <w:p w14:paraId="49B811F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37D77AE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（一）冶金行业。</w:t>
            </w:r>
          </w:p>
          <w:p w14:paraId="35C4A7A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6.氧枪等水冷元件未配置出水温度与进出水流量差检测、报警装置及温度监测，未与炉体倾动、氧气开闭等联锁。</w:t>
            </w:r>
          </w:p>
        </w:tc>
        <w:tc>
          <w:tcPr>
            <w:tcW w:w="3899" w:type="dxa"/>
            <w:vAlign w:val="center"/>
          </w:tcPr>
          <w:p w14:paraId="4183C29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（1）营业执照和有关证照；</w:t>
            </w:r>
          </w:p>
          <w:p w14:paraId="2E6A5FC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02E7D2C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（3）设施设计报告；</w:t>
            </w:r>
          </w:p>
          <w:p w14:paraId="548E3D4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（4）设施验收报告、合格证书或其他合格证明资料；</w:t>
            </w:r>
          </w:p>
          <w:p w14:paraId="09F6E3C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（5）日常检维修登记台账；</w:t>
            </w:r>
          </w:p>
          <w:p w14:paraId="38C020A9">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color w:val="auto"/>
                <w:sz w:val="32"/>
                <w:szCs w:val="32"/>
              </w:rPr>
              <w:t>现场图片或影像资料；</w:t>
            </w:r>
          </w:p>
          <w:p w14:paraId="71191BD0">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kern w:val="0"/>
                <w:sz w:val="32"/>
                <w:szCs w:val="32"/>
              </w:rPr>
              <w:t>《现场检查记录》《责令限期整改指令书》等相关执法文书；</w:t>
            </w:r>
          </w:p>
          <w:p w14:paraId="1C8FB64F">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kern w:val="0"/>
                <w:sz w:val="32"/>
                <w:szCs w:val="32"/>
              </w:rPr>
              <w:t>相关人员任职文件、身份证明及其询问笔录；</w:t>
            </w:r>
          </w:p>
          <w:p w14:paraId="4FABA08C">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（9）证人证言；</w:t>
            </w:r>
          </w:p>
          <w:p w14:paraId="6844C99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（10）其他相关证据。</w:t>
            </w:r>
          </w:p>
        </w:tc>
        <w:tc>
          <w:tcPr>
            <w:tcW w:w="3899" w:type="dxa"/>
            <w:vAlign w:val="center"/>
          </w:tcPr>
          <w:p w14:paraId="7EBE22C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14:paraId="14BF189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4FB606D">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51FCE4C">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0C910263">
            <w:pPr>
              <w:widowControl/>
              <w:adjustRightInd w:val="0"/>
              <w:snapToGrid w:val="0"/>
              <w:rPr>
                <w:rFonts w:hint="eastAsia" w:ascii="仿宋_GB2312" w:hAnsi="仿宋_GB2312" w:eastAsia="仿宋_GB2312" w:cs="仿宋_GB2312"/>
                <w:color w:val="auto"/>
                <w:kern w:val="0"/>
                <w:sz w:val="32"/>
                <w:szCs w:val="32"/>
              </w:rPr>
            </w:pPr>
          </w:p>
        </w:tc>
      </w:tr>
      <w:tr w14:paraId="741E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489" w:hRule="atLeast"/>
          <w:jc w:val="center"/>
        </w:trPr>
        <w:tc>
          <w:tcPr>
            <w:tcW w:w="617" w:type="dxa"/>
            <w:vAlign w:val="center"/>
          </w:tcPr>
          <w:p w14:paraId="45F202A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w:t>
            </w:r>
          </w:p>
        </w:tc>
        <w:tc>
          <w:tcPr>
            <w:tcW w:w="951" w:type="dxa"/>
            <w:vAlign w:val="center"/>
          </w:tcPr>
          <w:p w14:paraId="4AA6FE1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高炉、转炉、加热炉</w:t>
            </w:r>
            <w:r>
              <w:rPr>
                <w:rFonts w:hint="eastAsia" w:ascii="仿宋_GB2312" w:hAnsi="仿宋_GB2312" w:eastAsia="仿宋_GB2312" w:cs="仿宋_GB2312"/>
                <w:color w:val="auto"/>
                <w:kern w:val="0"/>
                <w:sz w:val="32"/>
                <w:szCs w:val="32"/>
              </w:rPr>
              <w:t>（使用介质为热煤气的除外）</w:t>
            </w:r>
            <w:r>
              <w:rPr>
                <w:rFonts w:hint="eastAsia" w:ascii="仿宋_GB2312" w:hAnsi="仿宋_GB2312" w:eastAsia="仿宋_GB2312" w:cs="仿宋_GB2312"/>
                <w:color w:val="auto"/>
                <w:sz w:val="32"/>
                <w:szCs w:val="32"/>
              </w:rPr>
              <w:t>、煤气柜、除尘器等设施的煤气管道隔离装置和吹扫情况</w:t>
            </w:r>
          </w:p>
        </w:tc>
        <w:tc>
          <w:tcPr>
            <w:tcW w:w="951" w:type="dxa"/>
            <w:vAlign w:val="center"/>
          </w:tcPr>
          <w:p w14:paraId="2F3E174C">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高炉、转炉、加热炉</w:t>
            </w:r>
            <w:r>
              <w:rPr>
                <w:rFonts w:hint="eastAsia" w:ascii="仿宋_GB2312" w:hAnsi="仿宋_GB2312" w:eastAsia="仿宋_GB2312" w:cs="仿宋_GB2312"/>
                <w:color w:val="auto"/>
                <w:kern w:val="0"/>
                <w:sz w:val="32"/>
                <w:szCs w:val="32"/>
              </w:rPr>
              <w:t>（使用介质为热煤气的除外）</w:t>
            </w:r>
            <w:r>
              <w:rPr>
                <w:rFonts w:hint="eastAsia" w:ascii="仿宋_GB2312" w:hAnsi="仿宋_GB2312" w:eastAsia="仿宋_GB2312" w:cs="仿宋_GB2312"/>
                <w:color w:val="auto"/>
                <w:sz w:val="32"/>
                <w:szCs w:val="32"/>
              </w:rPr>
              <w:t>、煤气柜、除尘器等设施的煤气管道是否设置可靠隔离装置和吹扫设施（重大隐患）</w:t>
            </w:r>
          </w:p>
        </w:tc>
        <w:tc>
          <w:tcPr>
            <w:tcW w:w="3899" w:type="dxa"/>
            <w:vAlign w:val="center"/>
          </w:tcPr>
          <w:p w14:paraId="072BB7A9">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第三十六条第一款、第二款</w:t>
            </w:r>
            <w:r>
              <w:rPr>
                <w:rFonts w:hint="eastAsia" w:ascii="仿宋_GB2312" w:hAnsi="仿宋_GB2312" w:eastAsia="仿宋_GB2312" w:cs="仿宋_GB2312"/>
                <w:bCs/>
                <w:color w:val="auto"/>
                <w:kern w:val="0"/>
                <w:sz w:val="32"/>
                <w:szCs w:val="32"/>
              </w:rPr>
              <w:t>安</w:t>
            </w:r>
            <w:r>
              <w:rPr>
                <w:rFonts w:hint="eastAsia" w:ascii="仿宋_GB2312" w:hAnsi="仿宋_GB2312" w:eastAsia="仿宋_GB2312" w:cs="仿宋_GB2312"/>
                <w:color w:val="auto"/>
                <w:kern w:val="0"/>
                <w:sz w:val="32"/>
                <w:szCs w:val="32"/>
              </w:rPr>
              <w:t>全设备的设计、制造、安装、使用、检测、维修、改造和报废，应当符合国家标准或者行业标准。</w:t>
            </w:r>
          </w:p>
          <w:p w14:paraId="5E3182BE">
            <w:pPr>
              <w:widowControl/>
              <w:shd w:val="clear" w:color="auto" w:fill="FFFFFF"/>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p w14:paraId="26AAFD0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《四川省安全生产条例》第四条第二款</w:t>
            </w:r>
            <w:r>
              <w:rPr>
                <w:rFonts w:hint="eastAsia" w:ascii="仿宋_GB2312" w:hAnsi="仿宋_GB2312" w:eastAsia="仿宋_GB2312" w:cs="仿宋_GB2312"/>
                <w:color w:val="auto"/>
                <w:kern w:val="0"/>
                <w:sz w:val="32"/>
                <w:szCs w:val="32"/>
              </w:rPr>
              <w:t>生产经营单位及其从业人员必须遵守安全生产法律、法规、规章、标准、规范、作业规程以及安全技术措施等相关规定。</w:t>
            </w:r>
          </w:p>
          <w:p w14:paraId="7F8A907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"https://www.baidu.com/link?url=yCWxGEYCJvZMQK9CdgFoAmAsBGeZsLHPGQLJKfecbd9pwXNIiB_LvxSJOV_n8KFYkO1WtBW0Q3sFXvNAeB-II_&amp;wd=&amp;eqid=bf58d60700056ed9000000065dc286b4"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
                <w:bCs/>
                <w:color w:val="auto"/>
                <w:kern w:val="0"/>
                <w:sz w:val="32"/>
                <w:szCs w:val="32"/>
              </w:rPr>
              <w:t>工业企业煤气安全规程</w:t>
            </w:r>
            <w:r>
              <w:rPr>
                <w:rFonts w:hint="eastAsia" w:ascii="仿宋_GB2312" w:hAnsi="仿宋_GB2312" w:eastAsia="仿宋_GB2312" w:cs="仿宋_GB2312"/>
                <w:b/>
                <w:bCs/>
                <w:color w:val="auto"/>
                <w:kern w:val="0"/>
                <w:sz w:val="32"/>
                <w:szCs w:val="32"/>
              </w:rPr>
              <w:fldChar w:fldCharType="end"/>
            </w:r>
            <w:r>
              <w:rPr>
                <w:rFonts w:hint="eastAsia" w:ascii="仿宋_GB2312" w:hAnsi="仿宋_GB2312" w:eastAsia="仿宋_GB2312" w:cs="仿宋_GB2312"/>
                <w:b/>
                <w:bCs/>
                <w:color w:val="auto"/>
                <w:kern w:val="0"/>
                <w:sz w:val="32"/>
                <w:szCs w:val="32"/>
              </w:rPr>
              <w:t>》（GB6222-2005）7.2.1</w:t>
            </w:r>
            <w:r>
              <w:rPr>
                <w:rFonts w:hint="eastAsia" w:ascii="仿宋_GB2312" w:hAnsi="仿宋_GB2312" w:eastAsia="仿宋_GB2312" w:cs="仿宋_GB2312"/>
                <w:color w:val="auto"/>
                <w:kern w:val="0"/>
                <w:sz w:val="32"/>
                <w:szCs w:val="32"/>
              </w:rPr>
              <w:t>一般规定：凡经常检修的部位应设可靠的隔断装置。</w:t>
            </w:r>
          </w:p>
          <w:p w14:paraId="0A25429D">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7.5.2  ……为防止煤气串入蒸汽或氮气管内，只有在通蒸汽或氮气时，才能把蒸汽或氮气管与煤气管道连通，停用时应断开或堵盲板。</w:t>
            </w:r>
          </w:p>
          <w:p w14:paraId="38F8DD4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10.2.1  煤气设施停煤气检修时，应可靠地切断煤气来源并将内部煤气吹净。长期检修或停用的煤气设施，应打开上、下人孔、放散管等，保持设施内部的自然通风。</w:t>
            </w:r>
          </w:p>
          <w:p w14:paraId="00F19B8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《工贸行业重大生产安全事故隐患判定标准（2017版）》（安监总管四〔2017〕129号）</w:t>
            </w:r>
          </w:p>
          <w:p w14:paraId="48D09AB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35B9A4B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（一）冶金行业。</w:t>
            </w:r>
          </w:p>
          <w:p w14:paraId="24343FB5">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9.高炉、转炉、加热炉、煤气柜、除尘器等设施的煤气管道未设置可靠隔离装置和吹扫设施。</w:t>
            </w:r>
          </w:p>
          <w:p w14:paraId="413D424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《炼钢安全规程》（AQ2001-2018）9.1.12</w:t>
            </w:r>
            <w:r>
              <w:rPr>
                <w:rFonts w:hint="eastAsia" w:ascii="仿宋_GB2312" w:hAnsi="仿宋_GB2312" w:eastAsia="仿宋_GB2312" w:cs="仿宋_GB2312"/>
                <w:color w:val="auto"/>
                <w:kern w:val="0"/>
                <w:sz w:val="32"/>
                <w:szCs w:val="32"/>
              </w:rPr>
              <w:t>转炉煤气回收系统设备和管道上，应合理设置泄爆、放散、吹扫等设施……</w:t>
            </w:r>
          </w:p>
        </w:tc>
        <w:tc>
          <w:tcPr>
            <w:tcW w:w="3899" w:type="dxa"/>
            <w:vAlign w:val="center"/>
          </w:tcPr>
          <w:p w14:paraId="4E934DD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（1）营业执照和有关证照；</w:t>
            </w:r>
          </w:p>
          <w:p w14:paraId="7E1C3C1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1A1A53B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（3）设施设计报告；</w:t>
            </w:r>
          </w:p>
          <w:p w14:paraId="729EDE7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（4）设施验收报告、合格证书或其他合格证明资料；</w:t>
            </w:r>
          </w:p>
          <w:p w14:paraId="6E9536E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（5）日常检维修登记台账；</w:t>
            </w:r>
          </w:p>
          <w:p w14:paraId="112247B0">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color w:val="auto"/>
                <w:sz w:val="32"/>
                <w:szCs w:val="32"/>
              </w:rPr>
              <w:t>现场图片或影像资料；</w:t>
            </w:r>
          </w:p>
          <w:p w14:paraId="1BD7BD48">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kern w:val="0"/>
                <w:sz w:val="32"/>
                <w:szCs w:val="32"/>
              </w:rPr>
              <w:t>《现场检查记录》《责令限期整改指令书》等相关执法文书；</w:t>
            </w:r>
          </w:p>
          <w:p w14:paraId="3B513473">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kern w:val="0"/>
                <w:sz w:val="32"/>
                <w:szCs w:val="32"/>
              </w:rPr>
              <w:t>相关人员任职文件、身份证明及其询问笔录；</w:t>
            </w:r>
          </w:p>
          <w:p w14:paraId="5B8297F8">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（9）证人证言；</w:t>
            </w:r>
          </w:p>
          <w:p w14:paraId="769723B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（10）其他相关证据。</w:t>
            </w:r>
          </w:p>
        </w:tc>
        <w:tc>
          <w:tcPr>
            <w:tcW w:w="3899" w:type="dxa"/>
            <w:vAlign w:val="center"/>
          </w:tcPr>
          <w:p w14:paraId="4C3D647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第九十九条第二项、第三项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5274CF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7A51D6A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（三）未对安全设备进行经常性维护、保养和定期检测的；</w:t>
            </w:r>
          </w:p>
          <w:p w14:paraId="5FB34DB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14:paraId="0E4F789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BA9E28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F79E794">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230FECEA">
            <w:pPr>
              <w:widowControl/>
              <w:adjustRightInd w:val="0"/>
              <w:snapToGrid w:val="0"/>
              <w:rPr>
                <w:rFonts w:hint="eastAsia" w:ascii="仿宋_GB2312" w:hAnsi="仿宋_GB2312" w:eastAsia="仿宋_GB2312" w:cs="仿宋_GB2312"/>
                <w:color w:val="auto"/>
                <w:kern w:val="0"/>
                <w:sz w:val="32"/>
                <w:szCs w:val="32"/>
              </w:rPr>
            </w:pPr>
          </w:p>
        </w:tc>
      </w:tr>
      <w:tr w14:paraId="129D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79" w:hRule="atLeast"/>
          <w:jc w:val="center"/>
        </w:trPr>
        <w:tc>
          <w:tcPr>
            <w:tcW w:w="15167" w:type="dxa"/>
            <w:gridSpan w:val="7"/>
            <w:vAlign w:val="center"/>
          </w:tcPr>
          <w:p w14:paraId="5E0156B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说明：1、根据本清单提供的证照及资料有原件的，应核实原件后留存复印件；无原件的提供复印件。所有复印件资料均应加盖企业公章。证照及资料有正副本的，均核验留存复印件。</w:t>
            </w:r>
          </w:p>
          <w:p w14:paraId="127FF916">
            <w:pPr>
              <w:widowControl/>
              <w:adjustRightInd w:val="0"/>
              <w:snapToGrid w:val="0"/>
              <w:ind w:firstLine="960" w:firstLineChars="3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2、其他相关证据：能够证明企业违法违规行为的其他相关资料。</w:t>
            </w:r>
          </w:p>
        </w:tc>
      </w:tr>
    </w:tbl>
    <w:p w14:paraId="55C45175">
      <w:pPr>
        <w:rPr>
          <w:rFonts w:hint="eastAsia" w:ascii="仿宋_GB2312" w:hAnsi="仿宋_GB2312" w:eastAsia="仿宋_GB2312" w:cs="仿宋_GB2312"/>
          <w:b/>
          <w:color w:val="auto"/>
          <w:kern w:val="44"/>
          <w:sz w:val="32"/>
          <w:szCs w:val="32"/>
        </w:rPr>
      </w:pPr>
      <w:r>
        <w:rPr>
          <w:rFonts w:hint="eastAsia" w:ascii="仿宋_GB2312" w:hAnsi="仿宋_GB2312" w:eastAsia="仿宋_GB2312" w:cs="仿宋_GB2312"/>
          <w:b/>
          <w:color w:val="auto"/>
          <w:kern w:val="44"/>
          <w:sz w:val="32"/>
          <w:szCs w:val="32"/>
        </w:rPr>
        <w:br w:type="page"/>
      </w:r>
    </w:p>
    <w:p w14:paraId="7B7463F6">
      <w:pPr>
        <w:rPr>
          <w:rFonts w:hint="eastAsia" w:ascii="仿宋_GB2312" w:hAnsi="仿宋_GB2312" w:eastAsia="仿宋_GB2312" w:cs="仿宋_GB2312"/>
          <w:color w:val="auto"/>
          <w:sz w:val="32"/>
          <w:szCs w:val="32"/>
        </w:rPr>
      </w:pPr>
    </w:p>
    <w:p w14:paraId="50031482">
      <w:pPr>
        <w:pStyle w:val="3"/>
        <w:spacing w:line="240" w:lineRule="auto"/>
        <w:jc w:val="center"/>
        <w:rPr>
          <w:rFonts w:hint="eastAsia" w:ascii="仿宋_GB2312" w:hAnsi="仿宋_GB2312" w:eastAsia="仿宋_GB2312" w:cs="仿宋_GB2312"/>
          <w:color w:val="auto"/>
          <w:sz w:val="32"/>
          <w:szCs w:val="32"/>
        </w:rPr>
      </w:pPr>
      <w:bookmarkStart w:id="18" w:name="_Toc30484"/>
      <w:r>
        <w:rPr>
          <w:rFonts w:hint="eastAsia" w:ascii="仿宋_GB2312" w:hAnsi="仿宋_GB2312" w:eastAsia="仿宋_GB2312" w:cs="仿宋_GB2312"/>
          <w:color w:val="auto"/>
          <w:sz w:val="32"/>
          <w:szCs w:val="32"/>
        </w:rPr>
        <w:t>粉尘涉爆企业重点检查清单</w:t>
      </w:r>
      <w:bookmarkEnd w:id="18"/>
    </w:p>
    <w:tbl>
      <w:tblPr>
        <w:tblStyle w:val="8"/>
        <w:tblW w:w="15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7"/>
        <w:gridCol w:w="951"/>
        <w:gridCol w:w="951"/>
        <w:gridCol w:w="3899"/>
        <w:gridCol w:w="3899"/>
        <w:gridCol w:w="3899"/>
        <w:gridCol w:w="951"/>
      </w:tblGrid>
      <w:tr w14:paraId="2E74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tblHeader/>
          <w:jc w:val="center"/>
        </w:trPr>
        <w:tc>
          <w:tcPr>
            <w:tcW w:w="617" w:type="dxa"/>
            <w:vAlign w:val="center"/>
          </w:tcPr>
          <w:p w14:paraId="5D7BAAE3">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序号</w:t>
            </w:r>
          </w:p>
        </w:tc>
        <w:tc>
          <w:tcPr>
            <w:tcW w:w="951" w:type="dxa"/>
            <w:vAlign w:val="center"/>
          </w:tcPr>
          <w:p w14:paraId="53F6DD9A">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检查事项</w:t>
            </w:r>
          </w:p>
        </w:tc>
        <w:tc>
          <w:tcPr>
            <w:tcW w:w="951" w:type="dxa"/>
            <w:vAlign w:val="center"/>
          </w:tcPr>
          <w:p w14:paraId="2DC446E9">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检查内容</w:t>
            </w:r>
          </w:p>
        </w:tc>
        <w:tc>
          <w:tcPr>
            <w:tcW w:w="3899" w:type="dxa"/>
            <w:vAlign w:val="center"/>
          </w:tcPr>
          <w:p w14:paraId="282B532B">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检查依据</w:t>
            </w:r>
          </w:p>
        </w:tc>
        <w:tc>
          <w:tcPr>
            <w:tcW w:w="3899" w:type="dxa"/>
            <w:vAlign w:val="center"/>
          </w:tcPr>
          <w:p w14:paraId="4C6B4F8B">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主要证据</w:t>
            </w:r>
          </w:p>
        </w:tc>
        <w:tc>
          <w:tcPr>
            <w:tcW w:w="3899" w:type="dxa"/>
            <w:vAlign w:val="center"/>
          </w:tcPr>
          <w:p w14:paraId="5B43FF0C">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法律责任（罚则）</w:t>
            </w:r>
          </w:p>
        </w:tc>
        <w:tc>
          <w:tcPr>
            <w:tcW w:w="951" w:type="dxa"/>
            <w:vAlign w:val="center"/>
          </w:tcPr>
          <w:p w14:paraId="5251151E">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检查结果</w:t>
            </w:r>
          </w:p>
        </w:tc>
      </w:tr>
      <w:tr w14:paraId="3E68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92" w:hRule="atLeast"/>
          <w:jc w:val="center"/>
        </w:trPr>
        <w:tc>
          <w:tcPr>
            <w:tcW w:w="617" w:type="dxa"/>
            <w:vAlign w:val="center"/>
          </w:tcPr>
          <w:p w14:paraId="5CC8F6A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951" w:type="dxa"/>
            <w:vAlign w:val="center"/>
          </w:tcPr>
          <w:p w14:paraId="6FDFAC7A">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粉尘爆炸危险场所的设置情况</w:t>
            </w:r>
          </w:p>
        </w:tc>
        <w:tc>
          <w:tcPr>
            <w:tcW w:w="951" w:type="dxa"/>
            <w:vAlign w:val="center"/>
          </w:tcPr>
          <w:p w14:paraId="3F77538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粉尘爆炸危险场所设置在非框架结构的多层建构筑物内或与居民区、员工宿舍、会议室等人员密集场所安全距离不足（重大隐患）</w:t>
            </w:r>
          </w:p>
        </w:tc>
        <w:tc>
          <w:tcPr>
            <w:tcW w:w="3899" w:type="dxa"/>
            <w:vAlign w:val="center"/>
          </w:tcPr>
          <w:p w14:paraId="32EEF42A">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AD7EF2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《建筑设计防火规范》GB 50016-2014（2018版）3.2.2</w:t>
            </w:r>
            <w:r>
              <w:rPr>
                <w:rFonts w:hint="eastAsia" w:ascii="仿宋_GB2312" w:hAnsi="仿宋_GB2312" w:eastAsia="仿宋_GB2312" w:cs="仿宋_GB2312"/>
                <w:color w:val="auto"/>
                <w:kern w:val="0"/>
                <w:sz w:val="32"/>
                <w:szCs w:val="32"/>
              </w:rPr>
              <w:t>高层厂房，甲、乙类厂房的耐火等级不应低于二级，建筑面积不大于300㎡的独立甲、乙类单层厂房可采用三级耐火等级的建筑。</w:t>
            </w:r>
          </w:p>
          <w:p w14:paraId="242A604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《建筑设计防火规范》GB 50016-2014（2018版）3.4.1</w:t>
            </w:r>
            <w:r>
              <w:rPr>
                <w:rFonts w:hint="eastAsia" w:ascii="仿宋_GB2312" w:hAnsi="仿宋_GB2312" w:eastAsia="仿宋_GB2312" w:cs="仿宋_GB2312"/>
                <w:color w:val="auto"/>
                <w:kern w:val="0"/>
                <w:sz w:val="32"/>
                <w:szCs w:val="32"/>
              </w:rPr>
              <w:t>除本规范另有规定外，厂房之间及与乙、丙、丁、戊类仓库、民用建筑等的防火间距不应小于表3.4.1的规定，与甲类仓库的防火间距应符合本规范3.5.1的规定。</w:t>
            </w:r>
          </w:p>
          <w:p w14:paraId="0F2BE25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《铝镁制品机械加工粉尘防爆安全技术规范》（AQ 4272-2016）6.1</w:t>
            </w:r>
            <w:r>
              <w:rPr>
                <w:rFonts w:hint="eastAsia" w:ascii="仿宋_GB2312" w:hAnsi="仿宋_GB2312" w:eastAsia="仿宋_GB2312" w:cs="仿宋_GB2312"/>
                <w:color w:val="auto"/>
                <w:kern w:val="0"/>
                <w:sz w:val="32"/>
                <w:szCs w:val="32"/>
              </w:rPr>
              <w:t>厂房内存在铝镁制品机械加工粉尘爆炸环境危险区域，厂房建筑物应独立设置，与学校、医院、商业等重要公共建筑之间的防火间距不小于 50m，与民用建筑之间的防火间距不小于 25m。如果铝镁制品机械加工粉尘爆炸危险区域设置在联合厂房内，应符合下列要求：a）布置在联合厂房的外侧；b）粉尘爆炸危险区域设置耐火极限不低于 3.00 h 的实体结构隔墙，与其它加工方式的作业区隔离。</w:t>
            </w:r>
          </w:p>
          <w:p w14:paraId="015D836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《铝镁制品机械加工粉尘防爆安全技术规范》（AQ 4272-2016）6.4</w:t>
            </w:r>
            <w:r>
              <w:rPr>
                <w:rFonts w:hint="eastAsia" w:ascii="仿宋_GB2312" w:hAnsi="仿宋_GB2312" w:eastAsia="仿宋_GB2312" w:cs="仿宋_GB2312"/>
                <w:color w:val="auto"/>
                <w:kern w:val="0"/>
                <w:sz w:val="32"/>
                <w:szCs w:val="32"/>
              </w:rPr>
              <w:t>存在粉尘爆炸环境危险区域的厂房内，不得设置办公室、休息室、会议室、仓库和危险化学品仓库。</w:t>
            </w:r>
          </w:p>
          <w:p w14:paraId="5F245A5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《粉尘防爆安全规程》（GB 15577-2018）5.1</w:t>
            </w:r>
            <w:r>
              <w:rPr>
                <w:rFonts w:hint="eastAsia" w:ascii="仿宋_GB2312" w:hAnsi="仿宋_GB2312" w:eastAsia="仿宋_GB2312" w:cs="仿宋_GB2312"/>
                <w:color w:val="auto"/>
                <w:kern w:val="0"/>
                <w:sz w:val="32"/>
                <w:szCs w:val="32"/>
              </w:rPr>
              <w:t>存在粉尘爆炸危险的工艺设备或存在粉尘爆炸危险场所的建（构）筑物，不应设置在公共场所和居民区内，其防火间距应符合GB50016的相关规定。</w:t>
            </w:r>
          </w:p>
          <w:p w14:paraId="0A33BB1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存在粉尘爆炸危险场所的建筑物宜为框架结构的单层建筑，其屋顶宜用轻型结构。如为多层建应采用框架结构。</w:t>
            </w:r>
          </w:p>
          <w:p w14:paraId="161670A1">
            <w:pPr>
              <w:widowControl/>
              <w:adjustRightInd w:val="0"/>
              <w:snapToGrid w:val="0"/>
              <w:ind w:firstLine="361"/>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5.7粉尘爆炸危险场所应严格控制区域内作业人员数量，不得设有休息室、会议室等人员密集场所。</w:t>
            </w:r>
          </w:p>
          <w:p w14:paraId="6A78834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《工贸行业重大生产安全事故隐患判定标准（2017版）》（安监总管四〔2017〕129号）</w:t>
            </w:r>
          </w:p>
          <w:p w14:paraId="6A9E06C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一、专项类重大事故隐患</w:t>
            </w:r>
          </w:p>
          <w:p w14:paraId="2131C68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（一）存在粉尘爆炸危险的行业领域。</w:t>
            </w:r>
          </w:p>
          <w:p w14:paraId="0226F61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1.粉尘爆炸危险场所设置在非框架结构的多层建构筑物内，或与居民区、员工宿舍、会议室等人员密集场所安全距离不足。</w:t>
            </w:r>
          </w:p>
        </w:tc>
        <w:tc>
          <w:tcPr>
            <w:tcW w:w="3899" w:type="dxa"/>
            <w:vAlign w:val="center"/>
          </w:tcPr>
          <w:p w14:paraId="3D9AC71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（1）营业执照和有关证照；</w:t>
            </w:r>
          </w:p>
          <w:p w14:paraId="33F0B61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31E60F6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（3）涉爆场所耐火等级证明资料；</w:t>
            </w:r>
          </w:p>
          <w:p w14:paraId="512295E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（4）涉爆场所周边间距相关资料；</w:t>
            </w:r>
          </w:p>
          <w:p w14:paraId="441B53BB">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33BAEB89">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5AA7C77E">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（7）相关人员任职文件、身份证明及其询问笔录；</w:t>
            </w:r>
          </w:p>
          <w:p w14:paraId="7D8F6F1D">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（8）《证人证言》；</w:t>
            </w:r>
          </w:p>
          <w:p w14:paraId="49D1B41C">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vAlign w:val="center"/>
          </w:tcPr>
          <w:p w14:paraId="46158EBC">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3E5B78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14:paraId="75328B8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7FE9A35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45D40E3">
            <w:pPr>
              <w:rPr>
                <w:rFonts w:hint="eastAsia" w:ascii="仿宋_GB2312" w:hAnsi="仿宋_GB2312" w:eastAsia="仿宋_GB2312" w:cs="仿宋_GB2312"/>
                <w:color w:val="auto"/>
                <w:sz w:val="32"/>
                <w:szCs w:val="32"/>
              </w:rPr>
            </w:pPr>
          </w:p>
          <w:p w14:paraId="4A3AE28C">
            <w:pPr>
              <w:rPr>
                <w:rFonts w:hint="eastAsia" w:ascii="仿宋_GB2312" w:hAnsi="仿宋_GB2312" w:eastAsia="仿宋_GB2312" w:cs="仿宋_GB2312"/>
                <w:color w:val="auto"/>
                <w:sz w:val="32"/>
                <w:szCs w:val="32"/>
              </w:rPr>
            </w:pPr>
          </w:p>
        </w:tc>
        <w:tc>
          <w:tcPr>
            <w:tcW w:w="951" w:type="dxa"/>
            <w:vAlign w:val="center"/>
          </w:tcPr>
          <w:p w14:paraId="71C868E6">
            <w:pPr>
              <w:widowControl/>
              <w:adjustRightInd w:val="0"/>
              <w:snapToGrid w:val="0"/>
              <w:rPr>
                <w:rFonts w:hint="eastAsia" w:ascii="仿宋_GB2312" w:hAnsi="仿宋_GB2312" w:eastAsia="仿宋_GB2312" w:cs="仿宋_GB2312"/>
                <w:color w:val="auto"/>
                <w:kern w:val="0"/>
                <w:sz w:val="32"/>
                <w:szCs w:val="32"/>
              </w:rPr>
            </w:pPr>
          </w:p>
        </w:tc>
      </w:tr>
      <w:tr w14:paraId="0BA9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52" w:hRule="atLeast"/>
          <w:jc w:val="center"/>
        </w:trPr>
        <w:tc>
          <w:tcPr>
            <w:tcW w:w="617" w:type="dxa"/>
            <w:vMerge w:val="restart"/>
            <w:vAlign w:val="center"/>
          </w:tcPr>
          <w:p w14:paraId="51043025">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951" w:type="dxa"/>
            <w:vMerge w:val="restart"/>
            <w:vAlign w:val="center"/>
          </w:tcPr>
          <w:p w14:paraId="0040CABD">
            <w:pPr>
              <w:jc w:val="center"/>
              <w:rPr>
                <w:rFonts w:hint="eastAsia" w:ascii="仿宋_GB2312" w:hAnsi="仿宋_GB2312" w:eastAsia="仿宋_GB2312" w:cs="仿宋_GB2312"/>
                <w:color w:val="auto"/>
                <w:sz w:val="32"/>
                <w:szCs w:val="32"/>
              </w:rPr>
            </w:pPr>
          </w:p>
          <w:p w14:paraId="61A29036">
            <w:pPr>
              <w:jc w:val="center"/>
              <w:rPr>
                <w:rFonts w:hint="eastAsia" w:ascii="仿宋_GB2312" w:hAnsi="仿宋_GB2312" w:eastAsia="仿宋_GB2312" w:cs="仿宋_GB2312"/>
                <w:color w:val="auto"/>
                <w:sz w:val="32"/>
                <w:szCs w:val="32"/>
              </w:rPr>
            </w:pPr>
          </w:p>
          <w:p w14:paraId="65060236">
            <w:pPr>
              <w:jc w:val="center"/>
              <w:rPr>
                <w:rFonts w:hint="eastAsia" w:ascii="仿宋_GB2312" w:hAnsi="仿宋_GB2312" w:eastAsia="仿宋_GB2312" w:cs="仿宋_GB2312"/>
                <w:color w:val="auto"/>
                <w:sz w:val="32"/>
                <w:szCs w:val="32"/>
              </w:rPr>
            </w:pPr>
          </w:p>
          <w:p w14:paraId="40530EC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除尘系统的安全措施情况</w:t>
            </w:r>
          </w:p>
          <w:p w14:paraId="32714118">
            <w:pPr>
              <w:jc w:val="center"/>
              <w:rPr>
                <w:rFonts w:hint="eastAsia" w:ascii="仿宋_GB2312" w:hAnsi="仿宋_GB2312" w:eastAsia="仿宋_GB2312" w:cs="仿宋_GB2312"/>
                <w:color w:val="auto"/>
                <w:sz w:val="32"/>
                <w:szCs w:val="32"/>
              </w:rPr>
            </w:pPr>
          </w:p>
          <w:p w14:paraId="03A478AF">
            <w:pPr>
              <w:rPr>
                <w:rFonts w:hint="eastAsia" w:ascii="仿宋_GB2312" w:hAnsi="仿宋_GB2312" w:eastAsia="仿宋_GB2312" w:cs="仿宋_GB2312"/>
                <w:color w:val="auto"/>
                <w:sz w:val="32"/>
                <w:szCs w:val="32"/>
              </w:rPr>
            </w:pPr>
          </w:p>
          <w:p w14:paraId="125055FB">
            <w:pPr>
              <w:rPr>
                <w:rFonts w:hint="eastAsia" w:ascii="仿宋_GB2312" w:hAnsi="仿宋_GB2312" w:eastAsia="仿宋_GB2312" w:cs="仿宋_GB2312"/>
                <w:color w:val="auto"/>
                <w:sz w:val="32"/>
                <w:szCs w:val="32"/>
              </w:rPr>
            </w:pPr>
          </w:p>
          <w:p w14:paraId="00024163">
            <w:pPr>
              <w:jc w:val="center"/>
              <w:rPr>
                <w:rFonts w:hint="eastAsia" w:ascii="仿宋_GB2312" w:hAnsi="仿宋_GB2312" w:eastAsia="仿宋_GB2312" w:cs="仿宋_GB2312"/>
                <w:color w:val="auto"/>
                <w:sz w:val="32"/>
                <w:szCs w:val="32"/>
              </w:rPr>
            </w:pPr>
          </w:p>
        </w:tc>
        <w:tc>
          <w:tcPr>
            <w:tcW w:w="951" w:type="dxa"/>
            <w:vAlign w:val="center"/>
          </w:tcPr>
          <w:p w14:paraId="4249713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2.1可燃性粉尘与可燃气体等易加剧爆炸危险的介质共用一套除尘系统，不同防火分区的除尘系统互联互通（重大隐患）</w:t>
            </w:r>
          </w:p>
        </w:tc>
        <w:tc>
          <w:tcPr>
            <w:tcW w:w="3899" w:type="dxa"/>
            <w:vAlign w:val="center"/>
          </w:tcPr>
          <w:p w14:paraId="0DC7BA1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328853AE">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《粉尘防爆安全规程》（GB 15577-2018）</w:t>
            </w:r>
          </w:p>
          <w:p w14:paraId="0D161102">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8.1.1不同类别的可燃性粉尘不应合用同一除尘系统。</w:t>
            </w:r>
          </w:p>
          <w:p w14:paraId="3D6BF9BB">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8.1.2粉尘爆炸危险场所除尘系统不应与带有可燃气体、高温气体、或其它工业气体的风管及设备连通。</w:t>
            </w:r>
          </w:p>
          <w:p w14:paraId="7DF89F8C">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8.1.3应按工艺分片(分区域)设置相对独立的除尘系统。</w:t>
            </w:r>
          </w:p>
          <w:p w14:paraId="5EFEA9F3">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8.1.4不同防火分区的除尘系统不应连通。</w:t>
            </w:r>
          </w:p>
          <w:p w14:paraId="5FB7DB46">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《工贸行业重大生产安全事故隐患判定标准（2017版）》（安监总管四〔2017〕129号）</w:t>
            </w:r>
          </w:p>
          <w:p w14:paraId="057E38F9">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一、专项类重大事故隐患</w:t>
            </w:r>
          </w:p>
          <w:p w14:paraId="1AF27E4A">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（一）存在粉尘爆炸危险的行业领域。</w:t>
            </w:r>
          </w:p>
          <w:p w14:paraId="5C9401A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2.可燃性粉尘与可燃气体等易加剧爆炸危险的介质共用一套除尘系统，不同防火分区的除尘系统互联互通。</w:t>
            </w:r>
          </w:p>
        </w:tc>
        <w:tc>
          <w:tcPr>
            <w:tcW w:w="3899" w:type="dxa"/>
            <w:vAlign w:val="center"/>
          </w:tcPr>
          <w:p w14:paraId="6015EF3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（1）营业执照和有关证照；</w:t>
            </w:r>
          </w:p>
          <w:p w14:paraId="5534306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5494FE1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（3）现场不同防火分区互联互通的资料，包括但不限于相关平面设计图纸、规划许可等；</w:t>
            </w:r>
          </w:p>
          <w:p w14:paraId="4FC7E3A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（4）现场多种粉尘或可燃气体净化共用除尘系统的证明资料；</w:t>
            </w:r>
          </w:p>
          <w:p w14:paraId="4F3599C6">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1E809FDD">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782FAF90">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（7）相关人员任职文件、身份证明及其询问笔录；</w:t>
            </w:r>
          </w:p>
          <w:p w14:paraId="3B32606A">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（8）《证人证言》；</w:t>
            </w:r>
          </w:p>
          <w:p w14:paraId="31B2FAFD">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vAlign w:val="center"/>
          </w:tcPr>
          <w:p w14:paraId="1BBE8E75">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17CCF4E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93A3DC5">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2DBB889">
            <w:pPr>
              <w:tabs>
                <w:tab w:val="left" w:pos="630"/>
              </w:tabs>
              <w:rPr>
                <w:rFonts w:hint="eastAsia" w:ascii="仿宋_GB2312" w:hAnsi="仿宋_GB2312" w:eastAsia="仿宋_GB2312" w:cs="仿宋_GB2312"/>
                <w:color w:val="auto"/>
                <w:sz w:val="32"/>
                <w:szCs w:val="32"/>
              </w:rPr>
            </w:pPr>
          </w:p>
        </w:tc>
        <w:tc>
          <w:tcPr>
            <w:tcW w:w="951" w:type="dxa"/>
            <w:vAlign w:val="center"/>
          </w:tcPr>
          <w:p w14:paraId="6083EA96">
            <w:pPr>
              <w:widowControl/>
              <w:adjustRightInd w:val="0"/>
              <w:snapToGrid w:val="0"/>
              <w:rPr>
                <w:rFonts w:hint="eastAsia" w:ascii="仿宋_GB2312" w:hAnsi="仿宋_GB2312" w:eastAsia="仿宋_GB2312" w:cs="仿宋_GB2312"/>
                <w:color w:val="auto"/>
                <w:kern w:val="0"/>
                <w:sz w:val="32"/>
                <w:szCs w:val="32"/>
              </w:rPr>
            </w:pPr>
          </w:p>
        </w:tc>
      </w:tr>
      <w:tr w14:paraId="641C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70" w:hRule="atLeast"/>
          <w:jc w:val="center"/>
        </w:trPr>
        <w:tc>
          <w:tcPr>
            <w:tcW w:w="617" w:type="dxa"/>
            <w:vMerge w:val="continue"/>
            <w:vAlign w:val="center"/>
          </w:tcPr>
          <w:p w14:paraId="1015AC99">
            <w:pPr>
              <w:jc w:val="center"/>
              <w:rPr>
                <w:rFonts w:hint="eastAsia" w:ascii="仿宋_GB2312" w:hAnsi="仿宋_GB2312" w:eastAsia="仿宋_GB2312" w:cs="仿宋_GB2312"/>
                <w:color w:val="auto"/>
                <w:sz w:val="32"/>
                <w:szCs w:val="32"/>
              </w:rPr>
            </w:pPr>
          </w:p>
        </w:tc>
        <w:tc>
          <w:tcPr>
            <w:tcW w:w="951" w:type="dxa"/>
            <w:vMerge w:val="continue"/>
            <w:vAlign w:val="center"/>
          </w:tcPr>
          <w:p w14:paraId="2B4A456F">
            <w:pPr>
              <w:jc w:val="center"/>
              <w:rPr>
                <w:rFonts w:hint="eastAsia" w:ascii="仿宋_GB2312" w:hAnsi="仿宋_GB2312" w:eastAsia="仿宋_GB2312" w:cs="仿宋_GB2312"/>
                <w:color w:val="auto"/>
                <w:sz w:val="32"/>
                <w:szCs w:val="32"/>
              </w:rPr>
            </w:pPr>
          </w:p>
        </w:tc>
        <w:tc>
          <w:tcPr>
            <w:tcW w:w="951" w:type="dxa"/>
            <w:vAlign w:val="center"/>
          </w:tcPr>
          <w:p w14:paraId="68DB147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2.2 干式除尘系统选用控爆装置（重大隐患）</w:t>
            </w:r>
          </w:p>
        </w:tc>
        <w:tc>
          <w:tcPr>
            <w:tcW w:w="3899" w:type="dxa"/>
            <w:vAlign w:val="center"/>
          </w:tcPr>
          <w:p w14:paraId="54A24E8F">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第三十六条第一款、第二款</w:t>
            </w:r>
            <w:r>
              <w:rPr>
                <w:rFonts w:hint="eastAsia" w:ascii="仿宋_GB2312" w:hAnsi="仿宋_GB2312" w:eastAsia="仿宋_GB2312" w:cs="仿宋_GB2312"/>
                <w:bCs/>
                <w:color w:val="auto"/>
                <w:kern w:val="0"/>
                <w:sz w:val="32"/>
                <w:szCs w:val="32"/>
              </w:rPr>
              <w:t>安</w:t>
            </w:r>
            <w:r>
              <w:rPr>
                <w:rFonts w:hint="eastAsia" w:ascii="仿宋_GB2312" w:hAnsi="仿宋_GB2312" w:eastAsia="仿宋_GB2312" w:cs="仿宋_GB2312"/>
                <w:color w:val="auto"/>
                <w:kern w:val="0"/>
                <w:sz w:val="32"/>
                <w:szCs w:val="32"/>
              </w:rPr>
              <w:t>全设备的设计、制造、安装、使用、检测、维修、改造和报废，应当符合国家标准或者行业标准。</w:t>
            </w:r>
          </w:p>
          <w:p w14:paraId="4DF6D665">
            <w:pPr>
              <w:widowControl/>
              <w:shd w:val="clear" w:color="auto" w:fill="FFFFFF"/>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p w14:paraId="6581197B">
            <w:pPr>
              <w:pStyle w:val="2"/>
              <w:ind w:firstLine="361"/>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《粉尘防爆安全规程》（GB 15577-2018</w:t>
            </w:r>
            <w:r>
              <w:rPr>
                <w:rFonts w:hint="eastAsia" w:ascii="仿宋_GB2312" w:hAnsi="仿宋_GB2312" w:eastAsia="仿宋_GB2312" w:cs="仿宋_GB2312"/>
                <w:color w:val="auto"/>
                <w:kern w:val="0"/>
                <w:sz w:val="32"/>
                <w:szCs w:val="32"/>
              </w:rPr>
              <w:t>）</w:t>
            </w:r>
          </w:p>
          <w:p w14:paraId="18241B81">
            <w:pPr>
              <w:pStyle w:val="2"/>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7.1.3  存在粉尘爆炸危险的工艺设备，应采用泄爆、抑爆和隔爆、抗爆中的一种或多种控爆方式，但不能单独采取隔爆。</w:t>
            </w:r>
          </w:p>
          <w:p w14:paraId="196CA514">
            <w:pPr>
              <w:pStyle w:val="2"/>
              <w:ind w:firstLine="361"/>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《工贸行业重大生产安全事故隐患判定标准（2017版）》（安监总管四〔2017〕129号）</w:t>
            </w:r>
          </w:p>
          <w:p w14:paraId="40B08EC9">
            <w:pPr>
              <w:pStyle w:val="2"/>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一、专项类重大事故隐患</w:t>
            </w:r>
          </w:p>
          <w:p w14:paraId="0D61CB18">
            <w:pPr>
              <w:pStyle w:val="2"/>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（一）存在粉尘爆炸危险的行业领域。</w:t>
            </w:r>
          </w:p>
          <w:p w14:paraId="0C65F1AA">
            <w:pPr>
              <w:pStyle w:val="2"/>
              <w:ind w:firstLine="3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3.干式除尘系统未规范采用泄爆、隔爆、惰化、抑爆等任一种控爆措施。</w:t>
            </w:r>
          </w:p>
          <w:p w14:paraId="10AC00B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《粉尘爆炸危险场所用除尘系统安全技术规范》（AQ 4273-2016）4.2</w:t>
            </w:r>
            <w:r>
              <w:rPr>
                <w:rFonts w:hint="eastAsia" w:ascii="仿宋_GB2312" w:hAnsi="仿宋_GB2312" w:eastAsia="仿宋_GB2312" w:cs="仿宋_GB2312"/>
                <w:color w:val="auto"/>
                <w:kern w:val="0"/>
                <w:sz w:val="32"/>
                <w:szCs w:val="32"/>
              </w:rPr>
              <w:t>干式除尘系统应按照可燃性粉尘爆炸特性采取预防和控制粉尘爆炸的措施，选用降低爆炸危险的一种或多种防爆装置：</w:t>
            </w:r>
          </w:p>
          <w:p w14:paraId="51C270F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a)泄爆装置。在爆炸压力尚未达到除尘器和风管的抗爆强度之前，采用泄爆装置排出爆炸产物，使除尘器及风管不致被破坏。</w:t>
            </w:r>
          </w:p>
          <w:p w14:paraId="286F3D2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b)惰化装置。向除尘器充入惰性气体或粉体，使可燃性粉尘失去爆炸性。</w:t>
            </w:r>
          </w:p>
          <w:p w14:paraId="5BF3584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c)隔爆装置。在风管上设置隔爆装置，将火焰及爆炸波阻断在一定的范围内。</w:t>
            </w:r>
          </w:p>
          <w:p w14:paraId="71887F2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d)抑爆装置。在风管和（或）除尘器上设置抑爆装置，爆炸发生瞬间，向风管和（或）除尘器内充入用于扑灭火焰的物理、化学灭火介质，抑制爆炸发展或传播。</w:t>
            </w:r>
          </w:p>
          <w:p w14:paraId="1516B63D">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存在有毒性、腐蚀性粉尘，以及燃料粉尘的除尘器及风管不应采用泄爆装置进行泄压，应选用向除尘器及风管充入用于扑灭火焰的灭火气体或粉体介质的抑爆装置。</w:t>
            </w:r>
          </w:p>
          <w:p w14:paraId="70223AC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《铝镁制品机械加工粉尘防爆安全技术规范》（AQ 4272-2016）9.1.1</w:t>
            </w:r>
            <w:r>
              <w:rPr>
                <w:rFonts w:hint="eastAsia" w:ascii="仿宋_GB2312" w:hAnsi="仿宋_GB2312" w:eastAsia="仿宋_GB2312" w:cs="仿宋_GB2312"/>
                <w:color w:val="auto"/>
                <w:kern w:val="0"/>
                <w:sz w:val="32"/>
                <w:szCs w:val="32"/>
              </w:rPr>
              <w:t>应识别、评估铝镁制品机械加工存在的粉尘爆炸危险，除尘器的选用应符合以下要求：a）选用干式除尘器进行除尘时，采用袋式外滤除尘和（或）旋风除尘工艺；b）选用湿式除尘器进行除尘时，采用水洗或水幕除尘工艺；c）不得采用电除尘器；d）不得采用正压吹送粉尘至干式巷道式构筑物作为除尘风道或类似结构构筑物的除尘工艺。不得采用以沉降室为主的重力沉降除尘方式。</w:t>
            </w:r>
          </w:p>
          <w:p w14:paraId="38F9046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《铝镁制品机械加工粉尘防爆安全技术规范》（AQ 4272-2016）9.1.2</w:t>
            </w:r>
            <w:r>
              <w:rPr>
                <w:rFonts w:hint="eastAsia" w:ascii="仿宋_GB2312" w:hAnsi="仿宋_GB2312" w:eastAsia="仿宋_GB2312" w:cs="仿宋_GB2312"/>
                <w:color w:val="auto"/>
                <w:kern w:val="0"/>
                <w:sz w:val="32"/>
                <w:szCs w:val="32"/>
              </w:rPr>
              <w:t>干式除尘系统应按照粉尘爆炸特性采取预防和控制粉尘爆炸的措施，选用降低爆炸危险的以下一种或多种防爆装置：</w:t>
            </w:r>
          </w:p>
          <w:p w14:paraId="0A04A32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a)泄爆装置：在爆炸压力尚未达到除尘器和风管的抗爆强度之前，采用泄爆装置排出爆炸产物，使除尘器及风管不致被破坏。</w:t>
            </w:r>
          </w:p>
          <w:p w14:paraId="63B43DF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b)惰化装置：向除尘器充入惰性气体或粉体，使粉尘失去爆炸性。</w:t>
            </w:r>
          </w:p>
          <w:p w14:paraId="668B28D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c)隔爆装置：在风管上设置隔爆装置，将火焰及爆炸波阻断在一定的范围内。</w:t>
            </w:r>
          </w:p>
          <w:p w14:paraId="1A7B0C3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d)抑爆装置：在风管和（或）除尘器上设置抑爆装置，爆炸发生瞬间，向风管和（或）除尘器内充入用于扑灭火焰的物理、化学灭火介质，抑制爆炸发展或传播。</w:t>
            </w:r>
          </w:p>
          <w:p w14:paraId="4D4C8B0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《粉尘防爆安全规程》（GB 15577-2018）7.1.3</w:t>
            </w:r>
            <w:r>
              <w:rPr>
                <w:rFonts w:hint="eastAsia" w:ascii="仿宋_GB2312" w:hAnsi="仿宋_GB2312" w:eastAsia="仿宋_GB2312" w:cs="仿宋_GB2312"/>
                <w:color w:val="auto"/>
                <w:kern w:val="0"/>
                <w:sz w:val="32"/>
                <w:szCs w:val="32"/>
              </w:rPr>
              <w:t>存在粉尘爆炸危险的工艺设备，应采用泄爆、抑爆和隔爆、抗爆中的一种或多种控爆方式，但不能单独采取隔爆。</w:t>
            </w:r>
          </w:p>
          <w:p w14:paraId="658EA09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《四川省安全生产条例》第三十二条第二款</w:t>
            </w:r>
            <w:r>
              <w:rPr>
                <w:rFonts w:hint="eastAsia" w:ascii="仿宋_GB2312" w:hAnsi="仿宋_GB2312" w:eastAsia="仿宋_GB2312" w:cs="仿宋_GB2312"/>
                <w:color w:val="auto"/>
                <w:kern w:val="0"/>
                <w:sz w:val="32"/>
                <w:szCs w:val="32"/>
              </w:rPr>
              <w:t>有易燃、易爆气体和粉尘的作业场所，应当使用防爆型电气设备或者采取有效的防爆技术措施。</w:t>
            </w:r>
          </w:p>
        </w:tc>
        <w:tc>
          <w:tcPr>
            <w:tcW w:w="3899" w:type="dxa"/>
            <w:vAlign w:val="center"/>
          </w:tcPr>
          <w:p w14:paraId="017392F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（1）营业执照和有关证照；</w:t>
            </w:r>
          </w:p>
          <w:p w14:paraId="25BC2DB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37B6001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（3）涉爆干式系统设置控爆措施的相关资料；</w:t>
            </w:r>
          </w:p>
          <w:p w14:paraId="0D9E448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（4）仅采取隔爆措施的证明资料；</w:t>
            </w:r>
          </w:p>
          <w:p w14:paraId="5E6C95C0">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730E0B79">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7AEC7982">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（7）相关人员任职文件、身份证明及其询问笔录；</w:t>
            </w:r>
          </w:p>
          <w:p w14:paraId="264709EA">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（8）《证人证言》；</w:t>
            </w:r>
          </w:p>
          <w:p w14:paraId="24F119A8">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vAlign w:val="center"/>
          </w:tcPr>
          <w:p w14:paraId="75E8144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第九十九条第二项、第三项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95186B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3AB0B53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（三）未对安全设备进行经常性维护、保养和定期检测的；</w:t>
            </w:r>
          </w:p>
          <w:p w14:paraId="5F8204F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《四川省安全生产条例》第六十九条</w:t>
            </w:r>
            <w:r>
              <w:rPr>
                <w:rFonts w:hint="eastAsia" w:ascii="仿宋_GB2312" w:hAnsi="仿宋_GB2312" w:eastAsia="仿宋_GB2312" w:cs="仿宋_GB2312"/>
                <w:color w:val="auto"/>
                <w:kern w:val="0"/>
                <w:sz w:val="32"/>
                <w:szCs w:val="32"/>
              </w:rPr>
              <w:t>生产经营单位违反本条例第十六条、第二十一条第一款、第二十三条、第二十四条第一款、第三十二条、第三十四条第一款规定的，责令限期改正，可并处5000元以上2万元以下的罚款；逾期未改正的，责令停产停业整顿。</w:t>
            </w:r>
          </w:p>
          <w:p w14:paraId="1BB4632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49DC16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840E687">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1EB74DDC">
            <w:pPr>
              <w:widowControl/>
              <w:adjustRightInd w:val="0"/>
              <w:snapToGrid w:val="0"/>
              <w:rPr>
                <w:rFonts w:hint="eastAsia" w:ascii="仿宋_GB2312" w:hAnsi="仿宋_GB2312" w:eastAsia="仿宋_GB2312" w:cs="仿宋_GB2312"/>
                <w:color w:val="auto"/>
                <w:kern w:val="0"/>
                <w:sz w:val="32"/>
                <w:szCs w:val="32"/>
              </w:rPr>
            </w:pPr>
          </w:p>
        </w:tc>
      </w:tr>
      <w:tr w14:paraId="55B2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23" w:hRule="atLeast"/>
          <w:jc w:val="center"/>
        </w:trPr>
        <w:tc>
          <w:tcPr>
            <w:tcW w:w="617" w:type="dxa"/>
            <w:vMerge w:val="continue"/>
            <w:vAlign w:val="center"/>
          </w:tcPr>
          <w:p w14:paraId="6F411F8E">
            <w:pPr>
              <w:jc w:val="center"/>
              <w:rPr>
                <w:rFonts w:hint="eastAsia" w:ascii="仿宋_GB2312" w:hAnsi="仿宋_GB2312" w:eastAsia="仿宋_GB2312" w:cs="仿宋_GB2312"/>
                <w:color w:val="auto"/>
                <w:sz w:val="32"/>
                <w:szCs w:val="32"/>
              </w:rPr>
            </w:pPr>
          </w:p>
        </w:tc>
        <w:tc>
          <w:tcPr>
            <w:tcW w:w="951" w:type="dxa"/>
            <w:vMerge w:val="continue"/>
            <w:vAlign w:val="center"/>
          </w:tcPr>
          <w:p w14:paraId="680A11C1">
            <w:pPr>
              <w:jc w:val="center"/>
              <w:rPr>
                <w:rFonts w:hint="eastAsia" w:ascii="仿宋_GB2312" w:hAnsi="仿宋_GB2312" w:eastAsia="仿宋_GB2312" w:cs="仿宋_GB2312"/>
                <w:color w:val="auto"/>
                <w:sz w:val="32"/>
                <w:szCs w:val="32"/>
              </w:rPr>
            </w:pPr>
          </w:p>
        </w:tc>
        <w:tc>
          <w:tcPr>
            <w:tcW w:w="951" w:type="dxa"/>
            <w:vAlign w:val="center"/>
          </w:tcPr>
          <w:p w14:paraId="0E6F3C7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2.3 除尘系统采用正压吹送粉尘，且采取可靠的防范点燃源的措施（重大隐患）</w:t>
            </w:r>
          </w:p>
        </w:tc>
        <w:tc>
          <w:tcPr>
            <w:tcW w:w="3899" w:type="dxa"/>
            <w:vAlign w:val="center"/>
          </w:tcPr>
          <w:p w14:paraId="1A2E9537">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3DF2251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《建筑设计防火规范》GB 50016-2014（2018版）9.3.5</w:t>
            </w:r>
            <w:r>
              <w:rPr>
                <w:rFonts w:hint="eastAsia" w:ascii="仿宋_GB2312" w:hAnsi="仿宋_GB2312" w:eastAsia="仿宋_GB2312" w:cs="仿宋_GB2312"/>
                <w:color w:val="auto"/>
                <w:kern w:val="0"/>
                <w:sz w:val="32"/>
                <w:szCs w:val="32"/>
              </w:rPr>
              <w:t>含有燃烧和爆炸危险粉尘的空气，在进入排风机前应采用不产生火花的除尘器进行处理。对于遇水可能形成爆炸的粉尘，严禁采用湿式除尘器。</w:t>
            </w:r>
          </w:p>
          <w:p w14:paraId="182CF0E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《建筑设计防火规范》GB 50016-2014（2018版）9.3.8</w:t>
            </w:r>
            <w:r>
              <w:rPr>
                <w:rFonts w:hint="eastAsia" w:ascii="仿宋_GB2312" w:hAnsi="仿宋_GB2312" w:eastAsia="仿宋_GB2312" w:cs="仿宋_GB2312"/>
                <w:color w:val="auto"/>
                <w:kern w:val="0"/>
                <w:sz w:val="32"/>
                <w:szCs w:val="32"/>
              </w:rPr>
              <w:t>净化或输送有爆炸危险粉尘和碎屑的除尘器、过滤器或管道，均应设置泄压装置。净化有爆炸危险粉尘的干式除尘器和过滤器应布置在系统的负压段上。</w:t>
            </w:r>
          </w:p>
          <w:p w14:paraId="757B136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《粉尘爆炸危险场所用除尘系统安全技术规范》（AQ 4273-2016）4.4  </w:t>
            </w:r>
            <w:r>
              <w:rPr>
                <w:rFonts w:hint="eastAsia" w:ascii="仿宋_GB2312" w:hAnsi="仿宋_GB2312" w:eastAsia="仿宋_GB2312" w:cs="仿宋_GB2312"/>
                <w:color w:val="auto"/>
                <w:kern w:val="0"/>
                <w:sz w:val="32"/>
                <w:szCs w:val="32"/>
              </w:rPr>
              <w:t>干式除尘器运行工况应是连续卸灰、连续输灰。不宜采用沉降室进行粉尘处理。</w:t>
            </w:r>
          </w:p>
          <w:p w14:paraId="4A10499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《粉尘爆炸危险场所用除尘系统安全技术规范》（AQ 4273-2016）4.5</w:t>
            </w:r>
            <w:r>
              <w:rPr>
                <w:rFonts w:hint="eastAsia" w:ascii="仿宋_GB2312" w:hAnsi="仿宋_GB2312" w:eastAsia="仿宋_GB2312" w:cs="仿宋_GB2312"/>
                <w:color w:val="auto"/>
                <w:kern w:val="0"/>
                <w:sz w:val="32"/>
                <w:szCs w:val="32"/>
              </w:rPr>
              <w:t>铝镁粉尘和木制品粉尘爆炸危险场所除尘器应在负压状态下工作；其他粉尘爆炸危险场所除尘系统若采用正压吹送粉尘，则应采取可靠的防范点燃源的措施。</w:t>
            </w:r>
          </w:p>
          <w:p w14:paraId="6F8A51A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《建筑设计防火规范》GB 50016-2014（2018版）9.3.9</w:t>
            </w:r>
            <w:r>
              <w:rPr>
                <w:rFonts w:hint="eastAsia" w:ascii="仿宋_GB2312" w:hAnsi="仿宋_GB2312" w:eastAsia="仿宋_GB2312" w:cs="仿宋_GB2312"/>
                <w:color w:val="auto"/>
                <w:kern w:val="0"/>
                <w:sz w:val="32"/>
                <w:szCs w:val="32"/>
              </w:rPr>
              <w:t>排除有燃烧或爆炸危险气体、蒸气和粉尘的排风系统，应符合下列规定：</w:t>
            </w:r>
          </w:p>
          <w:p w14:paraId="14AF730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1排风系统应设置导除静电的接地装置；</w:t>
            </w:r>
          </w:p>
          <w:p w14:paraId="11F79DF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2排风设备不应布置在地下或半地下建筑（室）内；</w:t>
            </w:r>
          </w:p>
          <w:p w14:paraId="3B70DF0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3排风管应采用金属管道，并应直接通向室外安全地点，不应暗设。</w:t>
            </w:r>
          </w:p>
          <w:p w14:paraId="7E86892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《铝镁制品机械加工粉尘防爆安全技术规范》（AQ 4272-2016）9.1.5</w:t>
            </w:r>
            <w:r>
              <w:rPr>
                <w:rFonts w:hint="eastAsia" w:ascii="仿宋_GB2312" w:hAnsi="仿宋_GB2312" w:eastAsia="仿宋_GB2312" w:cs="仿宋_GB2312"/>
                <w:color w:val="auto"/>
                <w:kern w:val="0"/>
                <w:sz w:val="32"/>
                <w:szCs w:val="32"/>
              </w:rPr>
              <w:t>除尘器应在负压状态下工作。</w:t>
            </w:r>
          </w:p>
          <w:p w14:paraId="3E11A854">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《铝镁制品机械加工粉尘防爆安全技术规范》（AQ 4272-2016）9.1.7</w:t>
            </w:r>
            <w:r>
              <w:rPr>
                <w:rFonts w:hint="eastAsia" w:ascii="仿宋_GB2312" w:hAnsi="仿宋_GB2312" w:eastAsia="仿宋_GB2312" w:cs="仿宋_GB2312"/>
                <w:color w:val="auto"/>
                <w:kern w:val="0"/>
                <w:sz w:val="32"/>
                <w:szCs w:val="32"/>
              </w:rPr>
              <w:t>除尘系统的风管及除尘器不得有火花进入，对存在火花经由吸尘罩或吸尘柜吸入风管危险，应采用阻隔火花进入风管及除尘器的措施。</w:t>
            </w:r>
          </w:p>
          <w:p w14:paraId="34E9532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《四川省安全生产条例》第三十二条第二款</w:t>
            </w:r>
            <w:r>
              <w:rPr>
                <w:rFonts w:hint="eastAsia" w:ascii="仿宋_GB2312" w:hAnsi="仿宋_GB2312" w:eastAsia="仿宋_GB2312" w:cs="仿宋_GB2312"/>
                <w:color w:val="auto"/>
                <w:kern w:val="0"/>
                <w:sz w:val="32"/>
                <w:szCs w:val="32"/>
              </w:rPr>
              <w:t>有易燃、易爆气体和粉尘的作业场所，应当使用防爆型电气设备或者采取有效的防爆技术措施。</w:t>
            </w:r>
          </w:p>
        </w:tc>
        <w:tc>
          <w:tcPr>
            <w:tcW w:w="3899" w:type="dxa"/>
            <w:vAlign w:val="center"/>
          </w:tcPr>
          <w:p w14:paraId="7AAD31E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（1）营业执照和有关证照；</w:t>
            </w:r>
          </w:p>
          <w:p w14:paraId="0E80FA1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5B3924B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（3）现场涉爆除尘系统使用负压系统的相关证明资料；</w:t>
            </w:r>
          </w:p>
          <w:p w14:paraId="7857B86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（4）正压送尘采取了可靠的防范点燃源措施的相关证明资料；</w:t>
            </w:r>
          </w:p>
          <w:p w14:paraId="6562AE4F">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28308F13">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18658500">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（7）相关人员任职文件、身份证明及其询问笔录；</w:t>
            </w:r>
          </w:p>
          <w:p w14:paraId="4C929A1E">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（8）《证人证言》；</w:t>
            </w:r>
          </w:p>
          <w:p w14:paraId="3F2E2B12">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p w14:paraId="5E71DCCF">
            <w:pPr>
              <w:ind w:firstLine="640" w:firstLineChars="200"/>
              <w:rPr>
                <w:rFonts w:hint="eastAsia" w:ascii="仿宋_GB2312" w:hAnsi="仿宋_GB2312" w:eastAsia="仿宋_GB2312" w:cs="仿宋_GB2312"/>
                <w:color w:val="auto"/>
                <w:sz w:val="32"/>
                <w:szCs w:val="32"/>
              </w:rPr>
            </w:pPr>
          </w:p>
        </w:tc>
        <w:tc>
          <w:tcPr>
            <w:tcW w:w="3899" w:type="dxa"/>
            <w:vAlign w:val="center"/>
          </w:tcPr>
          <w:p w14:paraId="2C38A9CC">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03B96CE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《四川省安全生产条例》第六十九条</w:t>
            </w:r>
            <w:r>
              <w:rPr>
                <w:rFonts w:hint="eastAsia" w:ascii="仿宋_GB2312" w:hAnsi="仿宋_GB2312" w:eastAsia="仿宋_GB2312" w:cs="仿宋_GB2312"/>
                <w:color w:val="auto"/>
                <w:kern w:val="0"/>
                <w:sz w:val="32"/>
                <w:szCs w:val="32"/>
              </w:rPr>
              <w:t>生产经营单位违反本条例第十六条、第二十一条第一款、第二十三条、第二十四条第一款、第三十二条、第三十四条第一款规定的，责令限期改正，可并处5000元以上2万元以下的罚款；逾期未改正的，责令停产停业整顿。</w:t>
            </w:r>
          </w:p>
          <w:p w14:paraId="2E9B3D7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7CB76E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2CE183B">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7AF0B792">
            <w:pPr>
              <w:widowControl/>
              <w:adjustRightInd w:val="0"/>
              <w:snapToGrid w:val="0"/>
              <w:rPr>
                <w:rFonts w:hint="eastAsia" w:ascii="仿宋_GB2312" w:hAnsi="仿宋_GB2312" w:eastAsia="仿宋_GB2312" w:cs="仿宋_GB2312"/>
                <w:color w:val="auto"/>
                <w:kern w:val="0"/>
                <w:sz w:val="32"/>
                <w:szCs w:val="32"/>
              </w:rPr>
            </w:pPr>
          </w:p>
        </w:tc>
      </w:tr>
      <w:tr w14:paraId="1DF2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37" w:hRule="atLeast"/>
          <w:jc w:val="center"/>
        </w:trPr>
        <w:tc>
          <w:tcPr>
            <w:tcW w:w="617" w:type="dxa"/>
            <w:vMerge w:val="continue"/>
            <w:vAlign w:val="center"/>
          </w:tcPr>
          <w:p w14:paraId="0331C8B3">
            <w:pPr>
              <w:jc w:val="center"/>
              <w:rPr>
                <w:rFonts w:hint="eastAsia" w:ascii="仿宋_GB2312" w:hAnsi="仿宋_GB2312" w:eastAsia="仿宋_GB2312" w:cs="仿宋_GB2312"/>
                <w:color w:val="auto"/>
                <w:sz w:val="32"/>
                <w:szCs w:val="32"/>
              </w:rPr>
            </w:pPr>
          </w:p>
        </w:tc>
        <w:tc>
          <w:tcPr>
            <w:tcW w:w="951" w:type="dxa"/>
            <w:vMerge w:val="continue"/>
            <w:vAlign w:val="center"/>
          </w:tcPr>
          <w:p w14:paraId="2A649253">
            <w:pPr>
              <w:jc w:val="center"/>
              <w:rPr>
                <w:rFonts w:hint="eastAsia" w:ascii="仿宋_GB2312" w:hAnsi="仿宋_GB2312" w:eastAsia="仿宋_GB2312" w:cs="仿宋_GB2312"/>
                <w:color w:val="auto"/>
                <w:sz w:val="32"/>
                <w:szCs w:val="32"/>
              </w:rPr>
            </w:pPr>
          </w:p>
        </w:tc>
        <w:tc>
          <w:tcPr>
            <w:tcW w:w="951" w:type="dxa"/>
            <w:vAlign w:val="center"/>
          </w:tcPr>
          <w:p w14:paraId="475A7E0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2.4 不应采用粉尘沉降室除尘，不应采用干式巷道式构筑物作为除尘风道（重大隐患）</w:t>
            </w:r>
          </w:p>
        </w:tc>
        <w:tc>
          <w:tcPr>
            <w:tcW w:w="3899" w:type="dxa"/>
            <w:vAlign w:val="center"/>
          </w:tcPr>
          <w:p w14:paraId="46E7D939">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《中华人民共和国安全生产法》  第三十八条</w:t>
            </w:r>
            <w:r>
              <w:rPr>
                <w:rFonts w:hint="eastAsia" w:ascii="仿宋_GB2312" w:hAnsi="仿宋_GB2312" w:eastAsia="仿宋_GB2312" w:cs="仿宋_GB2312"/>
                <w:color w:val="auto"/>
                <w:sz w:val="32"/>
                <w:szCs w:val="32"/>
              </w:rPr>
              <w:t>国家对严重危及生产安全的工艺、设备实行淘汰制度，具体目录由国务院应急管理部门会同国务院有关部门制定并公布。法律、行政法规对目录的制定另有规定的，适用其规定。</w:t>
            </w:r>
          </w:p>
          <w:p w14:paraId="553CE5A8">
            <w:pPr>
              <w:widowControl/>
              <w:adjustRightInd w:val="0"/>
              <w:snapToGri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省、自治区、直辖市人民政府可以根据本地区实际情况制定并公布具体目录，对前款规定以外的危及生产安全的工艺、设备予以淘汰。</w:t>
            </w:r>
          </w:p>
          <w:p w14:paraId="55A09906">
            <w:pPr>
              <w:widowControl/>
              <w:adjustRightInd w:val="0"/>
              <w:snapToGri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生产经营单位不得使用应当淘汰的危及生产安全的工艺、设备。</w:t>
            </w:r>
          </w:p>
          <w:p w14:paraId="649A7F80">
            <w:pPr>
              <w:widowControl/>
              <w:adjustRightInd w:val="0"/>
              <w:snapToGrid w:val="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《关于印发淘汰落后安全技术工艺、设备目录（2016年）的通知》（安监总科技〔2016〕137号）</w:t>
            </w:r>
          </w:p>
          <w:p w14:paraId="7ABC7213">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3EC368E1">
            <w:pPr>
              <w:widowControl/>
              <w:adjustRightInd w:val="0"/>
              <w:snapToGrid w:val="0"/>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《粉尘防爆安全规程》（GB 15577-2018）</w:t>
            </w:r>
          </w:p>
          <w:p w14:paraId="6117CA8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8.3.2  禁止采用干式巷道式构筑物作为除尘风道。</w:t>
            </w:r>
          </w:p>
          <w:p w14:paraId="47094E1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8.4.2  禁止采用重力沉降室除尘。</w:t>
            </w:r>
          </w:p>
          <w:p w14:paraId="2EEBEFF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  金属打磨工艺的砖槽式通风道。</w:t>
            </w:r>
          </w:p>
          <w:p w14:paraId="5DCF6963">
            <w:pPr>
              <w:widowControl/>
              <w:adjustRightInd w:val="0"/>
              <w:snapToGrid w:val="0"/>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《工贸行业重大生产安全事故隐患判定标准（2017版）》（安监总管四〔2017〕129号）</w:t>
            </w:r>
          </w:p>
          <w:p w14:paraId="6BE06E0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一、专项类重大事故隐患</w:t>
            </w:r>
          </w:p>
          <w:p w14:paraId="45C6FAB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（一）存在粉尘爆炸危险的行业领域。</w:t>
            </w:r>
          </w:p>
          <w:p w14:paraId="3F54F707">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5.除尘系统采用粉尘沉降室除尘，或者采用干式巷道式构筑物作为除尘风道。</w:t>
            </w:r>
          </w:p>
        </w:tc>
        <w:tc>
          <w:tcPr>
            <w:tcW w:w="3899" w:type="dxa"/>
            <w:vAlign w:val="center"/>
          </w:tcPr>
          <w:p w14:paraId="01DBC42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（1）营业执照和有关证照；</w:t>
            </w:r>
          </w:p>
          <w:p w14:paraId="1BAF091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2E31A0D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（3）现场使用沉降室除尘的相关证明资料；</w:t>
            </w:r>
          </w:p>
          <w:p w14:paraId="21B1D02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（4）现场采用干式巷道式除尘风道的相关证明资料；</w:t>
            </w:r>
          </w:p>
          <w:p w14:paraId="6FF8216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5D148FA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2695D46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（7）相关人员任职文件、身份证明及其询问笔录；</w:t>
            </w:r>
          </w:p>
          <w:p w14:paraId="37C21BF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（8）《证人证言》；</w:t>
            </w:r>
          </w:p>
          <w:p w14:paraId="508F888E">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（9）其他相关证据。</w:t>
            </w:r>
          </w:p>
        </w:tc>
        <w:tc>
          <w:tcPr>
            <w:tcW w:w="3899" w:type="dxa"/>
            <w:vAlign w:val="center"/>
          </w:tcPr>
          <w:p w14:paraId="6C18EB9F">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第九十九条第七项</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1CB100B">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（七）使用应当淘汰的危及生产安全的工艺、设备的；</w:t>
            </w:r>
          </w:p>
          <w:p w14:paraId="4838E24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2D958068">
            <w:pPr>
              <w:widowControl/>
              <w:adjustRightInd w:val="0"/>
              <w:snapToGrid w:val="0"/>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1A7821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4DB67D6">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5CC11845">
            <w:pPr>
              <w:widowControl/>
              <w:adjustRightInd w:val="0"/>
              <w:snapToGrid w:val="0"/>
              <w:rPr>
                <w:rFonts w:hint="eastAsia" w:ascii="仿宋_GB2312" w:hAnsi="仿宋_GB2312" w:eastAsia="仿宋_GB2312" w:cs="仿宋_GB2312"/>
                <w:color w:val="auto"/>
                <w:kern w:val="0"/>
                <w:sz w:val="32"/>
                <w:szCs w:val="32"/>
              </w:rPr>
            </w:pPr>
          </w:p>
        </w:tc>
      </w:tr>
      <w:tr w14:paraId="629C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80" w:hRule="atLeast"/>
          <w:jc w:val="center"/>
        </w:trPr>
        <w:tc>
          <w:tcPr>
            <w:tcW w:w="617" w:type="dxa"/>
            <w:vMerge w:val="continue"/>
            <w:vAlign w:val="center"/>
          </w:tcPr>
          <w:p w14:paraId="209DF0B8">
            <w:pPr>
              <w:jc w:val="center"/>
              <w:rPr>
                <w:rFonts w:hint="eastAsia" w:ascii="仿宋_GB2312" w:hAnsi="仿宋_GB2312" w:eastAsia="仿宋_GB2312" w:cs="仿宋_GB2312"/>
                <w:color w:val="auto"/>
                <w:sz w:val="32"/>
                <w:szCs w:val="32"/>
              </w:rPr>
            </w:pPr>
          </w:p>
        </w:tc>
        <w:tc>
          <w:tcPr>
            <w:tcW w:w="951" w:type="dxa"/>
            <w:vMerge w:val="continue"/>
            <w:vAlign w:val="center"/>
          </w:tcPr>
          <w:p w14:paraId="520C3C8A">
            <w:pPr>
              <w:jc w:val="center"/>
              <w:rPr>
                <w:rFonts w:hint="eastAsia" w:ascii="仿宋_GB2312" w:hAnsi="仿宋_GB2312" w:eastAsia="仿宋_GB2312" w:cs="仿宋_GB2312"/>
                <w:color w:val="auto"/>
                <w:sz w:val="32"/>
                <w:szCs w:val="32"/>
              </w:rPr>
            </w:pPr>
          </w:p>
        </w:tc>
        <w:tc>
          <w:tcPr>
            <w:tcW w:w="951" w:type="dxa"/>
            <w:vAlign w:val="center"/>
          </w:tcPr>
          <w:p w14:paraId="5490F60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2.5 铝镁等金属粉尘及木质粉尘的干式除尘系统设置锁气卸灰装置（重大隐患）</w:t>
            </w:r>
          </w:p>
        </w:tc>
        <w:tc>
          <w:tcPr>
            <w:tcW w:w="3899" w:type="dxa"/>
            <w:vAlign w:val="center"/>
          </w:tcPr>
          <w:p w14:paraId="7B061EA2">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第三十六条第一款、第二款</w:t>
            </w:r>
            <w:r>
              <w:rPr>
                <w:rFonts w:hint="eastAsia" w:ascii="仿宋_GB2312" w:hAnsi="仿宋_GB2312" w:eastAsia="仿宋_GB2312" w:cs="仿宋_GB2312"/>
                <w:bCs/>
                <w:color w:val="auto"/>
                <w:kern w:val="0"/>
                <w:sz w:val="32"/>
                <w:szCs w:val="32"/>
              </w:rPr>
              <w:t>安</w:t>
            </w:r>
            <w:r>
              <w:rPr>
                <w:rFonts w:hint="eastAsia" w:ascii="仿宋_GB2312" w:hAnsi="仿宋_GB2312" w:eastAsia="仿宋_GB2312" w:cs="仿宋_GB2312"/>
                <w:color w:val="auto"/>
                <w:kern w:val="0"/>
                <w:sz w:val="32"/>
                <w:szCs w:val="32"/>
              </w:rPr>
              <w:t>全设备的设计、制造、安装、使用、检测、维修、改造和报废，应当符合国家标准或者行业标准。</w:t>
            </w:r>
          </w:p>
          <w:p w14:paraId="20E68A4A">
            <w:pPr>
              <w:widowControl/>
              <w:shd w:val="clear" w:color="auto" w:fill="FFFFFF"/>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p w14:paraId="2C00ECFC">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190739CD">
            <w:pPr>
              <w:widowControl/>
              <w:adjustRightInd w:val="0"/>
              <w:snapToGrid w:val="0"/>
              <w:ind w:firstLine="803" w:firstLineChars="25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《粉尘防爆安全规程》（GB 15577-2018）</w:t>
            </w:r>
          </w:p>
          <w:p w14:paraId="0AE31581">
            <w:pPr>
              <w:widowControl/>
              <w:adjustRightInd w:val="0"/>
              <w:snapToGrid w:val="0"/>
              <w:ind w:firstLine="800" w:firstLineChars="2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8.1.7  铝镁等金属粉尘禁止采用正压吹送的除尘系统；其他可燃性粉尘除尘系统采用正压吹送时，应采取可靠的防范点燃源的措施。</w:t>
            </w:r>
          </w:p>
          <w:p w14:paraId="0A521E58">
            <w:pPr>
              <w:widowControl/>
              <w:adjustRightInd w:val="0"/>
              <w:snapToGrid w:val="0"/>
              <w:ind w:firstLine="803" w:firstLineChars="25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《工贸行业重大生产安全事故隐患判定标准（2017版）》（安监总管四〔2017〕129号）</w:t>
            </w:r>
          </w:p>
          <w:p w14:paraId="57C6159A">
            <w:pPr>
              <w:widowControl/>
              <w:adjustRightInd w:val="0"/>
              <w:snapToGrid w:val="0"/>
              <w:ind w:firstLine="800" w:firstLineChars="2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一、专项类重大事故隐患</w:t>
            </w:r>
          </w:p>
          <w:p w14:paraId="089685DB">
            <w:pPr>
              <w:widowControl/>
              <w:adjustRightInd w:val="0"/>
              <w:snapToGrid w:val="0"/>
              <w:ind w:firstLine="800" w:firstLineChars="2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（一）存在粉尘爆炸危险的行业领域。</w:t>
            </w:r>
          </w:p>
          <w:p w14:paraId="7375F09B">
            <w:pPr>
              <w:widowControl/>
              <w:adjustRightInd w:val="0"/>
              <w:snapToGrid w:val="0"/>
              <w:ind w:firstLine="800" w:firstLineChars="2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4.除尘系统采用正压吹送粉尘，且未采取可靠的防范点燃源的措施。</w:t>
            </w:r>
          </w:p>
        </w:tc>
        <w:tc>
          <w:tcPr>
            <w:tcW w:w="3899" w:type="dxa"/>
            <w:vAlign w:val="center"/>
          </w:tcPr>
          <w:p w14:paraId="61EC40A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（1）营业执照和有关证照；</w:t>
            </w:r>
          </w:p>
          <w:p w14:paraId="19DFC85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2B7FE52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（3）现场设置锁气卸灰装置的相关证明资料；</w:t>
            </w:r>
          </w:p>
          <w:p w14:paraId="5FAC5DF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（4）现场图片或影像资料；</w:t>
            </w:r>
          </w:p>
          <w:p w14:paraId="634F2A7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6647D05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（6）相关人员任职文件、身份证明及其询问笔录；</w:t>
            </w:r>
          </w:p>
          <w:p w14:paraId="1E7A766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（7）《证人证言》；</w:t>
            </w:r>
          </w:p>
          <w:p w14:paraId="3B2B931F">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（8）其他相关证据。</w:t>
            </w:r>
          </w:p>
          <w:p w14:paraId="238CB699">
            <w:pPr>
              <w:ind w:firstLine="640" w:firstLineChars="200"/>
              <w:rPr>
                <w:rFonts w:hint="eastAsia" w:ascii="仿宋_GB2312" w:hAnsi="仿宋_GB2312" w:eastAsia="仿宋_GB2312" w:cs="仿宋_GB2312"/>
                <w:color w:val="auto"/>
                <w:sz w:val="32"/>
                <w:szCs w:val="32"/>
              </w:rPr>
            </w:pPr>
          </w:p>
        </w:tc>
        <w:tc>
          <w:tcPr>
            <w:tcW w:w="3899" w:type="dxa"/>
            <w:vAlign w:val="center"/>
          </w:tcPr>
          <w:p w14:paraId="0D6EDBC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第九十九条第二项、第三项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28CAC2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6C23056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（三）未对安全设备进行经常性维护、保养和定期检测的；</w:t>
            </w:r>
          </w:p>
          <w:p w14:paraId="0CE1AB0A">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2F87E00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A7F177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D6A1452">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44E29A98">
            <w:pPr>
              <w:widowControl/>
              <w:adjustRightInd w:val="0"/>
              <w:snapToGrid w:val="0"/>
              <w:rPr>
                <w:rFonts w:hint="eastAsia" w:ascii="仿宋_GB2312" w:hAnsi="仿宋_GB2312" w:eastAsia="仿宋_GB2312" w:cs="仿宋_GB2312"/>
                <w:color w:val="auto"/>
                <w:kern w:val="0"/>
                <w:sz w:val="32"/>
                <w:szCs w:val="32"/>
              </w:rPr>
            </w:pPr>
          </w:p>
        </w:tc>
      </w:tr>
      <w:tr w14:paraId="409F0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118" w:hRule="atLeast"/>
          <w:jc w:val="center"/>
        </w:trPr>
        <w:tc>
          <w:tcPr>
            <w:tcW w:w="617" w:type="dxa"/>
            <w:vMerge w:val="restart"/>
            <w:vAlign w:val="center"/>
          </w:tcPr>
          <w:p w14:paraId="3BB561F9">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951" w:type="dxa"/>
            <w:vMerge w:val="restart"/>
            <w:vAlign w:val="center"/>
          </w:tcPr>
          <w:p w14:paraId="12EC840A">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防火防爆情况</w:t>
            </w:r>
          </w:p>
          <w:p w14:paraId="58F56FE8">
            <w:pPr>
              <w:rPr>
                <w:rFonts w:hint="eastAsia" w:ascii="仿宋_GB2312" w:hAnsi="仿宋_GB2312" w:eastAsia="仿宋_GB2312" w:cs="仿宋_GB2312"/>
                <w:color w:val="auto"/>
                <w:sz w:val="32"/>
                <w:szCs w:val="32"/>
              </w:rPr>
            </w:pPr>
          </w:p>
          <w:p w14:paraId="35F6A5EF">
            <w:pPr>
              <w:jc w:val="center"/>
              <w:rPr>
                <w:rFonts w:hint="eastAsia" w:ascii="仿宋_GB2312" w:hAnsi="仿宋_GB2312" w:eastAsia="仿宋_GB2312" w:cs="仿宋_GB2312"/>
                <w:color w:val="auto"/>
                <w:sz w:val="32"/>
                <w:szCs w:val="32"/>
              </w:rPr>
            </w:pPr>
          </w:p>
        </w:tc>
        <w:tc>
          <w:tcPr>
            <w:tcW w:w="951" w:type="dxa"/>
            <w:vAlign w:val="center"/>
          </w:tcPr>
          <w:p w14:paraId="3EDA5C5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3.1 粉尘爆炸危险场所使用防爆电气设备设施（重大隐患）</w:t>
            </w:r>
          </w:p>
        </w:tc>
        <w:tc>
          <w:tcPr>
            <w:tcW w:w="3899" w:type="dxa"/>
            <w:vAlign w:val="center"/>
          </w:tcPr>
          <w:p w14:paraId="4CE558E0">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189D41BD">
            <w:pPr>
              <w:widowControl/>
              <w:adjustRightInd w:val="0"/>
              <w:snapToGrid w:val="0"/>
              <w:ind w:firstLine="640" w:firstLineChars="200"/>
              <w:rPr>
                <w:rFonts w:hint="eastAsia" w:ascii="仿宋_GB2312" w:hAnsi="仿宋_GB2312" w:eastAsia="仿宋_GB2312" w:cs="仿宋_GB2312"/>
                <w:color w:val="auto"/>
                <w:kern w:val="0"/>
                <w:sz w:val="32"/>
                <w:szCs w:val="32"/>
              </w:rPr>
            </w:pPr>
          </w:p>
          <w:p w14:paraId="3CB8585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《可燃性粉尘环境用电气设备第1部分：通用要求》（GB 12476.1-2013）4.220区用设备的设计和试验原则</w:t>
            </w:r>
            <w:r>
              <w:rPr>
                <w:rFonts w:hint="eastAsia" w:ascii="仿宋_GB2312" w:hAnsi="仿宋_GB2312" w:eastAsia="仿宋_GB2312" w:cs="仿宋_GB2312"/>
                <w:color w:val="auto"/>
                <w:kern w:val="0"/>
                <w:sz w:val="32"/>
                <w:szCs w:val="32"/>
              </w:rPr>
              <w:t>20区用电气设备应特殊考虑。设备应设计成功能符合制造商规定的运行参数并确保具备高级别保护措施。......</w:t>
            </w:r>
          </w:p>
          <w:p w14:paraId="4D21CC2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《爆炸危险环境电力装置设计规范》（GB50058-2014）5.2.2</w:t>
            </w:r>
            <w:r>
              <w:rPr>
                <w:rFonts w:hint="eastAsia" w:ascii="仿宋_GB2312" w:hAnsi="仿宋_GB2312" w:eastAsia="仿宋_GB2312" w:cs="仿宋_GB2312"/>
                <w:color w:val="auto"/>
                <w:kern w:val="0"/>
                <w:sz w:val="32"/>
                <w:szCs w:val="32"/>
              </w:rPr>
              <w:t>危险区域划分与电气设备保护级别的关系应符合下列规定：1 爆炸性环境内电气设备保护级别的选择应符合表5.2.2-1的规定。 2 电气设备保护级别(EPL)与电气设备防爆结构的关系应符合表5.2.2-2的规定。</w:t>
            </w:r>
          </w:p>
          <w:p w14:paraId="0159E73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《电气装置安装工程爆炸和火灾危险环境电气装置施工及验收规范》(GB 50257-2014 )5.3.1</w:t>
            </w:r>
            <w:r>
              <w:rPr>
                <w:rFonts w:hint="eastAsia" w:ascii="仿宋_GB2312" w:hAnsi="仿宋_GB2312" w:eastAsia="仿宋_GB2312" w:cs="仿宋_GB2312"/>
                <w:color w:val="auto"/>
                <w:kern w:val="0"/>
                <w:sz w:val="32"/>
                <w:szCs w:val="32"/>
              </w:rPr>
              <w:t>配线钢管应采用低压流体输送用镀锌焊接钢管。</w:t>
            </w:r>
          </w:p>
          <w:p w14:paraId="603CB55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《电气装置安装工程爆炸和火灾危险环境电气装置施工及验收规范》(GB 50257-2014 )5.3.2条第1款第1-3项</w:t>
            </w:r>
            <w:r>
              <w:rPr>
                <w:rFonts w:hint="eastAsia" w:ascii="仿宋_GB2312" w:hAnsi="仿宋_GB2312" w:eastAsia="仿宋_GB2312" w:cs="仿宋_GB2312"/>
                <w:color w:val="auto"/>
                <w:kern w:val="0"/>
                <w:sz w:val="32"/>
                <w:szCs w:val="32"/>
              </w:rPr>
              <w:t>钢管与钢管、钢管与电气设备、钢管与钢管附件之间的连接，应采用螺纹连接。不得采用套管焊接，并应符合下列规定：1 螺纹加工应光滑、完整、无锈蚀，钢管与钢管、钢管与电气设备、钢管与钢管附件之间应采用跨接连接，并应保证良好的电气通路，不得在螺纹上缠麻或绝缘胶带及涂其它油漆。2 在爆炸性气体环境1区或2区与隔爆型设备连接时，螺纹连接处应有锁紧螺母。3 外露丝扣不应过长。</w:t>
            </w:r>
          </w:p>
          <w:p w14:paraId="4383EF1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《四川省安全生产条例》第三十二条第二款</w:t>
            </w:r>
            <w:r>
              <w:rPr>
                <w:rFonts w:hint="eastAsia" w:ascii="仿宋_GB2312" w:hAnsi="仿宋_GB2312" w:eastAsia="仿宋_GB2312" w:cs="仿宋_GB2312"/>
                <w:color w:val="auto"/>
                <w:kern w:val="0"/>
                <w:sz w:val="32"/>
                <w:szCs w:val="32"/>
              </w:rPr>
              <w:t>有易燃、易爆气体和粉尘的作业场所，应当使用防爆型电气设备或者采取有效的防爆技术措施。</w:t>
            </w:r>
          </w:p>
          <w:p w14:paraId="1A6013A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《粉尘防爆安全规程》（GB 15577-2018）</w:t>
            </w:r>
          </w:p>
          <w:p w14:paraId="4F9EA8F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6.3.3  粉尘爆炸危险场所用电气设备应符合GB 12476.1、GB/T 3836.15的相关规定；应防止由电气设备或线路产生的过热及火花，防止可燃性粉尘进入产生电火花或高温部件的外壳内。</w:t>
            </w:r>
          </w:p>
          <w:p w14:paraId="42951C2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6.3.3  粉尘爆炸危险场所电气设计、安装应按GB 50058的有关规定执行。</w:t>
            </w:r>
          </w:p>
          <w:p w14:paraId="7474FC79">
            <w:pPr>
              <w:widowControl/>
              <w:adjustRightInd w:val="0"/>
              <w:snapToGrid w:val="0"/>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《工贸行业重大生产安全事故隐患判定标准（2017版）》（安监总管四〔2017〕129号）</w:t>
            </w:r>
          </w:p>
          <w:p w14:paraId="731166B7">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一、专项类重大事故隐患</w:t>
            </w:r>
          </w:p>
          <w:p w14:paraId="7D83863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（一）存在粉尘爆炸危险的行业领域。</w:t>
            </w:r>
          </w:p>
          <w:p w14:paraId="55081D4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7.粉尘爆炸危险场所的20区未使用防爆电气设备设施。</w:t>
            </w:r>
          </w:p>
        </w:tc>
        <w:tc>
          <w:tcPr>
            <w:tcW w:w="3899" w:type="dxa"/>
            <w:vAlign w:val="center"/>
          </w:tcPr>
          <w:p w14:paraId="29FBDBF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（1）营业执照和有关证照；</w:t>
            </w:r>
          </w:p>
          <w:p w14:paraId="4C5FB2E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724918D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（3）涉爆场所使用防爆电气设施的相关证明资料；</w:t>
            </w:r>
          </w:p>
          <w:p w14:paraId="12DC2BB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（4）防爆区域电气设施使用正确的相关证明资料；</w:t>
            </w:r>
          </w:p>
          <w:p w14:paraId="0F7DDBF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1BCD0B6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788190F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（7）相关人员任职文件、身份证明及其询问笔录；</w:t>
            </w:r>
          </w:p>
          <w:p w14:paraId="263A78B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（8）《证人证言》；</w:t>
            </w:r>
          </w:p>
          <w:p w14:paraId="3376D8AF">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（9）其他相关证据。</w:t>
            </w:r>
          </w:p>
        </w:tc>
        <w:tc>
          <w:tcPr>
            <w:tcW w:w="3899" w:type="dxa"/>
            <w:vAlign w:val="center"/>
          </w:tcPr>
          <w:p w14:paraId="673BBCFC">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5B6EE0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《四川省安全生产条例》第六十九条</w:t>
            </w:r>
            <w:r>
              <w:rPr>
                <w:rFonts w:hint="eastAsia" w:ascii="仿宋_GB2312" w:hAnsi="仿宋_GB2312" w:eastAsia="仿宋_GB2312" w:cs="仿宋_GB2312"/>
                <w:color w:val="auto"/>
                <w:kern w:val="0"/>
                <w:sz w:val="32"/>
                <w:szCs w:val="32"/>
              </w:rPr>
              <w:t>生产经营单位违反本条例第十六条、第二十一条第一款、第二十三条、第二十四条第一款、第三十二条、第三十四条第一款规定的，责令限期改正，可并处5000元以上2万元以下的罚款；逾期未改正的，责令停产停业整顿。</w:t>
            </w:r>
          </w:p>
          <w:p w14:paraId="3258672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AB3EDF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18C2AEC">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1F7E55B8">
            <w:pPr>
              <w:widowControl/>
              <w:adjustRightInd w:val="0"/>
              <w:snapToGrid w:val="0"/>
              <w:rPr>
                <w:rFonts w:hint="eastAsia" w:ascii="仿宋_GB2312" w:hAnsi="仿宋_GB2312" w:eastAsia="仿宋_GB2312" w:cs="仿宋_GB2312"/>
                <w:b/>
                <w:color w:val="auto"/>
                <w:kern w:val="0"/>
                <w:sz w:val="32"/>
                <w:szCs w:val="32"/>
              </w:rPr>
            </w:pPr>
          </w:p>
        </w:tc>
      </w:tr>
      <w:tr w14:paraId="4926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75" w:hRule="atLeast"/>
          <w:jc w:val="center"/>
        </w:trPr>
        <w:tc>
          <w:tcPr>
            <w:tcW w:w="617" w:type="dxa"/>
            <w:vMerge w:val="continue"/>
            <w:vAlign w:val="center"/>
          </w:tcPr>
          <w:p w14:paraId="4A5EE2B6">
            <w:pPr>
              <w:jc w:val="center"/>
              <w:rPr>
                <w:rFonts w:hint="eastAsia" w:ascii="仿宋_GB2312" w:hAnsi="仿宋_GB2312" w:eastAsia="仿宋_GB2312" w:cs="仿宋_GB2312"/>
                <w:color w:val="auto"/>
                <w:sz w:val="32"/>
                <w:szCs w:val="32"/>
              </w:rPr>
            </w:pPr>
          </w:p>
        </w:tc>
        <w:tc>
          <w:tcPr>
            <w:tcW w:w="951" w:type="dxa"/>
            <w:vMerge w:val="continue"/>
            <w:vAlign w:val="center"/>
          </w:tcPr>
          <w:p w14:paraId="3CD2B43B">
            <w:pPr>
              <w:jc w:val="center"/>
              <w:rPr>
                <w:rFonts w:hint="eastAsia" w:ascii="仿宋_GB2312" w:hAnsi="仿宋_GB2312" w:eastAsia="仿宋_GB2312" w:cs="仿宋_GB2312"/>
                <w:color w:val="auto"/>
                <w:sz w:val="32"/>
                <w:szCs w:val="32"/>
              </w:rPr>
            </w:pPr>
          </w:p>
        </w:tc>
        <w:tc>
          <w:tcPr>
            <w:tcW w:w="951" w:type="dxa"/>
            <w:vAlign w:val="center"/>
          </w:tcPr>
          <w:p w14:paraId="6D9B93F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3.2 在粉碎、研磨、造粒等易于产生机械点火源的工艺设备前，设置去除铁、石等异物的装置（重大隐患）</w:t>
            </w:r>
          </w:p>
        </w:tc>
        <w:tc>
          <w:tcPr>
            <w:tcW w:w="3899" w:type="dxa"/>
          </w:tcPr>
          <w:p w14:paraId="03279D54">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第三十六条第一款、第二款</w:t>
            </w:r>
            <w:r>
              <w:rPr>
                <w:rFonts w:hint="eastAsia" w:ascii="仿宋_GB2312" w:hAnsi="仿宋_GB2312" w:eastAsia="仿宋_GB2312" w:cs="仿宋_GB2312"/>
                <w:bCs/>
                <w:color w:val="auto"/>
                <w:kern w:val="0"/>
                <w:sz w:val="32"/>
                <w:szCs w:val="32"/>
              </w:rPr>
              <w:t>安</w:t>
            </w:r>
            <w:r>
              <w:rPr>
                <w:rFonts w:hint="eastAsia" w:ascii="仿宋_GB2312" w:hAnsi="仿宋_GB2312" w:eastAsia="仿宋_GB2312" w:cs="仿宋_GB2312"/>
                <w:color w:val="auto"/>
                <w:kern w:val="0"/>
                <w:sz w:val="32"/>
                <w:szCs w:val="32"/>
              </w:rPr>
              <w:t>全设备的设计、制造、安装、使用、检测、维修、改造和报废，应当符合国家标准或者行业标准。</w:t>
            </w:r>
          </w:p>
          <w:p w14:paraId="53404D60">
            <w:pPr>
              <w:widowControl/>
              <w:shd w:val="clear" w:color="auto" w:fill="FFFFFF"/>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p w14:paraId="439295DC">
            <w:pPr>
              <w:widowControl/>
              <w:adjustRightInd w:val="0"/>
              <w:snapToGrid w:val="0"/>
              <w:ind w:firstLine="803" w:firstLineChars="25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《粉尘防爆安全规程》（GB 15577-2018）</w:t>
            </w:r>
          </w:p>
          <w:p w14:paraId="586F14BD">
            <w:pPr>
              <w:widowControl/>
              <w:adjustRightInd w:val="0"/>
              <w:snapToGrid w:val="0"/>
              <w:ind w:firstLine="800" w:firstLineChars="25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6.4.2  在工艺流程的进料处，应安装能除去混入料中杂物的磁铁、气动分离器或筛子，防止杂物与设备碰撞。</w:t>
            </w:r>
          </w:p>
          <w:p w14:paraId="12DFD937">
            <w:pPr>
              <w:widowControl/>
              <w:adjustRightInd w:val="0"/>
              <w:snapToGrid w:val="0"/>
              <w:ind w:firstLine="803" w:firstLineChars="25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《工贸行业重大生产安全事故隐患判定标准（2017版）》（安监总管四〔2017〕129号）</w:t>
            </w:r>
          </w:p>
          <w:p w14:paraId="1155B6C2">
            <w:pPr>
              <w:widowControl/>
              <w:adjustRightInd w:val="0"/>
              <w:snapToGrid w:val="0"/>
              <w:ind w:firstLine="800" w:firstLineChars="25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一、专项类重大事故隐患</w:t>
            </w:r>
          </w:p>
          <w:p w14:paraId="5B29181F">
            <w:pPr>
              <w:widowControl/>
              <w:adjustRightInd w:val="0"/>
              <w:snapToGrid w:val="0"/>
              <w:ind w:firstLine="800" w:firstLineChars="25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（一）存在粉尘爆炸危险的行业领域。</w:t>
            </w:r>
          </w:p>
          <w:p w14:paraId="52F2E639">
            <w:pPr>
              <w:widowControl/>
              <w:adjustRightInd w:val="0"/>
              <w:snapToGrid w:val="0"/>
              <w:ind w:firstLine="800" w:firstLineChars="25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8.在粉碎、研磨、造粒等易于产生机械点火源的工艺设备前，未按规范设置去除铁、石等异物的装置。</w:t>
            </w:r>
          </w:p>
        </w:tc>
        <w:tc>
          <w:tcPr>
            <w:tcW w:w="3899" w:type="dxa"/>
            <w:vAlign w:val="center"/>
          </w:tcPr>
          <w:p w14:paraId="396D01E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（1）营业执照和有关证照；</w:t>
            </w:r>
          </w:p>
          <w:p w14:paraId="1E68E04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23F1636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（3）现场设备入口设置去除铁、石等异物装置的相关证明资料；</w:t>
            </w:r>
          </w:p>
          <w:p w14:paraId="433C6F3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（4）现场图片或影像资料；</w:t>
            </w:r>
          </w:p>
          <w:p w14:paraId="7734B61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286E547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（6）相关人员任职文件、身份证明及其询问笔录；</w:t>
            </w:r>
          </w:p>
          <w:p w14:paraId="5753363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（7）《证人证言》；</w:t>
            </w:r>
          </w:p>
          <w:p w14:paraId="69245363">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（8）其他相关证据。</w:t>
            </w:r>
          </w:p>
        </w:tc>
        <w:tc>
          <w:tcPr>
            <w:tcW w:w="3899" w:type="dxa"/>
            <w:vAlign w:val="center"/>
          </w:tcPr>
          <w:p w14:paraId="0F6ED14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第九十九条第二项、第三项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662D51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5C810CA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（三）未对安全设备进行经常性维护、保养和定期检测的；</w:t>
            </w:r>
          </w:p>
          <w:p w14:paraId="141A53A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9AD828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B40A090">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5156FDC9">
            <w:pPr>
              <w:widowControl/>
              <w:adjustRightInd w:val="0"/>
              <w:snapToGrid w:val="0"/>
              <w:rPr>
                <w:rFonts w:hint="eastAsia" w:ascii="仿宋_GB2312" w:hAnsi="仿宋_GB2312" w:eastAsia="仿宋_GB2312" w:cs="仿宋_GB2312"/>
                <w:color w:val="auto"/>
                <w:kern w:val="0"/>
                <w:sz w:val="32"/>
                <w:szCs w:val="32"/>
              </w:rPr>
            </w:pPr>
          </w:p>
        </w:tc>
      </w:tr>
      <w:tr w14:paraId="0376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0" w:hRule="atLeast"/>
          <w:jc w:val="center"/>
        </w:trPr>
        <w:tc>
          <w:tcPr>
            <w:tcW w:w="617" w:type="dxa"/>
            <w:vMerge w:val="continue"/>
            <w:vAlign w:val="center"/>
          </w:tcPr>
          <w:p w14:paraId="3918A742">
            <w:pPr>
              <w:jc w:val="center"/>
              <w:rPr>
                <w:rFonts w:hint="eastAsia" w:ascii="仿宋_GB2312" w:hAnsi="仿宋_GB2312" w:eastAsia="仿宋_GB2312" w:cs="仿宋_GB2312"/>
                <w:color w:val="auto"/>
                <w:sz w:val="32"/>
                <w:szCs w:val="32"/>
              </w:rPr>
            </w:pPr>
          </w:p>
        </w:tc>
        <w:tc>
          <w:tcPr>
            <w:tcW w:w="951" w:type="dxa"/>
            <w:vMerge w:val="continue"/>
            <w:vAlign w:val="center"/>
          </w:tcPr>
          <w:p w14:paraId="7349A290">
            <w:pPr>
              <w:jc w:val="center"/>
              <w:rPr>
                <w:rFonts w:hint="eastAsia" w:ascii="仿宋_GB2312" w:hAnsi="仿宋_GB2312" w:eastAsia="仿宋_GB2312" w:cs="仿宋_GB2312"/>
                <w:color w:val="auto"/>
                <w:sz w:val="32"/>
                <w:szCs w:val="32"/>
              </w:rPr>
            </w:pPr>
          </w:p>
        </w:tc>
        <w:tc>
          <w:tcPr>
            <w:tcW w:w="951" w:type="dxa"/>
            <w:vAlign w:val="center"/>
          </w:tcPr>
          <w:p w14:paraId="4E02974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3.3 木制品加工企业，与砂光机连接的风管设置火花探测报警装置（重大隐患）</w:t>
            </w:r>
          </w:p>
        </w:tc>
        <w:tc>
          <w:tcPr>
            <w:tcW w:w="3899" w:type="dxa"/>
            <w:vAlign w:val="center"/>
          </w:tcPr>
          <w:p w14:paraId="1E2D8C24">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第三十六条第一款、第二款</w:t>
            </w:r>
            <w:r>
              <w:rPr>
                <w:rFonts w:hint="eastAsia" w:ascii="仿宋_GB2312" w:hAnsi="仿宋_GB2312" w:eastAsia="仿宋_GB2312" w:cs="仿宋_GB2312"/>
                <w:bCs/>
                <w:color w:val="auto"/>
                <w:kern w:val="0"/>
                <w:sz w:val="32"/>
                <w:szCs w:val="32"/>
              </w:rPr>
              <w:t>安</w:t>
            </w:r>
            <w:r>
              <w:rPr>
                <w:rFonts w:hint="eastAsia" w:ascii="仿宋_GB2312" w:hAnsi="仿宋_GB2312" w:eastAsia="仿宋_GB2312" w:cs="仿宋_GB2312"/>
                <w:color w:val="auto"/>
                <w:kern w:val="0"/>
                <w:sz w:val="32"/>
                <w:szCs w:val="32"/>
              </w:rPr>
              <w:t>全设备的设计、制造、安装、使用、检测、维修、改造和报废，应当符合国家标准或者行业标准。</w:t>
            </w:r>
          </w:p>
          <w:p w14:paraId="2C6E69B0">
            <w:pPr>
              <w:widowControl/>
              <w:shd w:val="clear" w:color="auto" w:fill="FFFFFF"/>
              <w:ind w:firstLine="320"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p w14:paraId="4A097F8A">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《粉尘防爆安全规程》（GB 15577-2018）</w:t>
            </w:r>
          </w:p>
          <w:p w14:paraId="18C1F10A">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 xml:space="preserve">6.4.5  </w:t>
            </w:r>
            <w:r>
              <w:rPr>
                <w:rFonts w:hint="eastAsia" w:ascii="仿宋_GB2312" w:hAnsi="仿宋_GB2312" w:eastAsia="仿宋_GB2312" w:cs="仿宋_GB2312"/>
                <w:bCs/>
                <w:color w:val="auto"/>
                <w:kern w:val="0"/>
                <w:sz w:val="32"/>
                <w:szCs w:val="32"/>
              </w:rPr>
              <w:t>粉尘输送管道中存在火花等点火源时，如与木质板材加工用砂光机连接的除尘风管、纺织梳棉（麻）设备除尘风管等，应设置火花探测与消除火花的装置。</w:t>
            </w:r>
          </w:p>
          <w:p w14:paraId="28626B27">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《工贸行业重大生产安全事故隐患判定标准（2017版）》（安监总管四〔2017〕129号）</w:t>
            </w:r>
          </w:p>
          <w:p w14:paraId="36704676">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一、专项类重大事故隐患</w:t>
            </w:r>
          </w:p>
          <w:p w14:paraId="44B2254C">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（一）存在粉尘爆炸危险的行业领域。</w:t>
            </w:r>
          </w:p>
          <w:p w14:paraId="33E85DA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9.木制品加工企业，与砂光机连接的风管未规范设置火花探测报警装置。</w:t>
            </w:r>
          </w:p>
        </w:tc>
        <w:tc>
          <w:tcPr>
            <w:tcW w:w="3899" w:type="dxa"/>
            <w:vAlign w:val="center"/>
          </w:tcPr>
          <w:p w14:paraId="6BB6C5D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（1）营业执照和有关证照；</w:t>
            </w:r>
          </w:p>
          <w:p w14:paraId="44302CB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0586FC4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（3）砂光机出口设置火花探测报警装置的相关证明资料，以及相关装置的合格证明文件；</w:t>
            </w:r>
          </w:p>
          <w:p w14:paraId="3048A0A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（4）现场控制终端投入正常使用的相关证明资料；</w:t>
            </w:r>
          </w:p>
          <w:p w14:paraId="70A2DAC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468ABC6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55EF7A7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（7）相关人员任职文件、身份证明及其询问笔录；</w:t>
            </w:r>
          </w:p>
          <w:p w14:paraId="74D4E27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（8）《证人证言》；</w:t>
            </w:r>
          </w:p>
          <w:p w14:paraId="464BC67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p w14:paraId="1F800F30">
            <w:pPr>
              <w:ind w:firstLine="640" w:firstLineChars="200"/>
              <w:rPr>
                <w:rFonts w:hint="eastAsia" w:ascii="仿宋_GB2312" w:hAnsi="仿宋_GB2312" w:eastAsia="仿宋_GB2312" w:cs="仿宋_GB2312"/>
                <w:color w:val="auto"/>
                <w:sz w:val="32"/>
                <w:szCs w:val="32"/>
              </w:rPr>
            </w:pPr>
          </w:p>
        </w:tc>
        <w:tc>
          <w:tcPr>
            <w:tcW w:w="3899" w:type="dxa"/>
            <w:vAlign w:val="center"/>
          </w:tcPr>
          <w:p w14:paraId="563EEEF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第九十九条第二项、第三项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B4D235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781A031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（三）未对安全设备进行经常性维护、保养和定期检测的；</w:t>
            </w:r>
          </w:p>
          <w:p w14:paraId="37071B5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4BDABA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C157DB5">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5FAF69F7">
            <w:pPr>
              <w:widowControl/>
              <w:adjustRightInd w:val="0"/>
              <w:snapToGrid w:val="0"/>
              <w:rPr>
                <w:rFonts w:hint="eastAsia" w:ascii="仿宋_GB2312" w:hAnsi="仿宋_GB2312" w:eastAsia="仿宋_GB2312" w:cs="仿宋_GB2312"/>
                <w:color w:val="auto"/>
                <w:kern w:val="0"/>
                <w:sz w:val="32"/>
                <w:szCs w:val="32"/>
              </w:rPr>
            </w:pPr>
          </w:p>
        </w:tc>
      </w:tr>
      <w:tr w14:paraId="0188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15" w:hRule="atLeast"/>
          <w:jc w:val="center"/>
        </w:trPr>
        <w:tc>
          <w:tcPr>
            <w:tcW w:w="617" w:type="dxa"/>
            <w:vAlign w:val="center"/>
          </w:tcPr>
          <w:p w14:paraId="003EC841">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951" w:type="dxa"/>
            <w:vAlign w:val="center"/>
          </w:tcPr>
          <w:p w14:paraId="40FE85AB">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粉尘清扫情况</w:t>
            </w:r>
          </w:p>
        </w:tc>
        <w:tc>
          <w:tcPr>
            <w:tcW w:w="951" w:type="dxa"/>
            <w:vAlign w:val="center"/>
          </w:tcPr>
          <w:p w14:paraId="322D15C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作业现场积尘及时清理（重大隐患）</w:t>
            </w:r>
          </w:p>
        </w:tc>
        <w:tc>
          <w:tcPr>
            <w:tcW w:w="3899" w:type="dxa"/>
            <w:vAlign w:val="center"/>
          </w:tcPr>
          <w:p w14:paraId="5B7D8FF0">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750B146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《粉尘防爆安全规程》（GB 15577</w:t>
            </w:r>
            <w:r>
              <w:rPr>
                <w:rFonts w:hint="eastAsia" w:ascii="仿宋_GB2312" w:hAnsi="仿宋_GB2312" w:eastAsia="仿宋_GB2312" w:cs="仿宋_GB2312"/>
                <w:b/>
                <w:bCs/>
                <w:strike/>
                <w:color w:val="auto"/>
                <w:kern w:val="0"/>
                <w:sz w:val="32"/>
                <w:szCs w:val="32"/>
              </w:rPr>
              <w:t>-</w:t>
            </w:r>
            <w:r>
              <w:rPr>
                <w:rFonts w:hint="eastAsia" w:ascii="仿宋_GB2312" w:hAnsi="仿宋_GB2312" w:eastAsia="仿宋_GB2312" w:cs="仿宋_GB2312"/>
                <w:b/>
                <w:bCs/>
                <w:color w:val="auto"/>
                <w:kern w:val="0"/>
                <w:sz w:val="32"/>
                <w:szCs w:val="32"/>
              </w:rPr>
              <w:t>2018）9.1</w:t>
            </w:r>
            <w:r>
              <w:rPr>
                <w:rFonts w:hint="eastAsia" w:ascii="仿宋_GB2312" w:hAnsi="仿宋_GB2312" w:eastAsia="仿宋_GB2312" w:cs="仿宋_GB2312"/>
                <w:color w:val="auto"/>
                <w:kern w:val="0"/>
                <w:sz w:val="32"/>
                <w:szCs w:val="32"/>
              </w:rPr>
              <w:t>企业对粉尘爆炸危险场所应制定包括清扫范围、清扫方式、清扫周期等内容的粉尘清理制度。</w:t>
            </w:r>
          </w:p>
          <w:p w14:paraId="21F21EF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9.4所有可能沉积粉尘的区域（包括粉料贮存间）及设备设施的所有部位应进行及时全面规范清扫。</w:t>
            </w:r>
          </w:p>
          <w:p w14:paraId="0D12992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《建筑设计防火规范》GB 50016-2014（2018版）3.6.6</w:t>
            </w:r>
            <w:r>
              <w:rPr>
                <w:rFonts w:hint="eastAsia" w:ascii="仿宋_GB2312" w:hAnsi="仿宋_GB2312" w:eastAsia="仿宋_GB2312" w:cs="仿宋_GB2312"/>
                <w:color w:val="auto"/>
                <w:kern w:val="0"/>
                <w:sz w:val="32"/>
                <w:szCs w:val="32"/>
              </w:rPr>
              <w:t>散发较空气重的可燃气体、可燃蒸气的甲类厂房和有粉尘、纤维爆炸危险的乙类厂房，应符合下列规定：</w:t>
            </w:r>
          </w:p>
          <w:p w14:paraId="101048A5">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1应采用不发火花的地面。采用绝缘材料作整体面层时，应采取防静电措施；</w:t>
            </w:r>
          </w:p>
          <w:p w14:paraId="19CD627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2散发可燃粉尘、纤维的厂房，其内表面应平整、光滑，并易于清扫；</w:t>
            </w:r>
          </w:p>
          <w:p w14:paraId="60EB516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3厂房内不宜设置地沟，确需设置时，其盖板应严密，地沟应采取防止可燃气体、可燃蒸气和粉尘、纤维在地沟积聚的有效措施，且应在与相邻厂房连通处采用防火材料密封。</w:t>
            </w:r>
          </w:p>
          <w:p w14:paraId="4E22F1D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《工贸行业可燃性粉尘作业场所工艺设施防爆技术指南（试行）》2.2.3为避免二次扬尘，清扫过程中不能使用压缩空气等进行吹扫，可采取负压吸尘、洒水降尘等方式清扫。</w:t>
            </w:r>
          </w:p>
          <w:p w14:paraId="3B925E0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《粉尘防爆安全规程》（GB 15577-2018）10.5</w:t>
            </w:r>
            <w:r>
              <w:rPr>
                <w:rFonts w:hint="eastAsia" w:ascii="仿宋_GB2312" w:hAnsi="仿宋_GB2312" w:eastAsia="仿宋_GB2312" w:cs="仿宋_GB2312"/>
                <w:color w:val="auto"/>
                <w:kern w:val="0"/>
                <w:sz w:val="32"/>
                <w:szCs w:val="32"/>
              </w:rPr>
              <w:t>检修作业应采用防止产生火花的防爆工具，禁止使用铁质检修作业工具。</w:t>
            </w:r>
          </w:p>
          <w:p w14:paraId="012BD7A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《四川省安全生产条例》第十五条</w:t>
            </w:r>
            <w:r>
              <w:rPr>
                <w:rFonts w:hint="eastAsia" w:ascii="仿宋_GB2312" w:hAnsi="仿宋_GB2312" w:eastAsia="仿宋_GB2312" w:cs="仿宋_GB2312"/>
                <w:color w:val="auto"/>
                <w:kern w:val="0"/>
                <w:sz w:val="32"/>
                <w:szCs w:val="32"/>
              </w:rPr>
              <w:t>生产经营单位应当积极采用先进的工艺装备，利用有效的管理技术和手段，加强生产经营活动过程的监测监控，及时制止不安全行为和消除安全隐患，确保生产经营活动安全。</w:t>
            </w:r>
          </w:p>
          <w:p w14:paraId="6518E00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《工贸行业重大生产安全事故隐患判定标准（2017版）》（安监总管四〔2017〕129号）</w:t>
            </w:r>
          </w:p>
          <w:p w14:paraId="4689BEF7">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一、专项类重大事故隐患</w:t>
            </w:r>
          </w:p>
          <w:p w14:paraId="7D1A2DB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（一）存在粉尘爆炸危险的行业领域。</w:t>
            </w:r>
          </w:p>
          <w:p w14:paraId="07A7DD25">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10.未制定粉尘清扫制度，作业现场积尘未及时规范清理。</w:t>
            </w:r>
          </w:p>
        </w:tc>
        <w:tc>
          <w:tcPr>
            <w:tcW w:w="3899" w:type="dxa"/>
            <w:vAlign w:val="center"/>
          </w:tcPr>
          <w:p w14:paraId="33C0363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（1）营业执照和有关证照；</w:t>
            </w:r>
          </w:p>
          <w:p w14:paraId="3677723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（2）安全现状评价报告；</w:t>
            </w:r>
          </w:p>
          <w:p w14:paraId="6D9A419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（3）粉尘清扫制度；</w:t>
            </w:r>
          </w:p>
          <w:p w14:paraId="1479E0D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（4）现场清扫工具的证明资料，包括相关工具管理制度、台账、维护保养记录、合格证明等；</w:t>
            </w:r>
          </w:p>
          <w:p w14:paraId="6BD229C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（5）现场清扫作业过程记录资料；</w:t>
            </w:r>
          </w:p>
          <w:p w14:paraId="05BCB43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（6）现场图片或影像资料；</w:t>
            </w:r>
          </w:p>
          <w:p w14:paraId="5B6586F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176302E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（8）相关人员任职文件、身份证明及其询问笔录；</w:t>
            </w:r>
          </w:p>
          <w:p w14:paraId="18DEE8E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（9）《证人证言》；</w:t>
            </w:r>
          </w:p>
          <w:p w14:paraId="0EE2737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p w14:paraId="678EAD66">
            <w:pPr>
              <w:ind w:firstLine="640" w:firstLineChars="200"/>
              <w:rPr>
                <w:rFonts w:hint="eastAsia" w:ascii="仿宋_GB2312" w:hAnsi="仿宋_GB2312" w:eastAsia="仿宋_GB2312" w:cs="仿宋_GB2312"/>
                <w:color w:val="auto"/>
                <w:sz w:val="32"/>
                <w:szCs w:val="32"/>
              </w:rPr>
            </w:pPr>
          </w:p>
        </w:tc>
        <w:tc>
          <w:tcPr>
            <w:tcW w:w="3899" w:type="dxa"/>
            <w:vAlign w:val="center"/>
          </w:tcPr>
          <w:p w14:paraId="48FC78C2">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2FD736F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14:paraId="0A9B6A8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62AEA7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51D8EB5">
            <w:pPr>
              <w:rPr>
                <w:rFonts w:hint="eastAsia" w:ascii="仿宋_GB2312" w:hAnsi="仿宋_GB2312" w:eastAsia="仿宋_GB2312" w:cs="仿宋_GB2312"/>
                <w:color w:val="auto"/>
                <w:sz w:val="32"/>
                <w:szCs w:val="32"/>
              </w:rPr>
            </w:pPr>
          </w:p>
          <w:p w14:paraId="3AE949D2">
            <w:pPr>
              <w:widowControl/>
              <w:adjustRightInd w:val="0"/>
              <w:snapToGrid w:val="0"/>
              <w:ind w:firstLine="640" w:firstLineChars="200"/>
              <w:rPr>
                <w:rFonts w:hint="eastAsia" w:ascii="仿宋_GB2312" w:hAnsi="仿宋_GB2312" w:eastAsia="仿宋_GB2312" w:cs="仿宋_GB2312"/>
                <w:color w:val="auto"/>
                <w:kern w:val="0"/>
                <w:sz w:val="32"/>
                <w:szCs w:val="32"/>
              </w:rPr>
            </w:pPr>
          </w:p>
          <w:p w14:paraId="211BFAA2">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3FB5737C">
            <w:pPr>
              <w:widowControl/>
              <w:adjustRightInd w:val="0"/>
              <w:snapToGrid w:val="0"/>
              <w:rPr>
                <w:rFonts w:hint="eastAsia" w:ascii="仿宋_GB2312" w:hAnsi="仿宋_GB2312" w:eastAsia="仿宋_GB2312" w:cs="仿宋_GB2312"/>
                <w:color w:val="auto"/>
                <w:kern w:val="0"/>
                <w:sz w:val="32"/>
                <w:szCs w:val="32"/>
              </w:rPr>
            </w:pPr>
          </w:p>
        </w:tc>
      </w:tr>
      <w:tr w14:paraId="33E4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60" w:hRule="atLeast"/>
          <w:jc w:val="center"/>
        </w:trPr>
        <w:tc>
          <w:tcPr>
            <w:tcW w:w="617" w:type="dxa"/>
            <w:vAlign w:val="center"/>
          </w:tcPr>
          <w:p w14:paraId="4352C053">
            <w:pPr>
              <w:widowControl/>
              <w:adjustRightInd w:val="0"/>
              <w:snapToGrid w:val="0"/>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 xml:space="preserve">5  </w:t>
            </w:r>
          </w:p>
        </w:tc>
        <w:tc>
          <w:tcPr>
            <w:tcW w:w="951" w:type="dxa"/>
            <w:vAlign w:val="center"/>
          </w:tcPr>
          <w:p w14:paraId="27EDE7FC">
            <w:pPr>
              <w:widowControl/>
              <w:adjustRightInd w:val="0"/>
              <w:snapToGrid w:val="0"/>
              <w:ind w:firstLine="320" w:firstLineChars="1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作业场所安全警示标志设置情况</w:t>
            </w:r>
          </w:p>
        </w:tc>
        <w:tc>
          <w:tcPr>
            <w:tcW w:w="951" w:type="dxa"/>
            <w:vAlign w:val="center"/>
          </w:tcPr>
          <w:p w14:paraId="779AF00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粉尘涉爆作业场所应设置明显的安全警示标志和警示说明</w:t>
            </w:r>
          </w:p>
        </w:tc>
        <w:tc>
          <w:tcPr>
            <w:tcW w:w="3899" w:type="dxa"/>
            <w:vAlign w:val="center"/>
          </w:tcPr>
          <w:p w14:paraId="3288F3F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第三十五条</w:t>
            </w:r>
            <w:r>
              <w:rPr>
                <w:rFonts w:hint="eastAsia" w:ascii="仿宋_GB2312" w:hAnsi="仿宋_GB2312" w:eastAsia="仿宋_GB2312" w:cs="仿宋_GB2312"/>
                <w:color w:val="auto"/>
                <w:sz w:val="32"/>
                <w:szCs w:val="32"/>
              </w:rPr>
              <w:t>生产经营单位应当在有较大危险因素的生产经营场所和有关设施、设备上，设置明显的安全警示标志。</w:t>
            </w:r>
          </w:p>
          <w:p w14:paraId="514D9949">
            <w:pP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"http://www.360kuai.com/pc/9a2d60a72408066c7?cota=4&amp;kuai_so=1&amp;tj_url=so_rec&amp;sign=360_7bc3b157"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
                <w:bCs/>
                <w:color w:val="auto"/>
                <w:kern w:val="0"/>
                <w:sz w:val="32"/>
                <w:szCs w:val="32"/>
              </w:rPr>
              <w:t>安全标志及其使用导则</w:t>
            </w:r>
            <w:r>
              <w:rPr>
                <w:rFonts w:hint="eastAsia" w:ascii="仿宋_GB2312" w:hAnsi="仿宋_GB2312" w:eastAsia="仿宋_GB2312" w:cs="仿宋_GB2312"/>
                <w:b/>
                <w:bCs/>
                <w:color w:val="auto"/>
                <w:kern w:val="0"/>
                <w:sz w:val="32"/>
                <w:szCs w:val="32"/>
              </w:rPr>
              <w:fldChar w:fldCharType="end"/>
            </w:r>
            <w:r>
              <w:rPr>
                <w:rFonts w:hint="eastAsia" w:ascii="仿宋_GB2312" w:hAnsi="仿宋_GB2312" w:eastAsia="仿宋_GB2312" w:cs="仿宋_GB2312"/>
                <w:b/>
                <w:bCs/>
                <w:color w:val="auto"/>
                <w:kern w:val="0"/>
                <w:sz w:val="32"/>
                <w:szCs w:val="32"/>
              </w:rPr>
              <w:t>》（GB2894-2008）</w:t>
            </w:r>
            <w:r>
              <w:rPr>
                <w:rFonts w:hint="eastAsia" w:ascii="仿宋_GB2312" w:hAnsi="仿宋_GB2312" w:eastAsia="仿宋_GB2312" w:cs="仿宋_GB2312"/>
                <w:color w:val="auto"/>
                <w:kern w:val="0"/>
                <w:sz w:val="32"/>
                <w:szCs w:val="32"/>
              </w:rPr>
              <w:t xml:space="preserve">  </w:t>
            </w:r>
          </w:p>
          <w:p w14:paraId="7CB33DE0">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9.1 </w:t>
            </w:r>
            <w:r>
              <w:rPr>
                <w:rFonts w:hint="eastAsia" w:ascii="仿宋_GB2312" w:hAnsi="仿宋_GB2312" w:eastAsia="仿宋_GB2312" w:cs="仿宋_GB2312"/>
                <w:color w:val="auto"/>
                <w:kern w:val="0"/>
                <w:sz w:val="32"/>
                <w:szCs w:val="32"/>
              </w:rPr>
              <w:t>标志牌应设在与安全有关的醒目地方，并使大家看见后，有足够的时间来注意它所表示的内容。环境信息标志宜设在有关场所的入口处和醒目处；局部信息标志应设在所涉及的相应危险地点或设备(部件)附近的醒目处。激光产品和激光作业场所安全标志的使用见附录C。</w:t>
            </w:r>
          </w:p>
          <w:p w14:paraId="4A83371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"http://www.360kuai.com/pc/9a2d60a72408066c7?cota=4&amp;kuai_so=1&amp;tj_url=so_rec&amp;sign=360_7bc3b157"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
                <w:bCs/>
                <w:color w:val="auto"/>
                <w:kern w:val="0"/>
                <w:sz w:val="32"/>
                <w:szCs w:val="32"/>
              </w:rPr>
              <w:t>安全标志及其使用导则</w:t>
            </w:r>
            <w:r>
              <w:rPr>
                <w:rFonts w:hint="eastAsia" w:ascii="仿宋_GB2312" w:hAnsi="仿宋_GB2312" w:eastAsia="仿宋_GB2312" w:cs="仿宋_GB2312"/>
                <w:b/>
                <w:bCs/>
                <w:color w:val="auto"/>
                <w:kern w:val="0"/>
                <w:sz w:val="32"/>
                <w:szCs w:val="32"/>
              </w:rPr>
              <w:fldChar w:fldCharType="end"/>
            </w:r>
            <w:r>
              <w:rPr>
                <w:rFonts w:hint="eastAsia" w:ascii="仿宋_GB2312" w:hAnsi="仿宋_GB2312" w:eastAsia="仿宋_GB2312" w:cs="仿宋_GB2312"/>
                <w:b/>
                <w:bCs/>
                <w:color w:val="auto"/>
                <w:kern w:val="0"/>
                <w:sz w:val="32"/>
                <w:szCs w:val="32"/>
              </w:rPr>
              <w:t>》（GB2894-2008）</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
                <w:bCs/>
                <w:color w:val="auto"/>
                <w:kern w:val="0"/>
                <w:sz w:val="32"/>
                <w:szCs w:val="32"/>
              </w:rPr>
              <w:t>9.2 </w:t>
            </w:r>
            <w:r>
              <w:rPr>
                <w:rFonts w:hint="eastAsia" w:ascii="仿宋_GB2312" w:hAnsi="仿宋_GB2312" w:eastAsia="仿宋_GB2312" w:cs="仿宋_GB2312"/>
                <w:color w:val="auto"/>
                <w:kern w:val="0"/>
                <w:sz w:val="32"/>
                <w:szCs w:val="32"/>
              </w:rPr>
              <w:t>标志牌不应设在门、窗、架等可移动的物体上，以免标志牌随母体物体相应移动，影响认读。标志牌前不得放置妨碍认读的障碍物。</w:t>
            </w:r>
          </w:p>
          <w:p w14:paraId="6720A64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"http://www.360kuai.com/pc/9a2d60a72408066c7?cota=4&amp;kuai_so=1&amp;tj_url=so_rec&amp;sign=360_7bc3b157"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
                <w:bCs/>
                <w:color w:val="auto"/>
                <w:kern w:val="0"/>
                <w:sz w:val="32"/>
                <w:szCs w:val="32"/>
              </w:rPr>
              <w:t>安全标志及其使用导则</w:t>
            </w:r>
            <w:r>
              <w:rPr>
                <w:rFonts w:hint="eastAsia" w:ascii="仿宋_GB2312" w:hAnsi="仿宋_GB2312" w:eastAsia="仿宋_GB2312" w:cs="仿宋_GB2312"/>
                <w:b/>
                <w:bCs/>
                <w:color w:val="auto"/>
                <w:kern w:val="0"/>
                <w:sz w:val="32"/>
                <w:szCs w:val="32"/>
              </w:rPr>
              <w:fldChar w:fldCharType="end"/>
            </w:r>
            <w:r>
              <w:rPr>
                <w:rFonts w:hint="eastAsia" w:ascii="仿宋_GB2312" w:hAnsi="仿宋_GB2312" w:eastAsia="仿宋_GB2312" w:cs="仿宋_GB2312"/>
                <w:b/>
                <w:bCs/>
                <w:color w:val="auto"/>
                <w:kern w:val="0"/>
                <w:sz w:val="32"/>
                <w:szCs w:val="32"/>
              </w:rPr>
              <w:t>》（GB2894-2008）9.4</w:t>
            </w:r>
            <w:r>
              <w:rPr>
                <w:rFonts w:hint="eastAsia" w:ascii="仿宋_GB2312" w:hAnsi="仿宋_GB2312" w:eastAsia="仿宋_GB2312" w:cs="仿宋_GB2312"/>
                <w:color w:val="auto"/>
                <w:kern w:val="0"/>
                <w:sz w:val="32"/>
                <w:szCs w:val="32"/>
              </w:rPr>
              <w:t> 标志牌应设置在明亮的环境中。</w:t>
            </w:r>
          </w:p>
          <w:p w14:paraId="0382124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"http://www.360kuai.com/pc/9a2d60a72408066c7?cota=4&amp;kuai_so=1&amp;tj_url=so_rec&amp;sign=360_7bc3b157"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
                <w:bCs/>
                <w:color w:val="auto"/>
                <w:kern w:val="0"/>
                <w:sz w:val="32"/>
                <w:szCs w:val="32"/>
              </w:rPr>
              <w:t>安全标志及其使用导则</w:t>
            </w:r>
            <w:r>
              <w:rPr>
                <w:rFonts w:hint="eastAsia" w:ascii="仿宋_GB2312" w:hAnsi="仿宋_GB2312" w:eastAsia="仿宋_GB2312" w:cs="仿宋_GB2312"/>
                <w:b/>
                <w:bCs/>
                <w:color w:val="auto"/>
                <w:kern w:val="0"/>
                <w:sz w:val="32"/>
                <w:szCs w:val="32"/>
              </w:rPr>
              <w:fldChar w:fldCharType="end"/>
            </w:r>
            <w:r>
              <w:rPr>
                <w:rFonts w:hint="eastAsia" w:ascii="仿宋_GB2312" w:hAnsi="仿宋_GB2312" w:eastAsia="仿宋_GB2312" w:cs="仿宋_GB2312"/>
                <w:b/>
                <w:bCs/>
                <w:color w:val="auto"/>
                <w:kern w:val="0"/>
                <w:sz w:val="32"/>
                <w:szCs w:val="32"/>
              </w:rPr>
              <w:t>》（GB2894-2008）9.5 </w:t>
            </w:r>
            <w:r>
              <w:rPr>
                <w:rFonts w:hint="eastAsia" w:ascii="仿宋_GB2312" w:hAnsi="仿宋_GB2312" w:eastAsia="仿宋_GB2312" w:cs="仿宋_GB2312"/>
                <w:color w:val="auto"/>
                <w:kern w:val="0"/>
                <w:sz w:val="32"/>
                <w:szCs w:val="32"/>
              </w:rPr>
              <w:t>多个标志牌在一起设置时，应按警告、禁止、指令、提示类型的顺序，先左后右、先上后下地排列。</w:t>
            </w:r>
          </w:p>
          <w:p w14:paraId="7E52274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"http://www.360kuai.com/pc/9a2d60a72408066c7?cota=4&amp;kuai_so=1&amp;tj_url=so_rec&amp;sign=360_7bc3b157"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
                <w:bCs/>
                <w:color w:val="auto"/>
                <w:kern w:val="0"/>
                <w:sz w:val="32"/>
                <w:szCs w:val="32"/>
              </w:rPr>
              <w:t>安全标志及其使用导则GB2894-2008</w:t>
            </w:r>
            <w:r>
              <w:rPr>
                <w:rFonts w:hint="eastAsia" w:ascii="仿宋_GB2312" w:hAnsi="仿宋_GB2312" w:eastAsia="仿宋_GB2312" w:cs="仿宋_GB2312"/>
                <w:b/>
                <w:bCs/>
                <w:color w:val="auto"/>
                <w:kern w:val="0"/>
                <w:sz w:val="32"/>
                <w:szCs w:val="32"/>
              </w:rPr>
              <w:fldChar w:fldCharType="end"/>
            </w:r>
            <w:r>
              <w:rPr>
                <w:rFonts w:hint="eastAsia" w:ascii="仿宋_GB2312" w:hAnsi="仿宋_GB2312" w:eastAsia="仿宋_GB2312" w:cs="仿宋_GB2312"/>
                <w:b/>
                <w:bCs/>
                <w:color w:val="auto"/>
                <w:kern w:val="0"/>
                <w:sz w:val="32"/>
                <w:szCs w:val="32"/>
              </w:rPr>
              <w:t>》10.1 </w:t>
            </w:r>
            <w:r>
              <w:rPr>
                <w:rFonts w:hint="eastAsia" w:ascii="仿宋_GB2312" w:hAnsi="仿宋_GB2312" w:eastAsia="仿宋_GB2312" w:cs="仿宋_GB2312"/>
                <w:color w:val="auto"/>
                <w:kern w:val="0"/>
                <w:sz w:val="32"/>
                <w:szCs w:val="32"/>
              </w:rPr>
              <w:t>安全标志牌至少每半年检查一次，如发现有破损、变形、褪色等不符合要求时应及时修整或更换。</w:t>
            </w:r>
          </w:p>
          <w:p w14:paraId="6C3C382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《四川省安全生产条例》第二十八条</w:t>
            </w:r>
            <w:r>
              <w:rPr>
                <w:rFonts w:hint="eastAsia" w:ascii="仿宋_GB2312" w:hAnsi="仿宋_GB2312" w:eastAsia="仿宋_GB2312" w:cs="仿宋_GB2312"/>
                <w:color w:val="auto"/>
                <w:kern w:val="0"/>
                <w:sz w:val="32"/>
                <w:szCs w:val="32"/>
              </w:rPr>
              <w:t>生产经营单位应当在具有较大危险因素的生产经营场所、设施、设备及其四周，设置符合国家标准或者行业标准的明显的安全警示标志。</w:t>
            </w:r>
          </w:p>
        </w:tc>
        <w:tc>
          <w:tcPr>
            <w:tcW w:w="3899" w:type="dxa"/>
            <w:vAlign w:val="center"/>
          </w:tcPr>
          <w:p w14:paraId="0BCFE30D">
            <w:pPr>
              <w:widowControl/>
              <w:adjustRightInd w:val="0"/>
              <w:snapToGrid w:val="0"/>
              <w:rPr>
                <w:rFonts w:hint="eastAsia" w:ascii="仿宋_GB2312" w:hAnsi="仿宋_GB2312" w:eastAsia="仿宋_GB2312" w:cs="仿宋_GB2312"/>
                <w:color w:val="auto"/>
                <w:kern w:val="0"/>
                <w:sz w:val="32"/>
                <w:szCs w:val="32"/>
              </w:rPr>
            </w:pPr>
          </w:p>
          <w:p w14:paraId="2C8B41C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（1）营业执照和有关证照；</w:t>
            </w:r>
          </w:p>
          <w:p w14:paraId="1A8CDB2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（2）现场图片（含现场警示标识的图片）或影像资料；</w:t>
            </w:r>
          </w:p>
          <w:p w14:paraId="7A88412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（3）《现场检查记录》《责令限期整改指令书》等相关执法文书；</w:t>
            </w:r>
          </w:p>
          <w:p w14:paraId="43FFC72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（4）相关人员任职文件、身份证明及其询问笔录；</w:t>
            </w:r>
          </w:p>
          <w:p w14:paraId="55007B2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（5）《证人证言》；</w:t>
            </w:r>
          </w:p>
          <w:p w14:paraId="2FC4DBA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（6）其他相关证据。</w:t>
            </w:r>
          </w:p>
          <w:p w14:paraId="54BC8E63">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2E3C53FA">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第九十九条第一项</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46030E3">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（一）未在有较大危险因素的生产经营场所和有关设施、设备上设置明显的安全警示标志的；</w:t>
            </w:r>
          </w:p>
          <w:p w14:paraId="16CF341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《四川省安全生产条例》第六十七条</w:t>
            </w:r>
            <w:r>
              <w:rPr>
                <w:rFonts w:hint="eastAsia" w:ascii="仿宋_GB2312" w:hAnsi="仿宋_GB2312" w:eastAsia="仿宋_GB2312" w:cs="仿宋_GB2312"/>
                <w:color w:val="auto"/>
                <w:kern w:val="0"/>
                <w:sz w:val="32"/>
                <w:szCs w:val="32"/>
              </w:rPr>
              <w:t>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51" w:type="dxa"/>
            <w:vAlign w:val="center"/>
          </w:tcPr>
          <w:p w14:paraId="13353AF6">
            <w:pPr>
              <w:widowControl/>
              <w:adjustRightInd w:val="0"/>
              <w:snapToGrid w:val="0"/>
              <w:rPr>
                <w:rFonts w:hint="eastAsia" w:ascii="仿宋_GB2312" w:hAnsi="仿宋_GB2312" w:eastAsia="仿宋_GB2312" w:cs="仿宋_GB2312"/>
                <w:color w:val="auto"/>
                <w:kern w:val="0"/>
                <w:sz w:val="32"/>
                <w:szCs w:val="32"/>
              </w:rPr>
            </w:pPr>
          </w:p>
        </w:tc>
      </w:tr>
      <w:tr w14:paraId="40344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60" w:hRule="atLeast"/>
          <w:jc w:val="center"/>
        </w:trPr>
        <w:tc>
          <w:tcPr>
            <w:tcW w:w="15167" w:type="dxa"/>
            <w:gridSpan w:val="7"/>
            <w:vAlign w:val="center"/>
          </w:tcPr>
          <w:p w14:paraId="22FA223E">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说明：1、根据本清单提供的证照及资料有原件的，应核实原件后留存复印件；无原件的提供复印件。所有复印件资料均应加盖企业公章。证照及资料有正副本的，均核验留存复印件。</w:t>
            </w:r>
          </w:p>
          <w:p w14:paraId="68CA50E1">
            <w:pPr>
              <w:widowControl/>
              <w:ind w:firstLine="960" w:firstLineChars="3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2、其他相关证据：能够证明企业违法违规行为的其他相关资料。</w:t>
            </w:r>
          </w:p>
          <w:p w14:paraId="1493D930">
            <w:pPr>
              <w:widowControl/>
              <w:adjustRightInd w:val="0"/>
              <w:snapToGrid w:val="0"/>
              <w:rPr>
                <w:rFonts w:hint="eastAsia" w:ascii="仿宋_GB2312" w:hAnsi="仿宋_GB2312" w:eastAsia="仿宋_GB2312" w:cs="仿宋_GB2312"/>
                <w:color w:val="auto"/>
                <w:kern w:val="0"/>
                <w:sz w:val="32"/>
                <w:szCs w:val="32"/>
              </w:rPr>
            </w:pPr>
          </w:p>
        </w:tc>
      </w:tr>
    </w:tbl>
    <w:p w14:paraId="1ACA72E4">
      <w:pPr>
        <w:widowControl/>
        <w:jc w:val="left"/>
        <w:rPr>
          <w:rFonts w:hint="eastAsia" w:ascii="仿宋_GB2312" w:hAnsi="仿宋_GB2312" w:eastAsia="仿宋_GB2312" w:cs="仿宋_GB2312"/>
          <w:color w:val="auto"/>
          <w:sz w:val="32"/>
          <w:szCs w:val="32"/>
        </w:rPr>
      </w:pPr>
    </w:p>
    <w:p w14:paraId="07BBF196">
      <w:pPr>
        <w:widowControl/>
        <w:jc w:val="left"/>
        <w:rPr>
          <w:rFonts w:hint="eastAsia" w:ascii="仿宋_GB2312" w:hAnsi="仿宋_GB2312" w:eastAsia="仿宋_GB2312" w:cs="仿宋_GB2312"/>
          <w:color w:val="auto"/>
          <w:sz w:val="32"/>
          <w:szCs w:val="32"/>
        </w:rPr>
      </w:pPr>
    </w:p>
    <w:p w14:paraId="6B2B51AA">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47A9844B">
      <w:pPr>
        <w:pStyle w:val="3"/>
        <w:spacing w:line="240" w:lineRule="auto"/>
        <w:jc w:val="center"/>
        <w:rPr>
          <w:rFonts w:hint="eastAsia" w:ascii="仿宋_GB2312" w:hAnsi="仿宋_GB2312" w:eastAsia="仿宋_GB2312" w:cs="仿宋_GB2312"/>
          <w:color w:val="auto"/>
          <w:sz w:val="32"/>
          <w:szCs w:val="32"/>
        </w:rPr>
      </w:pPr>
      <w:bookmarkStart w:id="19" w:name="_Toc8755"/>
      <w:r>
        <w:rPr>
          <w:rFonts w:hint="eastAsia" w:ascii="仿宋_GB2312" w:hAnsi="仿宋_GB2312" w:eastAsia="仿宋_GB2312" w:cs="仿宋_GB2312"/>
          <w:color w:val="auto"/>
          <w:sz w:val="32"/>
          <w:szCs w:val="32"/>
        </w:rPr>
        <w:t>存在有限空间作业企业重点检查清单</w:t>
      </w:r>
      <w:bookmarkEnd w:id="19"/>
    </w:p>
    <w:tbl>
      <w:tblPr>
        <w:tblStyle w:val="8"/>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6"/>
        <w:gridCol w:w="950"/>
        <w:gridCol w:w="951"/>
        <w:gridCol w:w="3899"/>
        <w:gridCol w:w="3899"/>
        <w:gridCol w:w="3899"/>
        <w:gridCol w:w="951"/>
      </w:tblGrid>
      <w:tr w14:paraId="0A7F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97" w:hRule="atLeast"/>
          <w:tblHeader/>
          <w:jc w:val="center"/>
        </w:trPr>
        <w:tc>
          <w:tcPr>
            <w:tcW w:w="616" w:type="dxa"/>
            <w:vAlign w:val="center"/>
          </w:tcPr>
          <w:p w14:paraId="31C2FE61">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序号</w:t>
            </w:r>
          </w:p>
        </w:tc>
        <w:tc>
          <w:tcPr>
            <w:tcW w:w="950" w:type="dxa"/>
            <w:vAlign w:val="center"/>
          </w:tcPr>
          <w:p w14:paraId="3FA8EF58">
            <w:pPr>
              <w:widowControl/>
              <w:adjustRightInd w:val="0"/>
              <w:snapToGrid w:val="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检查事项</w:t>
            </w:r>
          </w:p>
        </w:tc>
        <w:tc>
          <w:tcPr>
            <w:tcW w:w="951" w:type="dxa"/>
            <w:vAlign w:val="center"/>
          </w:tcPr>
          <w:p w14:paraId="65BDAC89">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检查内容</w:t>
            </w:r>
          </w:p>
        </w:tc>
        <w:tc>
          <w:tcPr>
            <w:tcW w:w="3899" w:type="dxa"/>
            <w:vAlign w:val="center"/>
          </w:tcPr>
          <w:p w14:paraId="501DEE55">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检查依据</w:t>
            </w:r>
          </w:p>
        </w:tc>
        <w:tc>
          <w:tcPr>
            <w:tcW w:w="3899" w:type="dxa"/>
            <w:vAlign w:val="center"/>
          </w:tcPr>
          <w:p w14:paraId="639FB206">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主要证据</w:t>
            </w:r>
          </w:p>
        </w:tc>
        <w:tc>
          <w:tcPr>
            <w:tcW w:w="3899" w:type="dxa"/>
            <w:vAlign w:val="center"/>
          </w:tcPr>
          <w:p w14:paraId="45BFE4C4">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法律责任（罚则）</w:t>
            </w:r>
          </w:p>
        </w:tc>
        <w:tc>
          <w:tcPr>
            <w:tcW w:w="951" w:type="dxa"/>
            <w:vAlign w:val="center"/>
          </w:tcPr>
          <w:p w14:paraId="6FDF7DAC">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检查结果</w:t>
            </w:r>
          </w:p>
        </w:tc>
      </w:tr>
      <w:tr w14:paraId="5F12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50" w:hRule="atLeast"/>
          <w:jc w:val="center"/>
        </w:trPr>
        <w:tc>
          <w:tcPr>
            <w:tcW w:w="616" w:type="dxa"/>
            <w:vAlign w:val="center"/>
          </w:tcPr>
          <w:p w14:paraId="45EBE23E">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w:t>
            </w:r>
          </w:p>
        </w:tc>
        <w:tc>
          <w:tcPr>
            <w:tcW w:w="950" w:type="dxa"/>
            <w:vAlign w:val="center"/>
          </w:tcPr>
          <w:p w14:paraId="0DD18C0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作业场所安全警示标志设置情况</w:t>
            </w:r>
          </w:p>
        </w:tc>
        <w:tc>
          <w:tcPr>
            <w:tcW w:w="951" w:type="dxa"/>
            <w:vAlign w:val="center"/>
          </w:tcPr>
          <w:p w14:paraId="6D78DED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有限空间作业场所应设置明显的安全警示标志和警示说明（重大隐患）</w:t>
            </w:r>
          </w:p>
        </w:tc>
        <w:tc>
          <w:tcPr>
            <w:tcW w:w="3899" w:type="dxa"/>
            <w:vAlign w:val="center"/>
          </w:tcPr>
          <w:p w14:paraId="6538339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第三十五条</w:t>
            </w:r>
            <w:r>
              <w:rPr>
                <w:rFonts w:hint="eastAsia" w:ascii="仿宋_GB2312" w:hAnsi="仿宋_GB2312" w:eastAsia="仿宋_GB2312" w:cs="仿宋_GB2312"/>
                <w:color w:val="auto"/>
                <w:sz w:val="32"/>
                <w:szCs w:val="32"/>
              </w:rPr>
              <w:t>生产经营单位应当在有较大危险因素的生产经营场所和有关设施、设备上，设置明显的安全警示标志。</w:t>
            </w:r>
          </w:p>
          <w:p w14:paraId="35D0DF7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《工贸企业有限空间作业安全管理与监督暂行规定》第十九条</w:t>
            </w:r>
            <w:r>
              <w:rPr>
                <w:rFonts w:hint="eastAsia" w:ascii="仿宋_GB2312" w:hAnsi="仿宋_GB2312" w:eastAsia="仿宋_GB2312" w:cs="仿宋_GB2312"/>
                <w:color w:val="auto"/>
                <w:kern w:val="0"/>
                <w:sz w:val="32"/>
                <w:szCs w:val="32"/>
              </w:rPr>
              <w:t>工贸企业有限空间作业还应当符合下列要求：......</w:t>
            </w:r>
          </w:p>
          <w:p w14:paraId="300BE3C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（二）设置明显的安全警示标志和警示说明；......</w:t>
            </w:r>
          </w:p>
          <w:p w14:paraId="1F07167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"http://www.360kuai.com/pc/9a2d60a72408066c7?cota=4&amp;kuai_so=1&amp;tj_url=so_rec&amp;sign=360_7bc3b157"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
                <w:bCs/>
                <w:color w:val="auto"/>
                <w:kern w:val="0"/>
                <w:sz w:val="32"/>
                <w:szCs w:val="32"/>
              </w:rPr>
              <w:t>安全标志及其使用导则</w:t>
            </w:r>
            <w:r>
              <w:rPr>
                <w:rFonts w:hint="eastAsia" w:ascii="仿宋_GB2312" w:hAnsi="仿宋_GB2312" w:eastAsia="仿宋_GB2312" w:cs="仿宋_GB2312"/>
                <w:b/>
                <w:bCs/>
                <w:color w:val="auto"/>
                <w:kern w:val="0"/>
                <w:sz w:val="32"/>
                <w:szCs w:val="32"/>
              </w:rPr>
              <w:fldChar w:fldCharType="end"/>
            </w:r>
            <w:r>
              <w:rPr>
                <w:rFonts w:hint="eastAsia" w:ascii="仿宋_GB2312" w:hAnsi="仿宋_GB2312" w:eastAsia="仿宋_GB2312" w:cs="仿宋_GB2312"/>
                <w:b/>
                <w:bCs/>
                <w:color w:val="auto"/>
                <w:kern w:val="0"/>
                <w:sz w:val="32"/>
                <w:szCs w:val="32"/>
              </w:rPr>
              <w:t>》（GB2894-2008）</w:t>
            </w:r>
            <w:r>
              <w:rPr>
                <w:rFonts w:hint="eastAsia" w:ascii="仿宋_GB2312" w:hAnsi="仿宋_GB2312" w:eastAsia="仿宋_GB2312" w:cs="仿宋_GB2312"/>
                <w:color w:val="auto"/>
                <w:kern w:val="0"/>
                <w:sz w:val="32"/>
                <w:szCs w:val="32"/>
              </w:rPr>
              <w:t xml:space="preserve">  </w:t>
            </w:r>
          </w:p>
          <w:p w14:paraId="2BF4D96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9.1 </w:t>
            </w:r>
            <w:r>
              <w:rPr>
                <w:rFonts w:hint="eastAsia" w:ascii="仿宋_GB2312" w:hAnsi="仿宋_GB2312" w:eastAsia="仿宋_GB2312" w:cs="仿宋_GB2312"/>
                <w:color w:val="auto"/>
                <w:kern w:val="0"/>
                <w:sz w:val="32"/>
                <w:szCs w:val="32"/>
              </w:rPr>
              <w:t>标志牌应设在与安全有关的醒目地方，并使大家看见后，有足够的时间来注意它所表示的内容。环境信息标志宜设在有关场所的入口处和醒目处；局部信息标志应设在所涉及的相应危险地点或设备(部件)附近的醒目处。激光产品和激光作业场所安全标志的使用见附录C。</w:t>
            </w:r>
          </w:p>
          <w:p w14:paraId="6D65DF4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"http://www.360kuai.com/pc/9a2d60a72408066c7?cota=4&amp;kuai_so=1&amp;tj_url=so_rec&amp;sign=360_7bc3b157"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
                <w:bCs/>
                <w:color w:val="auto"/>
                <w:kern w:val="0"/>
                <w:sz w:val="32"/>
                <w:szCs w:val="32"/>
              </w:rPr>
              <w:t>安全标志及其使用导则</w:t>
            </w:r>
            <w:r>
              <w:rPr>
                <w:rFonts w:hint="eastAsia" w:ascii="仿宋_GB2312" w:hAnsi="仿宋_GB2312" w:eastAsia="仿宋_GB2312" w:cs="仿宋_GB2312"/>
                <w:b/>
                <w:bCs/>
                <w:color w:val="auto"/>
                <w:kern w:val="0"/>
                <w:sz w:val="32"/>
                <w:szCs w:val="32"/>
              </w:rPr>
              <w:fldChar w:fldCharType="end"/>
            </w:r>
            <w:r>
              <w:rPr>
                <w:rFonts w:hint="eastAsia" w:ascii="仿宋_GB2312" w:hAnsi="仿宋_GB2312" w:eastAsia="仿宋_GB2312" w:cs="仿宋_GB2312"/>
                <w:b/>
                <w:bCs/>
                <w:color w:val="auto"/>
                <w:kern w:val="0"/>
                <w:sz w:val="32"/>
                <w:szCs w:val="32"/>
              </w:rPr>
              <w:t>》（GB2894-2008）9.2</w:t>
            </w:r>
            <w:r>
              <w:rPr>
                <w:rFonts w:hint="eastAsia" w:ascii="仿宋_GB2312" w:hAnsi="仿宋_GB2312" w:eastAsia="仿宋_GB2312" w:cs="仿宋_GB2312"/>
                <w:color w:val="auto"/>
                <w:kern w:val="0"/>
                <w:sz w:val="32"/>
                <w:szCs w:val="32"/>
              </w:rPr>
              <w:t> 标志牌不应设在门、窗、架等可移动的物体上，以免标志牌随母体物体相应移动，影响认读。标志牌前不得放置妨碍认读的障碍物。</w:t>
            </w:r>
          </w:p>
          <w:p w14:paraId="0747D97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"http://www.360kuai.com/pc/9a2d60a72408066c7?cota=4&amp;kuai_so=1&amp;tj_url=so_rec&amp;sign=360_7bc3b157"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
                <w:bCs/>
                <w:color w:val="auto"/>
                <w:kern w:val="0"/>
                <w:sz w:val="32"/>
                <w:szCs w:val="32"/>
              </w:rPr>
              <w:t>安全标志及其使用导则</w:t>
            </w:r>
            <w:r>
              <w:rPr>
                <w:rFonts w:hint="eastAsia" w:ascii="仿宋_GB2312" w:hAnsi="仿宋_GB2312" w:eastAsia="仿宋_GB2312" w:cs="仿宋_GB2312"/>
                <w:b/>
                <w:bCs/>
                <w:color w:val="auto"/>
                <w:kern w:val="0"/>
                <w:sz w:val="32"/>
                <w:szCs w:val="32"/>
              </w:rPr>
              <w:fldChar w:fldCharType="end"/>
            </w:r>
            <w:r>
              <w:rPr>
                <w:rFonts w:hint="eastAsia" w:ascii="仿宋_GB2312" w:hAnsi="仿宋_GB2312" w:eastAsia="仿宋_GB2312" w:cs="仿宋_GB2312"/>
                <w:b/>
                <w:bCs/>
                <w:color w:val="auto"/>
                <w:kern w:val="0"/>
                <w:sz w:val="32"/>
                <w:szCs w:val="32"/>
              </w:rPr>
              <w:t>》（GB2894-2008）9.4 </w:t>
            </w:r>
            <w:r>
              <w:rPr>
                <w:rFonts w:hint="eastAsia" w:ascii="仿宋_GB2312" w:hAnsi="仿宋_GB2312" w:eastAsia="仿宋_GB2312" w:cs="仿宋_GB2312"/>
                <w:color w:val="auto"/>
                <w:kern w:val="0"/>
                <w:sz w:val="32"/>
                <w:szCs w:val="32"/>
              </w:rPr>
              <w:t>标志牌应设置在明亮的环境中。</w:t>
            </w:r>
          </w:p>
          <w:p w14:paraId="7AF90D8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"http://www.360kuai.com/pc/9a2d60a72408066c7?cota=4&amp;kuai_so=1&amp;tj_url=so_rec&amp;sign=360_7bc3b157"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
                <w:bCs/>
                <w:color w:val="auto"/>
                <w:kern w:val="0"/>
                <w:sz w:val="32"/>
                <w:szCs w:val="32"/>
              </w:rPr>
              <w:t>安全标志及其使用导则</w:t>
            </w:r>
            <w:r>
              <w:rPr>
                <w:rFonts w:hint="eastAsia" w:ascii="仿宋_GB2312" w:hAnsi="仿宋_GB2312" w:eastAsia="仿宋_GB2312" w:cs="仿宋_GB2312"/>
                <w:b/>
                <w:bCs/>
                <w:color w:val="auto"/>
                <w:kern w:val="0"/>
                <w:sz w:val="32"/>
                <w:szCs w:val="32"/>
              </w:rPr>
              <w:fldChar w:fldCharType="end"/>
            </w:r>
            <w:r>
              <w:rPr>
                <w:rFonts w:hint="eastAsia" w:ascii="仿宋_GB2312" w:hAnsi="仿宋_GB2312" w:eastAsia="仿宋_GB2312" w:cs="仿宋_GB2312"/>
                <w:b/>
                <w:bCs/>
                <w:color w:val="auto"/>
                <w:kern w:val="0"/>
                <w:sz w:val="32"/>
                <w:szCs w:val="32"/>
              </w:rPr>
              <w:t>》（GB2894-2008）9.5 </w:t>
            </w:r>
            <w:r>
              <w:rPr>
                <w:rFonts w:hint="eastAsia" w:ascii="仿宋_GB2312" w:hAnsi="仿宋_GB2312" w:eastAsia="仿宋_GB2312" w:cs="仿宋_GB2312"/>
                <w:color w:val="auto"/>
                <w:kern w:val="0"/>
                <w:sz w:val="32"/>
                <w:szCs w:val="32"/>
              </w:rPr>
              <w:t>多个标志牌在一起设置时，应按警告、禁止、指令、提示类型的顺序，先左后右、先上后下地排列。</w:t>
            </w:r>
          </w:p>
          <w:p w14:paraId="3512BBA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"http://www.360kuai.com/pc/9a2d60a72408066c7?cota=4&amp;kuai_so=1&amp;tj_url=so_rec&amp;sign=360_7bc3b157" \t "_blank"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
                <w:bCs/>
                <w:color w:val="auto"/>
                <w:kern w:val="0"/>
                <w:sz w:val="32"/>
                <w:szCs w:val="32"/>
              </w:rPr>
              <w:t>安全标志及其使用导则</w:t>
            </w:r>
            <w:r>
              <w:rPr>
                <w:rFonts w:hint="eastAsia" w:ascii="仿宋_GB2312" w:hAnsi="仿宋_GB2312" w:eastAsia="仿宋_GB2312" w:cs="仿宋_GB2312"/>
                <w:b/>
                <w:bCs/>
                <w:color w:val="auto"/>
                <w:kern w:val="0"/>
                <w:sz w:val="32"/>
                <w:szCs w:val="32"/>
              </w:rPr>
              <w:fldChar w:fldCharType="end"/>
            </w:r>
            <w:r>
              <w:rPr>
                <w:rFonts w:hint="eastAsia" w:ascii="仿宋_GB2312" w:hAnsi="仿宋_GB2312" w:eastAsia="仿宋_GB2312" w:cs="仿宋_GB2312"/>
                <w:b/>
                <w:bCs/>
                <w:color w:val="auto"/>
                <w:kern w:val="0"/>
                <w:sz w:val="32"/>
                <w:szCs w:val="32"/>
              </w:rPr>
              <w:t>》（GB2894-2008）10.1</w:t>
            </w:r>
            <w:r>
              <w:rPr>
                <w:rFonts w:hint="eastAsia" w:ascii="仿宋_GB2312" w:hAnsi="仿宋_GB2312" w:eastAsia="仿宋_GB2312" w:cs="仿宋_GB2312"/>
                <w:color w:val="auto"/>
                <w:kern w:val="0"/>
                <w:sz w:val="32"/>
                <w:szCs w:val="32"/>
              </w:rPr>
              <w:t> 安全标志牌至少每半年检查一次，如发现有破损、变形、褪色等不符合要求时应及时修整或更换。</w:t>
            </w:r>
          </w:p>
          <w:p w14:paraId="1AAC901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《四川省安全生产条例》第二十八条</w:t>
            </w:r>
            <w:r>
              <w:rPr>
                <w:rFonts w:hint="eastAsia" w:ascii="仿宋_GB2312" w:hAnsi="仿宋_GB2312" w:eastAsia="仿宋_GB2312" w:cs="仿宋_GB2312"/>
                <w:color w:val="auto"/>
                <w:kern w:val="0"/>
                <w:sz w:val="32"/>
                <w:szCs w:val="32"/>
              </w:rPr>
              <w:t>生产经营单位应当在具有较大危险因素的生产经营场所、设施、设备及其四周，设置符合国家标准或者行业标准的明显的安全警示标志。</w:t>
            </w:r>
          </w:p>
        </w:tc>
        <w:tc>
          <w:tcPr>
            <w:tcW w:w="3899" w:type="dxa"/>
            <w:vAlign w:val="center"/>
          </w:tcPr>
          <w:p w14:paraId="3DE0773A">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3D9C97F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（2）现场警示标识情况；</w:t>
            </w:r>
          </w:p>
          <w:p w14:paraId="3E431C2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6BD5D24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29BF16E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5139FF9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（6）《证人证言》；</w:t>
            </w:r>
          </w:p>
          <w:p w14:paraId="26F3940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p w14:paraId="5AF34476">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4F6E4970">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第九十九条第一项</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7D2D6E7">
            <w:pPr>
              <w:widowControl/>
              <w:adjustRightInd w:val="0"/>
              <w:snapToGri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（一）未在有较大危险因素的生产经营场所和有关设施、设备上设置明显的安全警示标志的；</w:t>
            </w:r>
          </w:p>
          <w:p w14:paraId="1A59DC0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《工贸企业有限空间作业安全管理与监督暂行规定》第二十八条</w:t>
            </w:r>
            <w:r>
              <w:rPr>
                <w:rFonts w:hint="eastAsia" w:ascii="仿宋_GB2312" w:hAnsi="仿宋_GB2312" w:eastAsia="仿宋_GB2312" w:cs="仿宋_GB2312"/>
                <w:color w:val="auto"/>
                <w:kern w:val="0"/>
                <w:sz w:val="32"/>
                <w:szCs w:val="32"/>
              </w:rPr>
              <w:t>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w:t>
            </w:r>
          </w:p>
          <w:p w14:paraId="1E9CB2A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（一）未在有限空间作业场所设置明显的安全警示标志的；......</w:t>
            </w:r>
          </w:p>
          <w:p w14:paraId="6B1CD9E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《四川省安全生产条例》第六十七条</w:t>
            </w:r>
            <w:r>
              <w:rPr>
                <w:rFonts w:hint="eastAsia" w:ascii="仿宋_GB2312" w:hAnsi="仿宋_GB2312" w:eastAsia="仿宋_GB2312" w:cs="仿宋_GB2312"/>
                <w:color w:val="auto"/>
                <w:kern w:val="0"/>
                <w:sz w:val="32"/>
                <w:szCs w:val="32"/>
              </w:rPr>
              <w:t>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51" w:type="dxa"/>
            <w:vAlign w:val="center"/>
          </w:tcPr>
          <w:p w14:paraId="6C07358A">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47C4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14:paraId="480EE80E">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p>
        </w:tc>
        <w:tc>
          <w:tcPr>
            <w:tcW w:w="950" w:type="dxa"/>
            <w:vAlign w:val="center"/>
          </w:tcPr>
          <w:p w14:paraId="137A968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作业审批制度的落实情况</w:t>
            </w:r>
          </w:p>
        </w:tc>
        <w:tc>
          <w:tcPr>
            <w:tcW w:w="951" w:type="dxa"/>
            <w:vAlign w:val="center"/>
          </w:tcPr>
          <w:p w14:paraId="6B4098E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制定有限空间作业方案并经审核、批准（重大隐患）</w:t>
            </w:r>
          </w:p>
        </w:tc>
        <w:tc>
          <w:tcPr>
            <w:tcW w:w="3899" w:type="dxa"/>
            <w:vAlign w:val="center"/>
          </w:tcPr>
          <w:p w14:paraId="1552B4CA">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4D55AB5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《工贸企业有限空间作业安全管理与监督暂行规定》第八条</w:t>
            </w:r>
            <w:r>
              <w:rPr>
                <w:rFonts w:hint="eastAsia" w:ascii="仿宋_GB2312" w:hAnsi="仿宋_GB2312" w:eastAsia="仿宋_GB2312" w:cs="仿宋_GB2312"/>
                <w:color w:val="auto"/>
                <w:kern w:val="0"/>
                <w:sz w:val="32"/>
                <w:szCs w:val="32"/>
              </w:rPr>
              <w:t>工贸企业实施有限空间作业前，应当对作业环境进行评估，分析存在的危险有害因素，提出消除、控制危害的措施，制定有限空间作业方案，并经本企业安全生产管理人员审核，负责人批准。</w:t>
            </w:r>
          </w:p>
          <w:p w14:paraId="3B7F1A8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《工贸行业重大生产安全事故隐患判定标准（2017版）》</w:t>
            </w:r>
            <w:r>
              <w:rPr>
                <w:rFonts w:hint="eastAsia" w:ascii="仿宋_GB2312" w:hAnsi="仿宋_GB2312" w:eastAsia="仿宋_GB2312" w:cs="仿宋_GB2312"/>
                <w:color w:val="auto"/>
                <w:kern w:val="0"/>
                <w:sz w:val="32"/>
                <w:szCs w:val="32"/>
              </w:rPr>
              <w:t>一、专项类重大事故隐患（三）有限空间作业相关的行业领域。......</w:t>
            </w:r>
          </w:p>
          <w:p w14:paraId="0E50F40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2、未落实作业审批制度，擅自进入有限空间作业。</w:t>
            </w:r>
          </w:p>
          <w:p w14:paraId="31DA345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《化工和危险化学品生产经营单位重大生产安全事故隐患判定标准（试行）》十八</w:t>
            </w:r>
            <w:r>
              <w:rPr>
                <w:rFonts w:hint="eastAsia" w:ascii="仿宋_GB2312" w:hAnsi="仿宋_GB2312" w:eastAsia="仿宋_GB2312" w:cs="仿宋_GB2312"/>
                <w:color w:val="auto"/>
                <w:kern w:val="0"/>
                <w:sz w:val="32"/>
                <w:szCs w:val="32"/>
              </w:rPr>
              <w:t>未按照国家标准制定动火、进入受限空间等特殊作业管理制度，或者制度未有效执行。</w:t>
            </w:r>
          </w:p>
          <w:p w14:paraId="410D0DE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《化学品生产单位特殊作业安全规范》（GB30871-2014）4.1</w:t>
            </w:r>
            <w:r>
              <w:rPr>
                <w:rFonts w:hint="eastAsia" w:ascii="仿宋_GB2312" w:hAnsi="仿宋_GB2312" w:eastAsia="仿宋_GB2312" w:cs="仿宋_GB2312"/>
                <w:color w:val="auto"/>
                <w:kern w:val="0"/>
                <w:sz w:val="32"/>
                <w:szCs w:val="32"/>
              </w:rPr>
              <w:t>作业前,作业单位和生产单位应对作业现场和作业过程中可能存在的危险、有害因素进行辨识,制定相应的安全措施。</w:t>
            </w:r>
          </w:p>
          <w:p w14:paraId="24D6681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《化学品生产单位特殊作业安全规范》（GB30871-2014）4.6</w:t>
            </w:r>
            <w:r>
              <w:rPr>
                <w:rFonts w:hint="eastAsia" w:ascii="仿宋_GB2312" w:hAnsi="仿宋_GB2312" w:eastAsia="仿宋_GB2312" w:cs="仿宋_GB2312"/>
                <w:color w:val="auto"/>
                <w:kern w:val="0"/>
                <w:sz w:val="32"/>
                <w:szCs w:val="32"/>
              </w:rPr>
              <w:t>作业前,作业单位应办理作业审批手续,并有相关责任人签名确认。</w:t>
            </w:r>
          </w:p>
          <w:p w14:paraId="75585BFD">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同一作业涉及动火、进入受限空间、盲板抽堵、高处作业、吊装、临时用电、动土、断路中的两种或两种以上时,除应同时执行相应的作业要求外,还应同时办理相应的作业审批手续。</w:t>
            </w:r>
          </w:p>
          <w:p w14:paraId="01859EF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作业时审批手续应齐全、安全措施应全部落实、作业环境应符合安全要求。作业审批手续的相关内容参见附录A 和附录B。</w:t>
            </w:r>
          </w:p>
          <w:p w14:paraId="3781154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《四川省安全生产条例》第十五条</w:t>
            </w:r>
            <w:r>
              <w:rPr>
                <w:rFonts w:hint="eastAsia" w:ascii="仿宋_GB2312" w:hAnsi="仿宋_GB2312" w:eastAsia="仿宋_GB2312" w:cs="仿宋_GB2312"/>
                <w:color w:val="auto"/>
                <w:kern w:val="0"/>
                <w:sz w:val="32"/>
                <w:szCs w:val="32"/>
              </w:rPr>
              <w:t>生产经营单位应当积极采用先进的工艺装备，利用有效的管理技术和手段，加强生产经营活动过程的监测监控，及时制止不安全行为和消除安全隐患，确保生产经营活动安全。</w:t>
            </w:r>
          </w:p>
        </w:tc>
        <w:tc>
          <w:tcPr>
            <w:tcW w:w="3899" w:type="dxa"/>
            <w:vAlign w:val="center"/>
          </w:tcPr>
          <w:p w14:paraId="0FC268D8">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667EADA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（2）有限空间作业审批手续；</w:t>
            </w:r>
          </w:p>
          <w:p w14:paraId="5584FC4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（3）作业方案；</w:t>
            </w:r>
          </w:p>
          <w:p w14:paraId="0E6C324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（4）现场图片或影像资料；</w:t>
            </w:r>
          </w:p>
          <w:p w14:paraId="7A7904A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（5）《现场检查记录》《责令限期整改指令书》《现场处理措施决定书》等相关执法文书；</w:t>
            </w:r>
          </w:p>
          <w:p w14:paraId="2B54911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40EE1DD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（7）《证人证言》；</w:t>
            </w:r>
          </w:p>
          <w:p w14:paraId="32B1301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p w14:paraId="78A23B51">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6B76F4A4">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FBE436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《工贸企业有限空间作业安全管理与监督暂行规定》第三十条</w:t>
            </w:r>
            <w:r>
              <w:rPr>
                <w:rFonts w:hint="eastAsia" w:ascii="仿宋_GB2312" w:hAnsi="仿宋_GB2312" w:eastAsia="仿宋_GB2312" w:cs="仿宋_GB2312"/>
                <w:color w:val="auto"/>
                <w:kern w:val="0"/>
                <w:sz w:val="32"/>
                <w:szCs w:val="32"/>
              </w:rPr>
              <w:t>工贸企业有下列情形之一的，由县级以上安全生产监督管理部门责令限期改正，可以处3万元以下的罚款，对其直接负责的主管人员和其他直接责任人员处1万元以下的罚款：......</w:t>
            </w:r>
          </w:p>
          <w:p w14:paraId="0C552B4D">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（二）未按照本规定对有限空间作业制定作业方案或者方案未经审批擅自作业的；......</w:t>
            </w:r>
          </w:p>
          <w:p w14:paraId="61FBDA7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14:paraId="3723C57E">
            <w:pPr>
              <w:widowControl/>
              <w:adjustRightInd w:val="0"/>
              <w:snapToGrid w:val="0"/>
              <w:ind w:firstLine="640" w:firstLineChars="200"/>
              <w:rPr>
                <w:rFonts w:hint="eastAsia" w:ascii="仿宋_GB2312" w:hAnsi="仿宋_GB2312" w:eastAsia="仿宋_GB2312" w:cs="仿宋_GB2312"/>
                <w:color w:val="auto"/>
                <w:kern w:val="0"/>
                <w:sz w:val="32"/>
                <w:szCs w:val="32"/>
              </w:rPr>
            </w:pPr>
          </w:p>
          <w:p w14:paraId="09E7DB2A">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669BEC02">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23AF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13" w:hRule="atLeast"/>
          <w:jc w:val="center"/>
        </w:trPr>
        <w:tc>
          <w:tcPr>
            <w:tcW w:w="616" w:type="dxa"/>
            <w:vAlign w:val="center"/>
          </w:tcPr>
          <w:p w14:paraId="2A3EEAE6">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p>
        </w:tc>
        <w:tc>
          <w:tcPr>
            <w:tcW w:w="950" w:type="dxa"/>
            <w:vAlign w:val="center"/>
          </w:tcPr>
          <w:p w14:paraId="350CAC2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作业现场安全管理情况</w:t>
            </w:r>
          </w:p>
        </w:tc>
        <w:tc>
          <w:tcPr>
            <w:tcW w:w="951" w:type="dxa"/>
            <w:vAlign w:val="center"/>
          </w:tcPr>
          <w:p w14:paraId="38CCD36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危险有害因素检测或者监测和现场专人监护（重大隐患）</w:t>
            </w:r>
          </w:p>
        </w:tc>
        <w:tc>
          <w:tcPr>
            <w:tcW w:w="3899" w:type="dxa"/>
            <w:vAlign w:val="center"/>
          </w:tcPr>
          <w:p w14:paraId="154CCA2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第四十三条</w:t>
            </w:r>
            <w:r>
              <w:rPr>
                <w:rFonts w:hint="eastAsia" w:ascii="仿宋_GB2312" w:hAnsi="仿宋_GB2312" w:eastAsia="仿宋_GB2312" w:cs="仿宋_GB2312"/>
                <w:color w:val="auto"/>
                <w:kern w:val="0"/>
                <w:sz w:val="32"/>
                <w:szCs w:val="32"/>
              </w:rPr>
              <w:t>生产经营单位进行爆破、吊装、动火、临时用电以及国务院应急管理部门会同国务院有关部门规定的其他危险作业，应当安排专门人员进行现场安全管理，确保操作规程的遵守和安全措施的落实。</w:t>
            </w:r>
          </w:p>
          <w:p w14:paraId="4F35729C">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《工贸企业有限空间作业安全管理与监督暂行规定》第九条</w:t>
            </w:r>
            <w:r>
              <w:rPr>
                <w:rFonts w:hint="eastAsia" w:ascii="仿宋_GB2312" w:hAnsi="仿宋_GB2312" w:eastAsia="仿宋_GB2312" w:cs="仿宋_GB2312"/>
                <w:color w:val="auto"/>
                <w:kern w:val="0"/>
                <w:sz w:val="32"/>
                <w:szCs w:val="32"/>
              </w:rPr>
              <w:t>工贸企业应当按照有限空间作业方案，明确作业现场负责人、监护人员、作业人员及其安全职责。</w:t>
            </w:r>
          </w:p>
          <w:p w14:paraId="0B9BA36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《工贸企业有限空间作业安全管理与监督暂行规定》第十五条</w:t>
            </w:r>
            <w:r>
              <w:rPr>
                <w:rFonts w:hint="eastAsia" w:ascii="仿宋_GB2312" w:hAnsi="仿宋_GB2312" w:eastAsia="仿宋_GB2312" w:cs="仿宋_GB2312"/>
                <w:color w:val="auto"/>
                <w:kern w:val="0"/>
                <w:sz w:val="32"/>
                <w:szCs w:val="32"/>
              </w:rPr>
              <w:t>在有限空间作业过程中，工贸企业应当采取通风措施，保持空气流通，禁止采用纯氧通风换气。</w:t>
            </w:r>
          </w:p>
          <w:p w14:paraId="1BD40BD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发现通风设备停止运转、有限空间内氧含量浓度低于或者有毒有害气体浓度高于国家标准或者行业标准规定的限值时，工贸企业必须立即停止有限空间作业，清点作业人员，撤离作业现场。</w:t>
            </w:r>
          </w:p>
          <w:p w14:paraId="0CF7079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《工贸企业有限空间作业安全管理与监督暂行规定》第十六条</w:t>
            </w:r>
            <w:r>
              <w:rPr>
                <w:rFonts w:hint="eastAsia" w:ascii="仿宋_GB2312" w:hAnsi="仿宋_GB2312" w:eastAsia="仿宋_GB2312" w:cs="仿宋_GB2312"/>
                <w:color w:val="auto"/>
                <w:kern w:val="0"/>
                <w:sz w:val="32"/>
                <w:szCs w:val="32"/>
              </w:rPr>
              <w:t>在有限空间作业过程中，工贸企业应当对作业场所中的危险有害因素进行定时检测或者连续监测。</w:t>
            </w:r>
          </w:p>
          <w:p w14:paraId="10D5B8F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作业中断超过30分钟，作业人员再次进入有限空间作业前，应当重新通风、检测合格后方可进入。</w:t>
            </w:r>
          </w:p>
          <w:p w14:paraId="2E3446D0">
            <w:pPr>
              <w:pStyle w:val="2"/>
              <w:ind w:firstLine="361"/>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第十九条工贸企业有限空间作业还应当符合下列要求：……</w:t>
            </w:r>
          </w:p>
          <w:p w14:paraId="3D209D1E">
            <w:pPr>
              <w:pStyle w:val="2"/>
              <w:ind w:firstLine="0" w:firstLineChars="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（五）监护人员不得离开作业现场，并与作业人员保持联系；……</w:t>
            </w:r>
          </w:p>
          <w:p w14:paraId="288DE3D0">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《化学品生产单位特殊作业安全规范》（GB30871-2014）6.7</w:t>
            </w:r>
            <w:r>
              <w:rPr>
                <w:rFonts w:hint="eastAsia" w:ascii="仿宋_GB2312" w:hAnsi="仿宋_GB2312" w:eastAsia="仿宋_GB2312" w:cs="仿宋_GB2312"/>
                <w:color w:val="auto"/>
                <w:kern w:val="0"/>
                <w:sz w:val="32"/>
                <w:szCs w:val="32"/>
              </w:rPr>
              <w:t>作业监护要求如下:</w:t>
            </w:r>
          </w:p>
          <w:p w14:paraId="12E9574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 在受限空间外应设有专人监护,作业期间监护人员不应离开;</w:t>
            </w:r>
          </w:p>
          <w:p w14:paraId="32A42A8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 在风险较大的受限空间作业时,应增设监护人员,并随时与受限空间内作业人员保持联络。</w:t>
            </w:r>
          </w:p>
          <w:p w14:paraId="658F697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《四川省安全生产条例》第三十五条</w:t>
            </w:r>
            <w:r>
              <w:rPr>
                <w:rFonts w:hint="eastAsia" w:ascii="仿宋_GB2312" w:hAnsi="仿宋_GB2312" w:eastAsia="仿宋_GB2312" w:cs="仿宋_GB2312"/>
                <w:color w:val="auto"/>
                <w:kern w:val="0"/>
                <w:sz w:val="32"/>
                <w:szCs w:val="32"/>
              </w:rPr>
              <w:t>从事起重、爆破、登高架设、基坑开挖、边坡砌筑、钻探等危险作业应当事先制定安全措施，并由生产经营单位安排专人现场监护，确保遵守操作安全规程和落实安全措施。</w:t>
            </w:r>
          </w:p>
          <w:p w14:paraId="7FC5823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危险作业目录由省安全生产监督管理部门确定并发布。</w:t>
            </w:r>
          </w:p>
        </w:tc>
        <w:tc>
          <w:tcPr>
            <w:tcW w:w="3899" w:type="dxa"/>
            <w:vAlign w:val="center"/>
          </w:tcPr>
          <w:p w14:paraId="40E8353D">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157F1E6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（2）有限空间作业时环境监测数据；</w:t>
            </w:r>
          </w:p>
          <w:p w14:paraId="181A6E5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（3）作业人、监护人、审批人签字情况；</w:t>
            </w:r>
          </w:p>
          <w:p w14:paraId="5549FE7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（4）现场图片或影像资料；</w:t>
            </w:r>
          </w:p>
          <w:p w14:paraId="6FBC539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7BBE096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07E81D9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（7）《证人证言》；</w:t>
            </w:r>
          </w:p>
          <w:p w14:paraId="1B621ED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p w14:paraId="2CC852DE">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69A8A36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《中华人民共和国安全生产法》第一百零一条</w:t>
            </w:r>
            <w:r>
              <w:rPr>
                <w:rFonts w:hint="eastAsia" w:ascii="仿宋_GB2312" w:hAnsi="仿宋_GB2312" w:eastAsia="仿宋_GB2312" w:cs="仿宋_GB2312"/>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0F994BD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（三）进行爆破、吊装、动火、临时用电以及国务院应急管理部门会同国务院有关部门规定的其他危险作业，未安排专门人员进行现场安全管理的；</w:t>
            </w:r>
          </w:p>
          <w:p w14:paraId="4D25376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《工贸企业有限空间作业安全管理与监督暂行规定》第三十条</w:t>
            </w:r>
            <w:r>
              <w:rPr>
                <w:rFonts w:hint="eastAsia" w:ascii="仿宋_GB2312" w:hAnsi="仿宋_GB2312" w:eastAsia="仿宋_GB2312" w:cs="仿宋_GB2312"/>
                <w:color w:val="auto"/>
                <w:kern w:val="0"/>
                <w:sz w:val="32"/>
                <w:szCs w:val="32"/>
              </w:rPr>
              <w:t>工贸企业有下列情形之一的，由县级以上安全生产监督管理部门责令限期改正，可以处3万元以下的罚款，对其直接负责的主管人员和其他直接责任人员处1万元以下的罚款：......</w:t>
            </w:r>
          </w:p>
          <w:p w14:paraId="4CE0DAE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（三）有限空间作业未按照本规定进行危险有害因素检测或者监测，并实行专人监护作业的。</w:t>
            </w:r>
          </w:p>
          <w:p w14:paraId="5522AAF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《四川省安全生产条例》第七十条</w:t>
            </w:r>
            <w:r>
              <w:rPr>
                <w:rFonts w:hint="eastAsia" w:ascii="仿宋_GB2312" w:hAnsi="仿宋_GB2312" w:eastAsia="仿宋_GB2312" w:cs="仿宋_GB2312"/>
                <w:color w:val="auto"/>
                <w:kern w:val="0"/>
                <w:sz w:val="32"/>
                <w:szCs w:val="32"/>
              </w:rPr>
              <w:t>生产经营单位违反本条例第二十七条、第二十九条第一款、第三十五条规定的，责令限期改正，可并处2万元以上10万元以下的罚款；逾期未改正的，责令停产停业整顿。</w:t>
            </w:r>
          </w:p>
          <w:p w14:paraId="138BCBD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4257A2C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C3ACCFC">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68A8EBB4">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3949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21" w:hRule="atLeast"/>
          <w:jc w:val="center"/>
        </w:trPr>
        <w:tc>
          <w:tcPr>
            <w:tcW w:w="616" w:type="dxa"/>
            <w:vAlign w:val="center"/>
          </w:tcPr>
          <w:p w14:paraId="25689805">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p>
        </w:tc>
        <w:tc>
          <w:tcPr>
            <w:tcW w:w="950" w:type="dxa"/>
            <w:vAlign w:val="center"/>
          </w:tcPr>
          <w:p w14:paraId="206422A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有限空间作业安全管理规章制度和操作规程情况</w:t>
            </w:r>
          </w:p>
        </w:tc>
        <w:tc>
          <w:tcPr>
            <w:tcW w:w="951" w:type="dxa"/>
            <w:vAlign w:val="center"/>
          </w:tcPr>
          <w:p w14:paraId="5DFED19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是否建立有限空间作业安全管理规章制度和操作规程</w:t>
            </w:r>
          </w:p>
        </w:tc>
        <w:tc>
          <w:tcPr>
            <w:tcW w:w="3899" w:type="dxa"/>
            <w:vAlign w:val="center"/>
          </w:tcPr>
          <w:p w14:paraId="29E55B36">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第二十一条第二项</w:t>
            </w:r>
            <w:r>
              <w:rPr>
                <w:rFonts w:hint="eastAsia" w:ascii="仿宋_GB2312" w:hAnsi="仿宋_GB2312" w:eastAsia="仿宋_GB2312" w:cs="仿宋_GB2312"/>
                <w:color w:val="auto"/>
                <w:kern w:val="0"/>
                <w:sz w:val="32"/>
                <w:szCs w:val="32"/>
              </w:rPr>
              <w:t>生产经营单位的主要负责人对本单位安全生产工作负有下列职责：</w:t>
            </w:r>
          </w:p>
          <w:p w14:paraId="080BABEC">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（二）组织制定并实施本单位安全生产规章制度和操作规程；</w:t>
            </w:r>
          </w:p>
          <w:p w14:paraId="576F24E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《工贸企业有限空间作业安全管理与监督暂行规定》第五条</w:t>
            </w:r>
            <w:r>
              <w:rPr>
                <w:rFonts w:hint="eastAsia" w:ascii="仿宋_GB2312" w:hAnsi="仿宋_GB2312" w:eastAsia="仿宋_GB2312" w:cs="仿宋_GB2312"/>
                <w:color w:val="auto"/>
                <w:kern w:val="0"/>
                <w:sz w:val="32"/>
                <w:szCs w:val="32"/>
              </w:rPr>
              <w:t>存在有限空间作业的工贸企业应当建立下列安全生产制度和规程：</w:t>
            </w:r>
          </w:p>
          <w:p w14:paraId="1DD754D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（一）有限空间作业安全责任制度；</w:t>
            </w:r>
          </w:p>
          <w:p w14:paraId="12EEB6C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（二）有限空间作业审批制度；</w:t>
            </w:r>
          </w:p>
          <w:p w14:paraId="340EA6D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（三）有限空间作业现场安全管理制度；</w:t>
            </w:r>
          </w:p>
          <w:p w14:paraId="29181EE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（四）有限空间作业现场负责人、监护人员、作业人员、应急救援人员安全培训教育制度；</w:t>
            </w:r>
          </w:p>
          <w:p w14:paraId="7B0F3B5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（五）有限空间作业应急管理制度；</w:t>
            </w:r>
          </w:p>
          <w:p w14:paraId="0E1D8767">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（六）有限空间作业安全操作规程。</w:t>
            </w:r>
          </w:p>
          <w:p w14:paraId="12DF036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《四川省安全生产条例》第十四条</w:t>
            </w:r>
            <w:r>
              <w:rPr>
                <w:rFonts w:hint="eastAsia" w:ascii="仿宋_GB2312" w:hAnsi="仿宋_GB2312" w:eastAsia="仿宋_GB2312" w:cs="仿宋_GB2312"/>
                <w:color w:val="auto"/>
                <w:kern w:val="0"/>
                <w:sz w:val="32"/>
                <w:szCs w:val="32"/>
              </w:rPr>
              <w:t xml:space="preserve">生产经营单位主要负责人应当履行下列安全生产职责：...... </w:t>
            </w:r>
          </w:p>
          <w:p w14:paraId="5508588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（二）建立健全和落实本单位安全生产责任制、安全生产规章制度及安全技术操作规程；...... </w:t>
            </w:r>
          </w:p>
        </w:tc>
        <w:tc>
          <w:tcPr>
            <w:tcW w:w="3899" w:type="dxa"/>
            <w:vAlign w:val="center"/>
          </w:tcPr>
          <w:p w14:paraId="14939954">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66FF64C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（2）有限空间作业安全管理制度和规程制定情况；</w:t>
            </w:r>
          </w:p>
          <w:p w14:paraId="171D87F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6F8D511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7A49815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2B09D1A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（6）《证人证言》；</w:t>
            </w:r>
          </w:p>
          <w:p w14:paraId="0CE60C3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p w14:paraId="4AD22571">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0B1F36F0">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第九十四条</w:t>
            </w:r>
            <w:r>
              <w:rPr>
                <w:rFonts w:hint="eastAsia" w:ascii="仿宋_GB2312" w:hAnsi="仿宋_GB2312" w:eastAsia="仿宋_GB2312" w:cs="仿宋_GB2312"/>
                <w:color w:val="auto"/>
                <w:kern w:val="0"/>
                <w:sz w:val="32"/>
                <w:szCs w:val="32"/>
              </w:rPr>
              <w:t>生产经营单位的主要负责人未履行本法规定的安全生产管理职责的，责令限期改正，处二万元以上五万元以下的罚款；逾期未改正的，处五万元以上十万元以下的罚款，责令生产经营单位停产停业整顿。</w:t>
            </w:r>
          </w:p>
          <w:p w14:paraId="750F3235">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生产经营单位的主要负责人有前款违法行为，导致发生生产安全事故的，给予撤职处分；构成犯罪的，依照刑法有关规定追究刑事责任。</w:t>
            </w:r>
          </w:p>
          <w:p w14:paraId="716B6DEE">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33DBE27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《四川省安全生产条例》第六十六条</w:t>
            </w:r>
            <w:r>
              <w:rPr>
                <w:rFonts w:hint="eastAsia" w:ascii="仿宋_GB2312" w:hAnsi="仿宋_GB2312" w:eastAsia="仿宋_GB2312" w:cs="仿宋_GB2312"/>
                <w:color w:val="auto"/>
                <w:kern w:val="0"/>
                <w:sz w:val="32"/>
                <w:szCs w:val="32"/>
              </w:rPr>
              <w:t>生产经营单位主要负责人违反本条例第十四条规定的，责令限期改正；逾期未改正的，责令生产经营单位停产停业整顿。</w:t>
            </w:r>
          </w:p>
        </w:tc>
        <w:tc>
          <w:tcPr>
            <w:tcW w:w="951" w:type="dxa"/>
            <w:vAlign w:val="center"/>
          </w:tcPr>
          <w:p w14:paraId="7022F3C4">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2C97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14:paraId="3586DA7C">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w:t>
            </w:r>
          </w:p>
        </w:tc>
        <w:tc>
          <w:tcPr>
            <w:tcW w:w="950" w:type="dxa"/>
            <w:vAlign w:val="center"/>
          </w:tcPr>
          <w:p w14:paraId="44C00ED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有限空间作业开展培训并记录情况</w:t>
            </w:r>
          </w:p>
        </w:tc>
        <w:tc>
          <w:tcPr>
            <w:tcW w:w="951" w:type="dxa"/>
            <w:vAlign w:val="center"/>
          </w:tcPr>
          <w:p w14:paraId="51974B8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是否对有限空间作业开展培训并记录</w:t>
            </w:r>
          </w:p>
        </w:tc>
        <w:tc>
          <w:tcPr>
            <w:tcW w:w="3899" w:type="dxa"/>
            <w:vAlign w:val="center"/>
          </w:tcPr>
          <w:p w14:paraId="42E61737">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第二十八条</w:t>
            </w:r>
            <w:r>
              <w:rPr>
                <w:rFonts w:hint="eastAsia" w:ascii="仿宋_GB2312" w:hAnsi="仿宋_GB2312" w:eastAsia="仿宋_GB2312" w:cs="仿宋_GB2312"/>
                <w:color w:val="auto"/>
                <w:kern w:val="0"/>
                <w:sz w:val="32"/>
                <w:szCs w:val="32"/>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47270B39">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281E1825">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14:paraId="5F1B3A40">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生产经营单位应当建立安全生产教育和培训档案，如实记录安全生产教育和培训的时间、内容、参加人员以及考核结果等情况。</w:t>
            </w:r>
          </w:p>
          <w:p w14:paraId="226BE36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《工贸企业有限空间作业安全管理与监督暂行规定》第六条</w:t>
            </w:r>
            <w:r>
              <w:rPr>
                <w:rFonts w:hint="eastAsia" w:ascii="仿宋_GB2312" w:hAnsi="仿宋_GB2312" w:eastAsia="仿宋_GB2312" w:cs="仿宋_GB2312"/>
                <w:color w:val="auto"/>
                <w:kern w:val="0"/>
                <w:sz w:val="32"/>
                <w:szCs w:val="32"/>
              </w:rPr>
              <w:t>工贸企业应当对从事有限空间作业的现场负责人、监护人员、作业人员、应急救援人员进行专项安全培训。专项安全培训应当包括下列内容:</w:t>
            </w:r>
          </w:p>
          <w:p w14:paraId="7DEE89B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（一）有限空间作业的危险有害因素和安全防范措施；</w:t>
            </w:r>
          </w:p>
          <w:p w14:paraId="7C86309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（二）有限空间作业的安全操作规程；</w:t>
            </w:r>
          </w:p>
          <w:p w14:paraId="154A0A6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（三）检测仪器、劳动防护用品的正确使用；</w:t>
            </w:r>
          </w:p>
          <w:p w14:paraId="4B05587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（四）紧急情况下的应急处置措施。</w:t>
            </w:r>
          </w:p>
          <w:p w14:paraId="379BCBF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安全培训应当有专门记录，并由参加培训的人员签字确认。</w:t>
            </w:r>
          </w:p>
          <w:p w14:paraId="463B2D3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《化学品生产单位特殊作业安全规范》（GB30871-2014）4.2</w:t>
            </w:r>
            <w:r>
              <w:rPr>
                <w:rFonts w:hint="eastAsia" w:ascii="仿宋_GB2312" w:hAnsi="仿宋_GB2312" w:eastAsia="仿宋_GB2312" w:cs="仿宋_GB2312"/>
                <w:color w:val="auto"/>
                <w:kern w:val="0"/>
                <w:sz w:val="32"/>
                <w:szCs w:val="32"/>
              </w:rPr>
              <w:t>作业前，应对参加作业的人员进行安全教育，主要内容如下：</w:t>
            </w:r>
          </w:p>
          <w:p w14:paraId="2A9D3C3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a）有关作业的安全规章制度；</w:t>
            </w:r>
          </w:p>
          <w:p w14:paraId="64FD4CA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b）作业现场和作业过程中可能存在的危险、有害因素及应采取的具体安全措施；</w:t>
            </w:r>
          </w:p>
          <w:p w14:paraId="0F085DA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c）作业过程中所使用的个体防护器具的使用方法及使用注意事项；</w:t>
            </w:r>
          </w:p>
          <w:p w14:paraId="193274D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d）事故的预防、避险、逃生、自救、互救等知识；</w:t>
            </w:r>
          </w:p>
          <w:p w14:paraId="6F5855C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e）相关事故案例和经验、教训。</w:t>
            </w:r>
          </w:p>
          <w:p w14:paraId="135855E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《四川省安全生产条例》第二十一条</w:t>
            </w:r>
            <w:r>
              <w:rPr>
                <w:rFonts w:hint="eastAsia" w:ascii="仿宋_GB2312" w:hAnsi="仿宋_GB2312" w:eastAsia="仿宋_GB2312" w:cs="仿宋_GB2312"/>
                <w:color w:val="auto"/>
                <w:kern w:val="0"/>
                <w:sz w:val="32"/>
                <w:szCs w:val="32"/>
              </w:rPr>
              <w:t>危险性较大的生产经营单位主要负责人和安全生产管理人员，应当依照国家和省的规定进行培训考核，取得统一的安全合格证书后，方可任职。......</w:t>
            </w:r>
          </w:p>
          <w:p w14:paraId="71B4972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生产经营单位应当依照国家和省的规定对从业人员进行安全生产教育和培训，建立规范的从业人员培训教育档案，未经教育培训合格的人员不得上岗作业。......</w:t>
            </w:r>
          </w:p>
        </w:tc>
        <w:tc>
          <w:tcPr>
            <w:tcW w:w="3899" w:type="dxa"/>
            <w:vAlign w:val="center"/>
          </w:tcPr>
          <w:p w14:paraId="286E0F4E">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56E3329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（2）有限空间培训记录，如制度培训、作业培训、应急救援培训等；</w:t>
            </w:r>
          </w:p>
          <w:p w14:paraId="46246E8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（3）培训签到表；</w:t>
            </w:r>
          </w:p>
          <w:p w14:paraId="7098B07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（4）培训计划和培训资料；</w:t>
            </w:r>
          </w:p>
          <w:p w14:paraId="7801290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1F4F240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26122D7D">
            <w:pPr>
              <w:widowControl/>
              <w:adjustRightInd w:val="0"/>
              <w:snapToGrid w:val="0"/>
              <w:rPr>
                <w:rFonts w:hint="eastAsia" w:ascii="仿宋_GB2312" w:hAnsi="仿宋_GB2312" w:eastAsia="仿宋_GB2312" w:cs="仿宋_GB2312"/>
                <w:color w:val="auto"/>
                <w:kern w:val="0"/>
                <w:sz w:val="32"/>
                <w:szCs w:val="32"/>
              </w:rPr>
            </w:pPr>
          </w:p>
          <w:p w14:paraId="52CB0FF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（7）企业相关人员任职文件、身份证明及其询问笔录；</w:t>
            </w:r>
          </w:p>
          <w:p w14:paraId="0C7B661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（8）《证人证言》；</w:t>
            </w:r>
          </w:p>
          <w:p w14:paraId="329F5DB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p w14:paraId="3F187274">
            <w:pPr>
              <w:widowControl/>
              <w:adjustRightInd w:val="0"/>
              <w:snapToGrid w:val="0"/>
              <w:rPr>
                <w:rFonts w:hint="eastAsia" w:ascii="仿宋_GB2312" w:hAnsi="仿宋_GB2312" w:eastAsia="仿宋_GB2312" w:cs="仿宋_GB2312"/>
                <w:color w:val="auto"/>
                <w:kern w:val="0"/>
                <w:sz w:val="32"/>
                <w:szCs w:val="32"/>
              </w:rPr>
            </w:pPr>
          </w:p>
        </w:tc>
        <w:tc>
          <w:tcPr>
            <w:tcW w:w="3899" w:type="dxa"/>
            <w:vAlign w:val="center"/>
          </w:tcPr>
          <w:p w14:paraId="79E84ADB">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第九十七条第三项、第四项</w:t>
            </w:r>
            <w:r>
              <w:rPr>
                <w:rFonts w:hint="eastAsia" w:ascii="仿宋_GB2312" w:hAnsi="仿宋_GB2312" w:eastAsia="仿宋_GB2312" w:cs="仿宋_GB2312"/>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3867966A">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（三）未按照规定对从业人员、被派遣劳动者、实习学生进行安全生产教育和培训，或者未按照规定如实告知有关的安全生产事项的；</w:t>
            </w:r>
          </w:p>
          <w:p w14:paraId="40A88543">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（四）未如实记录安全生产教育和培训情况的；</w:t>
            </w:r>
          </w:p>
          <w:p w14:paraId="636985F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《工贸企业有限空间作业安全管理与监督暂行规定》第二十九条</w:t>
            </w:r>
            <w:r>
              <w:rPr>
                <w:rFonts w:hint="eastAsia" w:ascii="仿宋_GB2312" w:hAnsi="仿宋_GB2312" w:eastAsia="仿宋_GB2312" w:cs="仿宋_GB2312"/>
                <w:color w:val="auto"/>
                <w:kern w:val="0"/>
                <w:sz w:val="32"/>
                <w:szCs w:val="32"/>
              </w:rPr>
              <w:t>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w:t>
            </w:r>
          </w:p>
          <w:p w14:paraId="7875970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（一）未按照本规定对有限空间的现场负责人、监护人员、作业人员和应急救援人员进行安全培训的；...... </w:t>
            </w:r>
          </w:p>
          <w:p w14:paraId="7D6DE31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《四川省安全生产条例》第六十九条</w:t>
            </w:r>
            <w:r>
              <w:rPr>
                <w:rFonts w:hint="eastAsia" w:ascii="仿宋_GB2312" w:hAnsi="仿宋_GB2312" w:eastAsia="仿宋_GB2312" w:cs="仿宋_GB2312"/>
                <w:color w:val="auto"/>
                <w:kern w:val="0"/>
                <w:sz w:val="32"/>
                <w:szCs w:val="32"/>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1" w:type="dxa"/>
            <w:vAlign w:val="center"/>
          </w:tcPr>
          <w:p w14:paraId="7619B0C7">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4859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6" w:type="dxa"/>
            <w:vAlign w:val="center"/>
          </w:tcPr>
          <w:p w14:paraId="0F1DD5AF">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w:t>
            </w:r>
          </w:p>
        </w:tc>
        <w:tc>
          <w:tcPr>
            <w:tcW w:w="950" w:type="dxa"/>
            <w:vAlign w:val="center"/>
          </w:tcPr>
          <w:p w14:paraId="03E815C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有限空间管理台账和辨识情况</w:t>
            </w:r>
          </w:p>
        </w:tc>
        <w:tc>
          <w:tcPr>
            <w:tcW w:w="951" w:type="dxa"/>
            <w:vAlign w:val="center"/>
          </w:tcPr>
          <w:p w14:paraId="2AAE673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是否建立有限空间管理台账，开展有针对性辨识（一点一档）</w:t>
            </w:r>
          </w:p>
        </w:tc>
        <w:tc>
          <w:tcPr>
            <w:tcW w:w="3899" w:type="dxa"/>
            <w:vAlign w:val="center"/>
          </w:tcPr>
          <w:p w14:paraId="35C6D166">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F0F370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《工贸企业有限空间作业安全管理与监督暂行规定》第七条</w:t>
            </w:r>
            <w:r>
              <w:rPr>
                <w:rFonts w:hint="eastAsia" w:ascii="仿宋_GB2312" w:hAnsi="仿宋_GB2312" w:eastAsia="仿宋_GB2312" w:cs="仿宋_GB2312"/>
                <w:color w:val="auto"/>
                <w:kern w:val="0"/>
                <w:sz w:val="32"/>
                <w:szCs w:val="32"/>
              </w:rPr>
              <w:t>工贸企业应当对本企业的有限空间进行辨识，确定有限空间的数量、位置以及危险有害因素等基本情况，建立有限空间管理台账，并及时更新。</w:t>
            </w:r>
          </w:p>
          <w:p w14:paraId="71D0977E">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 xml:space="preserve">《化学品生产单位特殊作业安全规范》（GB 30871-2014）4.1  </w:t>
            </w:r>
            <w:r>
              <w:rPr>
                <w:rFonts w:hint="eastAsia" w:ascii="仿宋_GB2312" w:hAnsi="仿宋_GB2312" w:eastAsia="仿宋_GB2312" w:cs="仿宋_GB2312"/>
                <w:color w:val="auto"/>
                <w:kern w:val="0"/>
                <w:sz w:val="32"/>
                <w:szCs w:val="32"/>
              </w:rPr>
              <w:t>作业前,作业单位和生产单位应对作业现场和作业过程中可能存在的危险、有害因素进行辨识，制定相应的安全措施。</w:t>
            </w:r>
          </w:p>
          <w:p w14:paraId="360E9F4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《四川省安全生产条例》第十五条</w:t>
            </w:r>
            <w:r>
              <w:rPr>
                <w:rFonts w:hint="eastAsia" w:ascii="仿宋_GB2312" w:hAnsi="仿宋_GB2312" w:eastAsia="仿宋_GB2312" w:cs="仿宋_GB2312"/>
                <w:color w:val="auto"/>
                <w:kern w:val="0"/>
                <w:sz w:val="32"/>
                <w:szCs w:val="32"/>
              </w:rPr>
              <w:t>生产经营单位应当积极采用先进的工艺装备，利用有效的管理技术和手段，加强生产经营活动过程的监测监控，及时制止不安全行为和消除安全隐患，确保生产经营活动安全。</w:t>
            </w:r>
          </w:p>
        </w:tc>
        <w:tc>
          <w:tcPr>
            <w:tcW w:w="3899" w:type="dxa"/>
            <w:vAlign w:val="center"/>
          </w:tcPr>
          <w:p w14:paraId="4D29D7C5">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14F1103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（2）有限空间辨识台账；</w:t>
            </w:r>
          </w:p>
          <w:p w14:paraId="259D46B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3343B78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092DFE0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68FBAC1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（6）《证人证言》；</w:t>
            </w:r>
          </w:p>
          <w:p w14:paraId="36F3D54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tc>
        <w:tc>
          <w:tcPr>
            <w:tcW w:w="3899" w:type="dxa"/>
            <w:vAlign w:val="center"/>
          </w:tcPr>
          <w:p w14:paraId="7B7BE2EC">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《中华人民共和国安全生产法》第一百零一条</w:t>
            </w:r>
            <w:r>
              <w:rPr>
                <w:rFonts w:hint="eastAsia" w:ascii="仿宋_GB2312" w:hAnsi="仿宋_GB2312" w:eastAsia="仿宋_GB2312" w:cs="仿宋_GB2312"/>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5E252B90">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（五）未建立事故隐患排查治理制度，或者重大事故隐患排查治理情况未按照规定报告的。</w:t>
            </w:r>
          </w:p>
          <w:p w14:paraId="6C496A9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《工贸企业有限空间作业安全管理与监督暂行规定》第三十条</w:t>
            </w:r>
            <w:r>
              <w:rPr>
                <w:rFonts w:hint="eastAsia" w:ascii="仿宋_GB2312" w:hAnsi="仿宋_GB2312" w:eastAsia="仿宋_GB2312" w:cs="仿宋_GB2312"/>
                <w:color w:val="auto"/>
                <w:kern w:val="0"/>
                <w:sz w:val="32"/>
                <w:szCs w:val="32"/>
              </w:rPr>
              <w:t xml:space="preserve">工贸企业有下列情形之一的，由县级以上安全生产监督管理部门责令限期改正，可以处3万元以下的罚款，对其直接负责的主管人员和其他直接责任人员处1万元以下的罚款：...... </w:t>
            </w:r>
          </w:p>
          <w:p w14:paraId="7E2BD7D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（一）未按照本规定对有限空间作业进行辨识、提出防范措施、建立有限空间管理台账的；...... </w:t>
            </w:r>
          </w:p>
          <w:p w14:paraId="5D6E9C60">
            <w:pPr>
              <w:widowControl/>
              <w:adjustRightInd w:val="0"/>
              <w:snapToGrid w:val="0"/>
              <w:ind w:firstLine="640" w:firstLineChars="200"/>
              <w:rPr>
                <w:rFonts w:hint="eastAsia" w:ascii="仿宋_GB2312" w:hAnsi="仿宋_GB2312" w:eastAsia="仿宋_GB2312" w:cs="仿宋_GB2312"/>
                <w:color w:val="auto"/>
                <w:kern w:val="0"/>
                <w:sz w:val="32"/>
                <w:szCs w:val="32"/>
              </w:rPr>
            </w:pPr>
          </w:p>
          <w:p w14:paraId="420AF64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51" w:type="dxa"/>
            <w:vAlign w:val="center"/>
          </w:tcPr>
          <w:p w14:paraId="13CF9BFC">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747A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14:paraId="641C7AFE">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w:t>
            </w:r>
          </w:p>
        </w:tc>
        <w:tc>
          <w:tcPr>
            <w:tcW w:w="950" w:type="dxa"/>
            <w:vAlign w:val="center"/>
          </w:tcPr>
          <w:p w14:paraId="41C0536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应急预案制定演练情况</w:t>
            </w:r>
          </w:p>
        </w:tc>
        <w:tc>
          <w:tcPr>
            <w:tcW w:w="951" w:type="dxa"/>
            <w:vAlign w:val="center"/>
          </w:tcPr>
          <w:p w14:paraId="7008610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是否编制有限空间应急预案，并进行演练和记录</w:t>
            </w:r>
          </w:p>
        </w:tc>
        <w:tc>
          <w:tcPr>
            <w:tcW w:w="3899" w:type="dxa"/>
            <w:vAlign w:val="center"/>
          </w:tcPr>
          <w:p w14:paraId="76792525">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第八十一条</w:t>
            </w:r>
            <w:r>
              <w:rPr>
                <w:rFonts w:hint="eastAsia" w:ascii="仿宋_GB2312" w:hAnsi="仿宋_GB2312" w:eastAsia="仿宋_GB2312" w:cs="仿宋_GB2312"/>
                <w:color w:val="auto"/>
                <w:kern w:val="0"/>
                <w:sz w:val="32"/>
                <w:szCs w:val="32"/>
              </w:rPr>
              <w:t>生产经营单位应当制定本单位生产安全事故应急救援预案，与所在地县级以上地方人民政府组织制定的生产安全事故应急救援预案相衔接，并定期组织演练。</w:t>
            </w:r>
          </w:p>
          <w:p w14:paraId="5234A99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rPr>
              <w:t>《工贸企业有限空间作业安全管理与监督暂行规定》第二十一条</w:t>
            </w:r>
            <w:r>
              <w:rPr>
                <w:rFonts w:hint="eastAsia" w:ascii="仿宋_GB2312" w:hAnsi="仿宋_GB2312" w:eastAsia="仿宋_GB2312" w:cs="仿宋_GB2312"/>
                <w:color w:val="auto"/>
                <w:kern w:val="0"/>
                <w:sz w:val="32"/>
                <w:szCs w:val="32"/>
              </w:rPr>
              <w:t>工贸企业应当根据本企业有限空间作业的特点，制定应急预案，并配备相关的呼吸器、防毒面罩、通讯设备、安全绳索等应急装备和器材。有限空间作业的现场负责人、监护人员、作业人员和应急救援人员应当掌握相关应急预案内容，定期进行演练，提高应急处置能力。</w:t>
            </w:r>
          </w:p>
          <w:p w14:paraId="18B89D3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《生产安全事故应急预案管理办法》第十二条</w:t>
            </w:r>
            <w:r>
              <w:rPr>
                <w:rFonts w:hint="eastAsia" w:ascii="仿宋_GB2312" w:hAnsi="仿宋_GB2312" w:eastAsia="仿宋_GB2312" w:cs="仿宋_GB2312"/>
                <w:color w:val="auto"/>
                <w:kern w:val="0"/>
                <w:sz w:val="32"/>
                <w:szCs w:val="32"/>
              </w:rPr>
              <w:t>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14:paraId="4BBF925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《生产安全事故应急预案管理办法》第三十三条第一款</w:t>
            </w:r>
            <w:r>
              <w:rPr>
                <w:rFonts w:hint="eastAsia" w:ascii="仿宋_GB2312" w:hAnsi="仿宋_GB2312" w:eastAsia="仿宋_GB2312" w:cs="仿宋_GB2312"/>
                <w:color w:val="auto"/>
                <w:kern w:val="0"/>
                <w:sz w:val="32"/>
                <w:szCs w:val="32"/>
              </w:rPr>
              <w:t>生产经营单位应当制定本单位的应急预案演练计划，根据本单位的事故风险特点，每年至少组织一次综合应急预案演练或者专项应急预案演练，每半年至少组织一次现场处置方案演练。</w:t>
            </w:r>
          </w:p>
          <w:p w14:paraId="2E0C05C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《四川省安全生产条例》第六十一条第一款</w:t>
            </w:r>
            <w:r>
              <w:rPr>
                <w:rFonts w:hint="eastAsia" w:ascii="仿宋_GB2312" w:hAnsi="仿宋_GB2312" w:eastAsia="仿宋_GB2312" w:cs="仿宋_GB2312"/>
                <w:color w:val="auto"/>
                <w:kern w:val="0"/>
                <w:sz w:val="32"/>
                <w:szCs w:val="32"/>
              </w:rPr>
              <w:t>生产经营单位应当根据危险源辨识、生产经营活动风险评估，制定本单位的事故应急救援预案，建立事故应急救援体系，落实应急救援措施并定期组织演练。</w:t>
            </w:r>
          </w:p>
        </w:tc>
        <w:tc>
          <w:tcPr>
            <w:tcW w:w="3899" w:type="dxa"/>
            <w:vAlign w:val="center"/>
          </w:tcPr>
          <w:p w14:paraId="73A7A1F4">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1D6D3B5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（2）是否有专项应急预案或针对性的处置方案；</w:t>
            </w:r>
          </w:p>
          <w:p w14:paraId="5805547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（3）演练情况（照片等）和演练记录；</w:t>
            </w:r>
          </w:p>
          <w:p w14:paraId="21BF218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（4）应急救援器材配备情况；</w:t>
            </w:r>
          </w:p>
          <w:p w14:paraId="6EB2E9D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2E3F3C3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6EBD5A3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（7）企业相关人员任职文件、身份证明及其询问笔录；</w:t>
            </w:r>
          </w:p>
          <w:p w14:paraId="6CC5AB3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（8）《证人证言》；</w:t>
            </w:r>
          </w:p>
          <w:p w14:paraId="701E6D6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vAlign w:val="center"/>
          </w:tcPr>
          <w:p w14:paraId="4E63B965">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第九十七条第六项</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4FC125B">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（六）未按照规定制定生产安全事故应急救援预案或者未定期组织演练的；</w:t>
            </w:r>
          </w:p>
          <w:p w14:paraId="6E6F6A3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《工贸企业有限空间作业安全管理与监督暂行规定》第二十九条</w:t>
            </w:r>
            <w:r>
              <w:rPr>
                <w:rFonts w:hint="eastAsia" w:ascii="仿宋_GB2312" w:hAnsi="仿宋_GB2312" w:eastAsia="仿宋_GB2312" w:cs="仿宋_GB2312"/>
                <w:color w:val="auto"/>
                <w:kern w:val="0"/>
                <w:sz w:val="32"/>
                <w:szCs w:val="32"/>
              </w:rPr>
              <w:t>工贸企业有下列情形之一的，由县级以上安全生产监督管理部门责令限期改正，可以处5万元以下的罚款；逾期未改正的，责令停产停业整顿，并处5万元以上10万元以下的罚款，对其直接负责的主管人员和其他直接责任人员处1万元以上2万元以下的罚款：......</w:t>
            </w:r>
          </w:p>
          <w:p w14:paraId="4B8706E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（二）未按照本规定对有限空间作业制定应急预案，或者定期进行演练的。</w:t>
            </w:r>
          </w:p>
          <w:p w14:paraId="0A3DD27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《生产安全事故应急预案管理办法》第四十四条</w:t>
            </w:r>
            <w:r>
              <w:rPr>
                <w:rFonts w:hint="eastAsia" w:ascii="仿宋_GB2312" w:hAnsi="仿宋_GB2312" w:eastAsia="仿宋_GB2312" w:cs="仿宋_GB2312"/>
                <w:color w:val="auto"/>
                <w:kern w:val="0"/>
                <w:sz w:val="32"/>
                <w:szCs w:val="32"/>
              </w:rPr>
              <w:t>  生产经营单位有下列情形之一的，由县级以上人民政府应急管理等部门依照《中华人民共和国安全生产法》第九十七条第六项的规定，责令限期改正，可以处5万元以下罚款；逾期未改正的，责令停产停业整顿，并处5万元以上10万元以下罚款，对直接负责的主管人员和其他直接责任人员处1万元以上2万元以下的罚款：</w:t>
            </w:r>
          </w:p>
          <w:p w14:paraId="13DB550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（一）未按照规定编制应急预案的；</w:t>
            </w:r>
          </w:p>
          <w:p w14:paraId="2012D0A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（二）未按照规定定期组织应急预案演练的。</w:t>
            </w:r>
          </w:p>
          <w:p w14:paraId="1E46EFC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51" w:type="dxa"/>
            <w:vAlign w:val="center"/>
          </w:tcPr>
          <w:p w14:paraId="7DB6899B">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3F42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6" w:type="dxa"/>
            <w:vAlign w:val="center"/>
          </w:tcPr>
          <w:p w14:paraId="38A114D1">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w:t>
            </w:r>
          </w:p>
        </w:tc>
        <w:tc>
          <w:tcPr>
            <w:tcW w:w="950" w:type="dxa"/>
            <w:vAlign w:val="center"/>
          </w:tcPr>
          <w:p w14:paraId="34CF226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承包方资质和签订的协议情况</w:t>
            </w:r>
          </w:p>
        </w:tc>
        <w:tc>
          <w:tcPr>
            <w:tcW w:w="951" w:type="dxa"/>
            <w:vAlign w:val="center"/>
          </w:tcPr>
          <w:p w14:paraId="4823211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检查承包方资质和签订的协议</w:t>
            </w:r>
          </w:p>
        </w:tc>
        <w:tc>
          <w:tcPr>
            <w:tcW w:w="3899" w:type="dxa"/>
            <w:vAlign w:val="center"/>
          </w:tcPr>
          <w:p w14:paraId="53A7B145">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第四十九条</w:t>
            </w:r>
            <w:r>
              <w:rPr>
                <w:rFonts w:hint="eastAsia" w:ascii="仿宋_GB2312" w:hAnsi="仿宋_GB2312" w:eastAsia="仿宋_GB2312" w:cs="仿宋_GB2312"/>
                <w:color w:val="auto"/>
                <w:kern w:val="0"/>
                <w:sz w:val="32"/>
                <w:szCs w:val="32"/>
              </w:rPr>
              <w:t>生产经营单位不得将生产经营项目、场所、设备发包或者出租给不具备安全生产条件或者相应资质的单位或者个人。</w:t>
            </w:r>
          </w:p>
          <w:p w14:paraId="3C530886">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4FB8FFA6">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4587807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《工贸企业有限空间作业安全管理与监督暂行规定》第二十二条</w:t>
            </w:r>
            <w:r>
              <w:rPr>
                <w:rFonts w:hint="eastAsia" w:ascii="仿宋_GB2312" w:hAnsi="仿宋_GB2312" w:eastAsia="仿宋_GB2312" w:cs="仿宋_GB2312"/>
                <w:color w:val="auto"/>
                <w:kern w:val="0"/>
                <w:sz w:val="32"/>
                <w:szCs w:val="32"/>
              </w:rPr>
              <w:t>工贸企业将有限空间作业发包给其他单位实施的，应当发包给具备国家规定资质或者安全生产条件的承包方，并与承包方签订专门的安全生产管理协议或者在承包合同中明确各自的安全生产职责。工贸企业应当对承包单位的安全生产工作统一协调、管理，定期进行安全检查，发现安全问题的，应当及时督促整改。</w:t>
            </w:r>
          </w:p>
          <w:p w14:paraId="5C48EB6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工贸企业对其发包的有限空间作业安全承担主体责任。承包方对其承包的有限空间作业安全承担直接责任。</w:t>
            </w:r>
          </w:p>
          <w:p w14:paraId="204DC71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《四川省安全生产条例》第二十三条第一款</w:t>
            </w:r>
            <w:r>
              <w:rPr>
                <w:rFonts w:hint="eastAsia" w:ascii="仿宋_GB2312" w:hAnsi="仿宋_GB2312" w:eastAsia="仿宋_GB2312" w:cs="仿宋_GB2312"/>
                <w:color w:val="auto"/>
                <w:kern w:val="0"/>
                <w:sz w:val="32"/>
                <w:szCs w:val="32"/>
              </w:rPr>
              <w:t>生产经营单位的承包租赁活动应当符合法律法规的规定，不得将生产经营的项目及有关业务转交给不具备安全生产条件的单位或个人，不得将不具备安全生产条件的场所、设备、设施出租给他人使用，生产经营单位也不得租赁使用不具备安全生产条件的场所、设备、设施。</w:t>
            </w:r>
          </w:p>
        </w:tc>
        <w:tc>
          <w:tcPr>
            <w:tcW w:w="3899" w:type="dxa"/>
            <w:vAlign w:val="center"/>
          </w:tcPr>
          <w:p w14:paraId="47D11FA5">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25DD26C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（2）签订的协议书；</w:t>
            </w:r>
          </w:p>
          <w:p w14:paraId="1CC31A9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（3）承包方资质；</w:t>
            </w:r>
          </w:p>
          <w:p w14:paraId="6039F01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（4）现场图片或影像资料；</w:t>
            </w:r>
          </w:p>
          <w:p w14:paraId="32E48FF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22B33F3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1166F0D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（7）《证人证言》；</w:t>
            </w:r>
          </w:p>
          <w:p w14:paraId="14506FC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p w14:paraId="183098B6">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5E147B7F">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第一百零三条</w:t>
            </w:r>
            <w:r>
              <w:rPr>
                <w:rFonts w:hint="eastAsia" w:ascii="仿宋_GB2312" w:hAnsi="仿宋_GB2312" w:eastAsia="仿宋_GB2312" w:cs="仿宋_GB2312"/>
                <w:color w:val="auto"/>
                <w:kern w:val="0"/>
                <w:sz w:val="32"/>
                <w:szCs w:val="32"/>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56C8E921">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7F0C157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14:paraId="6CA55FE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《四川省安全生产条例》第六十九条</w:t>
            </w:r>
            <w:r>
              <w:rPr>
                <w:rFonts w:hint="eastAsia" w:ascii="仿宋_GB2312" w:hAnsi="仿宋_GB2312" w:eastAsia="仿宋_GB2312" w:cs="仿宋_GB2312"/>
                <w:color w:val="auto"/>
                <w:kern w:val="0"/>
                <w:sz w:val="32"/>
                <w:szCs w:val="32"/>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1" w:type="dxa"/>
            <w:vAlign w:val="center"/>
          </w:tcPr>
          <w:p w14:paraId="35C612C0">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26EB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6" w:type="dxa"/>
            <w:vAlign w:val="center"/>
          </w:tcPr>
          <w:p w14:paraId="7A8FE6C1">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w:t>
            </w:r>
          </w:p>
        </w:tc>
        <w:tc>
          <w:tcPr>
            <w:tcW w:w="950" w:type="dxa"/>
            <w:vAlign w:val="center"/>
          </w:tcPr>
          <w:p w14:paraId="1647239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为作业人员提供劳动防护用品情况</w:t>
            </w:r>
          </w:p>
        </w:tc>
        <w:tc>
          <w:tcPr>
            <w:tcW w:w="951" w:type="dxa"/>
            <w:vAlign w:val="center"/>
          </w:tcPr>
          <w:p w14:paraId="684318A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应当根据有限空间存在危险有害因素的种类和危害程度，为作业人员提供符合国家标准或者行业标准规定的劳动防护用品。</w:t>
            </w:r>
          </w:p>
        </w:tc>
        <w:tc>
          <w:tcPr>
            <w:tcW w:w="3899" w:type="dxa"/>
            <w:vAlign w:val="center"/>
          </w:tcPr>
          <w:p w14:paraId="61DAE9A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第四十五条</w:t>
            </w:r>
            <w:r>
              <w:rPr>
                <w:rFonts w:hint="eastAsia" w:ascii="仿宋_GB2312" w:hAnsi="仿宋_GB2312" w:eastAsia="仿宋_GB2312" w:cs="仿宋_GB2312"/>
                <w:color w:val="auto"/>
                <w:kern w:val="0"/>
                <w:sz w:val="32"/>
                <w:szCs w:val="32"/>
              </w:rPr>
              <w:t>生产经营单位必须为从业人员提供符合国家标准或者行业标准的劳动防护用品，并监督、教育从业人员按照使用规则佩戴、使用。</w:t>
            </w:r>
          </w:p>
          <w:p w14:paraId="02FDB97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《工贸企业有限空间作业安全管理与监督暂行规定》第十八条</w:t>
            </w:r>
            <w:r>
              <w:rPr>
                <w:rFonts w:hint="eastAsia" w:ascii="仿宋_GB2312" w:hAnsi="仿宋_GB2312" w:eastAsia="仿宋_GB2312" w:cs="仿宋_GB2312"/>
                <w:color w:val="auto"/>
                <w:kern w:val="0"/>
                <w:sz w:val="32"/>
                <w:szCs w:val="32"/>
              </w:rPr>
              <w:t>工贸企业应当根据有限空间存在危险有害因素的种类和危害程度，为作业人员提供符合国家标准或者行业标准规定的劳动防护用品，并教育监督作业人员正确佩戴与使用。</w:t>
            </w:r>
          </w:p>
          <w:p w14:paraId="435B9BF5">
            <w:pPr>
              <w:widowControl/>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《化学品生产单位特殊作业安全规范》（GB30871-2014）6.5</w:t>
            </w:r>
            <w:r>
              <w:rPr>
                <w:rFonts w:hint="eastAsia" w:ascii="仿宋_GB2312" w:hAnsi="仿宋_GB2312" w:eastAsia="仿宋_GB2312" w:cs="仿宋_GB2312"/>
                <w:color w:val="auto"/>
                <w:kern w:val="0"/>
                <w:sz w:val="32"/>
                <w:szCs w:val="32"/>
              </w:rPr>
              <w:t>进入下列受限空间作业应采取如下防护措施:</w:t>
            </w:r>
          </w:p>
          <w:p w14:paraId="2768557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a) 缺氧或有毒的受限空间经清洗或置换仍达不到6.2要求的,应佩戴隔绝式呼吸器,必要时应拴带救生绳;</w:t>
            </w:r>
          </w:p>
          <w:p w14:paraId="77D7A96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b) 易燃易爆的受限空间经清洗或置换仍达不到6.2要求的,应穿防静电工作服及防静电工作鞋,使用防爆型低压灯具及防爆工具;</w:t>
            </w:r>
          </w:p>
          <w:p w14:paraId="28CF86F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c) 酸碱等腐蚀性介质的受限空间,应穿戴防酸碱防护服、防护鞋、防护手套等防腐蚀护品;</w:t>
            </w:r>
          </w:p>
          <w:p w14:paraId="772E6A1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d) 有噪声产生的受限空间,应配戴耳塞或耳罩等防噪声护具;</w:t>
            </w:r>
          </w:p>
          <w:p w14:paraId="66B5683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e) 有粉尘产生的受限空间,应配戴防尘口罩、眼罩等防尘护具;</w:t>
            </w:r>
          </w:p>
          <w:p w14:paraId="23E8ADE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f) 高温的受限空间,进入时应穿戴高温防护用品,必要时采取通风、隔热、佩戴通讯设备等防护措施;</w:t>
            </w:r>
          </w:p>
          <w:p w14:paraId="15C7696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g) 低温的受限空间,进入时应穿戴低温防护用品,必要时采取供暖、佩戴通讯设备等措施。</w:t>
            </w:r>
          </w:p>
          <w:p w14:paraId="6024E82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《四川省安全生产条例》第三十四条第一款</w:t>
            </w:r>
            <w:r>
              <w:rPr>
                <w:rFonts w:hint="eastAsia" w:ascii="仿宋_GB2312" w:hAnsi="仿宋_GB2312" w:eastAsia="仿宋_GB2312" w:cs="仿宋_GB2312"/>
                <w:color w:val="auto"/>
                <w:kern w:val="0"/>
                <w:sz w:val="32"/>
                <w:szCs w:val="32"/>
              </w:rPr>
              <w:t>生产经营单位应当按照规定免费为从业人员提供符合国家标准或者行业标准的劳动防护用品、用具，并教育、督促从业人员正确佩戴、使用。生产经营单位不得以现金或者其他物品替代劳动防护用品、用具。</w:t>
            </w:r>
          </w:p>
        </w:tc>
        <w:tc>
          <w:tcPr>
            <w:tcW w:w="3899" w:type="dxa"/>
            <w:vAlign w:val="center"/>
          </w:tcPr>
          <w:p w14:paraId="080F6B79">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4D8A2B8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（2）劳动防护用品购置清单和相关合格证明；</w:t>
            </w:r>
          </w:p>
          <w:p w14:paraId="45A1947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（3）员工领取劳动防护用品原始记录或台账；</w:t>
            </w:r>
          </w:p>
          <w:p w14:paraId="5ADE126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（4）作业现场员工佩戴使用劳动防护用品图片或影像资料；</w:t>
            </w:r>
          </w:p>
          <w:p w14:paraId="10A09E2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631C13C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7323B58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（7）企业相关人员任职文件、身份证明及其询问笔录；</w:t>
            </w:r>
          </w:p>
          <w:p w14:paraId="3882133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（8）《证人证言》；</w:t>
            </w:r>
          </w:p>
          <w:p w14:paraId="20AEA64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p w14:paraId="0E014F86">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99" w:type="dxa"/>
            <w:vAlign w:val="center"/>
          </w:tcPr>
          <w:p w14:paraId="1FE3DE9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第九十九条第五项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A1E3BC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（五）未为从业人员提供符合国家标准或者行业标准的劳动防护用品的；</w:t>
            </w:r>
          </w:p>
          <w:p w14:paraId="1618F9B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《工贸企业有限空间作业安全管理与监督暂行规定》第二十八条</w:t>
            </w:r>
            <w:r>
              <w:rPr>
                <w:rFonts w:hint="eastAsia" w:ascii="仿宋_GB2312" w:hAnsi="仿宋_GB2312" w:eastAsia="仿宋_GB2312" w:cs="仿宋_GB2312"/>
                <w:color w:val="auto"/>
                <w:kern w:val="0"/>
                <w:sz w:val="32"/>
                <w:szCs w:val="32"/>
              </w:rPr>
              <w:t>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w:t>
            </w:r>
          </w:p>
          <w:p w14:paraId="5BD8951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（二）未按照本规定为作业人员提供符合国家标准或者行业标准的劳动防护用品的。</w:t>
            </w:r>
          </w:p>
          <w:p w14:paraId="463E1E8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《四川省安全生产条例》第六十九条</w:t>
            </w:r>
            <w:r>
              <w:rPr>
                <w:rFonts w:hint="eastAsia" w:ascii="仿宋_GB2312" w:hAnsi="仿宋_GB2312" w:eastAsia="仿宋_GB2312" w:cs="仿宋_GB2312"/>
                <w:color w:val="auto"/>
                <w:kern w:val="0"/>
                <w:sz w:val="32"/>
                <w:szCs w:val="32"/>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1" w:type="dxa"/>
            <w:vAlign w:val="center"/>
          </w:tcPr>
          <w:p w14:paraId="7A8E1D91">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0A5B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15165" w:type="dxa"/>
            <w:gridSpan w:val="7"/>
            <w:vAlign w:val="center"/>
          </w:tcPr>
          <w:p w14:paraId="025950B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说明：1、根据本清单提供的证照及资料有原件的，应核实原件后留存复印件；无原件的提供复印件。所有复印件资料均应加盖企业公章。证照及资料有正副本的，均核验留存复印件。</w:t>
            </w:r>
          </w:p>
          <w:p w14:paraId="53B6B51F">
            <w:pPr>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2、其他相关证据：能够证明企业违法违规行为的其他相关资料。</w:t>
            </w:r>
          </w:p>
          <w:p w14:paraId="57DD714A">
            <w:pPr>
              <w:rPr>
                <w:rFonts w:hint="eastAsia" w:ascii="仿宋_GB2312" w:hAnsi="仿宋_GB2312" w:eastAsia="仿宋_GB2312" w:cs="仿宋_GB2312"/>
                <w:color w:val="auto"/>
                <w:sz w:val="32"/>
                <w:szCs w:val="32"/>
              </w:rPr>
            </w:pPr>
          </w:p>
        </w:tc>
      </w:tr>
    </w:tbl>
    <w:p w14:paraId="5AC6C76F">
      <w:pPr>
        <w:pStyle w:val="2"/>
        <w:ind w:firstLine="3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6A1D7A18">
      <w:pPr>
        <w:pStyle w:val="3"/>
        <w:spacing w:line="240" w:lineRule="auto"/>
        <w:jc w:val="center"/>
        <w:rPr>
          <w:rFonts w:hint="eastAsia" w:ascii="仿宋_GB2312" w:hAnsi="仿宋_GB2312" w:eastAsia="仿宋_GB2312" w:cs="仿宋_GB2312"/>
          <w:color w:val="auto"/>
          <w:sz w:val="32"/>
          <w:szCs w:val="32"/>
        </w:rPr>
      </w:pPr>
      <w:bookmarkStart w:id="20" w:name="_Toc23666"/>
      <w:r>
        <w:rPr>
          <w:rFonts w:hint="eastAsia" w:ascii="仿宋_GB2312" w:hAnsi="仿宋_GB2312" w:eastAsia="仿宋_GB2312" w:cs="仿宋_GB2312"/>
          <w:color w:val="auto"/>
          <w:sz w:val="32"/>
          <w:szCs w:val="32"/>
        </w:rPr>
        <w:t>液氨制冷企业检查清单</w:t>
      </w:r>
      <w:bookmarkEnd w:id="20"/>
    </w:p>
    <w:tbl>
      <w:tblPr>
        <w:tblStyle w:val="8"/>
        <w:tblW w:w="15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7"/>
        <w:gridCol w:w="950"/>
        <w:gridCol w:w="950"/>
        <w:gridCol w:w="6021"/>
        <w:gridCol w:w="1779"/>
        <w:gridCol w:w="3900"/>
        <w:gridCol w:w="950"/>
      </w:tblGrid>
      <w:tr w14:paraId="09236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97" w:hRule="exact"/>
          <w:tblHeader/>
          <w:jc w:val="center"/>
        </w:trPr>
        <w:tc>
          <w:tcPr>
            <w:tcW w:w="617" w:type="dxa"/>
            <w:vAlign w:val="center"/>
          </w:tcPr>
          <w:p w14:paraId="5FB8EC13">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序号</w:t>
            </w:r>
          </w:p>
        </w:tc>
        <w:tc>
          <w:tcPr>
            <w:tcW w:w="950" w:type="dxa"/>
            <w:vAlign w:val="center"/>
          </w:tcPr>
          <w:p w14:paraId="322D2437">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检查事项</w:t>
            </w:r>
          </w:p>
        </w:tc>
        <w:tc>
          <w:tcPr>
            <w:tcW w:w="950" w:type="dxa"/>
            <w:vAlign w:val="center"/>
          </w:tcPr>
          <w:p w14:paraId="07FCA3DA">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检查内容</w:t>
            </w:r>
          </w:p>
        </w:tc>
        <w:tc>
          <w:tcPr>
            <w:tcW w:w="6021" w:type="dxa"/>
            <w:vAlign w:val="center"/>
          </w:tcPr>
          <w:p w14:paraId="249059C6">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检查依据</w:t>
            </w:r>
          </w:p>
        </w:tc>
        <w:tc>
          <w:tcPr>
            <w:tcW w:w="1779" w:type="dxa"/>
            <w:vAlign w:val="center"/>
          </w:tcPr>
          <w:p w14:paraId="0FBCC117">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主要证据</w:t>
            </w:r>
          </w:p>
        </w:tc>
        <w:tc>
          <w:tcPr>
            <w:tcW w:w="3900" w:type="dxa"/>
            <w:vAlign w:val="center"/>
          </w:tcPr>
          <w:p w14:paraId="7BD11BB6">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法律责任</w:t>
            </w:r>
          </w:p>
        </w:tc>
        <w:tc>
          <w:tcPr>
            <w:tcW w:w="950" w:type="dxa"/>
            <w:vAlign w:val="center"/>
          </w:tcPr>
          <w:p w14:paraId="64B57BF3">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检查结果</w:t>
            </w:r>
          </w:p>
        </w:tc>
      </w:tr>
      <w:tr w14:paraId="19DD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14:paraId="438BDD94">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w:t>
            </w:r>
          </w:p>
        </w:tc>
        <w:tc>
          <w:tcPr>
            <w:tcW w:w="950" w:type="dxa"/>
            <w:vAlign w:val="center"/>
          </w:tcPr>
          <w:p w14:paraId="2A25BE60">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安全设施“三同时”</w:t>
            </w:r>
          </w:p>
        </w:tc>
        <w:tc>
          <w:tcPr>
            <w:tcW w:w="950" w:type="dxa"/>
            <w:vAlign w:val="center"/>
          </w:tcPr>
          <w:p w14:paraId="52BF97F2">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液氨制冷新建、改建、扩建项目应当按照国家有关规定进行安全评价和安全设施设计</w:t>
            </w:r>
          </w:p>
        </w:tc>
        <w:tc>
          <w:tcPr>
            <w:tcW w:w="6021" w:type="dxa"/>
            <w:vAlign w:val="center"/>
          </w:tcPr>
          <w:p w14:paraId="05304612">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《中华人民共和国安全生产法》  第三十二条</w:t>
            </w:r>
            <w:r>
              <w:rPr>
                <w:rFonts w:hint="eastAsia" w:ascii="仿宋_GB2312" w:hAnsi="仿宋_GB2312" w:eastAsia="仿宋_GB2312" w:cs="仿宋_GB2312"/>
                <w:bCs/>
                <w:color w:val="auto"/>
                <w:kern w:val="0"/>
                <w:sz w:val="32"/>
                <w:szCs w:val="32"/>
              </w:rPr>
              <w:t>矿山、金属冶炼建设项目和用于生产、储存、装卸危险物品的建设项目，应当按照国家有关规定进行安全评价。</w:t>
            </w:r>
          </w:p>
          <w:p w14:paraId="621F5B11">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第三十三条第二款</w:t>
            </w:r>
            <w:r>
              <w:rPr>
                <w:rFonts w:hint="eastAsia" w:ascii="仿宋_GB2312" w:hAnsi="仿宋_GB2312" w:eastAsia="仿宋_GB2312" w:cs="仿宋_GB2312"/>
                <w:bCs/>
                <w:color w:val="auto"/>
                <w:kern w:val="0"/>
                <w:sz w:val="32"/>
                <w:szCs w:val="32"/>
              </w:rPr>
              <w:t>矿山、金属冶炼建设项目和用于生产、储存、装卸危险物品的建设项目的安全设施设计应当按照国家有关规定报经有关部门审查，审查部门及其负责审查的人员对审查结果负责。</w:t>
            </w:r>
          </w:p>
          <w:p w14:paraId="3432A99E">
            <w:pPr>
              <w:widowControl/>
              <w:shd w:val="clear" w:color="auto" w:fill="FFFFFF"/>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《中华人民共和国安全生产法》  第三十四条第二款</w:t>
            </w:r>
            <w:r>
              <w:rPr>
                <w:rFonts w:hint="eastAsia" w:ascii="仿宋_GB2312" w:hAnsi="仿宋_GB2312" w:eastAsia="仿宋_GB2312" w:cs="仿宋_GB2312"/>
                <w:bCs/>
                <w:color w:val="auto"/>
                <w:kern w:val="0"/>
                <w:sz w:val="32"/>
                <w:szCs w:val="3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613E5021">
            <w:pPr>
              <w:widowControl/>
              <w:adjustRightInd w:val="0"/>
              <w:snapToGrid w:val="0"/>
              <w:ind w:firstLine="643"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
                <w:color w:val="auto"/>
                <w:sz w:val="32"/>
                <w:szCs w:val="32"/>
                <w:shd w:val="clear" w:color="auto" w:fill="FFFFFF"/>
              </w:rPr>
              <w:t>《危险化学品建设项目安全监督管理办法》</w:t>
            </w:r>
            <w:r>
              <w:rPr>
                <w:rStyle w:val="10"/>
                <w:rFonts w:hint="eastAsia" w:ascii="仿宋_GB2312" w:hAnsi="仿宋_GB2312" w:eastAsia="仿宋_GB2312" w:cs="仿宋_GB2312"/>
                <w:color w:val="auto"/>
                <w:sz w:val="32"/>
                <w:szCs w:val="32"/>
                <w:shd w:val="clear" w:color="auto" w:fill="FFFFFF"/>
              </w:rPr>
              <w:t>第八条第一款</w:t>
            </w:r>
            <w:r>
              <w:rPr>
                <w:rFonts w:hint="eastAsia" w:ascii="仿宋_GB2312" w:hAnsi="仿宋_GB2312" w:eastAsia="仿宋_GB2312" w:cs="仿宋_GB2312"/>
                <w:bCs/>
                <w:color w:val="auto"/>
                <w:sz w:val="32"/>
                <w:szCs w:val="32"/>
                <w:shd w:val="clear" w:color="auto" w:fill="FFFFFF"/>
              </w:rPr>
              <w:t>建设单位应当在建设项目的可行性研究阶段，委托具备相应资质的安全评价机构对建设项目进行安全评价。</w:t>
            </w:r>
          </w:p>
          <w:p w14:paraId="26CEF5E1">
            <w:pPr>
              <w:widowControl/>
              <w:adjustRightInd w:val="0"/>
              <w:snapToGrid w:val="0"/>
              <w:ind w:firstLine="643"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
                <w:color w:val="auto"/>
                <w:sz w:val="32"/>
                <w:szCs w:val="32"/>
                <w:shd w:val="clear" w:color="auto" w:fill="FFFFFF"/>
              </w:rPr>
              <w:t>《危险化学品建设项目安全监督管理办法》</w:t>
            </w:r>
            <w:r>
              <w:rPr>
                <w:rStyle w:val="10"/>
                <w:rFonts w:hint="eastAsia" w:ascii="仿宋_GB2312" w:hAnsi="仿宋_GB2312" w:eastAsia="仿宋_GB2312" w:cs="仿宋_GB2312"/>
                <w:color w:val="auto"/>
                <w:sz w:val="32"/>
                <w:szCs w:val="32"/>
                <w:shd w:val="clear" w:color="auto" w:fill="FFFFFF"/>
              </w:rPr>
              <w:t>第十二条第一款</w:t>
            </w:r>
            <w:r>
              <w:rPr>
                <w:rFonts w:hint="eastAsia" w:ascii="仿宋_GB2312" w:hAnsi="仿宋_GB2312" w:eastAsia="仿宋_GB2312" w:cs="仿宋_GB2312"/>
                <w:bCs/>
                <w:color w:val="auto"/>
                <w:sz w:val="32"/>
                <w:szCs w:val="32"/>
                <w:shd w:val="clear" w:color="auto" w:fill="FFFFFF"/>
              </w:rPr>
              <w:t>对已经受理的建设项目安全条件审查申请，安全生产监督管理部门应当指派有关人员或者组织专家对申请文件、资料进行审查，并自受理申请之日起四十五日内向建设单位出具建设项目安全条件审查意见书。建设项目安全条件审查意见书的有效期为两年。</w:t>
            </w:r>
          </w:p>
          <w:p w14:paraId="0E260D16">
            <w:pPr>
              <w:widowControl/>
              <w:adjustRightInd w:val="0"/>
              <w:snapToGrid w:val="0"/>
              <w:ind w:firstLine="643"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
                <w:color w:val="auto"/>
                <w:sz w:val="32"/>
                <w:szCs w:val="32"/>
                <w:shd w:val="clear" w:color="auto" w:fill="FFFFFF"/>
              </w:rPr>
              <w:t>《危险化学品建设项目安全监督管理办法》第十五条</w:t>
            </w:r>
            <w:r>
              <w:rPr>
                <w:rFonts w:hint="eastAsia" w:ascii="仿宋_GB2312" w:hAnsi="仿宋_GB2312" w:eastAsia="仿宋_GB2312" w:cs="仿宋_GB2312"/>
                <w:bCs/>
                <w:color w:val="auto"/>
                <w:sz w:val="32"/>
                <w:szCs w:val="32"/>
                <w:shd w:val="clear" w:color="auto" w:fill="FFFFFF"/>
              </w:rPr>
              <w:t>设计单位应当根据有关安全生产的法律、法规、规章和国家标准、行业标准以及建设项目安全条件审查意见书，按照《化工建设项目安全设计管理导则》(AQ/T3033)，对建设项目安全设施进行设计，并编制建设项目安全设施设计专篇。建设项目安全设施设计专篇应当符合《危险化学品建设项目安全设施设计专篇编制导则》的要求。</w:t>
            </w:r>
          </w:p>
          <w:p w14:paraId="0BE065EA">
            <w:pPr>
              <w:widowControl/>
              <w:adjustRightInd w:val="0"/>
              <w:snapToGrid w:val="0"/>
              <w:ind w:firstLine="643"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
                <w:color w:val="auto"/>
                <w:sz w:val="32"/>
                <w:szCs w:val="32"/>
                <w:shd w:val="clear" w:color="auto" w:fill="FFFFFF"/>
              </w:rPr>
              <w:t>《危险化学品建设项目安全监督管理办法》第十六条</w:t>
            </w:r>
            <w:r>
              <w:rPr>
                <w:rFonts w:hint="eastAsia" w:ascii="仿宋_GB2312" w:hAnsi="仿宋_GB2312" w:eastAsia="仿宋_GB2312" w:cs="仿宋_GB2312"/>
                <w:bCs/>
                <w:color w:val="auto"/>
                <w:sz w:val="32"/>
                <w:szCs w:val="32"/>
                <w:shd w:val="clear" w:color="auto" w:fill="FFFFFF"/>
              </w:rPr>
              <w:t>建设单位应当在建设项目初步设计完成后、详细设计开始前，向出具建设项目安全条件审查意见书的安全生产监督管理部门申请建设项目安全设施设计审查，提交下列文件、资料，并对其真实性负责:</w:t>
            </w:r>
          </w:p>
          <w:p w14:paraId="097E1F5E">
            <w:pPr>
              <w:widowControl/>
              <w:adjustRightInd w:val="0"/>
              <w:snapToGrid w:val="0"/>
              <w:ind w:firstLine="640"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(一)建设项目安全设施设计审查申请书及文件;</w:t>
            </w:r>
          </w:p>
          <w:p w14:paraId="7BDB2C89">
            <w:pPr>
              <w:shd w:val="clear" w:color="auto" w:fill="FFFFFF"/>
              <w:adjustRightInd w:val="0"/>
              <w:snapToGrid w:val="0"/>
              <w:ind w:firstLine="640"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(二)设计单位的设计资质证明文件(复制件);</w:t>
            </w:r>
          </w:p>
          <w:p w14:paraId="68E405F9">
            <w:pPr>
              <w:shd w:val="clear" w:color="auto" w:fill="FFFFFF"/>
              <w:adjustRightInd w:val="0"/>
              <w:snapToGrid w:val="0"/>
              <w:ind w:firstLine="640"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(三)建设项目安全设施设计专篇。</w:t>
            </w:r>
          </w:p>
          <w:p w14:paraId="5B9CEFA9">
            <w:pPr>
              <w:shd w:val="clear" w:color="auto" w:fill="FFFFFF"/>
              <w:adjustRightInd w:val="0"/>
              <w:snapToGrid w:val="0"/>
              <w:ind w:firstLine="643"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
                <w:color w:val="auto"/>
                <w:sz w:val="32"/>
                <w:szCs w:val="32"/>
                <w:shd w:val="clear" w:color="auto" w:fill="FFFFFF"/>
              </w:rPr>
              <w:t>《危险化学品建设项目安全监督管理办法》第二十一条</w:t>
            </w:r>
            <w:r>
              <w:rPr>
                <w:rFonts w:hint="eastAsia" w:ascii="仿宋_GB2312" w:hAnsi="仿宋_GB2312" w:eastAsia="仿宋_GB2312" w:cs="仿宋_GB2312"/>
                <w:bCs/>
                <w:color w:val="auto"/>
                <w:sz w:val="32"/>
                <w:szCs w:val="32"/>
                <w:shd w:val="clear" w:color="auto" w:fill="FFFFFF"/>
              </w:rPr>
              <w:t> 建设项目安全设施施工完成后，建设单位应当按照有关安全生产法律、法规、规章和国家标准、行业标准的规定，对建设项目安全设施进行检验、检测，保证建设项目安全设施满足危险化学品生产、储存的安全要求，并处于正常适用状态。</w:t>
            </w:r>
          </w:p>
          <w:p w14:paraId="7AEAC7EC">
            <w:pPr>
              <w:shd w:val="clear" w:color="auto" w:fill="FFFFFF"/>
              <w:adjustRightInd w:val="0"/>
              <w:snapToGrid w:val="0"/>
              <w:ind w:firstLine="643"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
                <w:color w:val="auto"/>
                <w:sz w:val="32"/>
                <w:szCs w:val="32"/>
                <w:shd w:val="clear" w:color="auto" w:fill="FFFFFF"/>
              </w:rPr>
              <w:t>《危险化学品建设项目安全监督管理办法》第二十二条第一款</w:t>
            </w:r>
            <w:r>
              <w:rPr>
                <w:rFonts w:hint="eastAsia" w:ascii="仿宋_GB2312" w:hAnsi="仿宋_GB2312" w:eastAsia="仿宋_GB2312" w:cs="仿宋_GB2312"/>
                <w:bCs/>
                <w:color w:val="auto"/>
                <w:sz w:val="32"/>
                <w:szCs w:val="32"/>
                <w:shd w:val="clear" w:color="auto" w:fill="FFFFFF"/>
              </w:rPr>
              <w:t>建设单位应当组织建设项目的设计、施工、监理等有关单位和专家，研究提出建设项目试生产(使用)(以下简称试生产〈使用〉)可能出现的安全问题及对策，并按照有关安全生产法律、法规、规章和国家标准、行业标准的规定，制定周密的试生产(使用)方案。试生产(使用)方案应当包括下列有关安全生产的内容:</w:t>
            </w:r>
          </w:p>
          <w:p w14:paraId="0199FE2A">
            <w:pPr>
              <w:shd w:val="clear" w:color="auto" w:fill="FFFFFF"/>
              <w:adjustRightInd w:val="0"/>
              <w:snapToGrid w:val="0"/>
              <w:ind w:firstLine="640"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(一)建设项目设备及管道试压、吹扫、气密、单机试车、仪表调校、联动试车等生产准备的完成情况;</w:t>
            </w:r>
          </w:p>
          <w:p w14:paraId="7F9CE3B6">
            <w:pPr>
              <w:shd w:val="clear" w:color="auto" w:fill="FFFFFF"/>
              <w:adjustRightInd w:val="0"/>
              <w:snapToGrid w:val="0"/>
              <w:ind w:firstLine="640"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(二)投料试车方案;</w:t>
            </w:r>
          </w:p>
          <w:p w14:paraId="03BB5FB8">
            <w:pPr>
              <w:shd w:val="clear" w:color="auto" w:fill="FFFFFF"/>
              <w:adjustRightInd w:val="0"/>
              <w:snapToGrid w:val="0"/>
              <w:ind w:firstLine="640"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(三)试生产(使用)过程中可能出现的安全问题、对策及应急预案;</w:t>
            </w:r>
          </w:p>
          <w:p w14:paraId="53FA75D3">
            <w:pPr>
              <w:shd w:val="clear" w:color="auto" w:fill="FFFFFF"/>
              <w:adjustRightInd w:val="0"/>
              <w:snapToGrid w:val="0"/>
              <w:ind w:firstLine="640"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(四)建设项目周边环境与建设项目安全试生产(使用)相互影响的确认情况;</w:t>
            </w:r>
          </w:p>
          <w:p w14:paraId="02077BFB">
            <w:pPr>
              <w:shd w:val="clear" w:color="auto" w:fill="FFFFFF"/>
              <w:adjustRightInd w:val="0"/>
              <w:snapToGrid w:val="0"/>
              <w:ind w:firstLine="640"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(五)危险化学品重大危险源监控措施的落实情况;</w:t>
            </w:r>
          </w:p>
          <w:p w14:paraId="6FBEBCD2">
            <w:pPr>
              <w:shd w:val="clear" w:color="auto" w:fill="FFFFFF"/>
              <w:adjustRightInd w:val="0"/>
              <w:snapToGrid w:val="0"/>
              <w:ind w:firstLine="640"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(六)人力资源配置情况;</w:t>
            </w:r>
          </w:p>
          <w:p w14:paraId="3A7BE0D6">
            <w:pPr>
              <w:shd w:val="clear" w:color="auto" w:fill="FFFFFF"/>
              <w:adjustRightInd w:val="0"/>
              <w:snapToGrid w:val="0"/>
              <w:ind w:firstLine="640"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(七)试生产(使用)起止日期。</w:t>
            </w:r>
          </w:p>
          <w:p w14:paraId="4496B948">
            <w:pPr>
              <w:shd w:val="clear" w:color="auto" w:fill="FFFFFF"/>
              <w:adjustRightInd w:val="0"/>
              <w:snapToGrid w:val="0"/>
              <w:ind w:firstLine="643"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
                <w:color w:val="auto"/>
                <w:sz w:val="32"/>
                <w:szCs w:val="32"/>
                <w:shd w:val="clear" w:color="auto" w:fill="FFFFFF"/>
              </w:rPr>
              <w:t>《危险化学品建设项目安全监督管理办法》第二十三条第二款</w:t>
            </w:r>
            <w:r>
              <w:rPr>
                <w:rFonts w:hint="eastAsia" w:ascii="仿宋_GB2312" w:hAnsi="仿宋_GB2312" w:eastAsia="仿宋_GB2312" w:cs="仿宋_GB2312"/>
                <w:bCs/>
                <w:color w:val="auto"/>
                <w:sz w:val="32"/>
                <w:szCs w:val="32"/>
                <w:shd w:val="clear" w:color="auto" w:fill="FFFFFF"/>
              </w:rPr>
              <w:t>试生产(使用)前，建设单位应当组织专家对试生产(使用)方案进行审查。</w:t>
            </w:r>
          </w:p>
          <w:p w14:paraId="6F3B4167">
            <w:pPr>
              <w:shd w:val="clear" w:color="auto" w:fill="FFFFFF"/>
              <w:adjustRightInd w:val="0"/>
              <w:snapToGrid w:val="0"/>
              <w:ind w:firstLine="643"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
                <w:color w:val="auto"/>
                <w:sz w:val="32"/>
                <w:szCs w:val="32"/>
                <w:shd w:val="clear" w:color="auto" w:fill="FFFFFF"/>
              </w:rPr>
              <w:t>《危险化学品建设项目安全监督管理办法》第二十三条第三款</w:t>
            </w:r>
            <w:r>
              <w:rPr>
                <w:rFonts w:hint="eastAsia" w:ascii="仿宋_GB2312" w:hAnsi="仿宋_GB2312" w:eastAsia="仿宋_GB2312" w:cs="仿宋_GB2312"/>
                <w:bCs/>
                <w:color w:val="auto"/>
                <w:sz w:val="32"/>
                <w:szCs w:val="32"/>
                <w:shd w:val="clear" w:color="auto" w:fill="FFFFFF"/>
              </w:rPr>
              <w:t>试生产(使用)时，建设单位应当组织专家对试生产(使用)条件进行确认，对试生产(使用)过程进行技术指导。</w:t>
            </w:r>
          </w:p>
        </w:tc>
        <w:tc>
          <w:tcPr>
            <w:tcW w:w="1779" w:type="dxa"/>
            <w:vAlign w:val="center"/>
          </w:tcPr>
          <w:p w14:paraId="06BD3BE2">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（1）企业营业执照和有关证照；</w:t>
            </w:r>
          </w:p>
          <w:p w14:paraId="3A873F4F">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（2）相关行政许可；</w:t>
            </w:r>
          </w:p>
          <w:p w14:paraId="7900D28B">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（3）建设项目立项审批手续；</w:t>
            </w:r>
          </w:p>
          <w:p w14:paraId="48E5FA1F">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（4）安全预评价及建设项目安全条件审查意见书（有效期两年）；</w:t>
            </w:r>
          </w:p>
          <w:p w14:paraId="2E7A9FAD">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（5）安全设施设计专篇及建设项目安全设施设计审查意见书；</w:t>
            </w:r>
          </w:p>
          <w:p w14:paraId="66821974">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（6）试生产（使用）方案及其审查资料；</w:t>
            </w:r>
          </w:p>
          <w:p w14:paraId="3F9A4A34">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（7）与预评价非同一评价机构出具的安全验收评价报告及验收记录；</w:t>
            </w:r>
          </w:p>
          <w:p w14:paraId="20198475">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（8）</w:t>
            </w:r>
            <w:r>
              <w:rPr>
                <w:rFonts w:hint="eastAsia" w:ascii="仿宋_GB2312" w:hAnsi="仿宋_GB2312" w:eastAsia="仿宋_GB2312" w:cs="仿宋_GB2312"/>
                <w:color w:val="auto"/>
                <w:kern w:val="0"/>
                <w:sz w:val="32"/>
                <w:szCs w:val="32"/>
              </w:rPr>
              <w:t>《现场检查记录》《责令限期整改指令书》等相关执法文书；</w:t>
            </w:r>
          </w:p>
          <w:p w14:paraId="049D86EB">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（9）图片或影像资料；</w:t>
            </w:r>
          </w:p>
          <w:p w14:paraId="68222940">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（10）</w:t>
            </w:r>
            <w:r>
              <w:rPr>
                <w:rFonts w:hint="eastAsia" w:ascii="仿宋_GB2312" w:hAnsi="仿宋_GB2312" w:eastAsia="仿宋_GB2312" w:cs="仿宋_GB2312"/>
                <w:color w:val="auto"/>
                <w:kern w:val="0"/>
                <w:sz w:val="32"/>
                <w:szCs w:val="32"/>
              </w:rPr>
              <w:t>企业相关人员任职文件、身份证明及其询问笔录；</w:t>
            </w:r>
          </w:p>
          <w:p w14:paraId="1DDA09DA">
            <w:pP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（11）其他相关证据。</w:t>
            </w:r>
          </w:p>
        </w:tc>
        <w:tc>
          <w:tcPr>
            <w:tcW w:w="3900" w:type="dxa"/>
            <w:vAlign w:val="center"/>
          </w:tcPr>
          <w:p w14:paraId="3B0F1A8C">
            <w:pPr>
              <w:widowControl/>
              <w:shd w:val="clear" w:color="auto" w:fill="FFFFFF"/>
              <w:ind w:firstLine="643" w:firstLineChars="200"/>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
                <w:color w:val="auto"/>
                <w:sz w:val="32"/>
                <w:szCs w:val="32"/>
              </w:rPr>
              <w:t>《中华人民共和国安全生产法》  第九十八条</w:t>
            </w:r>
            <w:r>
              <w:rPr>
                <w:rFonts w:hint="eastAsia" w:ascii="仿宋_GB2312" w:hAnsi="仿宋_GB2312" w:eastAsia="仿宋_GB2312" w:cs="仿宋_GB2312"/>
                <w:bCs/>
                <w:color w:val="auto"/>
                <w:sz w:val="32"/>
                <w:szCs w:val="32"/>
                <w:shd w:val="clear" w:color="auto" w:fill="FFFFFF"/>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49CE4DE4">
            <w:pPr>
              <w:widowControl/>
              <w:shd w:val="clear" w:color="auto" w:fill="FFFFFF"/>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（一）未按照规定对矿山、金属冶炼建设项目或者用于生产、储存、装卸危险物品的建设项目进行安全评价的；</w:t>
            </w:r>
          </w:p>
          <w:p w14:paraId="1C47197E">
            <w:pPr>
              <w:widowControl/>
              <w:shd w:val="clear" w:color="auto" w:fill="FFFFFF"/>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（二）矿山、金属冶炼建设项目或者用于生产、储存、装卸危险物品的建设项目没有安全设施设计或者安全设施设计未按照规定报经有关部门审查同意的；</w:t>
            </w:r>
          </w:p>
          <w:p w14:paraId="64BEE66A">
            <w:pPr>
              <w:widowControl/>
              <w:shd w:val="clear" w:color="auto" w:fill="FFFFFF"/>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（三）矿山、金属冶炼建设项目或者用于生产、储存、装卸危险物品的建设项目的施工单位未按照批准的安全设施设计施工的；</w:t>
            </w:r>
          </w:p>
          <w:p w14:paraId="778DC06C">
            <w:pPr>
              <w:widowControl/>
              <w:shd w:val="clear" w:color="auto" w:fill="FFFFFF"/>
              <w:rPr>
                <w:rFonts w:hint="eastAsia" w:ascii="仿宋_GB2312" w:hAnsi="仿宋_GB2312" w:eastAsia="仿宋_GB2312" w:cs="仿宋_GB2312"/>
                <w:bCs/>
                <w:color w:val="auto"/>
                <w:sz w:val="32"/>
                <w:szCs w:val="32"/>
                <w:shd w:val="clear" w:color="auto" w:fill="FFFFFF"/>
              </w:rPr>
            </w:pPr>
            <w:r>
              <w:rPr>
                <w:rFonts w:hint="eastAsia" w:ascii="仿宋_GB2312" w:hAnsi="仿宋_GB2312" w:eastAsia="仿宋_GB2312" w:cs="仿宋_GB2312"/>
                <w:bCs/>
                <w:color w:val="auto"/>
                <w:sz w:val="32"/>
                <w:szCs w:val="32"/>
                <w:shd w:val="clear" w:color="auto" w:fill="FFFFFF"/>
              </w:rPr>
              <w:t>（四）矿山、金属冶炼建设项目或者用于生产、储存、装卸危险物品的建设项目竣工投入生产或者使用前，安全设施未经验收合格的。</w:t>
            </w:r>
          </w:p>
          <w:p w14:paraId="07FE6EBC">
            <w:pPr>
              <w:pStyle w:val="7"/>
              <w:shd w:val="clear" w:color="auto" w:fill="FFFFFF"/>
              <w:spacing w:beforeAutospacing="0" w:after="0" w:afterAutospacing="0"/>
              <w:ind w:firstLine="42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《危险化学品建设项目安全监督管理办法》</w:t>
            </w:r>
            <w:r>
              <w:rPr>
                <w:rFonts w:hint="eastAsia" w:ascii="仿宋_GB2312" w:hAnsi="仿宋_GB2312" w:eastAsia="仿宋_GB2312" w:cs="仿宋_GB2312"/>
                <w:b/>
                <w:color w:val="auto"/>
                <w:sz w:val="32"/>
                <w:szCs w:val="32"/>
                <w:shd w:val="clear" w:color="auto" w:fill="FFFFFF"/>
              </w:rPr>
              <w:t>第三十五条</w:t>
            </w:r>
            <w:r>
              <w:rPr>
                <w:rFonts w:hint="eastAsia" w:ascii="仿宋_GB2312" w:hAnsi="仿宋_GB2312" w:eastAsia="仿宋_GB2312" w:cs="仿宋_GB2312"/>
                <w:bCs/>
                <w:color w:val="auto"/>
                <w:sz w:val="32"/>
                <w:szCs w:val="32"/>
              </w:rPr>
              <w:t>未经安全条件审查或者安全条件审查未通过，新建、改建、扩建生产、储存危险化学品的建设项目的，责令停止建设，限期改正;逾期不改正的，处50万元以上100万元以下的罚款;构成犯罪的，依法追究刑事责任。</w:t>
            </w:r>
          </w:p>
          <w:p w14:paraId="68A54E86">
            <w:pPr>
              <w:pStyle w:val="7"/>
              <w:shd w:val="clear" w:color="auto" w:fill="FFFFFF"/>
              <w:spacing w:beforeAutospacing="0" w:after="0" w:afterAutospacing="0"/>
              <w:ind w:firstLine="42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建设项目发生本办法第十四条规定的变化后，未重新申请安全条件审查，以及审查未通过擅自建设的，依照前款规定处罚。</w:t>
            </w:r>
          </w:p>
          <w:p w14:paraId="7300A374">
            <w:pPr>
              <w:pStyle w:val="7"/>
              <w:shd w:val="clear" w:color="auto" w:fill="FFFFFF"/>
              <w:spacing w:beforeAutospacing="0" w:after="0" w:afterAutospacing="0"/>
              <w:ind w:firstLine="42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《危险化学品建设项目安全监督管理办法》</w:t>
            </w:r>
            <w:r>
              <w:rPr>
                <w:rFonts w:hint="eastAsia" w:ascii="仿宋_GB2312" w:hAnsi="仿宋_GB2312" w:eastAsia="仿宋_GB2312" w:cs="仿宋_GB2312"/>
                <w:b/>
                <w:color w:val="auto"/>
                <w:sz w:val="32"/>
                <w:szCs w:val="32"/>
                <w:shd w:val="clear" w:color="auto" w:fill="FFFFFF"/>
              </w:rPr>
              <w:t>第三十六条</w:t>
            </w:r>
            <w:r>
              <w:rPr>
                <w:rFonts w:hint="eastAsia" w:ascii="仿宋_GB2312" w:hAnsi="仿宋_GB2312" w:eastAsia="仿宋_GB2312" w:cs="仿宋_GB2312"/>
                <w:bCs/>
                <w:color w:val="auto"/>
                <w:sz w:val="32"/>
                <w:szCs w:val="32"/>
              </w:rPr>
              <w:t> 建设单位有下列行为之一的，依照《中华人民共和国安全生产法》有关建设项目安全设施设计审查、竣工验收的法律责任条款给予处罚:</w:t>
            </w:r>
          </w:p>
          <w:p w14:paraId="1041DA1D">
            <w:pPr>
              <w:pStyle w:val="7"/>
              <w:shd w:val="clear" w:color="auto" w:fill="FFFFFF"/>
              <w:spacing w:beforeAutospacing="0" w:after="0" w:afterAutospacing="0"/>
              <w:ind w:firstLine="42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(一)建设项目安全设施设计未经审查或者审查未通过，擅自建设的;</w:t>
            </w:r>
          </w:p>
          <w:p w14:paraId="179124EC">
            <w:pPr>
              <w:pStyle w:val="7"/>
              <w:shd w:val="clear" w:color="auto" w:fill="FFFFFF"/>
              <w:spacing w:beforeAutospacing="0" w:after="0" w:afterAutospacing="0"/>
              <w:ind w:firstLine="42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(二)建设项目安全设施设计发生本办法第二十一条规定的情形之一，未经变更设计审查或者变更设计审查未通过，擅自建设的;</w:t>
            </w:r>
          </w:p>
          <w:p w14:paraId="1F23D5F5">
            <w:pPr>
              <w:pStyle w:val="7"/>
              <w:shd w:val="clear" w:color="auto" w:fill="FFFFFF"/>
              <w:spacing w:beforeAutospacing="0" w:after="0" w:afterAutospacing="0"/>
              <w:ind w:firstLine="42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(三)建设项目的施工单位未根据批准的安全设施设计施工的;</w:t>
            </w:r>
          </w:p>
          <w:p w14:paraId="42C76157">
            <w:pPr>
              <w:pStyle w:val="7"/>
              <w:shd w:val="clear" w:color="auto" w:fill="FFFFFF"/>
              <w:spacing w:beforeAutospacing="0" w:after="0" w:afterAutospacing="0"/>
              <w:ind w:firstLine="42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(四)建设项目安全设施未经竣工验收或者验收不合格，擅自投入生产(使用)的。</w:t>
            </w:r>
          </w:p>
          <w:p w14:paraId="643B03FD">
            <w:pPr>
              <w:pStyle w:val="7"/>
              <w:shd w:val="clear" w:color="auto" w:fill="FFFFFF"/>
              <w:spacing w:beforeAutospacing="0" w:after="0" w:afterAutospacing="0"/>
              <w:ind w:firstLine="420"/>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《危险化学品建设项目安全监督管理办法》</w:t>
            </w:r>
            <w:r>
              <w:rPr>
                <w:rFonts w:hint="eastAsia" w:ascii="仿宋_GB2312" w:hAnsi="仿宋_GB2312" w:eastAsia="仿宋_GB2312" w:cs="仿宋_GB2312"/>
                <w:b/>
                <w:color w:val="auto"/>
                <w:sz w:val="32"/>
                <w:szCs w:val="32"/>
                <w:shd w:val="clear" w:color="auto" w:fill="FFFFFF"/>
              </w:rPr>
              <w:t>第三十七条</w:t>
            </w:r>
            <w:r>
              <w:rPr>
                <w:rFonts w:hint="eastAsia" w:ascii="仿宋_GB2312" w:hAnsi="仿宋_GB2312" w:eastAsia="仿宋_GB2312" w:cs="仿宋_GB2312"/>
                <w:bCs/>
                <w:color w:val="auto"/>
                <w:sz w:val="32"/>
                <w:szCs w:val="32"/>
              </w:rPr>
              <w:t>建设单位有下列行为之一的，责令改正，可以处1万元以下的罚款;逾期未改正的，处1万元以上3万元以下的罚款:</w:t>
            </w:r>
          </w:p>
          <w:p w14:paraId="4ACEA70F">
            <w:pPr>
              <w:pStyle w:val="7"/>
              <w:shd w:val="clear" w:color="auto" w:fill="FFFFFF"/>
              <w:spacing w:beforeAutospacing="0" w:after="0" w:afterAutospacing="0"/>
              <w:ind w:firstLine="42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(一)建设项目安全设施竣工后未进行检验、检测的;</w:t>
            </w:r>
          </w:p>
          <w:p w14:paraId="26B94E63">
            <w:pPr>
              <w:pStyle w:val="7"/>
              <w:shd w:val="clear" w:color="auto" w:fill="FFFFFF"/>
              <w:spacing w:beforeAutospacing="0" w:after="0" w:afterAutospacing="0"/>
              <w:ind w:firstLine="42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(二)在申请建设项目安全审查时提供虚假文件、资料的;</w:t>
            </w:r>
          </w:p>
          <w:p w14:paraId="4C3BCE73">
            <w:pPr>
              <w:pStyle w:val="7"/>
              <w:shd w:val="clear" w:color="auto" w:fill="FFFFFF"/>
              <w:spacing w:beforeAutospacing="0" w:after="0" w:afterAutospacing="0"/>
              <w:ind w:firstLine="42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(三)未组织有关单位和专家研究提出试生产(使用)可能出现的安全问题及对策，或者未制定周密的试生产(使用)方案，进行试生产(使用)的;</w:t>
            </w:r>
          </w:p>
          <w:p w14:paraId="3890928B">
            <w:pPr>
              <w:pStyle w:val="7"/>
              <w:shd w:val="clear" w:color="auto" w:fill="FFFFFF"/>
              <w:spacing w:beforeAutospacing="0" w:after="0" w:afterAutospacing="0"/>
              <w:ind w:firstLine="42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(四)未组织有关专家对试生产(使用)方案进行审查、对试生产(使用)条件进行检查确认的。</w:t>
            </w:r>
          </w:p>
        </w:tc>
        <w:tc>
          <w:tcPr>
            <w:tcW w:w="950" w:type="dxa"/>
            <w:vAlign w:val="center"/>
          </w:tcPr>
          <w:p w14:paraId="3C29DCD1">
            <w:pPr>
              <w:widowControl/>
              <w:adjustRightInd w:val="0"/>
              <w:snapToGrid w:val="0"/>
              <w:rPr>
                <w:rFonts w:hint="eastAsia" w:ascii="仿宋_GB2312" w:hAnsi="仿宋_GB2312" w:eastAsia="仿宋_GB2312" w:cs="仿宋_GB2312"/>
                <w:bCs/>
                <w:color w:val="auto"/>
                <w:kern w:val="0"/>
                <w:sz w:val="32"/>
                <w:szCs w:val="32"/>
              </w:rPr>
            </w:pPr>
          </w:p>
        </w:tc>
      </w:tr>
      <w:tr w14:paraId="1385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81" w:hRule="atLeast"/>
          <w:jc w:val="center"/>
        </w:trPr>
        <w:tc>
          <w:tcPr>
            <w:tcW w:w="617" w:type="dxa"/>
            <w:vAlign w:val="center"/>
          </w:tcPr>
          <w:p w14:paraId="2DF0C692">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p>
        </w:tc>
        <w:tc>
          <w:tcPr>
            <w:tcW w:w="950" w:type="dxa"/>
            <w:vAlign w:val="center"/>
          </w:tcPr>
          <w:p w14:paraId="45A6DB93">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氨制冷工程的设计、设备安装单位资质</w:t>
            </w:r>
          </w:p>
        </w:tc>
        <w:tc>
          <w:tcPr>
            <w:tcW w:w="950" w:type="dxa"/>
            <w:vAlign w:val="center"/>
          </w:tcPr>
          <w:p w14:paraId="0228C3B1">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氨制冷工程的设计、设备安装应由具备相应资质等级的单位承担</w:t>
            </w:r>
          </w:p>
        </w:tc>
        <w:tc>
          <w:tcPr>
            <w:tcW w:w="6021" w:type="dxa"/>
            <w:vAlign w:val="center"/>
          </w:tcPr>
          <w:p w14:paraId="512D0970">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 xml:space="preserve">《中华人民共和国安全生产法》  </w:t>
            </w:r>
            <w:r>
              <w:rPr>
                <w:rFonts w:hint="eastAsia" w:ascii="仿宋_GB2312" w:hAnsi="仿宋_GB2312" w:eastAsia="仿宋_GB2312" w:cs="仿宋_GB2312"/>
                <w:b/>
                <w:color w:val="auto"/>
                <w:sz w:val="32"/>
                <w:szCs w:val="32"/>
              </w:rPr>
              <w:t>第十一条第二款</w:t>
            </w:r>
            <w:r>
              <w:rPr>
                <w:rFonts w:hint="eastAsia" w:ascii="仿宋_GB2312" w:hAnsi="仿宋_GB2312" w:eastAsia="仿宋_GB2312" w:cs="仿宋_GB2312"/>
                <w:bCs/>
                <w:color w:val="auto"/>
                <w:sz w:val="32"/>
                <w:szCs w:val="32"/>
              </w:rPr>
              <w:t>生产经营单位必须执行依法制定的保障安全生产的国家标准或者行业标准。</w:t>
            </w:r>
          </w:p>
          <w:p w14:paraId="44B26BDB">
            <w:pPr>
              <w:widowControl/>
              <w:adjustRightInd w:val="0"/>
              <w:snapToGrid w:val="0"/>
              <w:ind w:firstLine="640" w:firstLineChars="200"/>
              <w:rPr>
                <w:rFonts w:hint="eastAsia" w:ascii="仿宋_GB2312" w:hAnsi="仿宋_GB2312" w:eastAsia="仿宋_GB2312" w:cs="仿宋_GB2312"/>
                <w:bCs/>
                <w:color w:val="auto"/>
                <w:sz w:val="32"/>
                <w:szCs w:val="32"/>
              </w:rPr>
            </w:pPr>
          </w:p>
          <w:p w14:paraId="782E6206">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 xml:space="preserve">《中华人民共和国安全生产法》  </w:t>
            </w:r>
            <w:r>
              <w:rPr>
                <w:rFonts w:hint="eastAsia" w:ascii="仿宋_GB2312" w:hAnsi="仿宋_GB2312" w:eastAsia="仿宋_GB2312" w:cs="仿宋_GB2312"/>
                <w:b/>
                <w:color w:val="auto"/>
                <w:sz w:val="32"/>
                <w:szCs w:val="32"/>
              </w:rPr>
              <w:t>第四十九条第一款</w:t>
            </w:r>
            <w:r>
              <w:rPr>
                <w:rFonts w:hint="eastAsia" w:ascii="仿宋_GB2312" w:hAnsi="仿宋_GB2312" w:eastAsia="仿宋_GB2312" w:cs="仿宋_GB2312"/>
                <w:bCs/>
                <w:color w:val="auto"/>
                <w:kern w:val="0"/>
                <w:sz w:val="32"/>
                <w:szCs w:val="32"/>
              </w:rPr>
              <w:t>生产经营单位不得将生产经营项目、场所、设备发包或者出租给不具备安全生产条件或者相应资质的单位或者个人。</w:t>
            </w:r>
          </w:p>
          <w:p w14:paraId="0F352D8E">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《氨制冷企业安全规范》（AQ7015-2018）第4.2条</w:t>
            </w:r>
            <w:r>
              <w:rPr>
                <w:rFonts w:hint="eastAsia" w:ascii="仿宋_GB2312" w:hAnsi="仿宋_GB2312" w:eastAsia="仿宋_GB2312" w:cs="仿宋_GB2312"/>
                <w:bCs/>
                <w:color w:val="auto"/>
                <w:kern w:val="0"/>
                <w:sz w:val="32"/>
                <w:szCs w:val="32"/>
              </w:rPr>
              <w:t>氨制冷企业相关工程的设计应由具备相应资质等级的单位承担。其中冷库（冷藏库）、制冷系统设计应由具备工程设计综合甲级资质或具备工程设计行业、专业、专项资质的单位承担；压力容器、压力管道的设计应由取得国家市场监督管理</w:t>
            </w:r>
            <w:r>
              <w:rPr>
                <w:rFonts w:hint="eastAsia" w:ascii="仿宋_GB2312" w:hAnsi="仿宋_GB2312" w:eastAsia="仿宋_GB2312" w:cs="仿宋_GB2312"/>
                <w:bCs/>
                <w:color w:val="auto"/>
                <w:kern w:val="0"/>
                <w:sz w:val="32"/>
                <w:szCs w:val="32"/>
                <w:lang w:val="en-US" w:eastAsia="zh-CN"/>
              </w:rPr>
              <w:t>总</w:t>
            </w:r>
            <w:r>
              <w:rPr>
                <w:rFonts w:hint="eastAsia" w:ascii="仿宋_GB2312" w:hAnsi="仿宋_GB2312" w:eastAsia="仿宋_GB2312" w:cs="仿宋_GB2312"/>
                <w:bCs/>
                <w:color w:val="auto"/>
                <w:kern w:val="0"/>
                <w:sz w:val="32"/>
                <w:szCs w:val="32"/>
              </w:rPr>
              <w:t>局颁发的压力容器、压力管道设计资质的单位承担。</w:t>
            </w:r>
            <w:bookmarkStart w:id="30" w:name="_GoBack"/>
            <w:bookmarkEnd w:id="30"/>
          </w:p>
          <w:p w14:paraId="60E1C766">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《氨制冷企业安全规范》（AQ7015-2018）第4.4条</w:t>
            </w:r>
            <w:r>
              <w:rPr>
                <w:rFonts w:hint="eastAsia" w:ascii="仿宋_GB2312" w:hAnsi="仿宋_GB2312" w:eastAsia="仿宋_GB2312" w:cs="仿宋_GB2312"/>
                <w:bCs/>
                <w:color w:val="auto"/>
                <w:kern w:val="0"/>
                <w:sz w:val="32"/>
                <w:szCs w:val="32"/>
              </w:rPr>
              <w:t>制冷系统安装，施工单位应由具备以下条件：a)机电设备安装工程专业承包三级及以上；b)符合以下条件之一的，可以安装相应级别的压力容器：1)相应级别的压力容器制造单位；2)GB级、GC2级压力管道安装单位配备相应数量起重工后，可以安装与其相连接的D级压力容器；3)取得压力容器安装1级许可的单位。c)中华人民共和国特种设备安装改造维修许可证（压力管道）安装GC2级及以上。</w:t>
            </w:r>
          </w:p>
        </w:tc>
        <w:tc>
          <w:tcPr>
            <w:tcW w:w="1779" w:type="dxa"/>
            <w:vAlign w:val="center"/>
          </w:tcPr>
          <w:p w14:paraId="59B8ED30">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（1）企业营业执照和有关证照；</w:t>
            </w:r>
          </w:p>
          <w:p w14:paraId="75CDBC0A">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（2）建设项目立项审批手续；</w:t>
            </w:r>
          </w:p>
          <w:p w14:paraId="531995FD">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（3）安全设施设计专篇及建设项目安全设施设计审查意见书；</w:t>
            </w:r>
          </w:p>
          <w:p w14:paraId="52577D3C">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（4）设计、设备安装单位资质证书；</w:t>
            </w:r>
          </w:p>
          <w:p w14:paraId="77DD3DCE">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（5）账务资料；</w:t>
            </w:r>
          </w:p>
          <w:p w14:paraId="0ACB0E1A">
            <w:pPr>
              <w:numPr>
                <w:ilvl w:val="255"/>
                <w:numId w:val="0"/>
              </w:num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（6）图片或影像资料；</w:t>
            </w:r>
          </w:p>
          <w:p w14:paraId="73E687FD">
            <w:pPr>
              <w:numPr>
                <w:ilvl w:val="255"/>
                <w:numId w:val="0"/>
              </w:num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1650E33B">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（8）</w:t>
            </w:r>
            <w:r>
              <w:rPr>
                <w:rFonts w:hint="eastAsia" w:ascii="仿宋_GB2312" w:hAnsi="仿宋_GB2312" w:eastAsia="仿宋_GB2312" w:cs="仿宋_GB2312"/>
                <w:color w:val="auto"/>
                <w:kern w:val="0"/>
                <w:sz w:val="32"/>
                <w:szCs w:val="32"/>
              </w:rPr>
              <w:t>企业相关人员任职文件、身份证明及其询问笔录；</w:t>
            </w:r>
          </w:p>
          <w:p w14:paraId="01AF7813">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（9）其他相关证据。</w:t>
            </w:r>
          </w:p>
        </w:tc>
        <w:tc>
          <w:tcPr>
            <w:tcW w:w="3900" w:type="dxa"/>
            <w:vAlign w:val="center"/>
          </w:tcPr>
          <w:p w14:paraId="5AFEFE39">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《中华人民共和国安全生产法》  第一百零三条第一款</w:t>
            </w:r>
            <w:r>
              <w:rPr>
                <w:rFonts w:hint="eastAsia" w:ascii="仿宋_GB2312" w:hAnsi="仿宋_GB2312" w:eastAsia="仿宋_GB2312" w:cs="仿宋_GB2312"/>
                <w:bCs/>
                <w:color w:val="auto"/>
                <w:kern w:val="0"/>
                <w:sz w:val="32"/>
                <w:szCs w:val="32"/>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352BEB7F">
            <w:pPr>
              <w:widowControl/>
              <w:adjustRightInd w:val="0"/>
              <w:snapToGrid w:val="0"/>
              <w:ind w:firstLine="640" w:firstLineChars="200"/>
              <w:rPr>
                <w:rFonts w:hint="eastAsia" w:ascii="仿宋_GB2312" w:hAnsi="仿宋_GB2312" w:eastAsia="仿宋_GB2312" w:cs="仿宋_GB2312"/>
                <w:bCs/>
                <w:color w:val="auto"/>
                <w:kern w:val="0"/>
                <w:sz w:val="32"/>
                <w:szCs w:val="32"/>
              </w:rPr>
            </w:pPr>
          </w:p>
        </w:tc>
        <w:tc>
          <w:tcPr>
            <w:tcW w:w="950" w:type="dxa"/>
            <w:vAlign w:val="center"/>
          </w:tcPr>
          <w:p w14:paraId="23DAFC1C">
            <w:pPr>
              <w:widowControl/>
              <w:adjustRightInd w:val="0"/>
              <w:snapToGrid w:val="0"/>
              <w:rPr>
                <w:rFonts w:hint="eastAsia" w:ascii="仿宋_GB2312" w:hAnsi="仿宋_GB2312" w:eastAsia="仿宋_GB2312" w:cs="仿宋_GB2312"/>
                <w:bCs/>
                <w:color w:val="auto"/>
                <w:kern w:val="0"/>
                <w:sz w:val="32"/>
                <w:szCs w:val="32"/>
              </w:rPr>
            </w:pPr>
          </w:p>
        </w:tc>
      </w:tr>
      <w:tr w14:paraId="2A9B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830" w:hRule="atLeast"/>
          <w:jc w:val="center"/>
        </w:trPr>
        <w:tc>
          <w:tcPr>
            <w:tcW w:w="617" w:type="dxa"/>
            <w:vAlign w:val="center"/>
          </w:tcPr>
          <w:p w14:paraId="36DD706D">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p>
        </w:tc>
        <w:tc>
          <w:tcPr>
            <w:tcW w:w="950" w:type="dxa"/>
            <w:vAlign w:val="center"/>
          </w:tcPr>
          <w:p w14:paraId="2FE38969">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特种作业操作证</w:t>
            </w:r>
          </w:p>
        </w:tc>
        <w:tc>
          <w:tcPr>
            <w:tcW w:w="950" w:type="dxa"/>
            <w:vAlign w:val="center"/>
          </w:tcPr>
          <w:p w14:paraId="13E87498">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制冷设备运行操作作业、调试与维修作业人员应持特种作业操作证</w:t>
            </w:r>
          </w:p>
        </w:tc>
        <w:tc>
          <w:tcPr>
            <w:tcW w:w="6021" w:type="dxa"/>
            <w:vAlign w:val="center"/>
          </w:tcPr>
          <w:p w14:paraId="1F65BB10">
            <w:pPr>
              <w:widowControl/>
              <w:shd w:val="clear" w:color="auto" w:fill="FFFFFF"/>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《中华人民共和国安全生产法》  第三十条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color w:val="auto"/>
                <w:kern w:val="0"/>
                <w:sz w:val="32"/>
                <w:szCs w:val="32"/>
              </w:rPr>
              <w:t>生产经营单位的特种作业人员必须按照国家有关规定经专门的安全作业培训，取得相应资格，方可上岗作业。</w:t>
            </w:r>
          </w:p>
          <w:p w14:paraId="73FA526B">
            <w:pPr>
              <w:widowControl/>
              <w:shd w:val="clear" w:color="auto" w:fill="FFFFFF"/>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特种作业人员的范围由国务院应急管理部门会同国务院有关部门确定。</w:t>
            </w:r>
          </w:p>
          <w:p w14:paraId="5AC32726">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《特种作业人员安全技术培训考核管理规定》附件</w:t>
            </w:r>
            <w:r>
              <w:rPr>
                <w:rFonts w:hint="eastAsia" w:ascii="仿宋_GB2312" w:hAnsi="仿宋_GB2312" w:eastAsia="仿宋_GB2312" w:cs="仿宋_GB2312"/>
                <w:bCs/>
                <w:color w:val="auto"/>
                <w:kern w:val="0"/>
                <w:sz w:val="32"/>
                <w:szCs w:val="32"/>
              </w:rPr>
              <w:t>特种作业目录 “4 制冷与空调作业”。</w:t>
            </w:r>
          </w:p>
        </w:tc>
        <w:tc>
          <w:tcPr>
            <w:tcW w:w="1779" w:type="dxa"/>
            <w:vAlign w:val="center"/>
          </w:tcPr>
          <w:p w14:paraId="32E0978D">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（1）企业营业执照和有关证照；</w:t>
            </w:r>
          </w:p>
          <w:p w14:paraId="3D415359">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（2）从业人员花名册；</w:t>
            </w:r>
          </w:p>
          <w:p w14:paraId="7E0C1754">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（3）特种作业操作证和身份证；</w:t>
            </w:r>
          </w:p>
          <w:p w14:paraId="162E6ECD">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（4）政务网站查询特种作业人员截屏；</w:t>
            </w:r>
          </w:p>
          <w:p w14:paraId="40F1D708">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（5）图片或影像资料；</w:t>
            </w:r>
          </w:p>
          <w:p w14:paraId="78DEB720">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w:t>
            </w:r>
            <w:r>
              <w:rPr>
                <w:rFonts w:hint="eastAsia" w:ascii="仿宋_GB2312" w:hAnsi="仿宋_GB2312" w:eastAsia="仿宋_GB2312" w:cs="仿宋_GB2312"/>
                <w:color w:val="auto"/>
                <w:kern w:val="0"/>
                <w:sz w:val="32"/>
                <w:szCs w:val="32"/>
              </w:rPr>
              <w:t>《现场检查记录》《责令限期整改指令书》等相关执法文书；</w:t>
            </w:r>
          </w:p>
          <w:p w14:paraId="19EC376E">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（7）</w:t>
            </w:r>
            <w:r>
              <w:rPr>
                <w:rFonts w:hint="eastAsia" w:ascii="仿宋_GB2312" w:hAnsi="仿宋_GB2312" w:eastAsia="仿宋_GB2312" w:cs="仿宋_GB2312"/>
                <w:color w:val="auto"/>
                <w:kern w:val="0"/>
                <w:sz w:val="32"/>
                <w:szCs w:val="32"/>
              </w:rPr>
              <w:t>企业相关人员任职文件、身份证明及其询问笔录；</w:t>
            </w:r>
          </w:p>
          <w:p w14:paraId="00B7BD23">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（8）其他相关证据。</w:t>
            </w:r>
          </w:p>
        </w:tc>
        <w:tc>
          <w:tcPr>
            <w:tcW w:w="3900" w:type="dxa"/>
            <w:vAlign w:val="center"/>
          </w:tcPr>
          <w:p w14:paraId="727BC1FE">
            <w:pPr>
              <w:widowControl/>
              <w:shd w:val="clear" w:color="auto" w:fill="FFFFFF"/>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《中华人民共和国安全生产法》  第九十七条</w:t>
            </w:r>
            <w:r>
              <w:rPr>
                <w:rFonts w:hint="eastAsia" w:ascii="仿宋_GB2312" w:hAnsi="仿宋_GB2312" w:eastAsia="仿宋_GB2312" w:cs="仿宋_GB2312"/>
                <w:bCs/>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720CB0CB">
            <w:pPr>
              <w:widowControl/>
              <w:shd w:val="clear" w:color="auto" w:fill="FFFFFF"/>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（七）特种作业人员未按照规定经专门的安全作业培训并取得相应资格，上岗作业的。</w:t>
            </w:r>
          </w:p>
          <w:p w14:paraId="574733DA">
            <w:pPr>
              <w:widowControl/>
              <w:adjustRightInd w:val="0"/>
              <w:snapToGrid w:val="0"/>
              <w:ind w:firstLine="640" w:firstLineChars="200"/>
              <w:rPr>
                <w:rFonts w:hint="eastAsia" w:ascii="仿宋_GB2312" w:hAnsi="仿宋_GB2312" w:eastAsia="仿宋_GB2312" w:cs="仿宋_GB2312"/>
                <w:bCs/>
                <w:color w:val="auto"/>
                <w:kern w:val="0"/>
                <w:sz w:val="32"/>
                <w:szCs w:val="32"/>
              </w:rPr>
            </w:pPr>
          </w:p>
        </w:tc>
        <w:tc>
          <w:tcPr>
            <w:tcW w:w="950" w:type="dxa"/>
            <w:vAlign w:val="center"/>
          </w:tcPr>
          <w:p w14:paraId="5A6C1603">
            <w:pPr>
              <w:widowControl/>
              <w:adjustRightInd w:val="0"/>
              <w:snapToGrid w:val="0"/>
              <w:rPr>
                <w:rFonts w:hint="eastAsia" w:ascii="仿宋_GB2312" w:hAnsi="仿宋_GB2312" w:eastAsia="仿宋_GB2312" w:cs="仿宋_GB2312"/>
                <w:bCs/>
                <w:color w:val="auto"/>
                <w:kern w:val="0"/>
                <w:sz w:val="32"/>
                <w:szCs w:val="32"/>
              </w:rPr>
            </w:pPr>
          </w:p>
        </w:tc>
      </w:tr>
      <w:tr w14:paraId="5A9E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40" w:hRule="atLeast"/>
          <w:jc w:val="center"/>
        </w:trPr>
        <w:tc>
          <w:tcPr>
            <w:tcW w:w="617" w:type="dxa"/>
            <w:vAlign w:val="center"/>
          </w:tcPr>
          <w:p w14:paraId="185A4D72">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w:t>
            </w:r>
          </w:p>
        </w:tc>
        <w:tc>
          <w:tcPr>
            <w:tcW w:w="950" w:type="dxa"/>
            <w:vAlign w:val="center"/>
          </w:tcPr>
          <w:p w14:paraId="1995D8EE">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厂房、辅助用房等建筑物的布局</w:t>
            </w:r>
          </w:p>
        </w:tc>
        <w:tc>
          <w:tcPr>
            <w:tcW w:w="950" w:type="dxa"/>
            <w:vAlign w:val="center"/>
          </w:tcPr>
          <w:p w14:paraId="1EB46FA8">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员工宿舍不应与氨制冷机房、冷库或其他厂房、仓库设置在同一座建筑物内</w:t>
            </w:r>
          </w:p>
          <w:p w14:paraId="21CB4960">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氨制冷车间与民用建筑的防火间距≥25m</w:t>
            </w:r>
          </w:p>
        </w:tc>
        <w:tc>
          <w:tcPr>
            <w:tcW w:w="6021" w:type="dxa"/>
            <w:vAlign w:val="center"/>
          </w:tcPr>
          <w:p w14:paraId="79239C33">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《中华人民共和国安全生产法》  第三十九条第一款</w:t>
            </w:r>
            <w:r>
              <w:rPr>
                <w:rFonts w:hint="eastAsia" w:ascii="仿宋_GB2312" w:hAnsi="仿宋_GB2312" w:eastAsia="仿宋_GB2312" w:cs="仿宋_GB2312"/>
                <w:bCs/>
                <w:snapToGrid w:val="0"/>
                <w:color w:val="auto"/>
                <w:kern w:val="0"/>
                <w:sz w:val="32"/>
                <w:szCs w:val="32"/>
              </w:rPr>
              <w:t>生产、经营、储存、使用危险物品的车间、商店、仓库不得与员工宿舍在同一座建筑物内，并应当与员工宿舍保持安全距离。</w:t>
            </w:r>
          </w:p>
          <w:p w14:paraId="7BC554F3">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72EDD4D7">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《建筑设计防火规范》（GB50016-2014，2018年版）第3.3.5条</w:t>
            </w:r>
            <w:r>
              <w:rPr>
                <w:rFonts w:hint="eastAsia" w:ascii="仿宋_GB2312" w:hAnsi="仿宋_GB2312" w:eastAsia="仿宋_GB2312" w:cs="仿宋_GB2312"/>
                <w:bCs/>
                <w:color w:val="auto"/>
                <w:kern w:val="0"/>
                <w:sz w:val="32"/>
                <w:szCs w:val="32"/>
              </w:rPr>
              <w:t>员工宿舍严禁设置在厂房内。办公室、休息室等不应设置在甲、乙类厂房内，确需贴邻本厂房时，其耐火等级不应低于二级，并应采用耐火极限不低于3.00h的防爆墙与厂房分隔，且应设置独立的安全出口。......</w:t>
            </w:r>
          </w:p>
          <w:p w14:paraId="24C1A16D">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《建筑设计防火规范》（GB50016-2014，2018年版）第3.4.1条</w:t>
            </w:r>
          </w:p>
          <w:p w14:paraId="1BD9B1B2">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《氨制冷企业安全规范》（AQ7015-2018）第5.13.d）条</w:t>
            </w:r>
            <w:r>
              <w:rPr>
                <w:rFonts w:hint="eastAsia" w:ascii="仿宋_GB2312" w:hAnsi="仿宋_GB2312" w:eastAsia="仿宋_GB2312" w:cs="仿宋_GB2312"/>
                <w:bCs/>
                <w:color w:val="auto"/>
                <w:kern w:val="0"/>
                <w:sz w:val="32"/>
                <w:szCs w:val="32"/>
              </w:rPr>
              <w:t>氨管道不应穿过有人员办公、休息和居住的建筑物及人员密集场所。</w:t>
            </w:r>
          </w:p>
        </w:tc>
        <w:tc>
          <w:tcPr>
            <w:tcW w:w="1779" w:type="dxa"/>
            <w:vAlign w:val="center"/>
          </w:tcPr>
          <w:p w14:paraId="50F3329A">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（1）企业营业执照和有关证照；</w:t>
            </w:r>
          </w:p>
          <w:p w14:paraId="66531F04">
            <w:pPr>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（2）安全设施设计专篇及建设项目安全设施设计审查意见书；</w:t>
            </w:r>
          </w:p>
          <w:p w14:paraId="78F801F0">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（3）总平面布置图；</w:t>
            </w:r>
          </w:p>
          <w:p w14:paraId="2A49065A">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（4）图片或影像资料；</w:t>
            </w:r>
          </w:p>
          <w:p w14:paraId="6DC306C0">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color w:val="auto"/>
                <w:kern w:val="0"/>
                <w:sz w:val="32"/>
                <w:szCs w:val="32"/>
              </w:rPr>
              <w:t>《现场检查记录》《责令限期整改指令书》等相关执法文书；</w:t>
            </w:r>
          </w:p>
          <w:p w14:paraId="70AD9752">
            <w:pP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w:t>
            </w:r>
            <w:r>
              <w:rPr>
                <w:rFonts w:hint="eastAsia" w:ascii="仿宋_GB2312" w:hAnsi="仿宋_GB2312" w:eastAsia="仿宋_GB2312" w:cs="仿宋_GB2312"/>
                <w:color w:val="auto"/>
                <w:kern w:val="0"/>
                <w:sz w:val="32"/>
                <w:szCs w:val="32"/>
              </w:rPr>
              <w:t>企业相关人员任职文件、身份证明及其询问笔录；</w:t>
            </w:r>
          </w:p>
          <w:p w14:paraId="6354CE1F">
            <w:pP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（7）其他相关证据。</w:t>
            </w:r>
          </w:p>
        </w:tc>
        <w:tc>
          <w:tcPr>
            <w:tcW w:w="3900" w:type="dxa"/>
            <w:vAlign w:val="center"/>
          </w:tcPr>
          <w:p w14:paraId="25952549">
            <w:pPr>
              <w:widowControl/>
              <w:shd w:val="clear" w:color="auto" w:fill="FFFFFF"/>
              <w:ind w:firstLine="321" w:firstLineChars="1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《中华人民共和国安全生产法》第一百零五条第一项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2A4DFB06">
            <w:pPr>
              <w:widowControl/>
              <w:shd w:val="clear" w:color="auto" w:fill="FFFFFF"/>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Cs/>
                <w:snapToGrid w:val="0"/>
                <w:color w:val="auto"/>
                <w:kern w:val="0"/>
                <w:sz w:val="32"/>
                <w:szCs w:val="32"/>
              </w:rPr>
              <w:t>（一）生产、经营、储存、使用危险物品的车间、商店、仓库与员工宿舍在同一座建筑内，或者与员工宿舍的距离不符合安全要求的；</w:t>
            </w:r>
          </w:p>
          <w:p w14:paraId="1A53F682">
            <w:pPr>
              <w:widowControl/>
              <w:shd w:val="clear" w:color="auto" w:fill="FFFFFF"/>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950" w:type="dxa"/>
            <w:vAlign w:val="center"/>
          </w:tcPr>
          <w:p w14:paraId="0D225D8F">
            <w:pPr>
              <w:widowControl/>
              <w:adjustRightInd w:val="0"/>
              <w:snapToGrid w:val="0"/>
              <w:rPr>
                <w:rFonts w:hint="eastAsia" w:ascii="仿宋_GB2312" w:hAnsi="仿宋_GB2312" w:eastAsia="仿宋_GB2312" w:cs="仿宋_GB2312"/>
                <w:bCs/>
                <w:color w:val="auto"/>
                <w:kern w:val="0"/>
                <w:sz w:val="32"/>
                <w:szCs w:val="32"/>
              </w:rPr>
            </w:pPr>
          </w:p>
        </w:tc>
      </w:tr>
      <w:tr w14:paraId="0086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14:paraId="48B50567">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w:t>
            </w:r>
          </w:p>
        </w:tc>
        <w:tc>
          <w:tcPr>
            <w:tcW w:w="950" w:type="dxa"/>
            <w:vAlign w:val="center"/>
          </w:tcPr>
          <w:p w14:paraId="4EA537AA">
            <w:pPr>
              <w:widowControl/>
              <w:adjustRightInd w:val="0"/>
              <w:snapToGrid w:val="0"/>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消防通道</w:t>
            </w:r>
          </w:p>
        </w:tc>
        <w:tc>
          <w:tcPr>
            <w:tcW w:w="950" w:type="dxa"/>
            <w:vAlign w:val="center"/>
          </w:tcPr>
          <w:p w14:paraId="7FA6E269">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制冷厂房、库房应设置消防通道</w:t>
            </w:r>
          </w:p>
        </w:tc>
        <w:tc>
          <w:tcPr>
            <w:tcW w:w="6021" w:type="dxa"/>
            <w:vAlign w:val="center"/>
          </w:tcPr>
          <w:p w14:paraId="33B4166B">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F5082BB">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《建筑设计防火规范》（GB50016-2014，2018年版）第7.1.3条</w:t>
            </w:r>
            <w:r>
              <w:rPr>
                <w:rFonts w:hint="eastAsia" w:ascii="仿宋_GB2312" w:hAnsi="仿宋_GB2312" w:eastAsia="仿宋_GB2312" w:cs="仿宋_GB2312"/>
                <w:bCs/>
                <w:color w:val="auto"/>
                <w:kern w:val="0"/>
                <w:sz w:val="32"/>
                <w:szCs w:val="32"/>
              </w:rPr>
              <w:t>工厂、仓库区内应设置消防车道。高层厂房，占地面积大于3000㎡的甲、乙、丙类厂房和占地面积大于1500㎡的乙、丙类仓库，应设置环形消防车道，确有困难时，应沿建筑物的两个长边设置消防车道。</w:t>
            </w:r>
          </w:p>
          <w:p w14:paraId="586CA483">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《冷库设计规范》（GB50072-2010）4.1.8</w:t>
            </w:r>
            <w:r>
              <w:rPr>
                <w:rFonts w:hint="eastAsia" w:ascii="仿宋_GB2312" w:hAnsi="仿宋_GB2312" w:eastAsia="仿宋_GB2312" w:cs="仿宋_GB2312"/>
                <w:bCs/>
                <w:color w:val="auto"/>
                <w:kern w:val="0"/>
                <w:sz w:val="32"/>
                <w:szCs w:val="32"/>
              </w:rPr>
              <w:t>......库房应设置环形消防车道。......</w:t>
            </w:r>
          </w:p>
        </w:tc>
        <w:tc>
          <w:tcPr>
            <w:tcW w:w="1779" w:type="dxa"/>
            <w:vAlign w:val="center"/>
          </w:tcPr>
          <w:p w14:paraId="048EFAC0">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（1）企业营业执照和有关证照；</w:t>
            </w:r>
          </w:p>
          <w:p w14:paraId="018270CF">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（2）消防验收合格报告；</w:t>
            </w:r>
          </w:p>
          <w:p w14:paraId="32371EAB">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（3）总平面布置图；</w:t>
            </w:r>
          </w:p>
          <w:p w14:paraId="2EDD04F6">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（4）图片或影像资料；</w:t>
            </w:r>
          </w:p>
          <w:p w14:paraId="7E9CC04E">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color w:val="auto"/>
                <w:kern w:val="0"/>
                <w:sz w:val="32"/>
                <w:szCs w:val="32"/>
              </w:rPr>
              <w:t>《现场检查记录》《责令限期整改指令书》等相关执法文书；</w:t>
            </w:r>
          </w:p>
          <w:p w14:paraId="4C57BF7D">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w:t>
            </w:r>
            <w:r>
              <w:rPr>
                <w:rFonts w:hint="eastAsia" w:ascii="仿宋_GB2312" w:hAnsi="仿宋_GB2312" w:eastAsia="仿宋_GB2312" w:cs="仿宋_GB2312"/>
                <w:color w:val="auto"/>
                <w:kern w:val="0"/>
                <w:sz w:val="32"/>
                <w:szCs w:val="32"/>
              </w:rPr>
              <w:t>企业相关人员任职文件、身份证明及其询问笔录；</w:t>
            </w:r>
          </w:p>
          <w:p w14:paraId="77ACDBD3">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（7）其他相关证据。</w:t>
            </w:r>
          </w:p>
        </w:tc>
        <w:tc>
          <w:tcPr>
            <w:tcW w:w="3900" w:type="dxa"/>
            <w:vAlign w:val="center"/>
          </w:tcPr>
          <w:p w14:paraId="02F91B78">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49C9938">
            <w:pPr>
              <w:widowControl/>
              <w:adjustRightInd w:val="0"/>
              <w:snapToGrid w:val="0"/>
              <w:ind w:firstLine="640" w:firstLineChars="200"/>
              <w:rPr>
                <w:rFonts w:hint="eastAsia" w:ascii="仿宋_GB2312" w:hAnsi="仿宋_GB2312" w:eastAsia="仿宋_GB2312" w:cs="仿宋_GB2312"/>
                <w:bCs/>
                <w:color w:val="auto"/>
                <w:kern w:val="0"/>
                <w:sz w:val="32"/>
                <w:szCs w:val="32"/>
              </w:rPr>
            </w:pPr>
          </w:p>
        </w:tc>
        <w:tc>
          <w:tcPr>
            <w:tcW w:w="950" w:type="dxa"/>
            <w:vAlign w:val="center"/>
          </w:tcPr>
          <w:p w14:paraId="1CAC7CCF">
            <w:pPr>
              <w:widowControl/>
              <w:adjustRightInd w:val="0"/>
              <w:snapToGrid w:val="0"/>
              <w:rPr>
                <w:rFonts w:hint="eastAsia" w:ascii="仿宋_GB2312" w:hAnsi="仿宋_GB2312" w:eastAsia="仿宋_GB2312" w:cs="仿宋_GB2312"/>
                <w:bCs/>
                <w:color w:val="auto"/>
                <w:kern w:val="0"/>
                <w:sz w:val="32"/>
                <w:szCs w:val="32"/>
              </w:rPr>
            </w:pPr>
          </w:p>
        </w:tc>
      </w:tr>
      <w:tr w14:paraId="0253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00" w:hRule="atLeast"/>
          <w:jc w:val="center"/>
        </w:trPr>
        <w:tc>
          <w:tcPr>
            <w:tcW w:w="617" w:type="dxa"/>
            <w:vAlign w:val="center"/>
          </w:tcPr>
          <w:p w14:paraId="7C1AA652">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w:t>
            </w:r>
          </w:p>
        </w:tc>
        <w:tc>
          <w:tcPr>
            <w:tcW w:w="950" w:type="dxa"/>
            <w:vAlign w:val="center"/>
          </w:tcPr>
          <w:p w14:paraId="12E57EBB">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安全出口、安全门</w:t>
            </w:r>
          </w:p>
        </w:tc>
        <w:tc>
          <w:tcPr>
            <w:tcW w:w="950" w:type="dxa"/>
            <w:vAlign w:val="center"/>
          </w:tcPr>
          <w:p w14:paraId="1428BC19">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安全出口、安全门是否符合规定</w:t>
            </w:r>
          </w:p>
        </w:tc>
        <w:tc>
          <w:tcPr>
            <w:tcW w:w="6021" w:type="dxa"/>
            <w:vAlign w:val="center"/>
          </w:tcPr>
          <w:p w14:paraId="0060CE42">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《中华人民共和国安全生产法》  第四十二条第二款</w:t>
            </w:r>
            <w:r>
              <w:rPr>
                <w:rFonts w:hint="eastAsia" w:ascii="仿宋_GB2312" w:hAnsi="仿宋_GB2312" w:eastAsia="仿宋_GB2312" w:cs="仿宋_GB2312"/>
                <w:bCs/>
                <w:color w:val="auto"/>
                <w:kern w:val="0"/>
                <w:sz w:val="32"/>
                <w:szCs w:val="32"/>
              </w:rPr>
              <w:t>生产经营场所和员工宿舍应当设有符合紧急疏散要求、标志明显、保持畅通的出口、疏散通道。禁止占用、锁闭、封堵生产经营场所或者员工宿舍的出口、疏散通道。</w:t>
            </w:r>
          </w:p>
          <w:p w14:paraId="64962459">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《冷库设计规范》（GB50072-2010）4.2.10</w:t>
            </w:r>
            <w:r>
              <w:rPr>
                <w:rFonts w:hint="eastAsia" w:ascii="仿宋_GB2312" w:hAnsi="仿宋_GB2312" w:eastAsia="仿宋_GB2312" w:cs="仿宋_GB2312"/>
                <w:bCs/>
                <w:color w:val="auto"/>
                <w:kern w:val="0"/>
                <w:sz w:val="32"/>
                <w:szCs w:val="32"/>
              </w:rPr>
              <w:t>库房的楼梯间应设在穿堂附近，并应采用不燃材料建造，通向穿堂的门应为乙级防火门；......</w:t>
            </w:r>
          </w:p>
          <w:p w14:paraId="4D45F955">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《冷库设计规范》（GB50072-2010）4.6.1</w:t>
            </w:r>
            <w:r>
              <w:rPr>
                <w:rFonts w:hint="eastAsia" w:ascii="仿宋_GB2312" w:hAnsi="仿宋_GB2312" w:eastAsia="仿宋_GB2312" w:cs="仿宋_GB2312"/>
                <w:bCs/>
                <w:color w:val="auto"/>
                <w:kern w:val="0"/>
                <w:sz w:val="32"/>
                <w:szCs w:val="32"/>
              </w:rPr>
              <w:t>氨制冷机房、变配电所和控制室应符合下列规定：</w:t>
            </w:r>
          </w:p>
          <w:p w14:paraId="4DD385C0">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w:t>
            </w:r>
          </w:p>
          <w:p w14:paraId="17B9967C">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6.氨制冷机房和变配电所的门应采用平开门并向外开启。</w:t>
            </w:r>
          </w:p>
          <w:p w14:paraId="49B727EA">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7.氨制冷机房、配电室和控制室之间连通的门均应为乙级防火门。</w:t>
            </w:r>
          </w:p>
          <w:p w14:paraId="4B82D936">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《氨制冷企业安全规范》（AQ7015-2018）第5.10条</w:t>
            </w:r>
            <w:r>
              <w:rPr>
                <w:rFonts w:hint="eastAsia" w:ascii="仿宋_GB2312" w:hAnsi="仿宋_GB2312" w:eastAsia="仿宋_GB2312" w:cs="仿宋_GB2312"/>
                <w:bCs/>
                <w:color w:val="auto"/>
                <w:kern w:val="0"/>
                <w:sz w:val="32"/>
                <w:szCs w:val="32"/>
              </w:rPr>
              <w:t>氨制冷机房建设要求:d）款氨制冷机房与其控制室贴邻建造时，应采用耐火极限不低于3.00h的防火隔墙隔开和设置独立的安全出口。氨制冷机房与其控制室之间隔墙上的观察窗应为甲级固定防火窗；当确需设置连通门时，应采用开向制冷机房的甲级防火门。</w:t>
            </w:r>
          </w:p>
        </w:tc>
        <w:tc>
          <w:tcPr>
            <w:tcW w:w="1779" w:type="dxa"/>
            <w:vAlign w:val="center"/>
          </w:tcPr>
          <w:p w14:paraId="45991241">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（1）企业营业执照和有关证照；</w:t>
            </w:r>
          </w:p>
          <w:p w14:paraId="3B7F9587">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（2）消防验收合格报告；</w:t>
            </w:r>
          </w:p>
          <w:p w14:paraId="7582B3A4">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（3）总平面布置图；</w:t>
            </w:r>
          </w:p>
          <w:p w14:paraId="6F91B9EC">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（4）图片或影像资料；</w:t>
            </w:r>
          </w:p>
          <w:p w14:paraId="32612F6D">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color w:val="auto"/>
                <w:kern w:val="0"/>
                <w:sz w:val="32"/>
                <w:szCs w:val="32"/>
              </w:rPr>
              <w:t>《现场检查记录》《责令限期整改指令书》等相关执法文书；</w:t>
            </w:r>
          </w:p>
          <w:p w14:paraId="4FB4250B">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w:t>
            </w:r>
            <w:r>
              <w:rPr>
                <w:rFonts w:hint="eastAsia" w:ascii="仿宋_GB2312" w:hAnsi="仿宋_GB2312" w:eastAsia="仿宋_GB2312" w:cs="仿宋_GB2312"/>
                <w:color w:val="auto"/>
                <w:kern w:val="0"/>
                <w:sz w:val="32"/>
                <w:szCs w:val="32"/>
              </w:rPr>
              <w:t>企业相关人员任职文件、身份证明及其询问笔录；</w:t>
            </w:r>
          </w:p>
          <w:p w14:paraId="6E4E2EEF">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（7）其他相关证据。</w:t>
            </w:r>
          </w:p>
        </w:tc>
        <w:tc>
          <w:tcPr>
            <w:tcW w:w="3900" w:type="dxa"/>
            <w:vAlign w:val="center"/>
          </w:tcPr>
          <w:p w14:paraId="21A9813B">
            <w:pPr>
              <w:widowControl/>
              <w:shd w:val="clear" w:color="auto" w:fill="FFFFFF"/>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《中华人民共和国安全生产法》  第一百零五条第二项</w:t>
            </w:r>
            <w:r>
              <w:rPr>
                <w:rFonts w:hint="eastAsia" w:ascii="仿宋_GB2312" w:hAnsi="仿宋_GB2312" w:eastAsia="仿宋_GB2312" w:cs="仿宋_GB2312"/>
                <w:bCs/>
                <w:color w:val="auto"/>
                <w:kern w:val="0"/>
                <w:sz w:val="32"/>
                <w:szCs w:val="32"/>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72120BFA">
            <w:pPr>
              <w:widowControl/>
              <w:shd w:val="clear" w:color="auto" w:fill="FFFFFF"/>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（二）生产经营场所和员工宿舍未设有符合紧急疏散需要、标志明显、保持畅通的出口、疏散通道，或者占用、锁闭、封堵生产经营场所或者员工宿舍出口、疏散通道的。</w:t>
            </w:r>
          </w:p>
        </w:tc>
        <w:tc>
          <w:tcPr>
            <w:tcW w:w="950" w:type="dxa"/>
            <w:vAlign w:val="center"/>
          </w:tcPr>
          <w:p w14:paraId="365E58A2">
            <w:pPr>
              <w:widowControl/>
              <w:adjustRightInd w:val="0"/>
              <w:snapToGrid w:val="0"/>
              <w:rPr>
                <w:rFonts w:hint="eastAsia" w:ascii="仿宋_GB2312" w:hAnsi="仿宋_GB2312" w:eastAsia="仿宋_GB2312" w:cs="仿宋_GB2312"/>
                <w:bCs/>
                <w:color w:val="auto"/>
                <w:kern w:val="0"/>
                <w:sz w:val="32"/>
                <w:szCs w:val="32"/>
              </w:rPr>
            </w:pPr>
          </w:p>
        </w:tc>
      </w:tr>
      <w:tr w14:paraId="30B0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32" w:hRule="atLeast"/>
          <w:jc w:val="center"/>
        </w:trPr>
        <w:tc>
          <w:tcPr>
            <w:tcW w:w="617" w:type="dxa"/>
            <w:vAlign w:val="center"/>
          </w:tcPr>
          <w:p w14:paraId="3AE6B7B5">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w:t>
            </w:r>
          </w:p>
        </w:tc>
        <w:tc>
          <w:tcPr>
            <w:tcW w:w="950" w:type="dxa"/>
            <w:vAlign w:val="center"/>
          </w:tcPr>
          <w:p w14:paraId="694602B0">
            <w:pPr>
              <w:widowControl/>
              <w:adjustRightInd w:val="0"/>
              <w:snapToGrid w:val="0"/>
              <w:jc w:val="center"/>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安全设备</w:t>
            </w:r>
          </w:p>
        </w:tc>
        <w:tc>
          <w:tcPr>
            <w:tcW w:w="950" w:type="dxa"/>
            <w:vAlign w:val="center"/>
          </w:tcPr>
          <w:p w14:paraId="28BD233B">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安全设备安装、使用、检测是否符合标准，且保持完好</w:t>
            </w:r>
          </w:p>
        </w:tc>
        <w:tc>
          <w:tcPr>
            <w:tcW w:w="6021" w:type="dxa"/>
            <w:vAlign w:val="center"/>
          </w:tcPr>
          <w:p w14:paraId="1C1249EA">
            <w:pPr>
              <w:widowControl/>
              <w:shd w:val="clear" w:color="auto" w:fill="FFFFFF"/>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《中华人民共和国安全生产法》  第三十六条第一款、第二款</w:t>
            </w:r>
            <w:r>
              <w:rPr>
                <w:rFonts w:hint="eastAsia" w:ascii="仿宋_GB2312" w:hAnsi="仿宋_GB2312" w:eastAsia="仿宋_GB2312" w:cs="仿宋_GB2312"/>
                <w:bCs/>
                <w:color w:val="auto"/>
                <w:kern w:val="0"/>
                <w:sz w:val="32"/>
                <w:szCs w:val="32"/>
              </w:rPr>
              <w:t>安全设备的设计、制造、安装、使用、检测、维修、改造和报废，应当符合国家标准或者行业标准。</w:t>
            </w:r>
          </w:p>
          <w:p w14:paraId="73D62ADE">
            <w:pPr>
              <w:widowControl/>
              <w:shd w:val="clear" w:color="auto" w:fill="FFFFFF"/>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生产经营单位必须对安全设备进行经常性维护、保养，并定期检测，保证正常运转。维护、保养、检测应当作好记录，并由有关人员签字。</w:t>
            </w:r>
          </w:p>
          <w:p w14:paraId="1944AA7F">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《冷库设计规范》（GB50072-2010）第6.4.2条</w:t>
            </w:r>
            <w:r>
              <w:rPr>
                <w:rFonts w:hint="eastAsia" w:ascii="仿宋_GB2312" w:hAnsi="仿宋_GB2312" w:eastAsia="仿宋_GB2312" w:cs="仿宋_GB2312"/>
                <w:bCs/>
                <w:color w:val="auto"/>
                <w:kern w:val="0"/>
                <w:sz w:val="32"/>
                <w:szCs w:val="32"/>
              </w:rPr>
              <w:t>冷凝器应设冷凝压力超压报警装置，水冷冷凝器应设断水报警装置，蒸发式冷凝器应增设压力表、安全阀及风机故障报警装置。</w:t>
            </w:r>
          </w:p>
          <w:p w14:paraId="06B36D13">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《冷库设计规范》（GB50072-2010）第6.4.6条</w:t>
            </w:r>
            <w:r>
              <w:rPr>
                <w:rFonts w:hint="eastAsia" w:ascii="仿宋_GB2312" w:hAnsi="仿宋_GB2312" w:eastAsia="仿宋_GB2312" w:cs="仿宋_GB2312"/>
                <w:bCs/>
                <w:color w:val="auto"/>
                <w:kern w:val="0"/>
                <w:sz w:val="32"/>
                <w:szCs w:val="32"/>
              </w:rPr>
              <w:t>低压循环贮液器、气液分离器和中间冷却器应设超高液位报警装置，……。</w:t>
            </w:r>
          </w:p>
          <w:p w14:paraId="05D6B82C">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《冷库设计规范》（GB50072-2010）第6.4.7条</w:t>
            </w:r>
            <w:r>
              <w:rPr>
                <w:rFonts w:hint="eastAsia" w:ascii="仿宋_GB2312" w:hAnsi="仿宋_GB2312" w:eastAsia="仿宋_GB2312" w:cs="仿宋_GB2312"/>
                <w:bCs/>
                <w:color w:val="auto"/>
                <w:kern w:val="0"/>
                <w:sz w:val="32"/>
                <w:szCs w:val="32"/>
              </w:rPr>
              <w:t>贮液器、中间冷却器、气液分离器、低压循环贮液器、低压贮液器、排液桶、集油器等均应设液位指示器，其液位指示器两端连接件应有自动关闭装置。</w:t>
            </w:r>
          </w:p>
          <w:p w14:paraId="01E03951">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《冷库设计规范》（GB50072-2010）第6.4.8条</w:t>
            </w:r>
            <w:r>
              <w:rPr>
                <w:rFonts w:hint="eastAsia" w:ascii="仿宋_GB2312" w:hAnsi="仿宋_GB2312" w:eastAsia="仿宋_GB2312" w:cs="仿宋_GB2312"/>
                <w:bCs/>
                <w:color w:val="auto"/>
                <w:kern w:val="0"/>
                <w:sz w:val="32"/>
                <w:szCs w:val="32"/>
              </w:rPr>
              <w:t>安全阀应设泄压管。氨制冷系统的安全总泄压管出口应高于周围50m内最高建筑（冷库除外）的屋脊5m，并应采取防止雷击、防止雨水、杂物落入泄压管内的措施。</w:t>
            </w:r>
          </w:p>
          <w:p w14:paraId="2DE24321">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《氨制冷企业安全规范》（AQ7015-2018）第4.10条</w:t>
            </w:r>
            <w:r>
              <w:rPr>
                <w:rFonts w:hint="eastAsia" w:ascii="仿宋_GB2312" w:hAnsi="仿宋_GB2312" w:eastAsia="仿宋_GB2312" w:cs="仿宋_GB2312"/>
                <w:bCs/>
                <w:color w:val="auto"/>
                <w:kern w:val="0"/>
                <w:sz w:val="32"/>
                <w:szCs w:val="32"/>
              </w:rPr>
              <w:t>……、安全阀件（压力表、安全阀等）、安全设施等应由具有相关资质的检验机构定期校验，并出具有效检测合格报告，不具备有效检测合格报告和不符合安全生产条件的设备设施应及时更换。</w:t>
            </w:r>
          </w:p>
          <w:p w14:paraId="7E2841F4">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《氨制冷企业安全规范》（AQ7015-2018）第5.12条</w:t>
            </w:r>
            <w:r>
              <w:rPr>
                <w:rFonts w:hint="eastAsia" w:ascii="仿宋_GB2312" w:hAnsi="仿宋_GB2312" w:eastAsia="仿宋_GB2312" w:cs="仿宋_GB2312"/>
                <w:bCs/>
                <w:color w:val="auto"/>
                <w:kern w:val="0"/>
                <w:sz w:val="32"/>
                <w:szCs w:val="32"/>
              </w:rPr>
              <w:t>制冷及辅助设备、报警装置布置要求：......</w:t>
            </w:r>
          </w:p>
          <w:p w14:paraId="7144E41B">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f）款安装有氨制冷快速冻结装置的作业间内应设置防爆型事故排风机及氨气浓度报警装置。……氨气浓度传感器应安装在快速冻结装置进、出料口处的上方。……</w:t>
            </w:r>
          </w:p>
          <w:p w14:paraId="5AE1B65E">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g）款氨制冷机房应设置氨气浓度报警装置。氨气浓度传感器应安装在氨制冷机组、氨泵及贮氨器的上方。……</w:t>
            </w:r>
          </w:p>
          <w:p w14:paraId="04179DAE">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h）款冷凝器应设冷凝压力超压报警装置。水冷冷凝器应设断水报警装置；蒸发式冷凝器应增设压力表、安全阀及风机故障报警装置。</w:t>
            </w:r>
          </w:p>
          <w:p w14:paraId="3BB1CB69">
            <w:pPr>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《氨制冷企业安全规范》（AQ7015-2018）第7.3条</w:t>
            </w:r>
            <w:r>
              <w:rPr>
                <w:rFonts w:hint="eastAsia" w:ascii="仿宋_GB2312" w:hAnsi="仿宋_GB2312" w:eastAsia="仿宋_GB2312" w:cs="仿宋_GB2312"/>
                <w:bCs/>
                <w:color w:val="auto"/>
                <w:kern w:val="0"/>
                <w:sz w:val="32"/>
                <w:szCs w:val="32"/>
              </w:rPr>
              <w:t>构成重大危险源的制冷系统应在制冷机房和安装有快速冻结装置的加工车间等场所设置视频监控报警系统。……</w:t>
            </w:r>
          </w:p>
          <w:p w14:paraId="471D6FCF">
            <w:pPr>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《氨制冷企业安全规范》（AQ7015-2018）第7.8条</w:t>
            </w:r>
            <w:r>
              <w:rPr>
                <w:rFonts w:hint="eastAsia" w:ascii="仿宋_GB2312" w:hAnsi="仿宋_GB2312" w:eastAsia="仿宋_GB2312" w:cs="仿宋_GB2312"/>
                <w:bCs/>
                <w:color w:val="auto"/>
                <w:kern w:val="0"/>
                <w:sz w:val="32"/>
                <w:szCs w:val="32"/>
              </w:rPr>
              <w:t>制冷系统用压力容器、加氨站集管，以及氨液体、气体分配站集管和空气分离器的回气管，均应安装氨专用压力表。……</w:t>
            </w:r>
          </w:p>
        </w:tc>
        <w:tc>
          <w:tcPr>
            <w:tcW w:w="1779" w:type="dxa"/>
            <w:vAlign w:val="center"/>
          </w:tcPr>
          <w:p w14:paraId="3B2EE2DE">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（1）企业营业执照和有关证照；</w:t>
            </w:r>
          </w:p>
          <w:p w14:paraId="773E5A32">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（2）安全设施设计；</w:t>
            </w:r>
          </w:p>
          <w:p w14:paraId="532E20A9">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（3）安全设备定期检测报告和维护保养记录；</w:t>
            </w:r>
          </w:p>
          <w:p w14:paraId="32631061">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（4）图片或影像资料；</w:t>
            </w:r>
          </w:p>
          <w:p w14:paraId="49837CFB">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color w:val="auto"/>
                <w:kern w:val="0"/>
                <w:sz w:val="32"/>
                <w:szCs w:val="32"/>
              </w:rPr>
              <w:t>《现场检查记录》《责令限期整改指令书》等相关执法文书；</w:t>
            </w:r>
          </w:p>
          <w:p w14:paraId="619E4E0B">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w:t>
            </w:r>
            <w:r>
              <w:rPr>
                <w:rFonts w:hint="eastAsia" w:ascii="仿宋_GB2312" w:hAnsi="仿宋_GB2312" w:eastAsia="仿宋_GB2312" w:cs="仿宋_GB2312"/>
                <w:color w:val="auto"/>
                <w:kern w:val="0"/>
                <w:sz w:val="32"/>
                <w:szCs w:val="32"/>
              </w:rPr>
              <w:t>企业相关人员任职文件、身份证明及其询问笔录；</w:t>
            </w:r>
          </w:p>
          <w:p w14:paraId="183DFF21">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（7）其他相关证据。</w:t>
            </w:r>
          </w:p>
        </w:tc>
        <w:tc>
          <w:tcPr>
            <w:tcW w:w="3900" w:type="dxa"/>
            <w:vAlign w:val="center"/>
          </w:tcPr>
          <w:p w14:paraId="0C81474B">
            <w:pPr>
              <w:widowControl/>
              <w:shd w:val="clear" w:color="auto" w:fill="FFFFFF"/>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《中华人民共和国安全生产法》  第九十九条第二项、第三项</w:t>
            </w:r>
            <w:r>
              <w:rPr>
                <w:rFonts w:hint="eastAsia" w:ascii="仿宋_GB2312" w:hAnsi="仿宋_GB2312" w:eastAsia="仿宋_GB2312" w:cs="仿宋_GB2312"/>
                <w:bCs/>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38C9CF5">
            <w:pPr>
              <w:widowControl/>
              <w:shd w:val="clear" w:color="auto" w:fill="FFFFFF"/>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（二）安全设备的安装、使用、检测、改造和报废不符合国家标准或者行业标准的；</w:t>
            </w:r>
          </w:p>
          <w:p w14:paraId="19EEBC48">
            <w:pPr>
              <w:widowControl/>
              <w:shd w:val="clear" w:color="auto" w:fill="FFFFFF"/>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（三）未对安全设备进行经常性维护、保养和定期检测的；</w:t>
            </w:r>
          </w:p>
          <w:p w14:paraId="1880AC95">
            <w:pPr>
              <w:widowControl/>
              <w:adjustRightInd w:val="0"/>
              <w:snapToGrid w:val="0"/>
              <w:ind w:firstLine="640" w:firstLineChars="200"/>
              <w:rPr>
                <w:rFonts w:hint="eastAsia" w:ascii="仿宋_GB2312" w:hAnsi="仿宋_GB2312" w:eastAsia="仿宋_GB2312" w:cs="仿宋_GB2312"/>
                <w:bCs/>
                <w:color w:val="auto"/>
                <w:kern w:val="0"/>
                <w:sz w:val="32"/>
                <w:szCs w:val="32"/>
              </w:rPr>
            </w:pPr>
          </w:p>
        </w:tc>
        <w:tc>
          <w:tcPr>
            <w:tcW w:w="950" w:type="dxa"/>
            <w:vAlign w:val="center"/>
          </w:tcPr>
          <w:p w14:paraId="7DC7E1BD">
            <w:pPr>
              <w:widowControl/>
              <w:adjustRightInd w:val="0"/>
              <w:snapToGrid w:val="0"/>
              <w:rPr>
                <w:rFonts w:hint="eastAsia" w:ascii="仿宋_GB2312" w:hAnsi="仿宋_GB2312" w:eastAsia="仿宋_GB2312" w:cs="仿宋_GB2312"/>
                <w:bCs/>
                <w:color w:val="auto"/>
                <w:kern w:val="0"/>
                <w:sz w:val="32"/>
                <w:szCs w:val="32"/>
              </w:rPr>
            </w:pPr>
          </w:p>
        </w:tc>
      </w:tr>
      <w:tr w14:paraId="20FE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80" w:hRule="atLeast"/>
          <w:jc w:val="center"/>
        </w:trPr>
        <w:tc>
          <w:tcPr>
            <w:tcW w:w="617" w:type="dxa"/>
            <w:vAlign w:val="center"/>
          </w:tcPr>
          <w:p w14:paraId="616AEAA4">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8</w:t>
            </w:r>
          </w:p>
        </w:tc>
        <w:tc>
          <w:tcPr>
            <w:tcW w:w="950" w:type="dxa"/>
            <w:vAlign w:val="center"/>
          </w:tcPr>
          <w:p w14:paraId="26568026">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应急救援器材、设备和物资</w:t>
            </w:r>
          </w:p>
        </w:tc>
        <w:tc>
          <w:tcPr>
            <w:tcW w:w="950" w:type="dxa"/>
            <w:vAlign w:val="center"/>
          </w:tcPr>
          <w:p w14:paraId="73B1186C">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是否配备必要的应急救援器材、设备和物资，并保证正常运转</w:t>
            </w:r>
          </w:p>
        </w:tc>
        <w:tc>
          <w:tcPr>
            <w:tcW w:w="6021" w:type="dxa"/>
            <w:vAlign w:val="center"/>
          </w:tcPr>
          <w:p w14:paraId="2C1FB190">
            <w:pPr>
              <w:widowControl/>
              <w:shd w:val="clear" w:color="auto" w:fill="FFFFFF"/>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《中华人民共和国安全生产法》  第八十二条第二款</w:t>
            </w:r>
            <w:r>
              <w:rPr>
                <w:rFonts w:hint="eastAsia" w:ascii="仿宋_GB2312" w:hAnsi="仿宋_GB2312" w:eastAsia="仿宋_GB2312" w:cs="仿宋_GB2312"/>
                <w:bCs/>
                <w:color w:val="auto"/>
                <w:kern w:val="0"/>
                <w:sz w:val="32"/>
                <w:szCs w:val="32"/>
              </w:rPr>
              <w:t>危险物品的生产、经营、储存、运输单位以及矿山、金属冶炼、城市轨道交通运营、建筑施工单位应当配备必要的应急救援器材、设备和物资，并进行经常性维护、保养，保证正常运转。</w:t>
            </w:r>
          </w:p>
          <w:p w14:paraId="140875CF">
            <w:pPr>
              <w:pStyle w:val="2"/>
              <w:ind w:firstLine="361"/>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《中华人民共和国突发事件应对法》第二十四条第二款</w:t>
            </w:r>
            <w:r>
              <w:rPr>
                <w:rStyle w:val="15"/>
                <w:rFonts w:hint="eastAsia" w:ascii="仿宋_GB2312" w:hAnsi="仿宋_GB2312" w:eastAsia="仿宋_GB2312" w:cs="仿宋_GB2312"/>
                <w:color w:val="auto"/>
                <w:sz w:val="32"/>
                <w:szCs w:val="32"/>
              </w:rPr>
              <w:t>有关单位应当定期检测、维护其报警装置和应急救援设备、设施，使其处于良好状态，确保正常使用。</w:t>
            </w:r>
          </w:p>
          <w:p w14:paraId="1049402E">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《生产安全事故应急预案管理办法》第三十八条</w:t>
            </w:r>
            <w:r>
              <w:rPr>
                <w:rFonts w:hint="eastAsia" w:ascii="仿宋_GB2312" w:hAnsi="仿宋_GB2312" w:eastAsia="仿宋_GB2312" w:cs="仿宋_GB2312"/>
                <w:bCs/>
                <w:color w:val="auto"/>
                <w:kern w:val="0"/>
                <w:sz w:val="32"/>
                <w:szCs w:val="32"/>
              </w:rPr>
              <w:t>生产经营单位应当按照应急预案的规定，落实应急指挥体系、应急救援队伍、应急物资及装备，建立应急物资、装备配备及其使用档案，并对应急物资、装备进行定期检测和维护，使其处于适用状态。</w:t>
            </w:r>
          </w:p>
          <w:p w14:paraId="263695E9">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《氨制冷企业安全规范》（AQ7015-2018）第7.10条</w:t>
            </w:r>
            <w:r>
              <w:rPr>
                <w:rFonts w:hint="eastAsia" w:ascii="仿宋_GB2312" w:hAnsi="仿宋_GB2312" w:eastAsia="仿宋_GB2312" w:cs="仿宋_GB2312"/>
                <w:bCs/>
                <w:color w:val="auto"/>
                <w:kern w:val="0"/>
                <w:sz w:val="32"/>
                <w:szCs w:val="32"/>
              </w:rPr>
              <w:t>……制冷机房应配备日常检维修作业所需的有效的防护器具，过滤式防毒面具（氨气专用滤毒罐、隔离式防护服）、橡胶手套、胶靴、化学安全防护眼镜，应满足在岗人员一人一具。构成重大危险源的企业应按照GB30077的规定，至少配备两套正压式空气呼吸器、化学防护服。</w:t>
            </w:r>
          </w:p>
          <w:p w14:paraId="3B120EC4">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《氨制冷企业安全规范》（AQ7015-2018）第7.11条</w:t>
            </w:r>
            <w:r>
              <w:rPr>
                <w:rFonts w:hint="eastAsia" w:ascii="仿宋_GB2312" w:hAnsi="仿宋_GB2312" w:eastAsia="仿宋_GB2312" w:cs="仿宋_GB2312"/>
                <w:bCs/>
                <w:color w:val="auto"/>
                <w:kern w:val="0"/>
                <w:sz w:val="32"/>
                <w:szCs w:val="32"/>
              </w:rPr>
              <w:t>制冷机房控制室应配备适量保质期内的酸性饮料或食醋、2%硼酸溶液、生理盐水等应急抢救物品。</w:t>
            </w:r>
          </w:p>
        </w:tc>
        <w:tc>
          <w:tcPr>
            <w:tcW w:w="1779" w:type="dxa"/>
            <w:vAlign w:val="center"/>
          </w:tcPr>
          <w:p w14:paraId="0A33A67B">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（1）企业营业执照和有关证照；</w:t>
            </w:r>
          </w:p>
          <w:p w14:paraId="48F0B5D9">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（2）生产安全事故应急救援预案；</w:t>
            </w:r>
          </w:p>
          <w:p w14:paraId="33CEBFEB">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（3）应急救援器材、设备和物资台账；</w:t>
            </w:r>
          </w:p>
          <w:p w14:paraId="1F6A03D3">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（4）应急救援器材、设备和物资检测报告；</w:t>
            </w:r>
          </w:p>
          <w:p w14:paraId="24CE2FC5">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（5）应急救援器材、设备和物资维护保养记录；</w:t>
            </w:r>
          </w:p>
          <w:p w14:paraId="4032382A">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（6）图片或影像资料；</w:t>
            </w:r>
          </w:p>
          <w:p w14:paraId="13169540">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（7）</w:t>
            </w:r>
            <w:r>
              <w:rPr>
                <w:rFonts w:hint="eastAsia" w:ascii="仿宋_GB2312" w:hAnsi="仿宋_GB2312" w:eastAsia="仿宋_GB2312" w:cs="仿宋_GB2312"/>
                <w:color w:val="auto"/>
                <w:kern w:val="0"/>
                <w:sz w:val="32"/>
                <w:szCs w:val="32"/>
              </w:rPr>
              <w:t>《现场检查记录》《责令限期整改指令书》等相关执法文书；</w:t>
            </w:r>
          </w:p>
          <w:p w14:paraId="2D928032">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（8）</w:t>
            </w:r>
            <w:r>
              <w:rPr>
                <w:rFonts w:hint="eastAsia" w:ascii="仿宋_GB2312" w:hAnsi="仿宋_GB2312" w:eastAsia="仿宋_GB2312" w:cs="仿宋_GB2312"/>
                <w:color w:val="auto"/>
                <w:kern w:val="0"/>
                <w:sz w:val="32"/>
                <w:szCs w:val="32"/>
              </w:rPr>
              <w:t>企业相关人员任职文件、身份证明及其询问笔录；</w:t>
            </w:r>
          </w:p>
          <w:p w14:paraId="71F1C6FD">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（9）其他相关证据。</w:t>
            </w:r>
          </w:p>
        </w:tc>
        <w:tc>
          <w:tcPr>
            <w:tcW w:w="3900" w:type="dxa"/>
            <w:vAlign w:val="center"/>
          </w:tcPr>
          <w:p w14:paraId="320E25CD">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Style w:val="14"/>
                <w:rFonts w:hint="eastAsia" w:ascii="仿宋_GB2312" w:hAnsi="仿宋_GB2312" w:eastAsia="仿宋_GB2312" w:cs="仿宋_GB2312"/>
                <w:color w:val="auto"/>
                <w:sz w:val="32"/>
                <w:szCs w:val="32"/>
              </w:rPr>
              <w:t>《中华人民共和国突发事件应对法》第六十四条第一款第三项</w:t>
            </w:r>
            <w:r>
              <w:rPr>
                <w:rStyle w:val="15"/>
                <w:rFonts w:hint="eastAsia" w:ascii="仿宋_GB2312" w:hAnsi="仿宋_GB2312" w:eastAsia="仿宋_GB2312" w:cs="仿宋_GB2312"/>
                <w:color w:val="auto"/>
                <w:sz w:val="32"/>
                <w:szCs w:val="32"/>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（三）未做好应急设备、设施日常维护、检测工作，导致发生严重突发事件或者突发事件危害扩大的；</w:t>
            </w:r>
            <w:r>
              <w:rPr>
                <w:rStyle w:val="15"/>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b/>
                <w:color w:val="auto"/>
                <w:kern w:val="0"/>
                <w:sz w:val="32"/>
                <w:szCs w:val="32"/>
              </w:rPr>
              <w:t xml:space="preserve">  《生产安全事故应急预案管理办法》第四十五条第一款</w:t>
            </w:r>
            <w:r>
              <w:rPr>
                <w:rFonts w:hint="eastAsia" w:ascii="仿宋_GB2312" w:hAnsi="仿宋_GB2312" w:eastAsia="仿宋_GB2312" w:cs="仿宋_GB2312"/>
                <w:bCs/>
                <w:color w:val="auto"/>
                <w:kern w:val="0"/>
                <w:sz w:val="32"/>
                <w:szCs w:val="32"/>
              </w:rPr>
              <w:t>生产经营单位有下列情形之一的，由县级以上人民政府应急管理部门责令限期改正，可以处1万元以上3万元以下的罚款：</w:t>
            </w:r>
          </w:p>
          <w:p w14:paraId="2B528751">
            <w:pPr>
              <w:widowControl/>
              <w:adjustRightInd w:val="0"/>
              <w:snapToGrid w:val="0"/>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（六）未落实应急预案规定的应急物资及装备的。</w:t>
            </w:r>
          </w:p>
        </w:tc>
        <w:tc>
          <w:tcPr>
            <w:tcW w:w="950" w:type="dxa"/>
            <w:vAlign w:val="center"/>
          </w:tcPr>
          <w:p w14:paraId="51BCB1C1">
            <w:pPr>
              <w:widowControl/>
              <w:adjustRightInd w:val="0"/>
              <w:snapToGrid w:val="0"/>
              <w:rPr>
                <w:rFonts w:hint="eastAsia" w:ascii="仿宋_GB2312" w:hAnsi="仿宋_GB2312" w:eastAsia="仿宋_GB2312" w:cs="仿宋_GB2312"/>
                <w:bCs/>
                <w:color w:val="auto"/>
                <w:kern w:val="0"/>
                <w:sz w:val="32"/>
                <w:szCs w:val="32"/>
              </w:rPr>
            </w:pPr>
          </w:p>
        </w:tc>
      </w:tr>
      <w:tr w14:paraId="59AD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80" w:hRule="atLeast"/>
          <w:jc w:val="center"/>
        </w:trPr>
        <w:tc>
          <w:tcPr>
            <w:tcW w:w="617" w:type="dxa"/>
            <w:vAlign w:val="center"/>
          </w:tcPr>
          <w:p w14:paraId="1AF2DE7D">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9</w:t>
            </w:r>
          </w:p>
        </w:tc>
        <w:tc>
          <w:tcPr>
            <w:tcW w:w="950" w:type="dxa"/>
            <w:vAlign w:val="center"/>
          </w:tcPr>
          <w:p w14:paraId="62708C0C">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贮氨器水喷淋系统、遮阳设施</w:t>
            </w:r>
          </w:p>
        </w:tc>
        <w:tc>
          <w:tcPr>
            <w:tcW w:w="950" w:type="dxa"/>
            <w:vAlign w:val="center"/>
          </w:tcPr>
          <w:p w14:paraId="1F7B79D6">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贮氨器水喷淋系统、遮阳设施是否符合规定</w:t>
            </w:r>
          </w:p>
        </w:tc>
        <w:tc>
          <w:tcPr>
            <w:tcW w:w="6021" w:type="dxa"/>
            <w:vAlign w:val="center"/>
          </w:tcPr>
          <w:p w14:paraId="6CC709F5">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124651BF">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《冷库设计规范》 (GB50072-2010)第 6.4.10条</w:t>
            </w:r>
            <w:r>
              <w:rPr>
                <w:rFonts w:hint="eastAsia" w:ascii="仿宋_GB2312" w:hAnsi="仿宋_GB2312" w:eastAsia="仿宋_GB2312" w:cs="仿宋_GB2312"/>
                <w:bCs/>
                <w:color w:val="auto"/>
                <w:kern w:val="0"/>
                <w:sz w:val="32"/>
                <w:szCs w:val="32"/>
              </w:rPr>
              <w:t>……设于室外的制冷机组、贮液器，除应设围栏外，还应有通风良好的遮阳设施。</w:t>
            </w:r>
          </w:p>
          <w:p w14:paraId="69A6693A">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《冷库设计规范》 (GB50072-2010)第8.3.4条</w:t>
            </w:r>
            <w:r>
              <w:rPr>
                <w:rFonts w:hint="eastAsia" w:ascii="仿宋_GB2312" w:hAnsi="仿宋_GB2312" w:eastAsia="仿宋_GB2312" w:cs="仿宋_GB2312"/>
                <w:bCs/>
                <w:color w:val="auto"/>
                <w:kern w:val="0"/>
                <w:sz w:val="32"/>
                <w:szCs w:val="32"/>
              </w:rPr>
              <w:t>大型冷库的氨压缩机房贮氨器上方宜设置水喷淋系统，……。</w:t>
            </w:r>
          </w:p>
          <w:p w14:paraId="149251A2">
            <w:pPr>
              <w:widowControl/>
              <w:adjustRightInd w:val="0"/>
              <w:snapToGrid w:val="0"/>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《冷库设计规范》 (GB50072-2010)第3.0.1 条</w:t>
            </w:r>
            <w:r>
              <w:rPr>
                <w:rFonts w:hint="eastAsia" w:ascii="仿宋_GB2312" w:hAnsi="仿宋_GB2312" w:eastAsia="仿宋_GB2312" w:cs="仿宋_GB2312"/>
                <w:bCs/>
                <w:color w:val="auto"/>
                <w:kern w:val="0"/>
                <w:sz w:val="32"/>
                <w:szCs w:val="32"/>
              </w:rPr>
              <w:t>……公称容积＞20000m³为大型冷库……。</w:t>
            </w:r>
          </w:p>
        </w:tc>
        <w:tc>
          <w:tcPr>
            <w:tcW w:w="1779" w:type="dxa"/>
            <w:vAlign w:val="center"/>
          </w:tcPr>
          <w:p w14:paraId="6DE5263A">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（1）企业营业执照和有关证照；</w:t>
            </w:r>
          </w:p>
          <w:p w14:paraId="0403092A">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（2）相应装置或设备购买凭证和说明书、合格证明；</w:t>
            </w:r>
          </w:p>
          <w:p w14:paraId="6AE80E96">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（3）设计资料；</w:t>
            </w:r>
          </w:p>
          <w:p w14:paraId="10A37155">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（4）图片或影像资料；</w:t>
            </w:r>
          </w:p>
          <w:p w14:paraId="4C0DAA0B">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color w:val="auto"/>
                <w:kern w:val="0"/>
                <w:sz w:val="32"/>
                <w:szCs w:val="32"/>
              </w:rPr>
              <w:t>《现场检查记录》《责令限期整改指令书》等相关执法文书；</w:t>
            </w:r>
          </w:p>
          <w:p w14:paraId="0C5F9C42">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w:t>
            </w:r>
            <w:r>
              <w:rPr>
                <w:rFonts w:hint="eastAsia" w:ascii="仿宋_GB2312" w:hAnsi="仿宋_GB2312" w:eastAsia="仿宋_GB2312" w:cs="仿宋_GB2312"/>
                <w:color w:val="auto"/>
                <w:kern w:val="0"/>
                <w:sz w:val="32"/>
                <w:szCs w:val="32"/>
              </w:rPr>
              <w:t>企业相关人员任职文件、身份证明及其询问笔录；</w:t>
            </w:r>
          </w:p>
          <w:p w14:paraId="05044F70">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（7）其他相关证据。</w:t>
            </w:r>
          </w:p>
        </w:tc>
        <w:tc>
          <w:tcPr>
            <w:tcW w:w="3900" w:type="dxa"/>
            <w:vAlign w:val="center"/>
          </w:tcPr>
          <w:p w14:paraId="6702F87E">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0C43212">
            <w:pPr>
              <w:widowControl/>
              <w:adjustRightInd w:val="0"/>
              <w:snapToGrid w:val="0"/>
              <w:ind w:firstLine="640" w:firstLineChars="200"/>
              <w:rPr>
                <w:rFonts w:hint="eastAsia" w:ascii="仿宋_GB2312" w:hAnsi="仿宋_GB2312" w:eastAsia="仿宋_GB2312" w:cs="仿宋_GB2312"/>
                <w:bCs/>
                <w:color w:val="auto"/>
                <w:kern w:val="0"/>
                <w:sz w:val="32"/>
                <w:szCs w:val="32"/>
              </w:rPr>
            </w:pPr>
          </w:p>
        </w:tc>
        <w:tc>
          <w:tcPr>
            <w:tcW w:w="950" w:type="dxa"/>
            <w:vAlign w:val="center"/>
          </w:tcPr>
          <w:p w14:paraId="5D8118C9">
            <w:pPr>
              <w:widowControl/>
              <w:adjustRightInd w:val="0"/>
              <w:snapToGrid w:val="0"/>
              <w:rPr>
                <w:rFonts w:hint="eastAsia" w:ascii="仿宋_GB2312" w:hAnsi="仿宋_GB2312" w:eastAsia="仿宋_GB2312" w:cs="仿宋_GB2312"/>
                <w:bCs/>
                <w:color w:val="auto"/>
                <w:kern w:val="0"/>
                <w:sz w:val="32"/>
                <w:szCs w:val="32"/>
              </w:rPr>
            </w:pPr>
          </w:p>
        </w:tc>
      </w:tr>
      <w:tr w14:paraId="15BC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14:paraId="766BAD8F">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10</w:t>
            </w:r>
          </w:p>
        </w:tc>
        <w:tc>
          <w:tcPr>
            <w:tcW w:w="950" w:type="dxa"/>
            <w:vAlign w:val="center"/>
          </w:tcPr>
          <w:p w14:paraId="03E84A73">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包装间、分割间、产品整理间等人员较多场所空调系统的制冷方式</w:t>
            </w:r>
          </w:p>
        </w:tc>
        <w:tc>
          <w:tcPr>
            <w:tcW w:w="950" w:type="dxa"/>
            <w:vAlign w:val="center"/>
          </w:tcPr>
          <w:p w14:paraId="5E0C0A7C">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包装间、分割间、产品整理间等人员较多场所空调系统严禁采用氨直接蒸发制冷系统（重大隐患）</w:t>
            </w:r>
          </w:p>
        </w:tc>
        <w:tc>
          <w:tcPr>
            <w:tcW w:w="6021" w:type="dxa"/>
            <w:vAlign w:val="center"/>
          </w:tcPr>
          <w:p w14:paraId="499993D9">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《中华人民共和国安全生产法》第三十八条</w:t>
            </w:r>
            <w:r>
              <w:rPr>
                <w:rFonts w:hint="eastAsia" w:ascii="仿宋_GB2312" w:hAnsi="仿宋_GB2312" w:eastAsia="仿宋_GB2312" w:cs="仿宋_GB2312"/>
                <w:color w:val="auto"/>
                <w:kern w:val="0"/>
                <w:sz w:val="32"/>
                <w:szCs w:val="32"/>
              </w:rPr>
              <w:t xml:space="preserve"> 国家对严重危及生产安全的工艺、设备实行淘汰制度，具体目录由国务院应急管理部门会同国务院有关部门制定并公布。法律、行政法规对目录的制定另有规定的，适用其规定。</w:t>
            </w:r>
          </w:p>
          <w:p w14:paraId="5F644F27">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省、自治区、直辖市人民政府可以根据本地区实际情况制定并公布具体目录，对前款规定以外的危及生产安全的工艺、设备予以淘汰。</w:t>
            </w:r>
          </w:p>
          <w:p w14:paraId="610FE29B">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生产经营单位不得使用应当淘汰的危及生产安全的工艺、设备。</w:t>
            </w:r>
          </w:p>
          <w:p w14:paraId="4E60034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《冷库设计规范》(GB50072-2010)第6.2.7条</w:t>
            </w:r>
            <w:r>
              <w:rPr>
                <w:rFonts w:hint="eastAsia" w:ascii="仿宋_GB2312" w:hAnsi="仿宋_GB2312" w:eastAsia="仿宋_GB2312" w:cs="仿宋_GB2312"/>
                <w:color w:val="auto"/>
                <w:kern w:val="0"/>
                <w:sz w:val="32"/>
                <w:szCs w:val="32"/>
              </w:rPr>
              <w:t>包装间、分割间、产品整理间等人员较多房间的空调系统严禁采用氨直接蒸发制冷系统。</w:t>
            </w:r>
          </w:p>
          <w:p w14:paraId="60E2EDAB">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《氨制冷企业安全规范》（AQ 7015-2018）</w:t>
            </w:r>
          </w:p>
          <w:p w14:paraId="72C5935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5.8包装间、分割间、产品整理间等人员较多的生产场所的空调系统不应采用氨直接蒸发制冷系统。</w:t>
            </w:r>
          </w:p>
          <w:p w14:paraId="606C02DD">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《工贸行业重大生产安全事故隐患判定标准（2017版）》（安监总管四〔2017〕129号）</w:t>
            </w:r>
          </w:p>
          <w:p w14:paraId="45D3AC87">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一、专项类重大事故隐患</w:t>
            </w:r>
          </w:p>
          <w:p w14:paraId="50CC4D7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（二）使用液氨制冷的行业领域</w:t>
            </w:r>
          </w:p>
          <w:p w14:paraId="07202A4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1.包装间、分割间、产品整理间等人员较多生产场所的空调系统采用氨直接蒸发制冷系统。</w:t>
            </w:r>
          </w:p>
        </w:tc>
        <w:tc>
          <w:tcPr>
            <w:tcW w:w="1779" w:type="dxa"/>
            <w:vAlign w:val="center"/>
          </w:tcPr>
          <w:p w14:paraId="1DD2A90C">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（1）企业营业执照和有关证照；</w:t>
            </w:r>
          </w:p>
          <w:p w14:paraId="5585E18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（2）设计资料；</w:t>
            </w:r>
          </w:p>
          <w:p w14:paraId="0D4A88C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（3）相应装置或设备购买凭证和说明书、合格证明；</w:t>
            </w:r>
          </w:p>
          <w:p w14:paraId="2272BEB7">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（4）图片或影像资料；</w:t>
            </w:r>
          </w:p>
          <w:p w14:paraId="6FBADC8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14AB93B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3FEC3E2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（7）其他相关证据。</w:t>
            </w:r>
          </w:p>
        </w:tc>
        <w:tc>
          <w:tcPr>
            <w:tcW w:w="3900" w:type="dxa"/>
            <w:vAlign w:val="center"/>
          </w:tcPr>
          <w:p w14:paraId="11111240">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第九十九条第七项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E853F86">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（七）使用应当淘汰的危及生产安全的工艺、设备的；</w:t>
            </w:r>
          </w:p>
          <w:p w14:paraId="0D140BF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42050B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380A09D">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0" w:type="dxa"/>
            <w:vAlign w:val="center"/>
          </w:tcPr>
          <w:p w14:paraId="1F99A613">
            <w:pPr>
              <w:widowControl/>
              <w:adjustRightInd w:val="0"/>
              <w:snapToGrid w:val="0"/>
              <w:rPr>
                <w:rFonts w:hint="eastAsia" w:ascii="仿宋_GB2312" w:hAnsi="仿宋_GB2312" w:eastAsia="仿宋_GB2312" w:cs="仿宋_GB2312"/>
                <w:bCs/>
                <w:color w:val="auto"/>
                <w:kern w:val="0"/>
                <w:sz w:val="32"/>
                <w:szCs w:val="32"/>
              </w:rPr>
            </w:pPr>
          </w:p>
        </w:tc>
      </w:tr>
      <w:tr w14:paraId="531D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14:paraId="2084173A">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w:t>
            </w:r>
          </w:p>
        </w:tc>
        <w:tc>
          <w:tcPr>
            <w:tcW w:w="950" w:type="dxa"/>
            <w:vAlign w:val="center"/>
          </w:tcPr>
          <w:p w14:paraId="61816CB8">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人员较多的生产场所使用快速冻结装置的防护情况</w:t>
            </w:r>
          </w:p>
        </w:tc>
        <w:tc>
          <w:tcPr>
            <w:tcW w:w="950" w:type="dxa"/>
            <w:vAlign w:val="center"/>
          </w:tcPr>
          <w:p w14:paraId="103B9EF7">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快速冻结装置必须设置在单独的作业间内，且作业间内作业人员不得超过9人（重大隐患）</w:t>
            </w:r>
          </w:p>
        </w:tc>
        <w:tc>
          <w:tcPr>
            <w:tcW w:w="6021" w:type="dxa"/>
            <w:vAlign w:val="center"/>
          </w:tcPr>
          <w:p w14:paraId="4185B4F5">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1E8F1C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《氨制冷企业安全规范》（AQ7015-2018）第5.9条</w:t>
            </w:r>
            <w:r>
              <w:rPr>
                <w:rFonts w:hint="eastAsia" w:ascii="仿宋_GB2312" w:hAnsi="仿宋_GB2312" w:eastAsia="仿宋_GB2312" w:cs="仿宋_GB2312"/>
                <w:color w:val="auto"/>
                <w:kern w:val="0"/>
                <w:sz w:val="32"/>
                <w:szCs w:val="32"/>
              </w:rPr>
              <w:t>快速冻结装置应设置在单独的作业间内，作业间内应结构完整，且作业间内同一时间作业人数不应超过9人。</w:t>
            </w:r>
          </w:p>
          <w:p w14:paraId="70E8951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《工贸行业重大生产安全事故隐患判定标准（2017版）》（安监总管四〔2017〕129号）</w:t>
            </w:r>
          </w:p>
          <w:p w14:paraId="1973FA3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一、专项类重大事故隐患</w:t>
            </w:r>
          </w:p>
          <w:p w14:paraId="1CBFE75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（二）使用液氨制冷的行业领域</w:t>
            </w:r>
          </w:p>
          <w:p w14:paraId="35B5EF1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2.快速冻结装置未设置在单独的作业间内，且作业间内作业人员数量超过9人。</w:t>
            </w:r>
          </w:p>
        </w:tc>
        <w:tc>
          <w:tcPr>
            <w:tcW w:w="1779" w:type="dxa"/>
            <w:vAlign w:val="center"/>
          </w:tcPr>
          <w:p w14:paraId="39DD782C">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（1）企业营业执照和有关证照；</w:t>
            </w:r>
          </w:p>
          <w:p w14:paraId="4F1BE9E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（2）设计资料；</w:t>
            </w:r>
          </w:p>
          <w:p w14:paraId="54684EE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（3）相应装置或设备购买凭证和说明书、合格证明；</w:t>
            </w:r>
          </w:p>
          <w:p w14:paraId="5B0D4C2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（4）作业过程记录等相关资料。；</w:t>
            </w:r>
          </w:p>
          <w:p w14:paraId="5688E2EE">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（5）图片或影像资料；</w:t>
            </w:r>
          </w:p>
          <w:p w14:paraId="1E6A251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248A87C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（7）企业相关人员任职文件、身份证明及其询问笔录；</w:t>
            </w:r>
          </w:p>
          <w:p w14:paraId="042F038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（8）其他相关证据。</w:t>
            </w:r>
          </w:p>
        </w:tc>
        <w:tc>
          <w:tcPr>
            <w:tcW w:w="3900" w:type="dxa"/>
            <w:vAlign w:val="center"/>
          </w:tcPr>
          <w:p w14:paraId="05A8A8D2">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6AC0A1BA">
            <w:pPr>
              <w:widowControl/>
              <w:adjustRightInd w:val="0"/>
              <w:snapToGrid w:val="0"/>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7B3EA52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99A1080">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0" w:type="dxa"/>
            <w:vAlign w:val="center"/>
          </w:tcPr>
          <w:p w14:paraId="0BD3068A">
            <w:pPr>
              <w:widowControl/>
              <w:adjustRightInd w:val="0"/>
              <w:snapToGrid w:val="0"/>
              <w:rPr>
                <w:rFonts w:hint="eastAsia" w:ascii="仿宋_GB2312" w:hAnsi="仿宋_GB2312" w:eastAsia="仿宋_GB2312" w:cs="仿宋_GB2312"/>
                <w:bCs/>
                <w:color w:val="auto"/>
                <w:kern w:val="0"/>
                <w:sz w:val="32"/>
                <w:szCs w:val="32"/>
              </w:rPr>
            </w:pPr>
          </w:p>
        </w:tc>
      </w:tr>
      <w:tr w14:paraId="07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14:paraId="2680D5B7">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12</w:t>
            </w:r>
          </w:p>
        </w:tc>
        <w:tc>
          <w:tcPr>
            <w:tcW w:w="950" w:type="dxa"/>
            <w:vAlign w:val="center"/>
          </w:tcPr>
          <w:p w14:paraId="69BFF6FA">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爆炸危险环境防爆措施</w:t>
            </w:r>
          </w:p>
        </w:tc>
        <w:tc>
          <w:tcPr>
            <w:tcW w:w="950" w:type="dxa"/>
            <w:vAlign w:val="center"/>
          </w:tcPr>
          <w:p w14:paraId="4E7AB637">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爆炸危险环境应采取防爆措施</w:t>
            </w:r>
          </w:p>
        </w:tc>
        <w:tc>
          <w:tcPr>
            <w:tcW w:w="6021" w:type="dxa"/>
            <w:vAlign w:val="center"/>
          </w:tcPr>
          <w:p w14:paraId="3226809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《四川省安全生产条例》第三十二条第二款</w:t>
            </w:r>
            <w:r>
              <w:rPr>
                <w:rFonts w:hint="eastAsia" w:ascii="仿宋_GB2312" w:hAnsi="仿宋_GB2312" w:eastAsia="仿宋_GB2312" w:cs="仿宋_GB2312"/>
                <w:color w:val="auto"/>
                <w:kern w:val="0"/>
                <w:sz w:val="32"/>
                <w:szCs w:val="32"/>
              </w:rPr>
              <w:t>有易燃、易爆气体和粉尘的作业场所，应当使用防爆型电气设备或者采取有效的防爆技术措施。</w:t>
            </w:r>
          </w:p>
          <w:p w14:paraId="68F9369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《爆炸危险环境电力装置设计规范》（GB50058-2014）第5.2.2.1条</w:t>
            </w:r>
            <w:r>
              <w:rPr>
                <w:rFonts w:hint="eastAsia" w:ascii="仿宋_GB2312" w:hAnsi="仿宋_GB2312" w:eastAsia="仿宋_GB2312" w:cs="仿宋_GB2312"/>
                <w:color w:val="auto"/>
                <w:kern w:val="0"/>
                <w:sz w:val="32"/>
                <w:szCs w:val="32"/>
              </w:rPr>
              <w:t>爆炸性环境内电气设备保护级别的选择应符合表5.2.2-1的规定。</w:t>
            </w:r>
          </w:p>
        </w:tc>
        <w:tc>
          <w:tcPr>
            <w:tcW w:w="1779" w:type="dxa"/>
            <w:vAlign w:val="center"/>
          </w:tcPr>
          <w:p w14:paraId="0520BD1B">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（1）企业营业执照和有关证照；</w:t>
            </w:r>
          </w:p>
          <w:p w14:paraId="763BE1B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（2）爆炸危险区域划分图；</w:t>
            </w:r>
          </w:p>
          <w:p w14:paraId="3E597AA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（3）防爆电气设备合格证明；</w:t>
            </w:r>
          </w:p>
          <w:p w14:paraId="6E9A03B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（4）安全设施设计；</w:t>
            </w:r>
          </w:p>
          <w:p w14:paraId="4A7D318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（5）防爆电气设备采购单和说明书；</w:t>
            </w:r>
          </w:p>
          <w:p w14:paraId="0BFA78C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（6）图片或影像资料；</w:t>
            </w:r>
          </w:p>
          <w:p w14:paraId="497B76B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1BB6400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（8）企业相关人员任职文件、身份证明及其询问笔录；</w:t>
            </w:r>
          </w:p>
          <w:p w14:paraId="4ADAB63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（9）其他相关证据。</w:t>
            </w:r>
          </w:p>
        </w:tc>
        <w:tc>
          <w:tcPr>
            <w:tcW w:w="3900" w:type="dxa"/>
            <w:vAlign w:val="center"/>
          </w:tcPr>
          <w:p w14:paraId="7C8CC05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《四川省安全生产条例》第六十九条</w:t>
            </w:r>
            <w:r>
              <w:rPr>
                <w:rFonts w:hint="eastAsia" w:ascii="仿宋_GB2312" w:hAnsi="仿宋_GB2312" w:eastAsia="仿宋_GB2312" w:cs="仿宋_GB2312"/>
                <w:color w:val="auto"/>
                <w:kern w:val="0"/>
                <w:sz w:val="32"/>
                <w:szCs w:val="32"/>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0" w:type="dxa"/>
            <w:vAlign w:val="center"/>
          </w:tcPr>
          <w:p w14:paraId="18721686">
            <w:pPr>
              <w:widowControl/>
              <w:adjustRightInd w:val="0"/>
              <w:snapToGrid w:val="0"/>
              <w:rPr>
                <w:rFonts w:hint="eastAsia" w:ascii="仿宋_GB2312" w:hAnsi="仿宋_GB2312" w:eastAsia="仿宋_GB2312" w:cs="仿宋_GB2312"/>
                <w:bCs/>
                <w:color w:val="auto"/>
                <w:kern w:val="0"/>
                <w:sz w:val="32"/>
                <w:szCs w:val="32"/>
              </w:rPr>
            </w:pPr>
          </w:p>
        </w:tc>
      </w:tr>
      <w:tr w14:paraId="3A2E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402" w:hRule="atLeast"/>
          <w:jc w:val="center"/>
        </w:trPr>
        <w:tc>
          <w:tcPr>
            <w:tcW w:w="617" w:type="dxa"/>
            <w:vAlign w:val="center"/>
          </w:tcPr>
          <w:p w14:paraId="69512FDE">
            <w:pPr>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13</w:t>
            </w:r>
          </w:p>
        </w:tc>
        <w:tc>
          <w:tcPr>
            <w:tcW w:w="950" w:type="dxa"/>
            <w:vAlign w:val="center"/>
          </w:tcPr>
          <w:p w14:paraId="2F615F99">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重大危险源管理情况</w:t>
            </w:r>
          </w:p>
        </w:tc>
        <w:tc>
          <w:tcPr>
            <w:tcW w:w="950" w:type="dxa"/>
            <w:vAlign w:val="center"/>
          </w:tcPr>
          <w:p w14:paraId="036C537D">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制冷系统氨充注量大于等于10t的企业，应按照危险化学品重大危险源进行管理</w:t>
            </w:r>
          </w:p>
        </w:tc>
        <w:tc>
          <w:tcPr>
            <w:tcW w:w="6021" w:type="dxa"/>
            <w:vAlign w:val="center"/>
          </w:tcPr>
          <w:p w14:paraId="069003CD">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第四十条</w:t>
            </w:r>
            <w:r>
              <w:rPr>
                <w:rFonts w:hint="eastAsia" w:ascii="仿宋_GB2312" w:hAnsi="仿宋_GB2312" w:eastAsia="仿宋_GB2312" w:cs="仿宋_GB2312"/>
                <w:color w:val="auto"/>
                <w:kern w:val="0"/>
                <w:sz w:val="32"/>
                <w:szCs w:val="32"/>
              </w:rPr>
              <w:t>生产经营单位对重大危险源应当登记建档，进行定期检测、评估、监控，并制定应急预案，告知从业人员和相关人员在紧急情况下应当采取的应急措施。</w:t>
            </w:r>
          </w:p>
          <w:p w14:paraId="6117611D">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p>
          <w:p w14:paraId="7B7351F0">
            <w:pPr>
              <w:widowControl/>
              <w:adjustRightInd w:val="0"/>
              <w:snapToGrid w:val="0"/>
              <w:ind w:firstLine="803" w:firstLineChars="25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（重大危险源依照《危险化学品重大危险源辨识》（GB 18218-2018）4确定，并依照《危险化学品重大危险源监督管理暂行规定》等规定执行）</w:t>
            </w:r>
          </w:p>
        </w:tc>
        <w:tc>
          <w:tcPr>
            <w:tcW w:w="1779" w:type="dxa"/>
            <w:vAlign w:val="center"/>
          </w:tcPr>
          <w:p w14:paraId="2F8FF6DA">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（1）企业营业执照和有关证照；</w:t>
            </w:r>
          </w:p>
          <w:p w14:paraId="32A3D030">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（2）安全评价报告；</w:t>
            </w:r>
          </w:p>
          <w:p w14:paraId="6FE2348F">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（3）危险化学品重大危险源评估报告；</w:t>
            </w:r>
          </w:p>
          <w:p w14:paraId="71367AD9">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（4）危险化学品重大危险源辨识记录；</w:t>
            </w:r>
          </w:p>
          <w:p w14:paraId="54D43B1C">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（5）危险化学品重大危险应急救援预案和备案证明；</w:t>
            </w:r>
          </w:p>
          <w:p w14:paraId="07355DEB">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（6）危险化学品重大危险源档案；</w:t>
            </w:r>
          </w:p>
          <w:p w14:paraId="15A3C71A">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（7）图片或影像资料；</w:t>
            </w:r>
          </w:p>
          <w:p w14:paraId="1ACFA962">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（8）</w:t>
            </w:r>
            <w:r>
              <w:rPr>
                <w:rFonts w:hint="eastAsia" w:ascii="仿宋_GB2312" w:hAnsi="仿宋_GB2312" w:eastAsia="仿宋_GB2312" w:cs="仿宋_GB2312"/>
                <w:color w:val="auto"/>
                <w:kern w:val="0"/>
                <w:sz w:val="32"/>
                <w:szCs w:val="32"/>
              </w:rPr>
              <w:t>《现场检查记录》《责令限期整改指令书》等相关执法文书；</w:t>
            </w:r>
          </w:p>
          <w:p w14:paraId="60286AAF">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（9）</w:t>
            </w:r>
            <w:r>
              <w:rPr>
                <w:rFonts w:hint="eastAsia" w:ascii="仿宋_GB2312" w:hAnsi="仿宋_GB2312" w:eastAsia="仿宋_GB2312" w:cs="仿宋_GB2312"/>
                <w:color w:val="auto"/>
                <w:kern w:val="0"/>
                <w:sz w:val="32"/>
                <w:szCs w:val="32"/>
              </w:rPr>
              <w:t>企业相关人员任职文件、身份证明及其询问笔录；</w:t>
            </w:r>
          </w:p>
          <w:p w14:paraId="542B9B2B">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（10）其他相关证据。</w:t>
            </w:r>
          </w:p>
        </w:tc>
        <w:tc>
          <w:tcPr>
            <w:tcW w:w="3900" w:type="dxa"/>
            <w:vAlign w:val="center"/>
          </w:tcPr>
          <w:p w14:paraId="2419FCED">
            <w:pPr>
              <w:widowControl/>
              <w:shd w:val="clear" w:color="auto" w:fill="FFFFFF"/>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《中华人民共和国安全生产法》第一百零一条第二项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7545240F">
            <w:pPr>
              <w:widowControl/>
              <w:shd w:val="clear" w:color="auto" w:fill="FFFFFF"/>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（二）对重大危险源未登记建档，未进行定期检测、评估、监控，未制定应急预案，或者未告知应急措施的；</w:t>
            </w:r>
          </w:p>
          <w:p w14:paraId="7893954C">
            <w:pPr>
              <w:widowControl/>
              <w:adjustRightInd w:val="0"/>
              <w:snapToGrid w:val="0"/>
              <w:ind w:firstLine="640" w:firstLineChars="200"/>
              <w:rPr>
                <w:rFonts w:hint="eastAsia" w:ascii="仿宋_GB2312" w:hAnsi="仿宋_GB2312" w:eastAsia="仿宋_GB2312" w:cs="仿宋_GB2312"/>
                <w:bCs/>
                <w:color w:val="auto"/>
                <w:kern w:val="0"/>
                <w:sz w:val="32"/>
                <w:szCs w:val="32"/>
              </w:rPr>
            </w:pPr>
          </w:p>
        </w:tc>
        <w:tc>
          <w:tcPr>
            <w:tcW w:w="950" w:type="dxa"/>
            <w:vAlign w:val="center"/>
          </w:tcPr>
          <w:p w14:paraId="01C62704">
            <w:pPr>
              <w:widowControl/>
              <w:adjustRightInd w:val="0"/>
              <w:snapToGrid w:val="0"/>
              <w:rPr>
                <w:rFonts w:hint="eastAsia" w:ascii="仿宋_GB2312" w:hAnsi="仿宋_GB2312" w:eastAsia="仿宋_GB2312" w:cs="仿宋_GB2312"/>
                <w:bCs/>
                <w:color w:val="auto"/>
                <w:kern w:val="0"/>
                <w:sz w:val="32"/>
                <w:szCs w:val="32"/>
              </w:rPr>
            </w:pPr>
          </w:p>
        </w:tc>
      </w:tr>
      <w:tr w14:paraId="4E41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2" w:hRule="atLeast"/>
          <w:jc w:val="center"/>
        </w:trPr>
        <w:tc>
          <w:tcPr>
            <w:tcW w:w="15167" w:type="dxa"/>
            <w:gridSpan w:val="7"/>
            <w:vAlign w:val="center"/>
          </w:tcPr>
          <w:p w14:paraId="09CFEADE">
            <w:pPr>
              <w:widowControl/>
              <w:adjustRightInd w:val="0"/>
              <w:snapToGrid w:val="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说明：1、根据本清单提供的证照及资料有原件的，应核实原件后留存复印件；无原件的提供复印件。所有复印件资料均应加盖企业公章。证照及资料有正副本的，均核验留存复印件。</w:t>
            </w:r>
          </w:p>
          <w:p w14:paraId="62D084FD">
            <w:pPr>
              <w:widowControl/>
              <w:adjustRightInd w:val="0"/>
              <w:snapToGrid w:val="0"/>
              <w:ind w:firstLine="960" w:firstLineChars="3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2、其他相关证据：能够证明企业违法违规行为的其他相关资料。</w:t>
            </w:r>
          </w:p>
        </w:tc>
      </w:tr>
    </w:tbl>
    <w:p w14:paraId="10C7B9B9">
      <w:pPr>
        <w:widowControl/>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2388F715">
      <w:pPr>
        <w:pStyle w:val="3"/>
        <w:spacing w:line="240" w:lineRule="auto"/>
        <w:jc w:val="center"/>
        <w:rPr>
          <w:rFonts w:hint="eastAsia" w:ascii="仿宋_GB2312" w:hAnsi="仿宋_GB2312" w:eastAsia="仿宋_GB2312" w:cs="仿宋_GB2312"/>
          <w:color w:val="auto"/>
          <w:sz w:val="32"/>
          <w:szCs w:val="32"/>
        </w:rPr>
      </w:pPr>
      <w:bookmarkStart w:id="21" w:name="_Toc15315"/>
      <w:r>
        <w:rPr>
          <w:rFonts w:hint="eastAsia" w:ascii="仿宋_GB2312" w:hAnsi="仿宋_GB2312" w:eastAsia="仿宋_GB2312" w:cs="仿宋_GB2312"/>
          <w:color w:val="auto"/>
          <w:sz w:val="32"/>
          <w:szCs w:val="32"/>
        </w:rPr>
        <w:t>机械企业重点检查清单</w:t>
      </w:r>
      <w:bookmarkEnd w:id="21"/>
    </w:p>
    <w:tbl>
      <w:tblPr>
        <w:tblStyle w:val="8"/>
        <w:tblW w:w="15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54"/>
        <w:gridCol w:w="960"/>
        <w:gridCol w:w="3899"/>
        <w:gridCol w:w="3883"/>
        <w:gridCol w:w="3894"/>
        <w:gridCol w:w="960"/>
      </w:tblGrid>
      <w:tr w14:paraId="4DB2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17" w:type="dxa"/>
            <w:vAlign w:val="center"/>
          </w:tcPr>
          <w:p w14:paraId="052B416D">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序号</w:t>
            </w:r>
          </w:p>
        </w:tc>
        <w:tc>
          <w:tcPr>
            <w:tcW w:w="954" w:type="dxa"/>
            <w:vAlign w:val="center"/>
          </w:tcPr>
          <w:p w14:paraId="572B5FD3">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检查事项</w:t>
            </w:r>
          </w:p>
        </w:tc>
        <w:tc>
          <w:tcPr>
            <w:tcW w:w="960" w:type="dxa"/>
            <w:vAlign w:val="center"/>
          </w:tcPr>
          <w:p w14:paraId="3E164BD5">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检查内容</w:t>
            </w:r>
          </w:p>
        </w:tc>
        <w:tc>
          <w:tcPr>
            <w:tcW w:w="3899" w:type="dxa"/>
            <w:vAlign w:val="center"/>
          </w:tcPr>
          <w:p w14:paraId="7125809E">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检查依据</w:t>
            </w:r>
          </w:p>
        </w:tc>
        <w:tc>
          <w:tcPr>
            <w:tcW w:w="3883" w:type="dxa"/>
            <w:vAlign w:val="center"/>
          </w:tcPr>
          <w:p w14:paraId="0B9473B5">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主要证据</w:t>
            </w:r>
          </w:p>
        </w:tc>
        <w:tc>
          <w:tcPr>
            <w:tcW w:w="3894" w:type="dxa"/>
            <w:vAlign w:val="center"/>
          </w:tcPr>
          <w:p w14:paraId="7A598A48">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法律责任</w:t>
            </w:r>
          </w:p>
        </w:tc>
        <w:tc>
          <w:tcPr>
            <w:tcW w:w="960" w:type="dxa"/>
            <w:vAlign w:val="center"/>
          </w:tcPr>
          <w:p w14:paraId="198CC0BA">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检查结果</w:t>
            </w:r>
          </w:p>
        </w:tc>
      </w:tr>
      <w:tr w14:paraId="7B89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617" w:type="dxa"/>
            <w:vAlign w:val="center"/>
          </w:tcPr>
          <w:p w14:paraId="5813AA6A">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w:t>
            </w:r>
          </w:p>
        </w:tc>
        <w:tc>
          <w:tcPr>
            <w:tcW w:w="954" w:type="dxa"/>
            <w:vAlign w:val="center"/>
          </w:tcPr>
          <w:p w14:paraId="38D46D34">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安全警示标志</w:t>
            </w:r>
          </w:p>
        </w:tc>
        <w:tc>
          <w:tcPr>
            <w:tcW w:w="960" w:type="dxa"/>
            <w:vAlign w:val="center"/>
          </w:tcPr>
          <w:p w14:paraId="474B1108">
            <w:pPr>
              <w:widowControl/>
              <w:adjustRightInd w:val="0"/>
              <w:snapToGrid w:val="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在有较大危险因素的场所和有关设施、设备上，是否设置明显的安全警示标志</w:t>
            </w:r>
          </w:p>
        </w:tc>
        <w:tc>
          <w:tcPr>
            <w:tcW w:w="3899" w:type="dxa"/>
            <w:vAlign w:val="center"/>
          </w:tcPr>
          <w:p w14:paraId="757C0C6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第三十五条</w:t>
            </w:r>
            <w:r>
              <w:rPr>
                <w:rFonts w:hint="eastAsia" w:ascii="仿宋_GB2312" w:hAnsi="仿宋_GB2312" w:eastAsia="仿宋_GB2312" w:cs="仿宋_GB2312"/>
                <w:color w:val="auto"/>
                <w:kern w:val="0"/>
                <w:sz w:val="32"/>
                <w:szCs w:val="32"/>
              </w:rPr>
              <w:t>生产经营单位应当在有较大危险因素的生产经营场所和有关设施、设备上，设置明显的安全警示标志。</w:t>
            </w:r>
          </w:p>
          <w:p w14:paraId="3A43A004">
            <w:pPr>
              <w:widowControl/>
              <w:adjustRightInd w:val="0"/>
              <w:snapToGrid w:val="0"/>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kern w:val="0"/>
                <w:sz w:val="32"/>
                <w:szCs w:val="32"/>
              </w:rPr>
              <w:t>《安全标志及其使用导则》(GB2894-2008)</w:t>
            </w:r>
          </w:p>
        </w:tc>
        <w:tc>
          <w:tcPr>
            <w:tcW w:w="3883" w:type="dxa"/>
            <w:vAlign w:val="center"/>
          </w:tcPr>
          <w:p w14:paraId="3F0B3BF9">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23A1D686">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（2）企业较大危险因素辨识的相关资料；</w:t>
            </w:r>
          </w:p>
          <w:p w14:paraId="0AE7C31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（3）现场图片或影像资料（含设置明显安全警示标志的图片）；</w:t>
            </w:r>
          </w:p>
          <w:p w14:paraId="41046F5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59EAD9D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53EC6EFA">
            <w:pPr>
              <w:widowControl/>
              <w:adjustRightInd w:val="0"/>
              <w:snapToGrid w:val="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（6）其它相关证据。</w:t>
            </w:r>
          </w:p>
        </w:tc>
        <w:tc>
          <w:tcPr>
            <w:tcW w:w="3894" w:type="dxa"/>
            <w:vAlign w:val="center"/>
          </w:tcPr>
          <w:p w14:paraId="455D1F23">
            <w:pPr>
              <w:widowControl/>
              <w:numPr>
                <w:ilvl w:val="255"/>
                <w:numId w:val="0"/>
              </w:numPr>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第九十九条第一项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FB43662">
            <w:pPr>
              <w:widowControl/>
              <w:numPr>
                <w:ilvl w:val="255"/>
                <w:numId w:val="0"/>
              </w:numPr>
              <w:adjustRightInd w:val="0"/>
              <w:snapToGrid w:val="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（一）未在有较大危险因素的生产经营场所和有关设施、设备上设置明显的安全警示标志的；</w:t>
            </w:r>
          </w:p>
        </w:tc>
        <w:tc>
          <w:tcPr>
            <w:tcW w:w="960" w:type="dxa"/>
            <w:vAlign w:val="center"/>
          </w:tcPr>
          <w:p w14:paraId="0CB81187">
            <w:pPr>
              <w:widowControl/>
              <w:adjustRightInd w:val="0"/>
              <w:snapToGri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参照《机械行业较大危险因素辨识与防范指导手册》</w:t>
            </w:r>
          </w:p>
        </w:tc>
      </w:tr>
      <w:tr w14:paraId="48D0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617" w:type="dxa"/>
            <w:vMerge w:val="restart"/>
            <w:vAlign w:val="center"/>
          </w:tcPr>
          <w:p w14:paraId="121A1067">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2</w:t>
            </w:r>
          </w:p>
        </w:tc>
        <w:tc>
          <w:tcPr>
            <w:tcW w:w="954" w:type="dxa"/>
            <w:vAlign w:val="center"/>
          </w:tcPr>
          <w:p w14:paraId="6B501BAB">
            <w:pPr>
              <w:widowControl/>
              <w:adjustRightInd w:val="0"/>
              <w:snapToGrid w:val="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可控气氛多用炉</w:t>
            </w:r>
          </w:p>
        </w:tc>
        <w:tc>
          <w:tcPr>
            <w:tcW w:w="960" w:type="dxa"/>
            <w:vAlign w:val="center"/>
          </w:tcPr>
          <w:p w14:paraId="43F442D2">
            <w:pPr>
              <w:widowControl/>
              <w:adjustRightInd w:val="0"/>
              <w:snapToGrid w:val="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2.1可控气氛多用炉淬火室设安全防爆装置，炉门设防护装置；通水冷却的电阻炉安装水温、水压报警装置</w:t>
            </w:r>
          </w:p>
        </w:tc>
        <w:tc>
          <w:tcPr>
            <w:tcW w:w="3899" w:type="dxa"/>
            <w:vAlign w:val="center"/>
          </w:tcPr>
          <w:p w14:paraId="270F4C25">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7123066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《金属热处理生产过程安全、卫生要求》（GB 15735-2012）7.2.5</w:t>
            </w:r>
            <w:r>
              <w:rPr>
                <w:rFonts w:hint="eastAsia" w:ascii="仿宋_GB2312" w:hAnsi="仿宋_GB2312" w:eastAsia="仿宋_GB2312" w:cs="仿宋_GB2312"/>
                <w:color w:val="auto"/>
                <w:kern w:val="0"/>
                <w:sz w:val="32"/>
                <w:szCs w:val="32"/>
              </w:rPr>
              <w:t>可控气氛多用炉淬火室应设安全防爆装置，炉门应设防护装置；</w:t>
            </w:r>
          </w:p>
          <w:p w14:paraId="5780A3DB">
            <w:pPr>
              <w:widowControl/>
              <w:adjustRightInd w:val="0"/>
              <w:snapToGrid w:val="0"/>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kern w:val="0"/>
                <w:sz w:val="32"/>
                <w:szCs w:val="32"/>
              </w:rPr>
              <w:t>《金属热处理生产过程安全、卫生要求》（GB 15735-2012）7.2.6</w:t>
            </w:r>
            <w:r>
              <w:rPr>
                <w:rFonts w:hint="eastAsia" w:ascii="仿宋_GB2312" w:hAnsi="仿宋_GB2312" w:eastAsia="仿宋_GB2312" w:cs="仿宋_GB2312"/>
                <w:color w:val="auto"/>
                <w:kern w:val="0"/>
                <w:sz w:val="32"/>
                <w:szCs w:val="32"/>
              </w:rPr>
              <w:t>通水冷却的电阻炉应安装水温、水压报警装置，当出现不正常情况时应能断电，并及时报警。</w:t>
            </w:r>
          </w:p>
        </w:tc>
        <w:tc>
          <w:tcPr>
            <w:tcW w:w="3883" w:type="dxa"/>
            <w:vAlign w:val="center"/>
          </w:tcPr>
          <w:p w14:paraId="65974788">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2F20C195">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（2）相应装置和相关设施合格证明；</w:t>
            </w:r>
          </w:p>
          <w:p w14:paraId="41E5DC9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4515C88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0BE6A46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29A0E11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（6）其它相关证据。</w:t>
            </w:r>
          </w:p>
        </w:tc>
        <w:tc>
          <w:tcPr>
            <w:tcW w:w="3894" w:type="dxa"/>
            <w:vAlign w:val="center"/>
          </w:tcPr>
          <w:p w14:paraId="333D0E02">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652E9814">
            <w:pPr>
              <w:widowControl/>
              <w:adjustRightInd w:val="0"/>
              <w:snapToGrid w:val="0"/>
              <w:ind w:firstLine="643" w:firstLineChars="200"/>
              <w:rPr>
                <w:rFonts w:hint="eastAsia" w:ascii="仿宋_GB2312" w:hAnsi="仿宋_GB2312" w:eastAsia="仿宋_GB2312" w:cs="仿宋_GB2312"/>
                <w:b/>
                <w:color w:val="auto"/>
                <w:kern w:val="0"/>
                <w:sz w:val="32"/>
                <w:szCs w:val="32"/>
              </w:rPr>
            </w:pPr>
          </w:p>
        </w:tc>
        <w:tc>
          <w:tcPr>
            <w:tcW w:w="960" w:type="dxa"/>
            <w:vAlign w:val="center"/>
          </w:tcPr>
          <w:p w14:paraId="5AAB2C7A">
            <w:pPr>
              <w:widowControl/>
              <w:adjustRightInd w:val="0"/>
              <w:snapToGrid w:val="0"/>
              <w:ind w:firstLine="640" w:firstLineChars="200"/>
              <w:rPr>
                <w:rFonts w:hint="eastAsia" w:ascii="仿宋_GB2312" w:hAnsi="仿宋_GB2312" w:eastAsia="仿宋_GB2312" w:cs="仿宋_GB2312"/>
                <w:color w:val="auto"/>
                <w:sz w:val="32"/>
                <w:szCs w:val="32"/>
              </w:rPr>
            </w:pPr>
          </w:p>
        </w:tc>
      </w:tr>
      <w:tr w14:paraId="7D86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14:paraId="7806D21E">
            <w:pPr>
              <w:widowControl/>
              <w:adjustRightInd w:val="0"/>
              <w:snapToGrid w:val="0"/>
              <w:jc w:val="center"/>
              <w:rPr>
                <w:rFonts w:hint="eastAsia" w:ascii="仿宋_GB2312" w:hAnsi="仿宋_GB2312" w:eastAsia="仿宋_GB2312" w:cs="仿宋_GB2312"/>
                <w:b/>
                <w:color w:val="auto"/>
                <w:kern w:val="0"/>
                <w:sz w:val="32"/>
                <w:szCs w:val="32"/>
              </w:rPr>
            </w:pPr>
          </w:p>
        </w:tc>
        <w:tc>
          <w:tcPr>
            <w:tcW w:w="954" w:type="dxa"/>
            <w:vAlign w:val="center"/>
          </w:tcPr>
          <w:p w14:paraId="7514B9BD">
            <w:pPr>
              <w:widowControl/>
              <w:adjustRightInd w:val="0"/>
              <w:snapToGrid w:val="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燃料炉</w:t>
            </w:r>
          </w:p>
        </w:tc>
        <w:tc>
          <w:tcPr>
            <w:tcW w:w="960" w:type="dxa"/>
            <w:vAlign w:val="center"/>
          </w:tcPr>
          <w:p w14:paraId="38FE42C7">
            <w:pPr>
              <w:widowControl/>
              <w:adjustRightInd w:val="0"/>
              <w:snapToGrid w:val="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2.2燃料炉的气、油管道设压力调节阀、压力超高超低自动截止阀。在燃烧器前设火焰逆止器</w:t>
            </w:r>
          </w:p>
        </w:tc>
        <w:tc>
          <w:tcPr>
            <w:tcW w:w="3899" w:type="dxa"/>
            <w:vAlign w:val="center"/>
          </w:tcPr>
          <w:p w14:paraId="731BC7C2">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326CC73D">
            <w:pPr>
              <w:widowControl/>
              <w:adjustRightInd w:val="0"/>
              <w:snapToGrid w:val="0"/>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kern w:val="0"/>
                <w:sz w:val="32"/>
                <w:szCs w:val="32"/>
              </w:rPr>
              <w:t>《金属热处理生产过程安全、卫生要求》（GB 15735-2012）7.3.2</w:t>
            </w:r>
            <w:r>
              <w:rPr>
                <w:rFonts w:hint="eastAsia" w:ascii="仿宋_GB2312" w:hAnsi="仿宋_GB2312" w:eastAsia="仿宋_GB2312" w:cs="仿宋_GB2312"/>
                <w:color w:val="auto"/>
                <w:kern w:val="0"/>
                <w:sz w:val="32"/>
                <w:szCs w:val="32"/>
              </w:rPr>
              <w:t>通入炉内的气、油管道要有压力调节阀、压力超高超低自动截止阀。在燃烧器前应有火焰逆止器。</w:t>
            </w:r>
          </w:p>
        </w:tc>
        <w:tc>
          <w:tcPr>
            <w:tcW w:w="3883" w:type="dxa"/>
            <w:vAlign w:val="center"/>
          </w:tcPr>
          <w:p w14:paraId="51194188">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5B91757F">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（2）相应装置和相关设施合格证明；</w:t>
            </w:r>
          </w:p>
          <w:p w14:paraId="1BACDEE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4C82FB2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22D8B72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124D63A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（6）其它相关证据。</w:t>
            </w:r>
          </w:p>
        </w:tc>
        <w:tc>
          <w:tcPr>
            <w:tcW w:w="3894" w:type="dxa"/>
            <w:vAlign w:val="center"/>
          </w:tcPr>
          <w:p w14:paraId="1A30C2DC">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7D9649D3">
            <w:pPr>
              <w:widowControl/>
              <w:adjustRightInd w:val="0"/>
              <w:snapToGrid w:val="0"/>
              <w:ind w:firstLine="643" w:firstLineChars="200"/>
              <w:rPr>
                <w:rFonts w:hint="eastAsia" w:ascii="仿宋_GB2312" w:hAnsi="仿宋_GB2312" w:eastAsia="仿宋_GB2312" w:cs="仿宋_GB2312"/>
                <w:b/>
                <w:color w:val="auto"/>
                <w:kern w:val="0"/>
                <w:sz w:val="32"/>
                <w:szCs w:val="32"/>
              </w:rPr>
            </w:pPr>
          </w:p>
        </w:tc>
        <w:tc>
          <w:tcPr>
            <w:tcW w:w="960" w:type="dxa"/>
            <w:vAlign w:val="center"/>
          </w:tcPr>
          <w:p w14:paraId="0667DEFC">
            <w:pPr>
              <w:widowControl/>
              <w:adjustRightInd w:val="0"/>
              <w:snapToGrid w:val="0"/>
              <w:ind w:firstLine="640" w:firstLineChars="200"/>
              <w:rPr>
                <w:rFonts w:hint="eastAsia" w:ascii="仿宋_GB2312" w:hAnsi="仿宋_GB2312" w:eastAsia="仿宋_GB2312" w:cs="仿宋_GB2312"/>
                <w:color w:val="auto"/>
                <w:sz w:val="32"/>
                <w:szCs w:val="32"/>
              </w:rPr>
            </w:pPr>
          </w:p>
        </w:tc>
      </w:tr>
      <w:tr w14:paraId="6D8C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14:paraId="6F89D418">
            <w:pPr>
              <w:widowControl/>
              <w:adjustRightInd w:val="0"/>
              <w:snapToGrid w:val="0"/>
              <w:jc w:val="center"/>
              <w:rPr>
                <w:rFonts w:hint="eastAsia" w:ascii="仿宋_GB2312" w:hAnsi="仿宋_GB2312" w:eastAsia="仿宋_GB2312" w:cs="仿宋_GB2312"/>
                <w:b/>
                <w:color w:val="auto"/>
                <w:kern w:val="0"/>
                <w:sz w:val="32"/>
                <w:szCs w:val="32"/>
              </w:rPr>
            </w:pPr>
          </w:p>
        </w:tc>
        <w:tc>
          <w:tcPr>
            <w:tcW w:w="954" w:type="dxa"/>
            <w:vAlign w:val="center"/>
          </w:tcPr>
          <w:p w14:paraId="046A953B">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真空处理设备设施</w:t>
            </w:r>
          </w:p>
        </w:tc>
        <w:tc>
          <w:tcPr>
            <w:tcW w:w="960" w:type="dxa"/>
            <w:vAlign w:val="center"/>
          </w:tcPr>
          <w:p w14:paraId="21FB448C">
            <w:pPr>
              <w:widowControl/>
              <w:adjustRightInd w:val="0"/>
              <w:snapToGrid w:val="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2.3真空处理设备设施安全防爆装置</w:t>
            </w:r>
          </w:p>
        </w:tc>
        <w:tc>
          <w:tcPr>
            <w:tcW w:w="3899" w:type="dxa"/>
            <w:vAlign w:val="center"/>
          </w:tcPr>
          <w:p w14:paraId="5E13A94B">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2494D35">
            <w:pPr>
              <w:widowControl/>
              <w:adjustRightInd w:val="0"/>
              <w:snapToGrid w:val="0"/>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kern w:val="0"/>
                <w:sz w:val="32"/>
                <w:szCs w:val="32"/>
              </w:rPr>
              <w:t>《金属热处理生产过程安全、卫生要求》（GB 15735-2012）7.8.2</w:t>
            </w:r>
            <w:r>
              <w:rPr>
                <w:rFonts w:hint="eastAsia" w:ascii="仿宋_GB2312" w:hAnsi="仿宋_GB2312" w:eastAsia="仿宋_GB2312" w:cs="仿宋_GB2312"/>
                <w:color w:val="auto"/>
                <w:kern w:val="0"/>
                <w:sz w:val="32"/>
                <w:szCs w:val="32"/>
              </w:rPr>
              <w:t>设备应具有安全防爆装置。</w:t>
            </w:r>
          </w:p>
        </w:tc>
        <w:tc>
          <w:tcPr>
            <w:tcW w:w="3883" w:type="dxa"/>
            <w:vAlign w:val="center"/>
          </w:tcPr>
          <w:p w14:paraId="6453ACD4">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7D272EF9">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（2）相应装置和相关设施合格证明；</w:t>
            </w:r>
          </w:p>
          <w:p w14:paraId="2902CFE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63BB0B5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04EDF1D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63B1467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（6）其它相关证据。</w:t>
            </w:r>
          </w:p>
        </w:tc>
        <w:tc>
          <w:tcPr>
            <w:tcW w:w="3894" w:type="dxa"/>
            <w:vAlign w:val="center"/>
          </w:tcPr>
          <w:p w14:paraId="4C5BF5CA">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223E105C">
            <w:pPr>
              <w:widowControl/>
              <w:adjustRightInd w:val="0"/>
              <w:snapToGrid w:val="0"/>
              <w:ind w:firstLine="643" w:firstLineChars="200"/>
              <w:rPr>
                <w:rFonts w:hint="eastAsia" w:ascii="仿宋_GB2312" w:hAnsi="仿宋_GB2312" w:eastAsia="仿宋_GB2312" w:cs="仿宋_GB2312"/>
                <w:b/>
                <w:color w:val="auto"/>
                <w:kern w:val="0"/>
                <w:sz w:val="32"/>
                <w:szCs w:val="32"/>
              </w:rPr>
            </w:pPr>
          </w:p>
        </w:tc>
        <w:tc>
          <w:tcPr>
            <w:tcW w:w="960" w:type="dxa"/>
            <w:vAlign w:val="center"/>
          </w:tcPr>
          <w:p w14:paraId="0326E787">
            <w:pPr>
              <w:widowControl/>
              <w:adjustRightInd w:val="0"/>
              <w:snapToGrid w:val="0"/>
              <w:ind w:firstLine="640" w:firstLineChars="200"/>
              <w:rPr>
                <w:rFonts w:hint="eastAsia" w:ascii="仿宋_GB2312" w:hAnsi="仿宋_GB2312" w:eastAsia="仿宋_GB2312" w:cs="仿宋_GB2312"/>
                <w:color w:val="auto"/>
                <w:sz w:val="32"/>
                <w:szCs w:val="32"/>
              </w:rPr>
            </w:pPr>
          </w:p>
        </w:tc>
      </w:tr>
      <w:tr w14:paraId="078AC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617" w:type="dxa"/>
            <w:vAlign w:val="center"/>
          </w:tcPr>
          <w:p w14:paraId="59196952">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3</w:t>
            </w:r>
          </w:p>
        </w:tc>
        <w:tc>
          <w:tcPr>
            <w:tcW w:w="954" w:type="dxa"/>
            <w:vAlign w:val="center"/>
          </w:tcPr>
          <w:p w14:paraId="0B70D56B">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自动电镀生产线防护措施</w:t>
            </w:r>
          </w:p>
        </w:tc>
        <w:tc>
          <w:tcPr>
            <w:tcW w:w="960" w:type="dxa"/>
            <w:vAlign w:val="center"/>
          </w:tcPr>
          <w:p w14:paraId="5697357F">
            <w:pPr>
              <w:widowControl/>
              <w:adjustRightInd w:val="0"/>
              <w:snapToGrid w:val="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自动电镀生产线</w:t>
            </w:r>
            <w:r>
              <w:rPr>
                <w:rFonts w:hint="eastAsia" w:ascii="仿宋_GB2312" w:hAnsi="仿宋_GB2312" w:eastAsia="仿宋_GB2312" w:cs="仿宋_GB2312"/>
                <w:color w:val="auto"/>
                <w:sz w:val="32"/>
                <w:szCs w:val="32"/>
              </w:rPr>
              <w:t>无槽液快速循环和溢流的措施</w:t>
            </w:r>
          </w:p>
        </w:tc>
        <w:tc>
          <w:tcPr>
            <w:tcW w:w="3899" w:type="dxa"/>
            <w:vAlign w:val="center"/>
          </w:tcPr>
          <w:p w14:paraId="5D537CD1">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0287D5C2">
            <w:pPr>
              <w:widowControl/>
              <w:adjustRightInd w:val="0"/>
              <w:snapToGrid w:val="0"/>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kern w:val="0"/>
                <w:sz w:val="32"/>
                <w:szCs w:val="32"/>
              </w:rPr>
              <w:t>《电镀生产装置安全技术条件》（AQ 5203-2008）5.7</w:t>
            </w:r>
            <w:r>
              <w:rPr>
                <w:rFonts w:hint="eastAsia" w:ascii="仿宋_GB2312" w:hAnsi="仿宋_GB2312" w:eastAsia="仿宋_GB2312" w:cs="仿宋_GB2312"/>
                <w:color w:val="auto"/>
                <w:sz w:val="32"/>
                <w:szCs w:val="32"/>
              </w:rPr>
              <w:t>自动电镀生产线应具有槽液快速循环和溢流的措施，避免镀槽液面因聚集大量氢气泡而发生氢气爆炸的现象。</w:t>
            </w:r>
          </w:p>
        </w:tc>
        <w:tc>
          <w:tcPr>
            <w:tcW w:w="3883" w:type="dxa"/>
            <w:vAlign w:val="center"/>
          </w:tcPr>
          <w:p w14:paraId="3A025EC5">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54A1F8E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（2）相应装置和相关设施合格证明；</w:t>
            </w:r>
          </w:p>
          <w:p w14:paraId="22E52BE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2E213DD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63DD1C3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6D6BDB3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（6）其它相关证据。</w:t>
            </w:r>
          </w:p>
        </w:tc>
        <w:tc>
          <w:tcPr>
            <w:tcW w:w="3894" w:type="dxa"/>
            <w:vAlign w:val="center"/>
          </w:tcPr>
          <w:p w14:paraId="16078F6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5B1D420">
            <w:pPr>
              <w:widowControl/>
              <w:adjustRightInd w:val="0"/>
              <w:snapToGrid w:val="0"/>
              <w:ind w:firstLine="643" w:firstLineChars="200"/>
              <w:rPr>
                <w:rFonts w:hint="eastAsia" w:ascii="仿宋_GB2312" w:hAnsi="仿宋_GB2312" w:eastAsia="仿宋_GB2312" w:cs="仿宋_GB2312"/>
                <w:b/>
                <w:color w:val="auto"/>
                <w:kern w:val="0"/>
                <w:sz w:val="32"/>
                <w:szCs w:val="32"/>
              </w:rPr>
            </w:pPr>
          </w:p>
        </w:tc>
        <w:tc>
          <w:tcPr>
            <w:tcW w:w="960" w:type="dxa"/>
            <w:vAlign w:val="center"/>
          </w:tcPr>
          <w:p w14:paraId="45E95FFF">
            <w:pPr>
              <w:widowControl/>
              <w:adjustRightInd w:val="0"/>
              <w:snapToGrid w:val="0"/>
              <w:ind w:firstLine="640" w:firstLineChars="200"/>
              <w:rPr>
                <w:rFonts w:hint="eastAsia" w:ascii="仿宋_GB2312" w:hAnsi="仿宋_GB2312" w:eastAsia="仿宋_GB2312" w:cs="仿宋_GB2312"/>
                <w:color w:val="auto"/>
                <w:sz w:val="32"/>
                <w:szCs w:val="32"/>
              </w:rPr>
            </w:pPr>
          </w:p>
        </w:tc>
      </w:tr>
      <w:tr w14:paraId="50AC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5BCDC116">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4</w:t>
            </w:r>
          </w:p>
        </w:tc>
        <w:tc>
          <w:tcPr>
            <w:tcW w:w="954" w:type="dxa"/>
            <w:vAlign w:val="center"/>
          </w:tcPr>
          <w:p w14:paraId="2C53ADAE">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Cs/>
                <w:color w:val="auto"/>
                <w:sz w:val="32"/>
                <w:szCs w:val="32"/>
              </w:rPr>
              <w:t>烘干室清扫</w:t>
            </w:r>
          </w:p>
        </w:tc>
        <w:tc>
          <w:tcPr>
            <w:tcW w:w="960" w:type="dxa"/>
            <w:vAlign w:val="center"/>
          </w:tcPr>
          <w:p w14:paraId="05F5424B">
            <w:pPr>
              <w:widowControl/>
              <w:adjustRightInd w:val="0"/>
              <w:snapToGrid w:val="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随时清除烘干室内漆渣、排气管内沉积物</w:t>
            </w:r>
          </w:p>
        </w:tc>
        <w:tc>
          <w:tcPr>
            <w:tcW w:w="3899" w:type="dxa"/>
            <w:vAlign w:val="center"/>
          </w:tcPr>
          <w:p w14:paraId="0FF772AE">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00B2D52C">
            <w:pPr>
              <w:widowControl/>
              <w:adjustRightInd w:val="0"/>
              <w:snapToGrid w:val="0"/>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kern w:val="0"/>
                <w:sz w:val="32"/>
                <w:szCs w:val="32"/>
              </w:rPr>
              <w:t>《涂装作业安全规程涂层烘干室安全技术规定》（GB 14443-2007）9.6</w:t>
            </w:r>
            <w:r>
              <w:rPr>
                <w:rFonts w:hint="eastAsia" w:ascii="仿宋_GB2312" w:hAnsi="仿宋_GB2312" w:eastAsia="仿宋_GB2312" w:cs="仿宋_GB2312"/>
                <w:color w:val="auto"/>
                <w:kern w:val="0"/>
                <w:sz w:val="32"/>
                <w:szCs w:val="32"/>
              </w:rPr>
              <w:t>烘干室内部应保持清洁，随时清除室内的漆渣和定期清除排气管内沉积物，以避免可燃物自燃引起火灾。</w:t>
            </w:r>
          </w:p>
        </w:tc>
        <w:tc>
          <w:tcPr>
            <w:tcW w:w="3883" w:type="dxa"/>
            <w:vAlign w:val="center"/>
          </w:tcPr>
          <w:p w14:paraId="28B98533">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0097908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（2）烘干室清扫相关规章制度；</w:t>
            </w:r>
          </w:p>
          <w:p w14:paraId="4EC6307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（3）烘干室清扫作业过程记录；</w:t>
            </w:r>
          </w:p>
          <w:p w14:paraId="7567108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（4）现场图片或影像资料；</w:t>
            </w:r>
          </w:p>
          <w:p w14:paraId="293E50D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041AC82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5AD3564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（7）其它相关证据。</w:t>
            </w:r>
          </w:p>
        </w:tc>
        <w:tc>
          <w:tcPr>
            <w:tcW w:w="3894" w:type="dxa"/>
            <w:vAlign w:val="center"/>
          </w:tcPr>
          <w:p w14:paraId="5542872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1B2DB116">
            <w:pPr>
              <w:widowControl/>
              <w:adjustRightInd w:val="0"/>
              <w:snapToGrid w:val="0"/>
              <w:ind w:firstLine="643" w:firstLineChars="200"/>
              <w:rPr>
                <w:rFonts w:hint="eastAsia" w:ascii="仿宋_GB2312" w:hAnsi="仿宋_GB2312" w:eastAsia="仿宋_GB2312" w:cs="仿宋_GB2312"/>
                <w:b/>
                <w:color w:val="auto"/>
                <w:kern w:val="0"/>
                <w:sz w:val="32"/>
                <w:szCs w:val="32"/>
              </w:rPr>
            </w:pPr>
          </w:p>
        </w:tc>
        <w:tc>
          <w:tcPr>
            <w:tcW w:w="960" w:type="dxa"/>
            <w:vAlign w:val="center"/>
          </w:tcPr>
          <w:p w14:paraId="72849FC1">
            <w:pPr>
              <w:widowControl/>
              <w:adjustRightInd w:val="0"/>
              <w:snapToGrid w:val="0"/>
              <w:ind w:firstLine="640" w:firstLineChars="200"/>
              <w:rPr>
                <w:rFonts w:hint="eastAsia" w:ascii="仿宋_GB2312" w:hAnsi="仿宋_GB2312" w:eastAsia="仿宋_GB2312" w:cs="仿宋_GB2312"/>
                <w:color w:val="auto"/>
                <w:sz w:val="32"/>
                <w:szCs w:val="32"/>
              </w:rPr>
            </w:pPr>
          </w:p>
        </w:tc>
      </w:tr>
      <w:tr w14:paraId="1EE3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51B4AF9F">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5</w:t>
            </w:r>
          </w:p>
        </w:tc>
        <w:tc>
          <w:tcPr>
            <w:tcW w:w="954" w:type="dxa"/>
            <w:vAlign w:val="center"/>
          </w:tcPr>
          <w:p w14:paraId="673A11A7">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禁止使用有机溶剂</w:t>
            </w:r>
          </w:p>
        </w:tc>
        <w:tc>
          <w:tcPr>
            <w:tcW w:w="960" w:type="dxa"/>
            <w:vAlign w:val="center"/>
          </w:tcPr>
          <w:p w14:paraId="3901318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严禁使用有机溶剂清洗地面和墙壁</w:t>
            </w:r>
          </w:p>
        </w:tc>
        <w:tc>
          <w:tcPr>
            <w:tcW w:w="3899" w:type="dxa"/>
            <w:vAlign w:val="center"/>
          </w:tcPr>
          <w:p w14:paraId="67BCE386">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AC25A3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《涂装作业安全规程安全管理通则》（GB 7691-2003）9.6</w:t>
            </w:r>
            <w:r>
              <w:rPr>
                <w:rFonts w:hint="eastAsia" w:ascii="仿宋_GB2312" w:hAnsi="仿宋_GB2312" w:eastAsia="仿宋_GB2312" w:cs="仿宋_GB2312"/>
                <w:color w:val="auto"/>
                <w:kern w:val="0"/>
                <w:sz w:val="32"/>
                <w:szCs w:val="32"/>
              </w:rPr>
              <w:t>严禁使用有机溶剂清洗地面和墙壁。</w:t>
            </w:r>
          </w:p>
        </w:tc>
        <w:tc>
          <w:tcPr>
            <w:tcW w:w="3883" w:type="dxa"/>
            <w:vAlign w:val="center"/>
          </w:tcPr>
          <w:p w14:paraId="4244AEF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64C8C81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（2）清扫相关规章制度；</w:t>
            </w:r>
          </w:p>
          <w:p w14:paraId="776C825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7AEEA56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640723C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459629A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（6）其它相关证据。</w:t>
            </w:r>
          </w:p>
        </w:tc>
        <w:tc>
          <w:tcPr>
            <w:tcW w:w="3894" w:type="dxa"/>
            <w:vAlign w:val="center"/>
          </w:tcPr>
          <w:p w14:paraId="1E954052">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5556C74">
            <w:pPr>
              <w:widowControl/>
              <w:adjustRightInd w:val="0"/>
              <w:snapToGrid w:val="0"/>
              <w:ind w:firstLine="640" w:firstLineChars="200"/>
              <w:rPr>
                <w:rFonts w:hint="eastAsia" w:ascii="仿宋_GB2312" w:hAnsi="仿宋_GB2312" w:eastAsia="仿宋_GB2312" w:cs="仿宋_GB2312"/>
                <w:color w:val="auto"/>
                <w:sz w:val="32"/>
                <w:szCs w:val="32"/>
              </w:rPr>
            </w:pPr>
          </w:p>
        </w:tc>
        <w:tc>
          <w:tcPr>
            <w:tcW w:w="960" w:type="dxa"/>
            <w:vAlign w:val="center"/>
          </w:tcPr>
          <w:p w14:paraId="7B8C202C">
            <w:pPr>
              <w:widowControl/>
              <w:adjustRightInd w:val="0"/>
              <w:snapToGrid w:val="0"/>
              <w:ind w:firstLine="640" w:firstLineChars="200"/>
              <w:rPr>
                <w:rFonts w:hint="eastAsia" w:ascii="仿宋_GB2312" w:hAnsi="仿宋_GB2312" w:eastAsia="仿宋_GB2312" w:cs="仿宋_GB2312"/>
                <w:color w:val="auto"/>
                <w:sz w:val="32"/>
                <w:szCs w:val="32"/>
              </w:rPr>
            </w:pPr>
          </w:p>
        </w:tc>
      </w:tr>
      <w:tr w14:paraId="16BC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7FE2D954">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6</w:t>
            </w:r>
          </w:p>
        </w:tc>
        <w:tc>
          <w:tcPr>
            <w:tcW w:w="954" w:type="dxa"/>
            <w:vAlign w:val="center"/>
          </w:tcPr>
          <w:p w14:paraId="5A1C2F22">
            <w:pPr>
              <w:widowControl/>
              <w:adjustRightInd w:val="0"/>
              <w:snapToGrid w:val="0"/>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kern w:val="0"/>
                <w:sz w:val="32"/>
                <w:szCs w:val="32"/>
              </w:rPr>
              <w:t>电气系统</w:t>
            </w:r>
          </w:p>
        </w:tc>
        <w:tc>
          <w:tcPr>
            <w:tcW w:w="960" w:type="dxa"/>
            <w:vAlign w:val="center"/>
          </w:tcPr>
          <w:p w14:paraId="41AFCF3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电动机的动力配线应套以金属保护管，保护接地连接可靠，并有明显标志，转传动部位有防护装置</w:t>
            </w:r>
          </w:p>
        </w:tc>
        <w:tc>
          <w:tcPr>
            <w:tcW w:w="3899" w:type="dxa"/>
            <w:vAlign w:val="center"/>
          </w:tcPr>
          <w:p w14:paraId="69E0459A">
            <w:pPr>
              <w:pStyle w:val="7"/>
              <w:shd w:val="clear" w:color="auto" w:fill="FFFFFF"/>
              <w:spacing w:before="0" w:beforeAutospacing="0" w:after="155" w:afterAutospacing="0"/>
              <w:ind w:firstLine="361"/>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《四川省安全生产条例》  </w:t>
            </w:r>
            <w:r>
              <w:rPr>
                <w:rFonts w:hint="eastAsia" w:ascii="仿宋_GB2312" w:hAnsi="仿宋_GB2312" w:eastAsia="仿宋_GB2312" w:cs="仿宋_GB2312"/>
                <w:color w:val="auto"/>
                <w:sz w:val="32"/>
                <w:szCs w:val="32"/>
              </w:rPr>
              <w:t>第三十八条第一款各种动力机械的转动、传动部位，压力机械的施压部位，切削机械的切削部位和其他机械对人体有伤害危险的部位，应当设置可靠的安全防护装置。</w:t>
            </w:r>
          </w:p>
          <w:p w14:paraId="58D9758A">
            <w:pPr>
              <w:pStyle w:val="7"/>
              <w:shd w:val="clear" w:color="auto" w:fill="FFFFFF"/>
              <w:spacing w:before="0" w:beforeAutospacing="0" w:after="155" w:afterAutospacing="0"/>
              <w:ind w:firstLine="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第三十九条电气设备的金属外壳，应当按照技术标准采取安全保护措施。可能造成人身触电事故的电气设备和设施，应当按国家规定采用安全电压或者装设漏电防护装置。</w:t>
            </w:r>
          </w:p>
          <w:p w14:paraId="5914F33E">
            <w:pPr>
              <w:widowControl/>
              <w:adjustRightInd w:val="0"/>
              <w:snapToGrid w:val="0"/>
              <w:ind w:firstLine="640" w:firstLineChars="200"/>
              <w:rPr>
                <w:rFonts w:hint="eastAsia" w:ascii="仿宋_GB2312" w:hAnsi="仿宋_GB2312" w:eastAsia="仿宋_GB2312" w:cs="仿宋_GB2312"/>
                <w:color w:val="auto"/>
                <w:kern w:val="0"/>
                <w:sz w:val="32"/>
                <w:szCs w:val="32"/>
              </w:rPr>
            </w:pPr>
          </w:p>
          <w:p w14:paraId="348AAAF4">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83" w:type="dxa"/>
            <w:vAlign w:val="center"/>
          </w:tcPr>
          <w:p w14:paraId="4D7AC79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506991C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（2）电气系统相应装置和相关设施合格证明；</w:t>
            </w:r>
          </w:p>
          <w:p w14:paraId="40527AB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（3）设置明显标志的图片或影像资料</w:t>
            </w:r>
          </w:p>
          <w:p w14:paraId="7B85105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（4）现场图片或影像资料；</w:t>
            </w:r>
          </w:p>
          <w:p w14:paraId="106E705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593AADA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17B950D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（7）其它相关证据。</w:t>
            </w:r>
          </w:p>
        </w:tc>
        <w:tc>
          <w:tcPr>
            <w:tcW w:w="3894" w:type="dxa"/>
            <w:vAlign w:val="center"/>
          </w:tcPr>
          <w:p w14:paraId="372B0516">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《四川省安全生产条例》</w:t>
            </w:r>
            <w:r>
              <w:rPr>
                <w:rFonts w:hint="eastAsia" w:ascii="仿宋_GB2312" w:hAnsi="仿宋_GB2312" w:eastAsia="仿宋_GB2312" w:cs="仿宋_GB2312"/>
                <w:color w:val="auto"/>
                <w:kern w:val="0"/>
                <w:sz w:val="32"/>
                <w:szCs w:val="32"/>
              </w:rPr>
              <w:t>第六十七条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60" w:type="dxa"/>
            <w:vAlign w:val="center"/>
          </w:tcPr>
          <w:p w14:paraId="6E647939">
            <w:pPr>
              <w:widowControl/>
              <w:adjustRightInd w:val="0"/>
              <w:snapToGrid w:val="0"/>
              <w:ind w:firstLine="640" w:firstLineChars="200"/>
              <w:rPr>
                <w:rFonts w:hint="eastAsia" w:ascii="仿宋_GB2312" w:hAnsi="仿宋_GB2312" w:eastAsia="仿宋_GB2312" w:cs="仿宋_GB2312"/>
                <w:color w:val="auto"/>
                <w:sz w:val="32"/>
                <w:szCs w:val="32"/>
              </w:rPr>
            </w:pPr>
          </w:p>
        </w:tc>
      </w:tr>
      <w:tr w14:paraId="4F1D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21B95B28">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7</w:t>
            </w:r>
          </w:p>
        </w:tc>
        <w:tc>
          <w:tcPr>
            <w:tcW w:w="954" w:type="dxa"/>
            <w:vAlign w:val="center"/>
          </w:tcPr>
          <w:p w14:paraId="1C379781">
            <w:pPr>
              <w:widowControl/>
              <w:adjustRightInd w:val="0"/>
              <w:snapToGrid w:val="0"/>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kern w:val="0"/>
                <w:sz w:val="32"/>
                <w:szCs w:val="32"/>
              </w:rPr>
              <w:t>车间消防设施</w:t>
            </w:r>
          </w:p>
        </w:tc>
        <w:tc>
          <w:tcPr>
            <w:tcW w:w="960" w:type="dxa"/>
            <w:vAlign w:val="center"/>
          </w:tcPr>
          <w:p w14:paraId="1816B85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按规定配备消防器材，且保障灵敏可靠；消防器材和防火部位均设置明显标志，其1米范围内无障碍物</w:t>
            </w:r>
          </w:p>
        </w:tc>
        <w:tc>
          <w:tcPr>
            <w:tcW w:w="3899" w:type="dxa"/>
            <w:vAlign w:val="center"/>
          </w:tcPr>
          <w:p w14:paraId="48380C22">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883" w:type="dxa"/>
            <w:vAlign w:val="center"/>
          </w:tcPr>
          <w:p w14:paraId="10E3AF2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07C3F17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（2）消防器材购买记录和合格证明；</w:t>
            </w:r>
          </w:p>
          <w:p w14:paraId="7CBCAC6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（3）设置明显标志的图片或影像资料；</w:t>
            </w:r>
          </w:p>
          <w:p w14:paraId="61B7AA3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（4）消防器材相关管理制度；</w:t>
            </w:r>
          </w:p>
          <w:p w14:paraId="6FEB8CC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2E0ECB4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71DC7B3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（7）企业相关人员任职文件、身份证明及其询问笔录；</w:t>
            </w:r>
          </w:p>
          <w:p w14:paraId="1113BDB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（8）其它相关证据。</w:t>
            </w:r>
          </w:p>
        </w:tc>
        <w:tc>
          <w:tcPr>
            <w:tcW w:w="3894" w:type="dxa"/>
            <w:vAlign w:val="center"/>
          </w:tcPr>
          <w:p w14:paraId="6AAE7546">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18207DA8">
            <w:pPr>
              <w:widowControl/>
              <w:adjustRightInd w:val="0"/>
              <w:snapToGrid w:val="0"/>
              <w:ind w:firstLine="640" w:firstLineChars="200"/>
              <w:rPr>
                <w:rFonts w:hint="eastAsia" w:ascii="仿宋_GB2312" w:hAnsi="仿宋_GB2312" w:eastAsia="仿宋_GB2312" w:cs="仿宋_GB2312"/>
                <w:color w:val="auto"/>
                <w:sz w:val="32"/>
                <w:szCs w:val="32"/>
              </w:rPr>
            </w:pPr>
          </w:p>
        </w:tc>
        <w:tc>
          <w:tcPr>
            <w:tcW w:w="960" w:type="dxa"/>
            <w:vAlign w:val="center"/>
          </w:tcPr>
          <w:p w14:paraId="732A721E">
            <w:pPr>
              <w:widowControl/>
              <w:adjustRightInd w:val="0"/>
              <w:snapToGrid w:val="0"/>
              <w:ind w:firstLine="640" w:firstLineChars="200"/>
              <w:rPr>
                <w:rFonts w:hint="eastAsia" w:ascii="仿宋_GB2312" w:hAnsi="仿宋_GB2312" w:eastAsia="仿宋_GB2312" w:cs="仿宋_GB2312"/>
                <w:color w:val="auto"/>
                <w:sz w:val="32"/>
                <w:szCs w:val="32"/>
              </w:rPr>
            </w:pPr>
          </w:p>
        </w:tc>
      </w:tr>
      <w:tr w14:paraId="3724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69F71B7B">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8</w:t>
            </w:r>
          </w:p>
        </w:tc>
        <w:tc>
          <w:tcPr>
            <w:tcW w:w="954" w:type="dxa"/>
            <w:vAlign w:val="center"/>
          </w:tcPr>
          <w:p w14:paraId="3AE5E0E9">
            <w:pPr>
              <w:widowControl/>
              <w:adjustRightInd w:val="0"/>
              <w:snapToGrid w:val="0"/>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涂装调漆间和喷漆室</w:t>
            </w:r>
          </w:p>
        </w:tc>
        <w:tc>
          <w:tcPr>
            <w:tcW w:w="960" w:type="dxa"/>
            <w:vAlign w:val="center"/>
          </w:tcPr>
          <w:p w14:paraId="44D43258">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是否规范设置可燃气体报警装置和防爆电气设备设施</w:t>
            </w:r>
          </w:p>
          <w:p w14:paraId="73BC04DB">
            <w:pPr>
              <w:widowControl/>
              <w:adjustRightInd w:val="0"/>
              <w:snapToGrid w:val="0"/>
              <w:rPr>
                <w:rFonts w:hint="eastAsia" w:ascii="仿宋_GB2312" w:hAnsi="仿宋_GB2312" w:eastAsia="仿宋_GB2312" w:cs="仿宋_GB2312"/>
                <w:color w:val="auto"/>
                <w:kern w:val="0"/>
                <w:sz w:val="32"/>
                <w:szCs w:val="32"/>
              </w:rPr>
            </w:pPr>
          </w:p>
        </w:tc>
        <w:tc>
          <w:tcPr>
            <w:tcW w:w="3899" w:type="dxa"/>
            <w:vAlign w:val="center"/>
          </w:tcPr>
          <w:p w14:paraId="19933138">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《中华人民共和国安全生产法》 第三十九条第二款</w:t>
            </w:r>
            <w:r>
              <w:rPr>
                <w:rFonts w:hint="eastAsia" w:ascii="仿宋_GB2312" w:hAnsi="仿宋_GB2312" w:eastAsia="仿宋_GB2312" w:cs="仿宋_GB2312"/>
                <w:color w:val="auto"/>
                <w:sz w:val="32"/>
                <w:szCs w:val="3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3883" w:type="dxa"/>
            <w:vAlign w:val="center"/>
          </w:tcPr>
          <w:p w14:paraId="323672D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781E8F9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（2）相应装置和相关设施合格证明；</w:t>
            </w:r>
          </w:p>
          <w:p w14:paraId="63ACE80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018C11E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262A778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7B8FC1F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（6）其它相关证据。</w:t>
            </w:r>
          </w:p>
        </w:tc>
        <w:tc>
          <w:tcPr>
            <w:tcW w:w="3894" w:type="dxa"/>
            <w:vAlign w:val="center"/>
          </w:tcPr>
          <w:p w14:paraId="7ABE3A58">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《中华人民共和国安全生产法》第一百零一条第一项 </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29D1133D">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（一）生产、经营、运输、储存、使用危险物品或者处置废弃危险物品，未建立专门安全管理制度、未采取可靠的安全措施的；</w:t>
            </w:r>
          </w:p>
        </w:tc>
        <w:tc>
          <w:tcPr>
            <w:tcW w:w="960" w:type="dxa"/>
            <w:vAlign w:val="center"/>
          </w:tcPr>
          <w:p w14:paraId="753D5D9D">
            <w:pPr>
              <w:widowControl/>
              <w:ind w:firstLine="640" w:firstLineChars="200"/>
              <w:rPr>
                <w:rFonts w:hint="eastAsia" w:ascii="仿宋_GB2312" w:hAnsi="仿宋_GB2312" w:eastAsia="仿宋_GB2312" w:cs="仿宋_GB2312"/>
                <w:color w:val="auto"/>
                <w:sz w:val="32"/>
                <w:szCs w:val="32"/>
              </w:rPr>
            </w:pPr>
          </w:p>
        </w:tc>
      </w:tr>
      <w:tr w14:paraId="0C20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05B92531">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9</w:t>
            </w:r>
          </w:p>
        </w:tc>
        <w:tc>
          <w:tcPr>
            <w:tcW w:w="954" w:type="dxa"/>
            <w:vAlign w:val="center"/>
          </w:tcPr>
          <w:p w14:paraId="6EBF31DE">
            <w:pPr>
              <w:widowControl/>
              <w:adjustRightInd w:val="0"/>
              <w:snapToGrid w:val="0"/>
              <w:jc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使用易燃易爆稀释剂（如天拿水）清洗设备设施</w:t>
            </w:r>
          </w:p>
        </w:tc>
        <w:tc>
          <w:tcPr>
            <w:tcW w:w="960" w:type="dxa"/>
            <w:vAlign w:val="center"/>
          </w:tcPr>
          <w:p w14:paraId="362C3D4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是否采取有效措施及时清除集聚在地沟、地坑等有限空间内的可燃气体</w:t>
            </w:r>
          </w:p>
        </w:tc>
        <w:tc>
          <w:tcPr>
            <w:tcW w:w="3899" w:type="dxa"/>
            <w:vAlign w:val="center"/>
          </w:tcPr>
          <w:p w14:paraId="4B105BB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《中华人民共和国安全生产法》 第三十九条第二款</w:t>
            </w:r>
            <w:r>
              <w:rPr>
                <w:rFonts w:hint="eastAsia" w:ascii="仿宋_GB2312" w:hAnsi="仿宋_GB2312" w:eastAsia="仿宋_GB2312" w:cs="仿宋_GB2312"/>
                <w:color w:val="auto"/>
                <w:sz w:val="32"/>
                <w:szCs w:val="3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3883" w:type="dxa"/>
            <w:vAlign w:val="center"/>
          </w:tcPr>
          <w:p w14:paraId="41BC803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62B2D69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（2）有限空间内的可燃气体清除的规章制度；</w:t>
            </w:r>
          </w:p>
          <w:p w14:paraId="2A9DAF2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（3）作业过程记录；</w:t>
            </w:r>
          </w:p>
          <w:p w14:paraId="627815E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（4）现场图片或影像资料；</w:t>
            </w:r>
          </w:p>
          <w:p w14:paraId="192BEF0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65EFBF2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73583A2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（7）其它相关证据。</w:t>
            </w:r>
          </w:p>
        </w:tc>
        <w:tc>
          <w:tcPr>
            <w:tcW w:w="3894" w:type="dxa"/>
            <w:vAlign w:val="center"/>
          </w:tcPr>
          <w:p w14:paraId="576384F6">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《中华人民共和国安全生产法》第一百零一条第一项 </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2E82690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（一）生产、经营、运输、储存、使用危险物品或者处置废弃危险物品，未建立专门安全管理制度、未采取可靠的安全措施的；</w:t>
            </w:r>
          </w:p>
        </w:tc>
        <w:tc>
          <w:tcPr>
            <w:tcW w:w="960" w:type="dxa"/>
            <w:vAlign w:val="center"/>
          </w:tcPr>
          <w:p w14:paraId="28BC7120">
            <w:pPr>
              <w:widowControl/>
              <w:ind w:firstLine="640" w:firstLineChars="200"/>
              <w:rPr>
                <w:rFonts w:hint="eastAsia" w:ascii="仿宋_GB2312" w:hAnsi="仿宋_GB2312" w:eastAsia="仿宋_GB2312" w:cs="仿宋_GB2312"/>
                <w:color w:val="auto"/>
                <w:sz w:val="32"/>
                <w:szCs w:val="32"/>
              </w:rPr>
            </w:pPr>
          </w:p>
        </w:tc>
      </w:tr>
      <w:tr w14:paraId="346A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3AFD0C09">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10</w:t>
            </w:r>
          </w:p>
        </w:tc>
        <w:tc>
          <w:tcPr>
            <w:tcW w:w="954" w:type="dxa"/>
            <w:vAlign w:val="center"/>
          </w:tcPr>
          <w:p w14:paraId="2A7F4B1B">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天然气（煤气）加热炉</w:t>
            </w:r>
          </w:p>
        </w:tc>
        <w:tc>
          <w:tcPr>
            <w:tcW w:w="960" w:type="dxa"/>
            <w:vAlign w:val="center"/>
          </w:tcPr>
          <w:p w14:paraId="562F50F5">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燃烧器操作部位是否设置可燃气体泄漏报警装置，或燃烧系统是否设置防突然熄火或点火失败的安全装置（重大隐患）</w:t>
            </w:r>
          </w:p>
        </w:tc>
        <w:tc>
          <w:tcPr>
            <w:tcW w:w="3899" w:type="dxa"/>
            <w:vAlign w:val="center"/>
          </w:tcPr>
          <w:p w14:paraId="67FF793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sz w:val="32"/>
                <w:szCs w:val="32"/>
              </w:rPr>
              <w:t>《中华人民共和国安全生产法》 第三十九条第二款</w:t>
            </w:r>
            <w:r>
              <w:rPr>
                <w:rFonts w:hint="eastAsia" w:ascii="仿宋_GB2312" w:hAnsi="仿宋_GB2312" w:eastAsia="仿宋_GB2312" w:cs="仿宋_GB2312"/>
                <w:color w:val="auto"/>
                <w:sz w:val="32"/>
                <w:szCs w:val="3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3883" w:type="dxa"/>
            <w:vAlign w:val="center"/>
          </w:tcPr>
          <w:p w14:paraId="627B777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64E58F2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（2）相应装置和相关设施合格证明；</w:t>
            </w:r>
          </w:p>
          <w:p w14:paraId="40B539D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324C3A7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5714EA7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24922DE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（6）其它相关证据。</w:t>
            </w:r>
          </w:p>
        </w:tc>
        <w:tc>
          <w:tcPr>
            <w:tcW w:w="3894" w:type="dxa"/>
            <w:vAlign w:val="center"/>
          </w:tcPr>
          <w:p w14:paraId="6EDFA531">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《中华人民共和国安全生产法》第一百零一条第一项 </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1FD643F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（一）生产、经营、运输、储存、使用危险物品或者处置废弃危险物品，未建立专门安全管理制度、未采取可靠的安全措施的；</w:t>
            </w:r>
          </w:p>
          <w:p w14:paraId="2F0310F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C083C4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5E4D513">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60" w:type="dxa"/>
            <w:vAlign w:val="center"/>
          </w:tcPr>
          <w:p w14:paraId="5F32A848">
            <w:pPr>
              <w:widowControl/>
              <w:ind w:firstLine="640" w:firstLineChars="200"/>
              <w:rPr>
                <w:rFonts w:hint="eastAsia" w:ascii="仿宋_GB2312" w:hAnsi="仿宋_GB2312" w:eastAsia="仿宋_GB2312" w:cs="仿宋_GB2312"/>
                <w:color w:val="auto"/>
                <w:sz w:val="32"/>
                <w:szCs w:val="32"/>
              </w:rPr>
            </w:pPr>
          </w:p>
        </w:tc>
      </w:tr>
      <w:tr w14:paraId="5C25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617" w:type="dxa"/>
            <w:vAlign w:val="center"/>
          </w:tcPr>
          <w:p w14:paraId="210F8CAC">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11</w:t>
            </w:r>
          </w:p>
        </w:tc>
        <w:tc>
          <w:tcPr>
            <w:tcW w:w="954" w:type="dxa"/>
            <w:vAlign w:val="center"/>
          </w:tcPr>
          <w:p w14:paraId="13A842C7">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规章制度</w:t>
            </w:r>
          </w:p>
        </w:tc>
        <w:tc>
          <w:tcPr>
            <w:tcW w:w="960" w:type="dxa"/>
            <w:vAlign w:val="center"/>
          </w:tcPr>
          <w:p w14:paraId="22FCF895">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建立的事故隐患排查治理制度</w:t>
            </w:r>
          </w:p>
        </w:tc>
        <w:tc>
          <w:tcPr>
            <w:tcW w:w="3899" w:type="dxa"/>
            <w:vAlign w:val="center"/>
          </w:tcPr>
          <w:p w14:paraId="1734A512">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3E091DE2">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83" w:type="dxa"/>
            <w:vAlign w:val="center"/>
          </w:tcPr>
          <w:p w14:paraId="5DFB35F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5D894B0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（2）事故隐患排查治理制度；</w:t>
            </w:r>
          </w:p>
          <w:p w14:paraId="3DCF865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5998298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73C104C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7BE0DDB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（6）其它相关证据。</w:t>
            </w:r>
          </w:p>
        </w:tc>
        <w:tc>
          <w:tcPr>
            <w:tcW w:w="3894" w:type="dxa"/>
            <w:vAlign w:val="center"/>
          </w:tcPr>
          <w:p w14:paraId="7956B932">
            <w:pPr>
              <w:widowControl/>
              <w:shd w:val="clear" w:color="auto" w:fill="FFFFFF"/>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《中华人民共和国安全生产法》第一百零一条第五项 </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7E3A1CDE">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（五）未建立事故隐患排查治理制度，或者重大事故隐患排查治理情况未按照规定报告的。</w:t>
            </w:r>
          </w:p>
          <w:p w14:paraId="7F067AB8">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60" w:type="dxa"/>
            <w:vAlign w:val="center"/>
          </w:tcPr>
          <w:p w14:paraId="279FD67B">
            <w:pPr>
              <w:widowControl/>
              <w:adjustRightInd w:val="0"/>
              <w:snapToGrid w:val="0"/>
              <w:ind w:firstLine="640" w:firstLineChars="200"/>
              <w:rPr>
                <w:rFonts w:hint="eastAsia" w:ascii="仿宋_GB2312" w:hAnsi="仿宋_GB2312" w:eastAsia="仿宋_GB2312" w:cs="仿宋_GB2312"/>
                <w:color w:val="auto"/>
                <w:sz w:val="32"/>
                <w:szCs w:val="32"/>
              </w:rPr>
            </w:pPr>
          </w:p>
        </w:tc>
      </w:tr>
      <w:tr w14:paraId="0BF9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469790C3">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12</w:t>
            </w:r>
          </w:p>
        </w:tc>
        <w:tc>
          <w:tcPr>
            <w:tcW w:w="954" w:type="dxa"/>
            <w:vAlign w:val="center"/>
          </w:tcPr>
          <w:p w14:paraId="1A30EAD2">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生产安全事故应急救援预案相关</w:t>
            </w:r>
          </w:p>
        </w:tc>
        <w:tc>
          <w:tcPr>
            <w:tcW w:w="960" w:type="dxa"/>
            <w:vAlign w:val="center"/>
          </w:tcPr>
          <w:p w14:paraId="55452005">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按照规定制定的生产安全事故应急救援预案和定期组织演练的记录。应急救援预案的论证记录，备案记录</w:t>
            </w:r>
          </w:p>
        </w:tc>
        <w:tc>
          <w:tcPr>
            <w:tcW w:w="3899" w:type="dxa"/>
            <w:vAlign w:val="center"/>
          </w:tcPr>
          <w:p w14:paraId="1D58D54A">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第八十一条</w:t>
            </w:r>
            <w:r>
              <w:rPr>
                <w:rFonts w:hint="eastAsia" w:ascii="仿宋_GB2312" w:hAnsi="仿宋_GB2312" w:eastAsia="仿宋_GB2312" w:cs="仿宋_GB2312"/>
                <w:color w:val="auto"/>
                <w:kern w:val="0"/>
                <w:sz w:val="32"/>
                <w:szCs w:val="32"/>
              </w:rPr>
              <w:t>生产经营单位应当制定本单位生产安全事故应急救援预案，与所在地县级以上地方人民政府组织制定的生产安全事故应急救援预案相衔接，并定期组织演练。</w:t>
            </w:r>
          </w:p>
          <w:p w14:paraId="59090EAB">
            <w:pPr>
              <w:widowControl/>
              <w:adjustRightInd w:val="0"/>
              <w:snapToGrid w:val="0"/>
              <w:ind w:firstLine="640" w:firstLineChars="200"/>
              <w:rPr>
                <w:rFonts w:hint="eastAsia" w:ascii="仿宋_GB2312" w:hAnsi="仿宋_GB2312" w:eastAsia="仿宋_GB2312" w:cs="仿宋_GB2312"/>
                <w:color w:val="auto"/>
                <w:kern w:val="0"/>
                <w:sz w:val="32"/>
                <w:szCs w:val="32"/>
              </w:rPr>
            </w:pPr>
          </w:p>
          <w:p w14:paraId="3C092D06">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83" w:type="dxa"/>
            <w:vAlign w:val="center"/>
          </w:tcPr>
          <w:p w14:paraId="38400DF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20BC76F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（2）生产安全事故应急救援预案和定期组织演练的记录；</w:t>
            </w:r>
          </w:p>
          <w:p w14:paraId="3F38FD1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（3）应急救援预案的论证记录；</w:t>
            </w:r>
          </w:p>
          <w:p w14:paraId="3B551FA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（4）应急救援预案的备案记录；</w:t>
            </w:r>
          </w:p>
          <w:p w14:paraId="60D2086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701BF32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29D9573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（7）企业相关人员任职文件、身份证明及其询问笔录；</w:t>
            </w:r>
          </w:p>
          <w:p w14:paraId="767B93B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（8）其它相关证据。</w:t>
            </w:r>
          </w:p>
        </w:tc>
        <w:tc>
          <w:tcPr>
            <w:tcW w:w="3894" w:type="dxa"/>
            <w:vAlign w:val="center"/>
          </w:tcPr>
          <w:p w14:paraId="103022E3">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第九十七条第六项</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3C5219A5">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（六）未按照规定制定生产安全事故应急救援预案或者未定期组织演练的；</w:t>
            </w:r>
          </w:p>
        </w:tc>
        <w:tc>
          <w:tcPr>
            <w:tcW w:w="960" w:type="dxa"/>
            <w:vAlign w:val="center"/>
          </w:tcPr>
          <w:p w14:paraId="59267AA1">
            <w:pPr>
              <w:widowControl/>
              <w:adjustRightInd w:val="0"/>
              <w:snapToGrid w:val="0"/>
              <w:ind w:firstLine="640" w:firstLineChars="200"/>
              <w:rPr>
                <w:rFonts w:hint="eastAsia" w:ascii="仿宋_GB2312" w:hAnsi="仿宋_GB2312" w:eastAsia="仿宋_GB2312" w:cs="仿宋_GB2312"/>
                <w:color w:val="auto"/>
                <w:sz w:val="32"/>
                <w:szCs w:val="32"/>
              </w:rPr>
            </w:pPr>
          </w:p>
        </w:tc>
      </w:tr>
      <w:tr w14:paraId="43D4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5ED4C222">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13</w:t>
            </w:r>
          </w:p>
        </w:tc>
        <w:tc>
          <w:tcPr>
            <w:tcW w:w="954" w:type="dxa"/>
            <w:vAlign w:val="center"/>
          </w:tcPr>
          <w:p w14:paraId="6AB95996">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事故风险辨识、评估和应急资源调查</w:t>
            </w:r>
          </w:p>
        </w:tc>
        <w:tc>
          <w:tcPr>
            <w:tcW w:w="960" w:type="dxa"/>
            <w:vAlign w:val="center"/>
          </w:tcPr>
          <w:p w14:paraId="29E98C0D">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编制应急预案前，进行事故风险辨识、评估和应急资源调查的记录</w:t>
            </w:r>
          </w:p>
        </w:tc>
        <w:tc>
          <w:tcPr>
            <w:tcW w:w="3899" w:type="dxa"/>
            <w:vAlign w:val="center"/>
          </w:tcPr>
          <w:p w14:paraId="0F56903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《生产安全事故应急预案管理办法》第十条第一款</w:t>
            </w:r>
            <w:r>
              <w:rPr>
                <w:rFonts w:hint="eastAsia" w:ascii="仿宋_GB2312" w:hAnsi="仿宋_GB2312" w:eastAsia="仿宋_GB2312" w:cs="仿宋_GB2312"/>
                <w:color w:val="auto"/>
                <w:kern w:val="0"/>
                <w:sz w:val="32"/>
                <w:szCs w:val="32"/>
              </w:rPr>
              <w:t>编制应急预案前，编制单位应当进行事故风险辨识、评估和应急资源调查</w:t>
            </w:r>
            <w:r>
              <w:rPr>
                <w:rFonts w:hint="eastAsia" w:ascii="仿宋_GB2312" w:hAnsi="仿宋_GB2312" w:eastAsia="仿宋_GB2312" w:cs="仿宋_GB2312"/>
                <w:color w:val="auto"/>
                <w:sz w:val="32"/>
                <w:szCs w:val="32"/>
              </w:rPr>
              <w:t>。</w:t>
            </w:r>
          </w:p>
        </w:tc>
        <w:tc>
          <w:tcPr>
            <w:tcW w:w="3883" w:type="dxa"/>
            <w:vAlign w:val="center"/>
          </w:tcPr>
          <w:p w14:paraId="34BCA5C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5385C4C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（2）风险辨识、评估和应急资源调查的记录；</w:t>
            </w:r>
          </w:p>
          <w:p w14:paraId="3622A17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7B97520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67DC7A0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4F73646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（6）其它相关证据。</w:t>
            </w:r>
          </w:p>
        </w:tc>
        <w:tc>
          <w:tcPr>
            <w:tcW w:w="3894" w:type="dxa"/>
            <w:vAlign w:val="center"/>
          </w:tcPr>
          <w:p w14:paraId="711D96B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《生产安全事故应急预案管理办法》第四十五条第一款第（一）项</w:t>
            </w:r>
            <w:r>
              <w:rPr>
                <w:rFonts w:hint="eastAsia" w:ascii="仿宋_GB2312" w:hAnsi="仿宋_GB2312" w:eastAsia="仿宋_GB2312" w:cs="仿宋_GB2312"/>
                <w:color w:val="auto"/>
                <w:kern w:val="0"/>
                <w:sz w:val="32"/>
                <w:szCs w:val="32"/>
              </w:rPr>
              <w:t>生产经营单位有下列行为之一的，由县级以上安全生产监督管理部门责令限期改正，可以处1万元以上3万元以下的罚款：</w:t>
            </w:r>
          </w:p>
          <w:p w14:paraId="24F9CA65">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（一）在应急预案编制前未按照规定开展风险辨识、评估和应急资源调查的；</w:t>
            </w:r>
          </w:p>
        </w:tc>
        <w:tc>
          <w:tcPr>
            <w:tcW w:w="960" w:type="dxa"/>
            <w:vAlign w:val="center"/>
          </w:tcPr>
          <w:p w14:paraId="40C3611C">
            <w:pPr>
              <w:widowControl/>
              <w:adjustRightInd w:val="0"/>
              <w:snapToGrid w:val="0"/>
              <w:ind w:firstLine="640" w:firstLineChars="200"/>
              <w:rPr>
                <w:rFonts w:hint="eastAsia" w:ascii="仿宋_GB2312" w:hAnsi="仿宋_GB2312" w:eastAsia="仿宋_GB2312" w:cs="仿宋_GB2312"/>
                <w:color w:val="auto"/>
                <w:kern w:val="0"/>
                <w:sz w:val="32"/>
                <w:szCs w:val="32"/>
              </w:rPr>
            </w:pPr>
          </w:p>
        </w:tc>
      </w:tr>
      <w:tr w14:paraId="4923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635BBC17">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14</w:t>
            </w:r>
          </w:p>
        </w:tc>
        <w:tc>
          <w:tcPr>
            <w:tcW w:w="954" w:type="dxa"/>
            <w:vAlign w:val="center"/>
          </w:tcPr>
          <w:p w14:paraId="175F0748">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安全管理机构，及安全生产管理人员配备</w:t>
            </w:r>
          </w:p>
        </w:tc>
        <w:tc>
          <w:tcPr>
            <w:tcW w:w="960" w:type="dxa"/>
            <w:vAlign w:val="center"/>
          </w:tcPr>
          <w:p w14:paraId="2AF253AF">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按照规定设置的安全管理机构，或者配备专职或者兼职安全生产管理人员的文件</w:t>
            </w:r>
          </w:p>
        </w:tc>
        <w:tc>
          <w:tcPr>
            <w:tcW w:w="3899" w:type="dxa"/>
            <w:vAlign w:val="center"/>
          </w:tcPr>
          <w:p w14:paraId="4E89E77A">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第二十四条第二款</w:t>
            </w:r>
            <w:r>
              <w:rPr>
                <w:rFonts w:hint="eastAsia" w:ascii="仿宋_GB2312" w:hAnsi="仿宋_GB2312" w:eastAsia="仿宋_GB2312" w:cs="仿宋_GB2312"/>
                <w:color w:val="auto"/>
                <w:kern w:val="0"/>
                <w:sz w:val="32"/>
                <w:szCs w:val="32"/>
              </w:rPr>
              <w:t>前款规定以外的其他生产经营单位，从业人员超过一百人的，应当设置安全生产管理机构或者配备专职安全生产管理人员；从业人员在一百人以下的，应当配备专职或者兼职的安全生产管理人员。</w:t>
            </w:r>
          </w:p>
        </w:tc>
        <w:tc>
          <w:tcPr>
            <w:tcW w:w="3883" w:type="dxa"/>
            <w:vAlign w:val="center"/>
          </w:tcPr>
          <w:p w14:paraId="59F5A18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453DEC3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（2）设置的安全管理机构，或者配备专职或者兼职安全生产管理人员的文件；</w:t>
            </w:r>
          </w:p>
          <w:p w14:paraId="7AA397F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（3）相应人员身份证、执业资格证明、培训合格证明；</w:t>
            </w:r>
          </w:p>
          <w:p w14:paraId="44EEE64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（4）现场图片或影像资料；</w:t>
            </w:r>
          </w:p>
          <w:p w14:paraId="2F2AF81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2C79387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12CEB06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（7）其它相关证据。</w:t>
            </w:r>
          </w:p>
        </w:tc>
        <w:tc>
          <w:tcPr>
            <w:tcW w:w="3894" w:type="dxa"/>
            <w:vAlign w:val="center"/>
          </w:tcPr>
          <w:p w14:paraId="56D8721D">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第九十七条第一项</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E71E2FE">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（一）未按照规定设置安全生产管理机构或者配备安全生产管理人员、注册安全工程师的；</w:t>
            </w:r>
          </w:p>
        </w:tc>
        <w:tc>
          <w:tcPr>
            <w:tcW w:w="960" w:type="dxa"/>
            <w:vAlign w:val="center"/>
          </w:tcPr>
          <w:p w14:paraId="430C5F71">
            <w:pPr>
              <w:widowControl/>
              <w:adjustRightInd w:val="0"/>
              <w:snapToGrid w:val="0"/>
              <w:ind w:firstLine="640" w:firstLineChars="200"/>
              <w:rPr>
                <w:rFonts w:hint="eastAsia" w:ascii="仿宋_GB2312" w:hAnsi="仿宋_GB2312" w:eastAsia="仿宋_GB2312" w:cs="仿宋_GB2312"/>
                <w:color w:val="auto"/>
                <w:sz w:val="32"/>
                <w:szCs w:val="32"/>
              </w:rPr>
            </w:pPr>
          </w:p>
        </w:tc>
      </w:tr>
      <w:tr w14:paraId="0909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4B41C987">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15</w:t>
            </w:r>
          </w:p>
        </w:tc>
        <w:tc>
          <w:tcPr>
            <w:tcW w:w="954" w:type="dxa"/>
            <w:vAlign w:val="center"/>
          </w:tcPr>
          <w:p w14:paraId="59393896">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事故隐患排查治理记录</w:t>
            </w:r>
          </w:p>
        </w:tc>
        <w:tc>
          <w:tcPr>
            <w:tcW w:w="960" w:type="dxa"/>
            <w:vAlign w:val="center"/>
          </w:tcPr>
          <w:p w14:paraId="1398CA20">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将事故隐患排查治理情况如实记录或者向从业人员通报的记录</w:t>
            </w:r>
          </w:p>
        </w:tc>
        <w:tc>
          <w:tcPr>
            <w:tcW w:w="3899" w:type="dxa"/>
            <w:vAlign w:val="center"/>
          </w:tcPr>
          <w:p w14:paraId="3C5756E0">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883" w:type="dxa"/>
            <w:vAlign w:val="center"/>
          </w:tcPr>
          <w:p w14:paraId="6A4339D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3EBFB22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（2）事故隐患排查治理情况记录资料；</w:t>
            </w:r>
          </w:p>
          <w:p w14:paraId="0C8E7C8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（3）事故隐患排查治理情况通报记录；</w:t>
            </w:r>
          </w:p>
          <w:p w14:paraId="6D12C63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（4）现场图片或影像资料；</w:t>
            </w:r>
          </w:p>
          <w:p w14:paraId="4372715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57C1ACA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4396D68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（7）其它相关证据。</w:t>
            </w:r>
          </w:p>
        </w:tc>
        <w:tc>
          <w:tcPr>
            <w:tcW w:w="3894" w:type="dxa"/>
            <w:vAlign w:val="center"/>
          </w:tcPr>
          <w:p w14:paraId="2F25425D">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第九十七条第五项</w:t>
            </w:r>
            <w:r>
              <w:rPr>
                <w:rFonts w:hint="eastAsia" w:ascii="仿宋_GB2312" w:hAnsi="仿宋_GB2312" w:eastAsia="仿宋_GB2312" w:cs="仿宋_GB2312"/>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ED9EAD8">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（五）未将事故隐患排查治理情况如实记录或者未向从业人员通报的；</w:t>
            </w:r>
          </w:p>
        </w:tc>
        <w:tc>
          <w:tcPr>
            <w:tcW w:w="960" w:type="dxa"/>
            <w:vAlign w:val="center"/>
          </w:tcPr>
          <w:p w14:paraId="3F38EA01">
            <w:pPr>
              <w:widowControl/>
              <w:adjustRightInd w:val="0"/>
              <w:snapToGrid w:val="0"/>
              <w:ind w:firstLine="640" w:firstLineChars="200"/>
              <w:rPr>
                <w:rFonts w:hint="eastAsia" w:ascii="仿宋_GB2312" w:hAnsi="仿宋_GB2312" w:eastAsia="仿宋_GB2312" w:cs="仿宋_GB2312"/>
                <w:color w:val="auto"/>
                <w:sz w:val="32"/>
                <w:szCs w:val="32"/>
              </w:rPr>
            </w:pPr>
          </w:p>
        </w:tc>
      </w:tr>
      <w:tr w14:paraId="79383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349E62AC">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16</w:t>
            </w:r>
          </w:p>
        </w:tc>
        <w:tc>
          <w:tcPr>
            <w:tcW w:w="954" w:type="dxa"/>
            <w:vAlign w:val="center"/>
          </w:tcPr>
          <w:p w14:paraId="137C4070">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特种作业人员操作证</w:t>
            </w:r>
          </w:p>
        </w:tc>
        <w:tc>
          <w:tcPr>
            <w:tcW w:w="960" w:type="dxa"/>
            <w:vAlign w:val="center"/>
          </w:tcPr>
          <w:p w14:paraId="795377B8">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特种作业人员（电工作业、焊接与热切割作业、防爆电气作业、高处作业、化工自动化控制仪表作业等）按照规定经专门的安全作业培训并取得相应资格的证件</w:t>
            </w:r>
          </w:p>
        </w:tc>
        <w:tc>
          <w:tcPr>
            <w:tcW w:w="3899" w:type="dxa"/>
            <w:vAlign w:val="center"/>
          </w:tcPr>
          <w:p w14:paraId="2A4B1E44">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第三十条</w:t>
            </w:r>
            <w:r>
              <w:rPr>
                <w:rFonts w:hint="eastAsia" w:ascii="仿宋_GB2312" w:hAnsi="仿宋_GB2312" w:eastAsia="仿宋_GB2312" w:cs="仿宋_GB2312"/>
                <w:color w:val="auto"/>
                <w:kern w:val="0"/>
                <w:sz w:val="32"/>
                <w:szCs w:val="32"/>
              </w:rPr>
              <w:t>生产经营单位的特种作业人员必须按照国家有关规定经专门的安全作业培训，取得相应资格，方可上岗作业。</w:t>
            </w:r>
          </w:p>
          <w:p w14:paraId="01E790CE">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特种作业人员的范围由国务院应急管理部门会同国务院有关部门确定。</w:t>
            </w:r>
          </w:p>
          <w:p w14:paraId="677EDA1F">
            <w:pPr>
              <w:widowControl/>
              <w:shd w:val="clear" w:color="auto" w:fill="FFFFFF"/>
              <w:rPr>
                <w:rFonts w:hint="eastAsia" w:ascii="仿宋_GB2312" w:hAnsi="仿宋_GB2312" w:eastAsia="仿宋_GB2312" w:cs="仿宋_GB2312"/>
                <w:color w:val="auto"/>
                <w:kern w:val="0"/>
                <w:sz w:val="32"/>
                <w:szCs w:val="32"/>
              </w:rPr>
            </w:pPr>
          </w:p>
          <w:p w14:paraId="7AAF3A8B">
            <w:pPr>
              <w:widowControl/>
              <w:adjustRightInd w:val="0"/>
              <w:snapToGrid w:val="0"/>
              <w:ind w:firstLine="640" w:firstLineChars="200"/>
              <w:rPr>
                <w:rFonts w:hint="eastAsia" w:ascii="仿宋_GB2312" w:hAnsi="仿宋_GB2312" w:eastAsia="仿宋_GB2312" w:cs="仿宋_GB2312"/>
                <w:color w:val="auto"/>
                <w:sz w:val="32"/>
                <w:szCs w:val="32"/>
              </w:rPr>
            </w:pPr>
          </w:p>
        </w:tc>
        <w:tc>
          <w:tcPr>
            <w:tcW w:w="3883" w:type="dxa"/>
            <w:vAlign w:val="center"/>
          </w:tcPr>
          <w:p w14:paraId="34E41BF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0D160B2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（2）安全作业培训计划、培训资料、培训签到表、培训合格证明等相关资料；</w:t>
            </w:r>
          </w:p>
          <w:p w14:paraId="4CD22AB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（3）特种作业人员相应资格证件；</w:t>
            </w:r>
          </w:p>
          <w:p w14:paraId="4F6B7FD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（4）现场图片或影像资料；</w:t>
            </w:r>
          </w:p>
          <w:p w14:paraId="1E2F6BA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14D4318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289DAF5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（7）其它相关证据。</w:t>
            </w:r>
          </w:p>
        </w:tc>
        <w:tc>
          <w:tcPr>
            <w:tcW w:w="3894" w:type="dxa"/>
            <w:vAlign w:val="center"/>
          </w:tcPr>
          <w:p w14:paraId="7F94E586">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第九十七条第七项</w:t>
            </w:r>
            <w:r>
              <w:rPr>
                <w:rFonts w:hint="eastAsia" w:ascii="仿宋_GB2312" w:hAnsi="仿宋_GB2312" w:eastAsia="仿宋_GB2312" w:cs="仿宋_GB2312"/>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0263F17E">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（七）特种作业人员未按照规定经专门的安全作业培训并取得相应资格，上岗作业的。</w:t>
            </w:r>
          </w:p>
          <w:p w14:paraId="6828C42F">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60" w:type="dxa"/>
            <w:vAlign w:val="center"/>
          </w:tcPr>
          <w:p w14:paraId="2A14917B">
            <w:pPr>
              <w:widowControl/>
              <w:adjustRightInd w:val="0"/>
              <w:snapToGrid w:val="0"/>
              <w:ind w:firstLine="640" w:firstLineChars="200"/>
              <w:rPr>
                <w:rFonts w:hint="eastAsia" w:ascii="仿宋_GB2312" w:hAnsi="仿宋_GB2312" w:eastAsia="仿宋_GB2312" w:cs="仿宋_GB2312"/>
                <w:color w:val="auto"/>
                <w:sz w:val="32"/>
                <w:szCs w:val="32"/>
              </w:rPr>
            </w:pPr>
          </w:p>
        </w:tc>
      </w:tr>
      <w:tr w14:paraId="312D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7" w:type="dxa"/>
            <w:gridSpan w:val="7"/>
            <w:vAlign w:val="center"/>
          </w:tcPr>
          <w:p w14:paraId="5D8825A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说明：1、根据本清单提供的证照及资料有原件的，应核实原件后留存复印件；无原件的提供复印件。所有复印件资料均应加盖企业公章。证照及资料有正副本的，均核验留存复印件。</w:t>
            </w:r>
          </w:p>
          <w:p w14:paraId="6330CE52">
            <w:pPr>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2、其他相关证据：能够证明企业违法违规行为的其他相关资料。</w:t>
            </w:r>
          </w:p>
          <w:p w14:paraId="15374A01">
            <w:pPr>
              <w:widowControl/>
              <w:adjustRightInd w:val="0"/>
              <w:snapToGrid w:val="0"/>
              <w:ind w:firstLine="640" w:firstLineChars="200"/>
              <w:rPr>
                <w:rFonts w:hint="eastAsia" w:ascii="仿宋_GB2312" w:hAnsi="仿宋_GB2312" w:eastAsia="仿宋_GB2312" w:cs="仿宋_GB2312"/>
                <w:color w:val="auto"/>
                <w:sz w:val="32"/>
                <w:szCs w:val="32"/>
              </w:rPr>
            </w:pPr>
          </w:p>
        </w:tc>
      </w:tr>
    </w:tbl>
    <w:p w14:paraId="2A891B9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65563C4D">
      <w:pPr>
        <w:pStyle w:val="3"/>
        <w:spacing w:line="240" w:lineRule="auto"/>
        <w:jc w:val="center"/>
        <w:rPr>
          <w:rFonts w:hint="eastAsia" w:ascii="仿宋_GB2312" w:hAnsi="仿宋_GB2312" w:eastAsia="仿宋_GB2312" w:cs="仿宋_GB2312"/>
          <w:color w:val="auto"/>
          <w:sz w:val="32"/>
          <w:szCs w:val="32"/>
        </w:rPr>
      </w:pPr>
      <w:bookmarkStart w:id="22" w:name="_Toc28808"/>
      <w:r>
        <w:rPr>
          <w:rFonts w:hint="eastAsia" w:ascii="仿宋_GB2312" w:hAnsi="仿宋_GB2312" w:eastAsia="仿宋_GB2312" w:cs="仿宋_GB2312"/>
          <w:color w:val="auto"/>
          <w:sz w:val="32"/>
          <w:szCs w:val="32"/>
        </w:rPr>
        <w:t>纺织企业检查清单</w:t>
      </w:r>
      <w:bookmarkEnd w:id="22"/>
    </w:p>
    <w:tbl>
      <w:tblPr>
        <w:tblStyle w:val="8"/>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6"/>
        <w:gridCol w:w="950"/>
        <w:gridCol w:w="951"/>
        <w:gridCol w:w="3899"/>
        <w:gridCol w:w="3899"/>
        <w:gridCol w:w="3899"/>
        <w:gridCol w:w="951"/>
      </w:tblGrid>
      <w:tr w14:paraId="29B4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92" w:hRule="atLeast"/>
          <w:tblHeader/>
          <w:jc w:val="center"/>
        </w:trPr>
        <w:tc>
          <w:tcPr>
            <w:tcW w:w="616" w:type="dxa"/>
            <w:vAlign w:val="center"/>
          </w:tcPr>
          <w:p w14:paraId="36B548FB">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序号</w:t>
            </w:r>
          </w:p>
        </w:tc>
        <w:tc>
          <w:tcPr>
            <w:tcW w:w="950" w:type="dxa"/>
            <w:vAlign w:val="center"/>
          </w:tcPr>
          <w:p w14:paraId="28C352B5">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检查事项</w:t>
            </w:r>
          </w:p>
        </w:tc>
        <w:tc>
          <w:tcPr>
            <w:tcW w:w="951" w:type="dxa"/>
            <w:vAlign w:val="center"/>
          </w:tcPr>
          <w:p w14:paraId="500FC989">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检查内容</w:t>
            </w:r>
          </w:p>
        </w:tc>
        <w:tc>
          <w:tcPr>
            <w:tcW w:w="3899" w:type="dxa"/>
            <w:vAlign w:val="center"/>
          </w:tcPr>
          <w:p w14:paraId="184C802C">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检查依据</w:t>
            </w:r>
          </w:p>
        </w:tc>
        <w:tc>
          <w:tcPr>
            <w:tcW w:w="3899" w:type="dxa"/>
            <w:vAlign w:val="center"/>
          </w:tcPr>
          <w:p w14:paraId="2558E9F6">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主要证据</w:t>
            </w:r>
          </w:p>
        </w:tc>
        <w:tc>
          <w:tcPr>
            <w:tcW w:w="3899" w:type="dxa"/>
            <w:vAlign w:val="center"/>
          </w:tcPr>
          <w:p w14:paraId="6AE72B21">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法律责任</w:t>
            </w:r>
          </w:p>
        </w:tc>
        <w:tc>
          <w:tcPr>
            <w:tcW w:w="951" w:type="dxa"/>
            <w:vAlign w:val="center"/>
          </w:tcPr>
          <w:p w14:paraId="4CFF62C8">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检查结果</w:t>
            </w:r>
          </w:p>
        </w:tc>
      </w:tr>
      <w:tr w14:paraId="4062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14:paraId="6D8451F7">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w:t>
            </w:r>
          </w:p>
        </w:tc>
        <w:tc>
          <w:tcPr>
            <w:tcW w:w="950" w:type="dxa"/>
            <w:vAlign w:val="center"/>
          </w:tcPr>
          <w:p w14:paraId="7814669A">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特种作业操作证</w:t>
            </w:r>
          </w:p>
        </w:tc>
        <w:tc>
          <w:tcPr>
            <w:tcW w:w="951" w:type="dxa"/>
            <w:vAlign w:val="center"/>
          </w:tcPr>
          <w:p w14:paraId="2DA212F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特种作业人员是否持特种作业操作证</w:t>
            </w:r>
          </w:p>
        </w:tc>
        <w:tc>
          <w:tcPr>
            <w:tcW w:w="3899" w:type="dxa"/>
            <w:vAlign w:val="center"/>
          </w:tcPr>
          <w:p w14:paraId="765A1D05">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rPr>
              <w:t xml:space="preserve">《中华人民共和国安全生产法》  </w:t>
            </w:r>
            <w:r>
              <w:rPr>
                <w:rFonts w:hint="eastAsia" w:ascii="仿宋_GB2312" w:hAnsi="仿宋_GB2312" w:eastAsia="仿宋_GB2312" w:cs="仿宋_GB2312"/>
                <w:b/>
                <w:bCs/>
                <w:color w:val="auto"/>
                <w:kern w:val="0"/>
                <w:sz w:val="32"/>
                <w:szCs w:val="32"/>
              </w:rPr>
              <w:t>第三十条</w:t>
            </w:r>
            <w:r>
              <w:rPr>
                <w:rFonts w:hint="eastAsia" w:ascii="仿宋_GB2312" w:hAnsi="仿宋_GB2312" w:eastAsia="仿宋_GB2312" w:cs="仿宋_GB2312"/>
                <w:color w:val="auto"/>
                <w:kern w:val="0"/>
                <w:sz w:val="32"/>
                <w:szCs w:val="32"/>
              </w:rPr>
              <w:t>生产经营单位的特种作业人员必须按照国家有关规定经专门的安全作业培训，取得相应资格，方可上岗作业。</w:t>
            </w:r>
          </w:p>
          <w:p w14:paraId="08076886">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特种作业人员的范围由国务院应急管理部门会同国务院有关部门确定。</w:t>
            </w:r>
          </w:p>
          <w:p w14:paraId="25387302">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《特种作业人员安全技术培训考核管理规定》附件特种作业目录</w:t>
            </w:r>
            <w:r>
              <w:rPr>
                <w:rFonts w:hint="eastAsia" w:ascii="仿宋_GB2312" w:hAnsi="仿宋_GB2312" w:eastAsia="仿宋_GB2312" w:cs="仿宋_GB2312"/>
                <w:color w:val="auto"/>
                <w:kern w:val="0"/>
                <w:sz w:val="32"/>
                <w:szCs w:val="32"/>
              </w:rPr>
              <w:t>9.3氯化工艺作业......。</w:t>
            </w:r>
          </w:p>
        </w:tc>
        <w:tc>
          <w:tcPr>
            <w:tcW w:w="3899" w:type="dxa"/>
            <w:vAlign w:val="center"/>
          </w:tcPr>
          <w:p w14:paraId="29C1ED2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621A467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（2）从业人员花名册；</w:t>
            </w:r>
          </w:p>
          <w:p w14:paraId="24EA377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（3）特种作业操作证和身份证；</w:t>
            </w:r>
          </w:p>
          <w:p w14:paraId="0819CDF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（4）政务网站查询特种作业人员截屏；</w:t>
            </w:r>
          </w:p>
          <w:p w14:paraId="58573A4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（5）图片或影像资料；</w:t>
            </w:r>
          </w:p>
          <w:p w14:paraId="280907E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637D444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（7）企业相关人员任职文件、身份证明及其询问笔录；</w:t>
            </w:r>
          </w:p>
          <w:p w14:paraId="3851566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vAlign w:val="center"/>
          </w:tcPr>
          <w:p w14:paraId="2E824961">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第九十七条第七项</w:t>
            </w:r>
            <w:r>
              <w:rPr>
                <w:rFonts w:hint="eastAsia" w:ascii="仿宋_GB2312" w:hAnsi="仿宋_GB2312" w:eastAsia="仿宋_GB2312" w:cs="仿宋_GB2312"/>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40372096">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（七）特种作业人员未按照规定经专门的安全作业培训并取得相应资格，上岗作业的。</w:t>
            </w:r>
          </w:p>
          <w:p w14:paraId="18773E62">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48093520">
            <w:pPr>
              <w:widowControl/>
              <w:adjustRightInd w:val="0"/>
              <w:snapToGrid w:val="0"/>
              <w:rPr>
                <w:rFonts w:hint="eastAsia" w:ascii="仿宋_GB2312" w:hAnsi="仿宋_GB2312" w:eastAsia="仿宋_GB2312" w:cs="仿宋_GB2312"/>
                <w:b/>
                <w:color w:val="auto"/>
                <w:kern w:val="0"/>
                <w:sz w:val="32"/>
                <w:szCs w:val="32"/>
              </w:rPr>
            </w:pPr>
          </w:p>
        </w:tc>
      </w:tr>
      <w:tr w14:paraId="1314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14:paraId="4037ABA8">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w:t>
            </w:r>
          </w:p>
        </w:tc>
        <w:tc>
          <w:tcPr>
            <w:tcW w:w="950" w:type="dxa"/>
            <w:vAlign w:val="center"/>
          </w:tcPr>
          <w:p w14:paraId="523CAF09">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安全出口、安全门</w:t>
            </w:r>
          </w:p>
        </w:tc>
        <w:tc>
          <w:tcPr>
            <w:tcW w:w="951" w:type="dxa"/>
            <w:vAlign w:val="center"/>
          </w:tcPr>
          <w:p w14:paraId="6CFE2E3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安全出口、安全门是否符合规定</w:t>
            </w:r>
          </w:p>
        </w:tc>
        <w:tc>
          <w:tcPr>
            <w:tcW w:w="3899" w:type="dxa"/>
            <w:vAlign w:val="center"/>
          </w:tcPr>
          <w:p w14:paraId="39FD3F44">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第四十二条第二款</w:t>
            </w:r>
            <w:r>
              <w:rPr>
                <w:rFonts w:hint="eastAsia" w:ascii="仿宋_GB2312" w:hAnsi="仿宋_GB2312" w:eastAsia="仿宋_GB2312" w:cs="仿宋_GB2312"/>
                <w:color w:val="auto"/>
                <w:kern w:val="0"/>
                <w:sz w:val="32"/>
                <w:szCs w:val="32"/>
              </w:rPr>
              <w:t>生产经营场所和员工宿舍应当设有符合紧急疏散要求、标志明显、保持畅通的出口、疏散通道。禁止占用、锁闭、封堵生产经营场所或者员工宿舍的出口、疏散通道。</w:t>
            </w:r>
          </w:p>
          <w:p w14:paraId="285E2B03">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《棉纺织企业安全生产规程》（AQ  7003-2007）7.3.4  </w:t>
            </w:r>
            <w:r>
              <w:rPr>
                <w:rFonts w:hint="eastAsia" w:ascii="仿宋_GB2312" w:hAnsi="仿宋_GB2312" w:eastAsia="仿宋_GB2312" w:cs="仿宋_GB2312"/>
                <w:color w:val="auto"/>
                <w:kern w:val="0"/>
                <w:sz w:val="32"/>
                <w:szCs w:val="32"/>
              </w:rPr>
              <w:t>生产场所应当保障疏散通道、安全出口畅通，严禁占用，通道及安全出口应有明显标志。</w:t>
            </w:r>
          </w:p>
        </w:tc>
        <w:tc>
          <w:tcPr>
            <w:tcW w:w="3899" w:type="dxa"/>
            <w:vAlign w:val="center"/>
          </w:tcPr>
          <w:p w14:paraId="057B1709">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w:t>
            </w:r>
          </w:p>
          <w:p w14:paraId="0E18F2D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（2）总平面布置图；</w:t>
            </w:r>
          </w:p>
          <w:p w14:paraId="23F51B8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（3）图片或影像资料；</w:t>
            </w:r>
          </w:p>
          <w:p w14:paraId="0496FF5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244F740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7A2A649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（6）其他相关证据。</w:t>
            </w:r>
          </w:p>
        </w:tc>
        <w:tc>
          <w:tcPr>
            <w:tcW w:w="3899" w:type="dxa"/>
            <w:vAlign w:val="center"/>
          </w:tcPr>
          <w:p w14:paraId="49246019">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第一百零五条第二项</w:t>
            </w:r>
            <w:r>
              <w:rPr>
                <w:rFonts w:hint="eastAsia" w:ascii="仿宋_GB2312" w:hAnsi="仿宋_GB2312" w:eastAsia="仿宋_GB2312" w:cs="仿宋_GB2312"/>
                <w:color w:val="auto"/>
                <w:kern w:val="0"/>
                <w:sz w:val="32"/>
                <w:szCs w:val="32"/>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46E3CE85">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（二）生产经营场所和员工宿舍未设有符合紧急疏散需要、标志明显、保持畅通的出口、疏散通道，或者占用、锁闭、封堵生产经营场所或者员工宿舍出口、疏散通道的。</w:t>
            </w:r>
          </w:p>
          <w:p w14:paraId="6BD08E6B">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11EA54E7">
            <w:pPr>
              <w:widowControl/>
              <w:adjustRightInd w:val="0"/>
              <w:snapToGrid w:val="0"/>
              <w:rPr>
                <w:rFonts w:hint="eastAsia" w:ascii="仿宋_GB2312" w:hAnsi="仿宋_GB2312" w:eastAsia="仿宋_GB2312" w:cs="仿宋_GB2312"/>
                <w:b/>
                <w:color w:val="auto"/>
                <w:kern w:val="0"/>
                <w:sz w:val="32"/>
                <w:szCs w:val="32"/>
              </w:rPr>
            </w:pPr>
          </w:p>
        </w:tc>
      </w:tr>
      <w:tr w14:paraId="140C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14:paraId="01AAE710">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p>
        </w:tc>
        <w:tc>
          <w:tcPr>
            <w:tcW w:w="950" w:type="dxa"/>
            <w:vAlign w:val="center"/>
          </w:tcPr>
          <w:p w14:paraId="7685D9F1">
            <w:pPr>
              <w:widowControl/>
              <w:adjustRightInd w:val="0"/>
              <w:snapToGrid w:val="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安全监测设备类</w:t>
            </w:r>
          </w:p>
          <w:p w14:paraId="2C67A5ED">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47EF080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棉纺织前纺车间是否有监测设备、报警装置、压力表、压力阀等。</w:t>
            </w:r>
          </w:p>
        </w:tc>
        <w:tc>
          <w:tcPr>
            <w:tcW w:w="3899" w:type="dxa"/>
            <w:vAlign w:val="center"/>
          </w:tcPr>
          <w:p w14:paraId="1988326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第三十六条第一款、第二款、第三款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4396E6E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p w14:paraId="7677C6A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生产经营单位不得关闭、破坏直接关系生产安全的监控、报警、防护、救生设备、设施，或者篡改、隐瞒、销毁其相关数据、信息。</w:t>
            </w:r>
          </w:p>
          <w:p w14:paraId="7F19BB5B">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rPr>
              <w:t>纺织工业企业安全管理规范》（AQ7002-2007）第11.1.6条</w:t>
            </w:r>
            <w:r>
              <w:rPr>
                <w:rFonts w:hint="eastAsia" w:ascii="仿宋_GB2312" w:hAnsi="仿宋_GB2312" w:eastAsia="仿宋_GB2312" w:cs="仿宋_GB2312"/>
                <w:color w:val="auto"/>
                <w:kern w:val="0"/>
                <w:sz w:val="32"/>
                <w:szCs w:val="32"/>
              </w:rPr>
              <w:t>棉纺织前纺车间内金属探测排除器、烟火联动报警器、多功能灭火水枪，以及墙式消防栓、喷淋装置、消防软管等应当配备齐全、实用到位。</w:t>
            </w:r>
          </w:p>
          <w:p w14:paraId="49562FFA">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《纺织工业企业安全管理规范》（AQ7002-2007）第11.1.7条</w:t>
            </w:r>
            <w:r>
              <w:rPr>
                <w:rFonts w:hint="eastAsia" w:ascii="仿宋_GB2312" w:hAnsi="仿宋_GB2312" w:eastAsia="仿宋_GB2312" w:cs="仿宋_GB2312"/>
                <w:color w:val="auto"/>
                <w:kern w:val="0"/>
                <w:sz w:val="32"/>
                <w:szCs w:val="32"/>
              </w:rPr>
              <w:t>化纤生产、印染生产等涉及有毒有害的场所应当配备齐全、有效的监控装置、报警装置、防毒面具、抢险应急工具和专用消防设施等。</w:t>
            </w:r>
          </w:p>
          <w:p w14:paraId="3DB653CD">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rPr>
              <w:t>纺织工业企业安全管理规范》（AQ7002-2007）第11.1.8条</w:t>
            </w:r>
            <w:r>
              <w:rPr>
                <w:rFonts w:hint="eastAsia" w:ascii="仿宋_GB2312" w:hAnsi="仿宋_GB2312" w:eastAsia="仿宋_GB2312" w:cs="仿宋_GB2312"/>
                <w:color w:val="auto"/>
                <w:kern w:val="0"/>
                <w:sz w:val="32"/>
                <w:szCs w:val="32"/>
              </w:rPr>
              <w:t>纺织专用设备上的压力表、安全阀、防爆膜、温度计、电流表、电压表，以及其他各种仪器应灵敏有效。同时，必须符合电气、仪表安全规程要求。</w:t>
            </w:r>
          </w:p>
          <w:p w14:paraId="514C4AFE">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rPr>
              <w:t>纺织工业企业安全管理规范》（AQ7002-2007）第11.1.9条</w:t>
            </w:r>
            <w:r>
              <w:rPr>
                <w:rFonts w:hint="eastAsia" w:ascii="仿宋_GB2312" w:hAnsi="仿宋_GB2312" w:eastAsia="仿宋_GB2312" w:cs="仿宋_GB2312"/>
                <w:color w:val="auto"/>
                <w:kern w:val="0"/>
                <w:sz w:val="32"/>
                <w:szCs w:val="32"/>
              </w:rPr>
              <w:t>纺织专用设备上的电触能压力表、固定停启装置在核定压力数值后，应当具有防止擅自改动压力的措施。</w:t>
            </w:r>
          </w:p>
          <w:p w14:paraId="34538935">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rPr>
              <w:t>纺织工业企业安全管理规范》（AQ7002-2007）第11.1.10条</w:t>
            </w:r>
            <w:r>
              <w:rPr>
                <w:rFonts w:hint="eastAsia" w:ascii="仿宋_GB2312" w:hAnsi="仿宋_GB2312" w:eastAsia="仿宋_GB2312" w:cs="仿宋_GB2312"/>
                <w:color w:val="auto"/>
                <w:kern w:val="0"/>
                <w:sz w:val="32"/>
                <w:szCs w:val="32"/>
              </w:rPr>
              <w:t>纺织专用设备各管道应有符合规定的标色，标明流向，管路上的开关处红白相间的芯子漆色应清晰。</w:t>
            </w:r>
          </w:p>
          <w:p w14:paraId="717CB643">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rPr>
              <w:t>纺织工业企业安全管理规范》（AQ7002-2007）第11.2.7.5条</w:t>
            </w:r>
            <w:r>
              <w:rPr>
                <w:rFonts w:hint="eastAsia" w:ascii="仿宋_GB2312" w:hAnsi="仿宋_GB2312" w:eastAsia="仿宋_GB2312" w:cs="仿宋_GB2312"/>
                <w:color w:val="auto"/>
                <w:kern w:val="0"/>
                <w:sz w:val="32"/>
                <w:szCs w:val="32"/>
              </w:rPr>
              <w:t>煮纱（布）锅、高温高压染色机（筒子、绞纱）、管道染纱机、浆染联合机（纱、线）、绞纱烘燥机、筒子烘燥机、蒸箱（筒）、经轴浆纱机、热定型锅（箱）、磨缄机（刷绒）、履带练漂平洗机、平洗机（皂洗机）、烘燥机（织物轧水烘烧机、五层短环烘烧机）、小烫机、印花机、蒸化机、溢流染色机、高温高压喷射溢流管式染色机、丝光机、浸轧机、热定型机（热风拉幅机）、热定形锅（箱）、防缩机、蓬松机、烫平机、三辊连续蒸呢机等设备必须装设齐全、完整、有效的安全阀、压力表、温度计以及爆破片（防爆膜）等安全附件，定期检查、检测，合格使用。</w:t>
            </w:r>
          </w:p>
        </w:tc>
        <w:tc>
          <w:tcPr>
            <w:tcW w:w="3899" w:type="dxa"/>
            <w:vAlign w:val="center"/>
          </w:tcPr>
          <w:p w14:paraId="56A03BC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0E94524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（2）监测设施、报警装置、压力表、压力阀等的采购凭证和合格证明、检测证明和维护保养记录；</w:t>
            </w:r>
          </w:p>
          <w:p w14:paraId="2A4999D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（3）图片或影像资料；</w:t>
            </w:r>
          </w:p>
          <w:p w14:paraId="1706FCB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57C259F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7508BC1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（6）其他相关证据。</w:t>
            </w:r>
          </w:p>
        </w:tc>
        <w:tc>
          <w:tcPr>
            <w:tcW w:w="3899" w:type="dxa"/>
            <w:vAlign w:val="center"/>
          </w:tcPr>
          <w:p w14:paraId="41DFEA01">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第九十九条第二项、第三项、第四项</w:t>
            </w:r>
            <w:r>
              <w:rPr>
                <w:rFonts w:hint="eastAsia" w:ascii="仿宋_GB2312" w:hAnsi="仿宋_GB2312" w:eastAsia="仿宋_GB2312" w:cs="仿宋_GB2312"/>
                <w:color w:val="auto"/>
                <w:kern w:val="0"/>
                <w:sz w:val="32"/>
                <w:szCs w:val="32"/>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7C452E3">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276605C1">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（三）未对安全设备进行经常性维护、保养和定期检测的；</w:t>
            </w:r>
          </w:p>
          <w:p w14:paraId="61BA2B8D">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（四）关闭、破坏直接关系生产安全的监控、报警、防护、救生设备、设施，或者篡改、隐瞒、销毁其相关数据、信息的；</w:t>
            </w:r>
          </w:p>
          <w:p w14:paraId="796133A7">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7E92A92A">
            <w:pPr>
              <w:widowControl/>
              <w:adjustRightInd w:val="0"/>
              <w:snapToGrid w:val="0"/>
              <w:rPr>
                <w:rFonts w:hint="eastAsia" w:ascii="仿宋_GB2312" w:hAnsi="仿宋_GB2312" w:eastAsia="仿宋_GB2312" w:cs="仿宋_GB2312"/>
                <w:b/>
                <w:color w:val="auto"/>
                <w:kern w:val="0"/>
                <w:sz w:val="32"/>
                <w:szCs w:val="32"/>
              </w:rPr>
            </w:pPr>
          </w:p>
        </w:tc>
      </w:tr>
      <w:tr w14:paraId="7CC7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14:paraId="5D0D69D4">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p>
        </w:tc>
        <w:tc>
          <w:tcPr>
            <w:tcW w:w="950" w:type="dxa"/>
            <w:vAlign w:val="center"/>
          </w:tcPr>
          <w:p w14:paraId="4EE09AA1">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印染工序中对危险有害因素的安全监控和防护</w:t>
            </w:r>
          </w:p>
        </w:tc>
        <w:tc>
          <w:tcPr>
            <w:tcW w:w="951" w:type="dxa"/>
            <w:vAlign w:val="center"/>
          </w:tcPr>
          <w:p w14:paraId="7E80550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是否配备印染过程中监控装置、报警装置、防毒面具、抢险应急工具和专用消防设施</w:t>
            </w:r>
          </w:p>
        </w:tc>
        <w:tc>
          <w:tcPr>
            <w:tcW w:w="3899" w:type="dxa"/>
            <w:vAlign w:val="center"/>
          </w:tcPr>
          <w:p w14:paraId="2126B3D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第三十六条第一款、第二款、第三款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59C3DA7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p w14:paraId="75F8AB95">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生产经营单位不得关闭、破坏直接关系生产安全的监控、报警、防护、救生设备、设施，或者篡改、隐瞒、销毁其相关数据、信息。</w:t>
            </w:r>
          </w:p>
          <w:p w14:paraId="5B0F7D5F">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《纺织工业企业安全管理规范》（AQ7002-2007）第11.1.7条</w:t>
            </w:r>
            <w:r>
              <w:rPr>
                <w:rFonts w:hint="eastAsia" w:ascii="仿宋_GB2312" w:hAnsi="仿宋_GB2312" w:eastAsia="仿宋_GB2312" w:cs="仿宋_GB2312"/>
                <w:color w:val="auto"/>
                <w:kern w:val="0"/>
                <w:sz w:val="32"/>
                <w:szCs w:val="32"/>
              </w:rPr>
              <w:t>化纤生产、印染生产等涉及有毒有害的场所应当配备齐全、有效的监控装置、报警装置、防毒面具、抢险应急工具和专用消防设施等。</w:t>
            </w:r>
          </w:p>
          <w:p w14:paraId="167AF639">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《纺织工业企业安全管理规范》（AQ7002-2007）第11.2.2.3 条</w:t>
            </w:r>
            <w:r>
              <w:rPr>
                <w:rFonts w:hint="eastAsia" w:ascii="仿宋_GB2312" w:hAnsi="仿宋_GB2312" w:eastAsia="仿宋_GB2312" w:cs="仿宋_GB2312"/>
                <w:color w:val="auto"/>
                <w:kern w:val="0"/>
                <w:sz w:val="32"/>
                <w:szCs w:val="32"/>
              </w:rPr>
              <w:t>印染及整理专用设备中的预缩机（三辊防缩机）进布端、重型轧车和辊筒印花机的万向联轴器等危险部位，必须做到防护隔离装置和电气联锁装置相配套，并在醒目处设置安全警示标志。旋转部位安全防护罩应完整、牢固、无缺损。</w:t>
            </w:r>
          </w:p>
          <w:p w14:paraId="06229708">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《纺织工业企业安全管理规范》（AQ7002-2007）第11.2.2.6条</w:t>
            </w:r>
            <w:r>
              <w:rPr>
                <w:rFonts w:hint="eastAsia" w:ascii="仿宋_GB2312" w:hAnsi="仿宋_GB2312" w:eastAsia="仿宋_GB2312" w:cs="仿宋_GB2312"/>
                <w:color w:val="auto"/>
                <w:kern w:val="0"/>
                <w:sz w:val="32"/>
                <w:szCs w:val="32"/>
              </w:rPr>
              <w:t>使用、贮存酸、碱、氧化剂、还原剂等腐蚀性的印染及整理专用设备、容器、管道必须完整无损，防范有效。贮存管口必须防腐、加盖、上锁，安全标志应齐全、醒目。从业人员必须正确佩戴和使用手套、套鞋、眼镜等专用防护用品、用具进行安全操作。</w:t>
            </w:r>
          </w:p>
          <w:p w14:paraId="0B134078">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《纺织工业企业安全管理规范》（AQ7002-2007）第11.2.2.7条</w:t>
            </w:r>
            <w:r>
              <w:rPr>
                <w:rFonts w:hint="eastAsia" w:ascii="仿宋_GB2312" w:hAnsi="仿宋_GB2312" w:eastAsia="仿宋_GB2312" w:cs="仿宋_GB2312"/>
                <w:color w:val="auto"/>
                <w:kern w:val="0"/>
                <w:sz w:val="32"/>
                <w:szCs w:val="32"/>
              </w:rPr>
              <w:t>印染及整理车间应当设置排水、防水措施，地面应具有向排水沟或者有地漏的坡度。溢水多的印染及整理专用设备位于楼层时，设备下部应设集水盘。</w:t>
            </w:r>
          </w:p>
          <w:p w14:paraId="4B825DF2">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《纺织工业企业安全管理规范》（AQ7002-2007）第11.2.2.8条</w:t>
            </w:r>
            <w:r>
              <w:rPr>
                <w:rFonts w:hint="eastAsia" w:ascii="仿宋_GB2312" w:hAnsi="仿宋_GB2312" w:eastAsia="仿宋_GB2312" w:cs="仿宋_GB2312"/>
                <w:color w:val="auto"/>
                <w:kern w:val="0"/>
                <w:sz w:val="32"/>
                <w:szCs w:val="32"/>
              </w:rPr>
              <w:t>印染及整理专用设备的电缆、电气动力配线和照明电线应当使用线槽或者线管架空设置。电气设备、装置和移动电具等应当具有防水、防潮、防触电和漏电保护装置，并有效接地。</w:t>
            </w:r>
          </w:p>
        </w:tc>
        <w:tc>
          <w:tcPr>
            <w:tcW w:w="3899" w:type="dxa"/>
            <w:vAlign w:val="center"/>
          </w:tcPr>
          <w:p w14:paraId="33A2DC5B">
            <w:pPr>
              <w:widowControl/>
              <w:adjustRightInd w:val="0"/>
              <w:snapToGrid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kern w:val="0"/>
                <w:sz w:val="32"/>
                <w:szCs w:val="32"/>
              </w:rPr>
              <w:t>（1）企业营业执照和有关证照；</w:t>
            </w:r>
          </w:p>
          <w:p w14:paraId="4B1D37A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（2）监测设施等采购凭证；</w:t>
            </w:r>
          </w:p>
          <w:p w14:paraId="5B0121B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（3）图片或影像资料；</w:t>
            </w:r>
          </w:p>
          <w:p w14:paraId="6ABAADD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2D1E806B">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1800CC7B">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（6）其他相关证据。</w:t>
            </w:r>
          </w:p>
        </w:tc>
        <w:tc>
          <w:tcPr>
            <w:tcW w:w="3899" w:type="dxa"/>
            <w:vAlign w:val="center"/>
          </w:tcPr>
          <w:p w14:paraId="45FEE774">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第九十九条第二项、第三项、第四项</w:t>
            </w:r>
            <w:r>
              <w:rPr>
                <w:rFonts w:hint="eastAsia" w:ascii="仿宋_GB2312" w:hAnsi="仿宋_GB2312" w:eastAsia="仿宋_GB2312" w:cs="仿宋_GB2312"/>
                <w:color w:val="auto"/>
                <w:kern w:val="0"/>
                <w:sz w:val="32"/>
                <w:szCs w:val="32"/>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0A740B2">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2978FB5B">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（三）未对安全设备进行经常性维护、保养和定期检测的；</w:t>
            </w:r>
          </w:p>
          <w:p w14:paraId="4EDD261F">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（四）关闭、破坏直接关系生产安全的监控、报警、防护、救生设备、设施，或者篡改、隐瞒、销毁其相关数据、信息的；</w:t>
            </w:r>
          </w:p>
          <w:p w14:paraId="459581D6">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1776449E">
            <w:pPr>
              <w:widowControl/>
              <w:adjustRightInd w:val="0"/>
              <w:snapToGrid w:val="0"/>
              <w:rPr>
                <w:rFonts w:hint="eastAsia" w:ascii="仿宋_GB2312" w:hAnsi="仿宋_GB2312" w:eastAsia="仿宋_GB2312" w:cs="仿宋_GB2312"/>
                <w:b/>
                <w:color w:val="auto"/>
                <w:kern w:val="0"/>
                <w:sz w:val="32"/>
                <w:szCs w:val="32"/>
              </w:rPr>
            </w:pPr>
          </w:p>
        </w:tc>
      </w:tr>
      <w:tr w14:paraId="7C7F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14:paraId="7974316F">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p>
        </w:tc>
        <w:tc>
          <w:tcPr>
            <w:tcW w:w="950" w:type="dxa"/>
            <w:vAlign w:val="center"/>
          </w:tcPr>
          <w:p w14:paraId="55BAA745">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汽化室、燃气贮罐、储油罐、热媒炉设置和布局情况</w:t>
            </w:r>
          </w:p>
        </w:tc>
        <w:tc>
          <w:tcPr>
            <w:tcW w:w="951" w:type="dxa"/>
            <w:vAlign w:val="center"/>
          </w:tcPr>
          <w:p w14:paraId="454FD29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纱、线、织物加工的烧毛、开幅、烘干等热定型工艺使用煤气、石油液化气、天然气和汽油等汽化气烧毛的燃气分配室、储气罐、储油罐、汽油汽化器、热媒炉等设备、装置，是否与生产加工、人员密集场所明确分开，单独设置（重大隐患）</w:t>
            </w:r>
          </w:p>
        </w:tc>
        <w:tc>
          <w:tcPr>
            <w:tcW w:w="3899" w:type="dxa"/>
            <w:vAlign w:val="center"/>
          </w:tcPr>
          <w:p w14:paraId="09D46C94">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第四十二条第一款</w:t>
            </w:r>
            <w:r>
              <w:rPr>
                <w:rFonts w:hint="eastAsia" w:ascii="仿宋_GB2312" w:hAnsi="仿宋_GB2312" w:eastAsia="仿宋_GB2312" w:cs="仿宋_GB2312"/>
                <w:color w:val="auto"/>
                <w:kern w:val="0"/>
                <w:sz w:val="32"/>
                <w:szCs w:val="32"/>
              </w:rPr>
              <w:t>生产、经营、储存、使用危险物品的车间、商店、仓库不得与员工宿舍在同一座建筑物内，并应当与员工宿舍保持安全距离。</w:t>
            </w:r>
          </w:p>
          <w:p w14:paraId="0582238D">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 7002-2007)第11.2.10.2条</w:t>
            </w:r>
            <w:r>
              <w:rPr>
                <w:rFonts w:hint="eastAsia" w:ascii="仿宋_GB2312" w:hAnsi="仿宋_GB2312" w:eastAsia="仿宋_GB2312" w:cs="仿宋_GB2312"/>
                <w:color w:val="auto"/>
                <w:kern w:val="0"/>
                <w:sz w:val="32"/>
                <w:szCs w:val="32"/>
              </w:rPr>
              <w:t>使用煤气、石油液化气、天然气和汽油等汽化气烧毛的燃气分配室、储气罐、储油罐、汽油汽化器、热媒炉等设备、装置，必须与生产加工、人员密集场所明确分开，单独设置，保持安全距离。……</w:t>
            </w:r>
          </w:p>
          <w:p w14:paraId="3C92AF98">
            <w:pPr>
              <w:widowControl/>
              <w:adjustRightInd w:val="0"/>
              <w:snapToGrid w:val="0"/>
              <w:ind w:firstLine="36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《工贸行业重大生产安全事故隐患判定标准（2017版）》（安监总管四〔2017〕129号）</w:t>
            </w:r>
          </w:p>
          <w:p w14:paraId="1E32F54E">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1B652308">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（六）纺织行业</w:t>
            </w:r>
          </w:p>
          <w:p w14:paraId="6A85D257">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1.纱、线、织物加工的烧毛、开幅、烘干等热定型工艺的汽化室、燃气贮罐、储油罐、热媒炉等未与生产加工、人员密集场所明确分开或单独设置。</w:t>
            </w:r>
          </w:p>
        </w:tc>
        <w:tc>
          <w:tcPr>
            <w:tcW w:w="3899" w:type="dxa"/>
            <w:vAlign w:val="center"/>
          </w:tcPr>
          <w:p w14:paraId="1F96B2E1">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w:t>
            </w:r>
          </w:p>
          <w:p w14:paraId="277AB32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（2）总平面布置图；</w:t>
            </w:r>
          </w:p>
          <w:p w14:paraId="31444D3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（3）安全评价报告；</w:t>
            </w:r>
          </w:p>
          <w:p w14:paraId="06B5F47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（4）图片或影像资料；</w:t>
            </w:r>
          </w:p>
          <w:p w14:paraId="20672AE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1FB33EC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1C739EA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tc>
        <w:tc>
          <w:tcPr>
            <w:tcW w:w="3899" w:type="dxa"/>
            <w:vAlign w:val="center"/>
          </w:tcPr>
          <w:p w14:paraId="3291C898">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第一百零五条第一项</w:t>
            </w:r>
            <w:r>
              <w:rPr>
                <w:rFonts w:hint="eastAsia" w:ascii="仿宋_GB2312" w:hAnsi="仿宋_GB2312" w:eastAsia="仿宋_GB2312" w:cs="仿宋_GB2312"/>
                <w:color w:val="auto"/>
                <w:kern w:val="0"/>
                <w:sz w:val="32"/>
                <w:szCs w:val="32"/>
              </w:rPr>
              <w:t>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p>
          <w:p w14:paraId="2696B1B5">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（一）生产、经营、储存、使用危险物品的车间、商店、仓库与员工宿舍在同一座建筑内，或者与员工宿舍的距离不符合安全要求的；</w:t>
            </w:r>
          </w:p>
          <w:p w14:paraId="2B1D062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CB8DF3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114B404">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6B17F410">
            <w:pPr>
              <w:widowControl/>
              <w:adjustRightInd w:val="0"/>
              <w:snapToGrid w:val="0"/>
              <w:rPr>
                <w:rFonts w:hint="eastAsia" w:ascii="仿宋_GB2312" w:hAnsi="仿宋_GB2312" w:eastAsia="仿宋_GB2312" w:cs="仿宋_GB2312"/>
                <w:b/>
                <w:color w:val="auto"/>
                <w:kern w:val="0"/>
                <w:sz w:val="32"/>
                <w:szCs w:val="32"/>
              </w:rPr>
            </w:pPr>
          </w:p>
        </w:tc>
      </w:tr>
      <w:tr w14:paraId="7BA6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14:paraId="65421CB2">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p>
        </w:tc>
        <w:tc>
          <w:tcPr>
            <w:tcW w:w="950" w:type="dxa"/>
            <w:vAlign w:val="center"/>
          </w:tcPr>
          <w:p w14:paraId="5C1B669C">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危险品储存安全措施情况</w:t>
            </w:r>
          </w:p>
        </w:tc>
        <w:tc>
          <w:tcPr>
            <w:tcW w:w="951" w:type="dxa"/>
            <w:vAlign w:val="center"/>
          </w:tcPr>
          <w:p w14:paraId="0C91FB3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联苯、二硫化碳、保险粉、双氧水、亚氯酸钠、雕白粉（吊白块）等危险品储存是否符合规定（重大隐患）</w:t>
            </w:r>
          </w:p>
        </w:tc>
        <w:tc>
          <w:tcPr>
            <w:tcW w:w="3899" w:type="dxa"/>
            <w:vAlign w:val="center"/>
          </w:tcPr>
          <w:p w14:paraId="64A02C81">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《危险化学品安全管理条例》第二十二条第一款</w:t>
            </w:r>
            <w:r>
              <w:rPr>
                <w:rFonts w:hint="eastAsia" w:ascii="仿宋_GB2312" w:hAnsi="仿宋_GB2312" w:eastAsia="仿宋_GB2312" w:cs="仿宋_GB2312"/>
                <w:color w:val="auto"/>
                <w:kern w:val="0"/>
                <w:sz w:val="32"/>
                <w:szCs w:val="32"/>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14:paraId="731272FD">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《危险化学品安全管理条例》第二十四条第一款</w:t>
            </w:r>
            <w:r>
              <w:rPr>
                <w:rFonts w:hint="eastAsia" w:ascii="仿宋_GB2312" w:hAnsi="仿宋_GB2312" w:eastAsia="仿宋_GB2312" w:cs="仿宋_GB2312"/>
                <w:color w:val="auto"/>
                <w:kern w:val="0"/>
                <w:sz w:val="32"/>
                <w:szCs w:val="32"/>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14:paraId="149DDC10">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第三十九条第二款</w:t>
            </w:r>
            <w:r>
              <w:rPr>
                <w:rFonts w:hint="eastAsia" w:ascii="仿宋_GB2312" w:hAnsi="仿宋_GB2312" w:eastAsia="仿宋_GB2312" w:cs="仿宋_GB2312"/>
                <w:color w:val="auto"/>
                <w:kern w:val="0"/>
                <w:sz w:val="32"/>
                <w:szCs w:val="32"/>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14:paraId="0D72F374">
            <w:pPr>
              <w:widowControl/>
              <w:adjustRightInd w:val="0"/>
              <w:snapToGrid w:val="0"/>
              <w:ind w:firstLine="36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《纺织工业企业安全管理规范》(AQ 7002-2007)</w:t>
            </w:r>
          </w:p>
          <w:p w14:paraId="074B9EBD">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13.3.6  储存的危险化学品，特别是甲、乙类危险化学品，必须包装牢固、密封，严防跑、冒、滴、漏，并且定点存放，严禁超存、混存、露天堆放。</w:t>
            </w:r>
          </w:p>
          <w:p w14:paraId="6988B46C">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易自燃或者遇水分解的物品，必须在温度较低、通风良好和空气干燥的场所储存，做好防水、防潮、防腐蚀措施。</w:t>
            </w:r>
          </w:p>
          <w:p w14:paraId="51FEFC31">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凡易相互发生化学反应或者灭火方法不同的化学物品必须分间、分库储存，并在醒目处标明储存物品的名称、性质和灭火方法。</w:t>
            </w:r>
          </w:p>
          <w:p w14:paraId="720D2798">
            <w:pPr>
              <w:widowControl/>
              <w:adjustRightInd w:val="0"/>
              <w:snapToGrid w:val="0"/>
              <w:ind w:firstLine="36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《工贸行业重大生产安全事故隐患判定标准（2017版）》（安监总管四〔2017〕129号）</w:t>
            </w:r>
          </w:p>
          <w:p w14:paraId="04421E13">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1B7EE75B">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（六）纺织行业</w:t>
            </w:r>
          </w:p>
          <w:p w14:paraId="1A9C4D81">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2.保险粉、双氧水、亚氯酸钠、雕白粉（吊白块）等危险品与禁忌物料混合贮存的；保险粉露天堆放，或储存场所未采取防水、防潮等措施。</w:t>
            </w:r>
          </w:p>
        </w:tc>
        <w:tc>
          <w:tcPr>
            <w:tcW w:w="3899" w:type="dxa"/>
            <w:vAlign w:val="center"/>
          </w:tcPr>
          <w:p w14:paraId="3A91448B">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w:t>
            </w:r>
          </w:p>
          <w:p w14:paraId="4DA617B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（2）安全生产管理制度和安全操作规程；</w:t>
            </w:r>
          </w:p>
          <w:p w14:paraId="120EF43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（3）安全评价报告；</w:t>
            </w:r>
          </w:p>
          <w:p w14:paraId="6D55AF3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（4）危险化学品重大危险源辨识记录；</w:t>
            </w:r>
          </w:p>
          <w:p w14:paraId="7B902B4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（5）总平面布置图；</w:t>
            </w:r>
          </w:p>
          <w:p w14:paraId="69E1FBB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（6）危险化学品安全技术说明书、安全标签和购买凭证；</w:t>
            </w:r>
          </w:p>
          <w:p w14:paraId="2622BC1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（7）危险化学品鉴定报告；</w:t>
            </w:r>
          </w:p>
          <w:p w14:paraId="19E6121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（8）危险化学品进、出库台账；</w:t>
            </w:r>
          </w:p>
          <w:p w14:paraId="55B7DAF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（9）图片或影像资料；</w:t>
            </w:r>
          </w:p>
          <w:p w14:paraId="050A307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（10）《现场检查记录》《责令限期整改指令书》《现场处理措施决定书》等相关执法文书；</w:t>
            </w:r>
          </w:p>
          <w:p w14:paraId="3E60E3E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（11）企业相关人员任职文件、身份证明及其询问笔录；</w:t>
            </w:r>
          </w:p>
          <w:p w14:paraId="6D028221">
            <w:pPr>
              <w:widowControl/>
              <w:adjustRightInd w:val="0"/>
              <w:snapToGrid w:val="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rPr>
              <w:t>（12）其他相关证据。</w:t>
            </w:r>
          </w:p>
        </w:tc>
        <w:tc>
          <w:tcPr>
            <w:tcW w:w="3899" w:type="dxa"/>
            <w:vAlign w:val="center"/>
          </w:tcPr>
          <w:p w14:paraId="78C43C4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《危险化学品安全管理条例》第七十六条第一款</w:t>
            </w:r>
            <w:r>
              <w:rPr>
                <w:rFonts w:hint="eastAsia" w:ascii="仿宋_GB2312" w:hAnsi="仿宋_GB2312" w:eastAsia="仿宋_GB2312" w:cs="仿宋_GB2312"/>
                <w:color w:val="auto"/>
                <w:kern w:val="0"/>
                <w:sz w:val="32"/>
                <w:szCs w:val="32"/>
              </w:rPr>
              <w:t>未经安全条件审查，新建、改建、扩建生产、储存危险化学品的建设项目的，由安全生产监督管理部门责令停止建设，限期改正；逾期不改正的，处50万元以上100万元以下的罚款；构成犯罪的，依法追究刑事责任。</w:t>
            </w:r>
          </w:p>
          <w:p w14:paraId="546F80A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《危险化学品安全管理条例》第七十八条第一款</w:t>
            </w:r>
            <w:r>
              <w:rPr>
                <w:rFonts w:hint="eastAsia" w:ascii="仿宋_GB2312" w:hAnsi="仿宋_GB2312" w:eastAsia="仿宋_GB2312" w:cs="仿宋_GB2312"/>
                <w:color w:val="auto"/>
                <w:kern w:val="0"/>
                <w:sz w:val="32"/>
                <w:szCs w:val="32"/>
              </w:rPr>
              <w:t>有下列情形之一的，由安全生产监督管理部门责令改正，可以处5万元以下的罚款；拒不改正的，处5万元以上10万元以下的罚款；情节严重的，责令停产停业整顿：......（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w:t>
            </w:r>
          </w:p>
          <w:p w14:paraId="18651AB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《危险化学品安全管理条例》第八十条第一款</w:t>
            </w:r>
            <w:r>
              <w:rPr>
                <w:rFonts w:hint="eastAsia" w:ascii="仿宋_GB2312" w:hAnsi="仿宋_GB2312" w:eastAsia="仿宋_GB2312" w:cs="仿宋_GB2312"/>
                <w:color w:val="auto"/>
                <w:kern w:val="0"/>
                <w:sz w:val="32"/>
                <w:szCs w:val="32"/>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14:paraId="510DAF57">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（三）未依照本条例规定对其安全生产条件定期进行安全评价的；</w:t>
            </w:r>
          </w:p>
          <w:p w14:paraId="3C07E96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（四）未将危险化学品储存在专用仓库内，或者未将剧毒化学品以及储存数量构成重大危险源的其他危险化学品在专用仓库内单独存放的；</w:t>
            </w:r>
          </w:p>
          <w:p w14:paraId="1E10844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（五）危险化学品的储存方式、方法或者储存数量不符合国家标准或者国家有关规定的；</w:t>
            </w:r>
          </w:p>
          <w:p w14:paraId="02B6F59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（六）危险化学品专用仓库不符合国家标准、行业标准的要求的；......</w:t>
            </w:r>
          </w:p>
          <w:p w14:paraId="3935884F">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《中华人民共和国安全生产法》第一百零一条第一项</w:t>
            </w:r>
            <w:r>
              <w:rPr>
                <w:rFonts w:hint="eastAsia" w:ascii="仿宋_GB2312" w:hAnsi="仿宋_GB2312" w:eastAsia="仿宋_GB2312" w:cs="仿宋_GB2312"/>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2C46E4BB">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（一）生产、经营、运输、储存、使用危险物品或者处置废弃危险物品，未建立专门安全管理制度、未采取可靠的安全措施的；</w:t>
            </w:r>
          </w:p>
          <w:p w14:paraId="1CDB4B3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4D8AA1B">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4F471C6">
            <w:pPr>
              <w:widowControl/>
              <w:adjustRightInd w:val="0"/>
              <w:snapToGrid w:val="0"/>
              <w:ind w:firstLine="640" w:firstLineChars="200"/>
              <w:rPr>
                <w:rFonts w:hint="eastAsia" w:ascii="仿宋_GB2312" w:hAnsi="仿宋_GB2312" w:eastAsia="仿宋_GB2312" w:cs="仿宋_GB2312"/>
                <w:color w:val="auto"/>
                <w:sz w:val="32"/>
                <w:szCs w:val="32"/>
                <w:shd w:val="clear" w:color="auto" w:fill="FFFFFF"/>
              </w:rPr>
            </w:pPr>
          </w:p>
        </w:tc>
        <w:tc>
          <w:tcPr>
            <w:tcW w:w="951" w:type="dxa"/>
            <w:vAlign w:val="center"/>
          </w:tcPr>
          <w:p w14:paraId="2F2758E6">
            <w:pPr>
              <w:widowControl/>
              <w:adjustRightInd w:val="0"/>
              <w:snapToGrid w:val="0"/>
              <w:rPr>
                <w:rFonts w:hint="eastAsia" w:ascii="仿宋_GB2312" w:hAnsi="仿宋_GB2312" w:eastAsia="仿宋_GB2312" w:cs="仿宋_GB2312"/>
                <w:color w:val="auto"/>
                <w:kern w:val="0"/>
                <w:sz w:val="32"/>
                <w:szCs w:val="32"/>
              </w:rPr>
            </w:pPr>
          </w:p>
        </w:tc>
      </w:tr>
      <w:tr w14:paraId="3766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0" w:hRule="atLeast"/>
          <w:jc w:val="center"/>
        </w:trPr>
        <w:tc>
          <w:tcPr>
            <w:tcW w:w="616" w:type="dxa"/>
            <w:vAlign w:val="center"/>
          </w:tcPr>
          <w:p w14:paraId="010D2CF4">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p>
        </w:tc>
        <w:tc>
          <w:tcPr>
            <w:tcW w:w="950" w:type="dxa"/>
            <w:vAlign w:val="center"/>
          </w:tcPr>
          <w:p w14:paraId="78564592">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有关设施设备安全装置的设置情况</w:t>
            </w:r>
          </w:p>
        </w:tc>
        <w:tc>
          <w:tcPr>
            <w:tcW w:w="951" w:type="dxa"/>
            <w:vAlign w:val="center"/>
          </w:tcPr>
          <w:p w14:paraId="50153F2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汽化室、燃气贮罐、储油罐、汽油汽化器、热媒炉等所使用的电气线路、装置和照明灯具是否采取防爆型，是否设置检测报警装置、防爆装置</w:t>
            </w:r>
          </w:p>
        </w:tc>
        <w:tc>
          <w:tcPr>
            <w:tcW w:w="3899" w:type="dxa"/>
            <w:vAlign w:val="center"/>
          </w:tcPr>
          <w:p w14:paraId="43A28BB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第三十六条第一款、第二款、第三款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789E74A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p w14:paraId="37E4B34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生产经营单位不得关闭、破坏直接关系生产安全的监控、报警、防护、救生设备、设施，或者篡改、隐瞒、销毁其相关数据、信息。</w:t>
            </w:r>
          </w:p>
          <w:p w14:paraId="0F7E5E9F">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《四川省安全生产条例》第三十二条第二款</w:t>
            </w:r>
            <w:r>
              <w:rPr>
                <w:rFonts w:hint="eastAsia" w:ascii="仿宋_GB2312" w:hAnsi="仿宋_GB2312" w:eastAsia="仿宋_GB2312" w:cs="仿宋_GB2312"/>
                <w:color w:val="auto"/>
                <w:kern w:val="0"/>
                <w:sz w:val="32"/>
                <w:szCs w:val="32"/>
              </w:rPr>
              <w:t>有易燃、易爆气体和粉尘的作业场所，应当使用防爆型电气设备或者采取有效的防爆技术措施。</w:t>
            </w:r>
          </w:p>
          <w:p w14:paraId="54ED67F3">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《爆炸危险环境电力装置设计规范》（GB50058-2014）第5.2.2.1条</w:t>
            </w:r>
            <w:r>
              <w:rPr>
                <w:rFonts w:hint="eastAsia" w:ascii="仿宋_GB2312" w:hAnsi="仿宋_GB2312" w:eastAsia="仿宋_GB2312" w:cs="仿宋_GB2312"/>
                <w:color w:val="auto"/>
                <w:kern w:val="0"/>
                <w:sz w:val="32"/>
                <w:szCs w:val="32"/>
              </w:rPr>
              <w:t>爆炸性环境内电气设备保护级别的选择应符合表5.2.2-1的规定。</w:t>
            </w:r>
          </w:p>
          <w:p w14:paraId="72143E5F">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 7002-2007) 第11.2.10.4条</w:t>
            </w:r>
            <w:r>
              <w:rPr>
                <w:rFonts w:hint="eastAsia" w:ascii="仿宋_GB2312" w:hAnsi="仿宋_GB2312" w:eastAsia="仿宋_GB2312" w:cs="仿宋_GB2312"/>
                <w:color w:val="auto"/>
                <w:kern w:val="0"/>
                <w:sz w:val="32"/>
                <w:szCs w:val="32"/>
              </w:rPr>
              <w:t>燃气分配室、储气罐、储油罐、汽油汽化器、热媒炉等设备、装置的泄爆口、爆破片、防爆膜等防爆装置必须符合国家有关防范技术标准的规定。其设备、设施、容器、管道等应完好无泄漏，燃气管道应用色标明确。</w:t>
            </w:r>
          </w:p>
          <w:p w14:paraId="7BB61FC3">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 7002-2007) 第11.2.10.5条</w:t>
            </w:r>
            <w:r>
              <w:rPr>
                <w:rFonts w:hint="eastAsia" w:ascii="仿宋_GB2312" w:hAnsi="仿宋_GB2312" w:eastAsia="仿宋_GB2312" w:cs="仿宋_GB2312"/>
                <w:color w:val="auto"/>
                <w:kern w:val="0"/>
                <w:sz w:val="32"/>
                <w:szCs w:val="32"/>
              </w:rPr>
              <w:t>燃气分配室、储气罐、储油罐、汽油汽化器、热媒炉等所使用的电气设备、装置和照明灯具必须采取防爆型，电气开关装置应设置在室外。”</w:t>
            </w:r>
          </w:p>
          <w:p w14:paraId="535EC04D">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 7002-2007) 第11.2.10.6条</w:t>
            </w:r>
            <w:r>
              <w:rPr>
                <w:rFonts w:hint="eastAsia" w:ascii="仿宋_GB2312" w:hAnsi="仿宋_GB2312" w:eastAsia="仿宋_GB2312" w:cs="仿宋_GB2312"/>
                <w:color w:val="auto"/>
                <w:kern w:val="0"/>
                <w:sz w:val="32"/>
                <w:szCs w:val="32"/>
              </w:rPr>
              <w:t>燃气分配室、储气罐、储油罐、汽油汽化器、热媒炉等危险部位必须配备具有针对性的灭火设备、器材和报警装置。烧毛设备的自动点火及灭火装置应完好有效。汽化器、热媒炉等停机、停气联锁装置必须有效、可靠。</w:t>
            </w:r>
          </w:p>
          <w:p w14:paraId="25F5F75F">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 7002-2007) 第11.2.3.3条</w:t>
            </w:r>
            <w:r>
              <w:rPr>
                <w:rFonts w:hint="eastAsia" w:ascii="仿宋_GB2312" w:hAnsi="仿宋_GB2312" w:eastAsia="仿宋_GB2312" w:cs="仿宋_GB2312"/>
                <w:color w:val="auto"/>
                <w:kern w:val="0"/>
                <w:sz w:val="32"/>
                <w:szCs w:val="32"/>
              </w:rPr>
              <w:t xml:space="preserve"> ……使用联苯加热器的装置应当具备液面镜、超温超压联锁、安全阀、压力表等，并且齐全有效，检测合格，安全使用；……。</w:t>
            </w:r>
          </w:p>
          <w:p w14:paraId="5504F4B2">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 7002-2007) 第11.2.3.4条</w:t>
            </w:r>
            <w:r>
              <w:rPr>
                <w:rFonts w:hint="eastAsia" w:ascii="仿宋_GB2312" w:hAnsi="仿宋_GB2312" w:eastAsia="仿宋_GB2312" w:cs="仿宋_GB2312"/>
                <w:color w:val="auto"/>
                <w:kern w:val="0"/>
                <w:sz w:val="32"/>
                <w:szCs w:val="32"/>
              </w:rPr>
              <w:t>黄化机、五合机等专用设备必须密闭无泄漏，装设符合设计要求的防爆装置，……。</w:t>
            </w:r>
          </w:p>
          <w:p w14:paraId="6D825CAF">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 7002-2007) 第11.2.6.8条</w:t>
            </w:r>
            <w:r>
              <w:rPr>
                <w:rFonts w:hint="eastAsia" w:ascii="仿宋_GB2312" w:hAnsi="仿宋_GB2312" w:eastAsia="仿宋_GB2312" w:cs="仿宋_GB2312"/>
                <w:color w:val="auto"/>
                <w:kern w:val="0"/>
                <w:sz w:val="32"/>
                <w:szCs w:val="32"/>
              </w:rPr>
              <w:t>起毛机储尘室出风面积应大于墙面积的1/5，储尘室容积应大于8m³，做到一机一室，具有安全泄爆口，安置喷淋灭火管，禁止使用无防护措施的电气装置。</w:t>
            </w:r>
          </w:p>
        </w:tc>
        <w:tc>
          <w:tcPr>
            <w:tcW w:w="3899" w:type="dxa"/>
            <w:vAlign w:val="center"/>
          </w:tcPr>
          <w:p w14:paraId="724DE711">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w:t>
            </w:r>
          </w:p>
          <w:p w14:paraId="107DE45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（2）安全生产管理制度；</w:t>
            </w:r>
          </w:p>
          <w:p w14:paraId="1B6A146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（3）安全评价报告；</w:t>
            </w:r>
          </w:p>
          <w:p w14:paraId="61B99DC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（4）爆炸危险区域划分区；</w:t>
            </w:r>
          </w:p>
          <w:p w14:paraId="4E98D57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（5）总平面布置图；</w:t>
            </w:r>
          </w:p>
          <w:p w14:paraId="57C5A1B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（6）爆炸危险区电气设备购买凭证和说明书、合格证明；</w:t>
            </w:r>
          </w:p>
          <w:p w14:paraId="500DEA8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（7）安全设备检测报告；</w:t>
            </w:r>
          </w:p>
          <w:p w14:paraId="616286F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（8）图片或影像资料；</w:t>
            </w:r>
          </w:p>
          <w:p w14:paraId="70BD381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1D5281E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（10）企业相关人员任职文件、身份证明及其询问笔录；</w:t>
            </w:r>
          </w:p>
          <w:p w14:paraId="61AD4B9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（11）其他相关证据。</w:t>
            </w:r>
          </w:p>
        </w:tc>
        <w:tc>
          <w:tcPr>
            <w:tcW w:w="3899" w:type="dxa"/>
            <w:vAlign w:val="center"/>
          </w:tcPr>
          <w:p w14:paraId="1C3ABDC8">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第九十九条第二项、第三项、第四项</w:t>
            </w:r>
            <w:r>
              <w:rPr>
                <w:rFonts w:hint="eastAsia" w:ascii="仿宋_GB2312" w:hAnsi="仿宋_GB2312" w:eastAsia="仿宋_GB2312" w:cs="仿宋_GB2312"/>
                <w:color w:val="auto"/>
                <w:kern w:val="0"/>
                <w:sz w:val="32"/>
                <w:szCs w:val="32"/>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222B7CC">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24EA833A">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（三）未对安全设备进行经常性维护、保养和定期检测的；</w:t>
            </w:r>
          </w:p>
          <w:p w14:paraId="4FA7B820">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（四）关闭、破坏直接关系生产安全的监控、报警、防护、救生设备、设施，或者篡改、隐瞒、销毁其相关数据、信息的；</w:t>
            </w:r>
          </w:p>
          <w:p w14:paraId="6996858D">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《四川省安全生产条例》第六十九条</w:t>
            </w:r>
            <w:r>
              <w:rPr>
                <w:rFonts w:hint="eastAsia" w:ascii="仿宋_GB2312" w:hAnsi="仿宋_GB2312" w:eastAsia="仿宋_GB2312" w:cs="仿宋_GB2312"/>
                <w:color w:val="auto"/>
                <w:kern w:val="0"/>
                <w:sz w:val="32"/>
                <w:szCs w:val="32"/>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1" w:type="dxa"/>
            <w:vAlign w:val="center"/>
          </w:tcPr>
          <w:p w14:paraId="1CE52A0E">
            <w:pPr>
              <w:widowControl/>
              <w:adjustRightInd w:val="0"/>
              <w:snapToGrid w:val="0"/>
              <w:rPr>
                <w:rFonts w:hint="eastAsia" w:ascii="仿宋_GB2312" w:hAnsi="仿宋_GB2312" w:eastAsia="仿宋_GB2312" w:cs="仿宋_GB2312"/>
                <w:color w:val="auto"/>
                <w:kern w:val="0"/>
                <w:sz w:val="32"/>
                <w:szCs w:val="32"/>
              </w:rPr>
            </w:pPr>
          </w:p>
        </w:tc>
      </w:tr>
      <w:tr w14:paraId="1756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76" w:hRule="atLeast"/>
          <w:jc w:val="center"/>
        </w:trPr>
        <w:tc>
          <w:tcPr>
            <w:tcW w:w="616" w:type="dxa"/>
            <w:vAlign w:val="center"/>
          </w:tcPr>
          <w:p w14:paraId="4240F09F">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w:t>
            </w:r>
          </w:p>
        </w:tc>
        <w:tc>
          <w:tcPr>
            <w:tcW w:w="950" w:type="dxa"/>
            <w:vAlign w:val="center"/>
          </w:tcPr>
          <w:p w14:paraId="4BCB676C">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机械旋转部位的安全防护装置</w:t>
            </w:r>
          </w:p>
        </w:tc>
        <w:tc>
          <w:tcPr>
            <w:tcW w:w="951" w:type="dxa"/>
            <w:vAlign w:val="center"/>
          </w:tcPr>
          <w:p w14:paraId="59B3A2E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机械旋转部位的安全防护装置是否符合规定</w:t>
            </w:r>
          </w:p>
        </w:tc>
        <w:tc>
          <w:tcPr>
            <w:tcW w:w="3899" w:type="dxa"/>
            <w:vAlign w:val="center"/>
          </w:tcPr>
          <w:p w14:paraId="4BB47023">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《四川省安全生产条例》第三十八条第二款</w:t>
            </w:r>
            <w:r>
              <w:rPr>
                <w:rFonts w:hint="eastAsia" w:ascii="仿宋_GB2312" w:hAnsi="仿宋_GB2312" w:eastAsia="仿宋_GB2312" w:cs="仿宋_GB2312"/>
                <w:color w:val="auto"/>
                <w:kern w:val="0"/>
                <w:sz w:val="32"/>
                <w:szCs w:val="32"/>
              </w:rPr>
              <w:t>各种动力机械的转动、传动部位，压力机械的施压部位，切削机械的切削部位和其他机械对人体有伤害危险的部位，应当设置可靠的安全防护装置。</w:t>
            </w:r>
          </w:p>
          <w:p w14:paraId="413CEB58">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（应按照《机械安全防护装置固定式和活动式防护装置的设计与制造一般要求》（GB/T 8196-2018/ISO 14120：2015）、《纺织工业企业安全管理规范》(AQ 7002-2007)、《棉纺织企业安全生产规程》（AQ7003-2007）设置完整、有效、可靠的机械旋转部位的安全防护装置。）</w:t>
            </w:r>
          </w:p>
        </w:tc>
        <w:tc>
          <w:tcPr>
            <w:tcW w:w="3899" w:type="dxa"/>
            <w:vAlign w:val="center"/>
          </w:tcPr>
          <w:p w14:paraId="56348433">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w:t>
            </w:r>
          </w:p>
          <w:p w14:paraId="5733D16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（2）机械设备购买凭证和说明书、合格证明；</w:t>
            </w:r>
          </w:p>
          <w:p w14:paraId="6FA0073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（3）图片或影像资料；</w:t>
            </w:r>
          </w:p>
          <w:p w14:paraId="03936D2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0A7A8B4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2E1DF26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（6）其他相关证据。</w:t>
            </w:r>
          </w:p>
        </w:tc>
        <w:tc>
          <w:tcPr>
            <w:tcW w:w="3899" w:type="dxa"/>
            <w:vAlign w:val="center"/>
          </w:tcPr>
          <w:p w14:paraId="2ABC4C8B">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《四川省安全生产条例》第六十七条</w:t>
            </w:r>
            <w:r>
              <w:rPr>
                <w:rFonts w:hint="eastAsia" w:ascii="仿宋_GB2312" w:hAnsi="仿宋_GB2312" w:eastAsia="仿宋_GB2312" w:cs="仿宋_GB2312"/>
                <w:color w:val="auto"/>
                <w:kern w:val="0"/>
                <w:sz w:val="32"/>
                <w:szCs w:val="32"/>
              </w:rPr>
              <w:t>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951" w:type="dxa"/>
            <w:vAlign w:val="center"/>
          </w:tcPr>
          <w:p w14:paraId="5D8387D6">
            <w:pPr>
              <w:widowControl/>
              <w:adjustRightInd w:val="0"/>
              <w:snapToGrid w:val="0"/>
              <w:rPr>
                <w:rFonts w:hint="eastAsia" w:ascii="仿宋_GB2312" w:hAnsi="仿宋_GB2312" w:eastAsia="仿宋_GB2312" w:cs="仿宋_GB2312"/>
                <w:color w:val="auto"/>
                <w:kern w:val="0"/>
                <w:sz w:val="32"/>
                <w:szCs w:val="32"/>
              </w:rPr>
            </w:pPr>
          </w:p>
        </w:tc>
      </w:tr>
      <w:tr w14:paraId="3664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6" w:type="dxa"/>
            <w:vAlign w:val="center"/>
          </w:tcPr>
          <w:p w14:paraId="3773492B">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w:t>
            </w:r>
          </w:p>
        </w:tc>
        <w:tc>
          <w:tcPr>
            <w:tcW w:w="950" w:type="dxa"/>
            <w:vAlign w:val="center"/>
          </w:tcPr>
          <w:p w14:paraId="348CF1E3">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防爆，特别是亚麻厂的除尘器和过滤室</w:t>
            </w:r>
          </w:p>
        </w:tc>
        <w:tc>
          <w:tcPr>
            <w:tcW w:w="951" w:type="dxa"/>
            <w:vAlign w:val="center"/>
          </w:tcPr>
          <w:p w14:paraId="49624A7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防爆是否符合标准规定</w:t>
            </w:r>
          </w:p>
        </w:tc>
        <w:tc>
          <w:tcPr>
            <w:tcW w:w="3899" w:type="dxa"/>
            <w:vAlign w:val="center"/>
          </w:tcPr>
          <w:p w14:paraId="67A5296A">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《四川省安全生产条例》第三十二条第二款</w:t>
            </w:r>
            <w:r>
              <w:rPr>
                <w:rFonts w:hint="eastAsia" w:ascii="仿宋_GB2312" w:hAnsi="仿宋_GB2312" w:eastAsia="仿宋_GB2312" w:cs="仿宋_GB2312"/>
                <w:color w:val="auto"/>
                <w:kern w:val="0"/>
                <w:sz w:val="32"/>
                <w:szCs w:val="32"/>
              </w:rPr>
              <w:t>有易燃、易爆气体和粉尘的作业场所，应当使用防爆型电气设备或者采取有效的防爆技术措施。</w:t>
            </w:r>
          </w:p>
          <w:p w14:paraId="55020B27">
            <w:pPr>
              <w:widowControl/>
              <w:adjustRightInd w:val="0"/>
              <w:snapToGrid w:val="0"/>
              <w:ind w:firstLine="36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rPr>
              <w:t>（应按《建筑设计防火规范》（GB50016-2014，2018年版）、《爆炸危险环境电力装置设计规范》（GB 50058-2014）、《粉尘防爆安全规程》（GB 15577-2018）、《纺织工业粉尘防爆安全规程》（GB 32276-2015）、《亚麻纤维加工系统粉尘防爆安全规程》（GB 19881-2005）、《纺织工业企业安全管理规范》(AQ 7002-2007)检查。）</w:t>
            </w:r>
          </w:p>
        </w:tc>
        <w:tc>
          <w:tcPr>
            <w:tcW w:w="3899" w:type="dxa"/>
            <w:vAlign w:val="center"/>
          </w:tcPr>
          <w:p w14:paraId="4CF2FCF3">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w:t>
            </w:r>
          </w:p>
          <w:p w14:paraId="769634C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（2）爆炸危险区域划分区图；</w:t>
            </w:r>
          </w:p>
          <w:p w14:paraId="2412FBC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（3）总平面布置图和设备布置图；</w:t>
            </w:r>
          </w:p>
          <w:p w14:paraId="62913FE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（4）爆炸危险区电气设备购买凭证和说明书、合格证明；</w:t>
            </w:r>
          </w:p>
          <w:p w14:paraId="25D6924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（5）图片或影像资料；</w:t>
            </w:r>
          </w:p>
          <w:p w14:paraId="136C74A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3357903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（7）企业相关人员任职文件、身份证明及其询问笔录；</w:t>
            </w:r>
          </w:p>
          <w:p w14:paraId="74B3E56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vAlign w:val="center"/>
          </w:tcPr>
          <w:p w14:paraId="546CC39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《四川省安全生产条例》第六十九条</w:t>
            </w:r>
            <w:r>
              <w:rPr>
                <w:rFonts w:hint="eastAsia" w:ascii="仿宋_GB2312" w:hAnsi="仿宋_GB2312" w:eastAsia="仿宋_GB2312" w:cs="仿宋_GB2312"/>
                <w:color w:val="auto"/>
                <w:kern w:val="0"/>
                <w:sz w:val="32"/>
                <w:szCs w:val="32"/>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1" w:type="dxa"/>
            <w:vAlign w:val="center"/>
          </w:tcPr>
          <w:p w14:paraId="45BE7A9E">
            <w:pPr>
              <w:widowControl/>
              <w:adjustRightInd w:val="0"/>
              <w:snapToGrid w:val="0"/>
              <w:rPr>
                <w:rFonts w:hint="eastAsia" w:ascii="仿宋_GB2312" w:hAnsi="仿宋_GB2312" w:eastAsia="仿宋_GB2312" w:cs="仿宋_GB2312"/>
                <w:color w:val="auto"/>
                <w:kern w:val="0"/>
                <w:sz w:val="32"/>
                <w:szCs w:val="32"/>
              </w:rPr>
            </w:pPr>
          </w:p>
        </w:tc>
      </w:tr>
      <w:tr w14:paraId="252D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233" w:hRule="atLeast"/>
          <w:jc w:val="center"/>
        </w:trPr>
        <w:tc>
          <w:tcPr>
            <w:tcW w:w="616" w:type="dxa"/>
            <w:vAlign w:val="center"/>
          </w:tcPr>
          <w:p w14:paraId="63946B8F">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w:t>
            </w:r>
          </w:p>
        </w:tc>
        <w:tc>
          <w:tcPr>
            <w:tcW w:w="950" w:type="dxa"/>
            <w:vAlign w:val="center"/>
          </w:tcPr>
          <w:p w14:paraId="0E45BEA4">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重点监管危险化学品：二硫化碳</w:t>
            </w:r>
          </w:p>
        </w:tc>
        <w:tc>
          <w:tcPr>
            <w:tcW w:w="951" w:type="dxa"/>
            <w:vAlign w:val="center"/>
          </w:tcPr>
          <w:p w14:paraId="722C074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涉及二硫化碳的储存、生产装置应落实相关安全措施</w:t>
            </w:r>
          </w:p>
        </w:tc>
        <w:tc>
          <w:tcPr>
            <w:tcW w:w="3899" w:type="dxa"/>
            <w:vAlign w:val="center"/>
          </w:tcPr>
          <w:p w14:paraId="59C09F3D">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 7002-2007)第11.2.3.6条</w:t>
            </w:r>
            <w:r>
              <w:rPr>
                <w:rFonts w:hint="eastAsia" w:ascii="仿宋_GB2312" w:hAnsi="仿宋_GB2312" w:eastAsia="仿宋_GB2312" w:cs="仿宋_GB2312"/>
                <w:color w:val="auto"/>
                <w:kern w:val="0"/>
                <w:sz w:val="32"/>
                <w:szCs w:val="32"/>
              </w:rPr>
              <w:t>二硫化碳贮罐必须全部浸入水中，操作平台应装设围栏。贮库池水应当定期更换，保持水质清洁。贮罐液位计量管玻璃应当符合耐压、清晰要求，保护装置齐全。计量桶应当安装超位报警装置，并有溢流管。</w:t>
            </w:r>
          </w:p>
          <w:p w14:paraId="76316532">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 7002-2007)第11.2.3.7条</w:t>
            </w:r>
            <w:r>
              <w:rPr>
                <w:rFonts w:hint="eastAsia" w:ascii="仿宋_GB2312" w:hAnsi="仿宋_GB2312" w:eastAsia="仿宋_GB2312" w:cs="仿宋_GB2312"/>
                <w:color w:val="auto"/>
                <w:kern w:val="0"/>
                <w:sz w:val="32"/>
                <w:szCs w:val="32"/>
              </w:rPr>
              <w:t>二硫化碳的设备、管道、阀门、考克、液面计等处应当严密无泄露，各法兰处装设接地片，并接地良好。地面上的贮罐应有降温装置。</w:t>
            </w:r>
          </w:p>
          <w:p w14:paraId="5EB78916">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《首批重点监管的危险化学品安全措施和应急处置原则》(部分摘录）</w:t>
            </w:r>
            <w:r>
              <w:rPr>
                <w:rFonts w:hint="eastAsia" w:ascii="仿宋_GB2312" w:hAnsi="仿宋_GB2312" w:eastAsia="仿宋_GB2312" w:cs="仿宋_GB2312"/>
                <w:color w:val="auto"/>
                <w:kern w:val="0"/>
                <w:sz w:val="32"/>
                <w:szCs w:val="32"/>
              </w:rPr>
              <w:t>提供安全淋浴和洗眼设备。......生产、使用及贮存场所应设置泄漏检测报警仪，使用防爆型的通风系统和设备。穿防静电工作服，戴防护手套。可能接触其蒸气时，必须佩戴自吸过滤式防毒面具（半面罩）。必要时戴化学安全防护眼镜。储罐等容器和设备应设置液位计、温度计，并应装有带液位、温度远传记录和报警功能的安全装置。应与氧化剂、胺类、碱金属、食用化学品分开存放，切忌混储。采用防爆型照明、通风设施。禁止使用易产生火花的机械设备和工具。储存区应备有泄漏应急处理设备和合适的收容材料。储存罐安装于地下，上有通风阴凉的房子防日晒。为防止夏天高温和防止泄漏事故，储存罐用循环水加以冷却降温。因二硫化碳比重比水重，一旦发生泄漏只能沉在水底层，降低危险性。</w:t>
            </w:r>
          </w:p>
          <w:p w14:paraId="642D565F">
            <w:pPr>
              <w:widowControl/>
              <w:adjustRightInd w:val="0"/>
              <w:snapToGrid w:val="0"/>
              <w:ind w:firstLine="36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kern w:val="0"/>
                <w:sz w:val="32"/>
                <w:szCs w:val="32"/>
              </w:rPr>
              <w:t>此外，参照危化品管理相关法律法规。</w:t>
            </w:r>
          </w:p>
        </w:tc>
        <w:tc>
          <w:tcPr>
            <w:tcW w:w="3899" w:type="dxa"/>
            <w:vAlign w:val="center"/>
          </w:tcPr>
          <w:p w14:paraId="0559E7E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161C1A9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（2）相应装置或设备购买凭证和说明书、合格证明；</w:t>
            </w:r>
          </w:p>
          <w:p w14:paraId="52673C5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（3）安全管理制度；</w:t>
            </w:r>
          </w:p>
          <w:p w14:paraId="519128F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（4）图片或影像资料；</w:t>
            </w:r>
          </w:p>
          <w:p w14:paraId="6C0B715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5AFF0DA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7427749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tc>
        <w:tc>
          <w:tcPr>
            <w:tcW w:w="3899" w:type="dxa"/>
            <w:vAlign w:val="center"/>
          </w:tcPr>
          <w:p w14:paraId="7FEF76D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《危险化学品安全管理条例》第七十八条第一款</w:t>
            </w:r>
            <w:r>
              <w:rPr>
                <w:rFonts w:hint="eastAsia" w:ascii="仿宋_GB2312" w:hAnsi="仿宋_GB2312" w:eastAsia="仿宋_GB2312" w:cs="仿宋_GB2312"/>
                <w:color w:val="auto"/>
                <w:kern w:val="0"/>
                <w:sz w:val="32"/>
                <w:szCs w:val="32"/>
              </w:rPr>
              <w:t>有下列情形之一的，由安全生产监督管理部门责令改正，可以处5万元以下的罚款；拒不改正的，处5万元以上10万元以下的罚款；情节严重的，责令停产停业整顿：......</w:t>
            </w:r>
          </w:p>
          <w:p w14:paraId="0EF80F6D">
            <w:pPr>
              <w:widowControl/>
              <w:adjustRightInd w:val="0"/>
              <w:snapToGrid w:val="0"/>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rPr>
              <w:t>（八）生产、储存危险化学品的单位未在作业场所和安全设施、设备上设置明显的安全警示标志，或者未在作业场所设置通信、报警装置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w:t>
            </w:r>
          </w:p>
        </w:tc>
        <w:tc>
          <w:tcPr>
            <w:tcW w:w="951" w:type="dxa"/>
            <w:vAlign w:val="center"/>
          </w:tcPr>
          <w:p w14:paraId="519D2FFB">
            <w:pPr>
              <w:widowControl/>
              <w:adjustRightInd w:val="0"/>
              <w:snapToGrid w:val="0"/>
              <w:rPr>
                <w:rFonts w:hint="eastAsia" w:ascii="仿宋_GB2312" w:hAnsi="仿宋_GB2312" w:eastAsia="仿宋_GB2312" w:cs="仿宋_GB2312"/>
                <w:color w:val="auto"/>
                <w:kern w:val="0"/>
                <w:sz w:val="32"/>
                <w:szCs w:val="32"/>
              </w:rPr>
            </w:pPr>
          </w:p>
        </w:tc>
      </w:tr>
      <w:tr w14:paraId="2114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65" w:hRule="atLeast"/>
          <w:jc w:val="center"/>
        </w:trPr>
        <w:tc>
          <w:tcPr>
            <w:tcW w:w="616" w:type="dxa"/>
            <w:vAlign w:val="center"/>
          </w:tcPr>
          <w:p w14:paraId="0CBB8AD4">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11</w:t>
            </w:r>
          </w:p>
        </w:tc>
        <w:tc>
          <w:tcPr>
            <w:tcW w:w="950" w:type="dxa"/>
            <w:vAlign w:val="center"/>
          </w:tcPr>
          <w:p w14:paraId="12CE61AE">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重点监管工艺：涤纶、锦纶、维纶、腈纶、尼龙等合成纤维生产中的聚合</w:t>
            </w:r>
          </w:p>
        </w:tc>
        <w:tc>
          <w:tcPr>
            <w:tcW w:w="951" w:type="dxa"/>
            <w:vAlign w:val="center"/>
          </w:tcPr>
          <w:p w14:paraId="33DEA78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聚合工艺安全控制应符合相关规定</w:t>
            </w:r>
          </w:p>
        </w:tc>
        <w:tc>
          <w:tcPr>
            <w:tcW w:w="3899" w:type="dxa"/>
            <w:vAlign w:val="center"/>
          </w:tcPr>
          <w:p w14:paraId="3247475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4221B8C2">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 7002-2007）第11.2.3.1条</w:t>
            </w:r>
            <w:r>
              <w:rPr>
                <w:rFonts w:hint="eastAsia" w:ascii="仿宋_GB2312" w:hAnsi="仿宋_GB2312" w:eastAsia="仿宋_GB2312" w:cs="仿宋_GB2312"/>
                <w:color w:val="auto"/>
                <w:kern w:val="0"/>
                <w:sz w:val="32"/>
                <w:szCs w:val="32"/>
              </w:rPr>
              <w:t>酯化、聚合等专用设备中，各反应釜或者酯交换塔必须做到管道完整无泄漏；安全阀和压力表应当齐全可靠、定期检测、合格使用；反应釜的反应装置、贮罐降温设施及温度报警装置灵敏有效；联苯加热器液位标志明显清晰，温度和压力上下限位联锁报警装置、防爆片等可靠到位；现场应当有明显的安全标志；室内应当设置热感应报警装置或者烟火自动报警装置，配置适量的蒸汽灭火管。</w:t>
            </w:r>
          </w:p>
          <w:p w14:paraId="651C0916">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《首批重点监管的危险化工工艺目录》附件2《首批重点监管的危险化工工艺安全控制要求、重点监控参数及推荐的控制方案》之聚合工艺规定：</w:t>
            </w:r>
            <w:r>
              <w:rPr>
                <w:rFonts w:hint="eastAsia" w:ascii="仿宋_GB2312" w:hAnsi="仿宋_GB2312" w:eastAsia="仿宋_GB2312" w:cs="仿宋_GB2312"/>
                <w:color w:val="auto"/>
                <w:kern w:val="0"/>
                <w:sz w:val="32"/>
                <w:szCs w:val="32"/>
              </w:rPr>
              <w:t>反应釜温度和压力的报警和联锁；紧急冷却系统；紧急切断系统；紧急加入反应终止剂系统；搅拌的稳定控制和联锁系统；料仓静电消除、可燃气体置换系统，可燃和有毒气体检测报警装置；高压聚合反应釜设有防爆墙和泄爆面等。</w:t>
            </w:r>
          </w:p>
        </w:tc>
        <w:tc>
          <w:tcPr>
            <w:tcW w:w="3899" w:type="dxa"/>
            <w:vAlign w:val="center"/>
          </w:tcPr>
          <w:p w14:paraId="57BEE0A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34ED90F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（2）安全管理制度；</w:t>
            </w:r>
          </w:p>
          <w:p w14:paraId="4D772FE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（3）工艺流程图；</w:t>
            </w:r>
          </w:p>
          <w:p w14:paraId="7E1BB65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（4）图片或影像资料；</w:t>
            </w:r>
          </w:p>
          <w:p w14:paraId="67EC6A8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6DA96D0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787DA2C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tc>
        <w:tc>
          <w:tcPr>
            <w:tcW w:w="3899" w:type="dxa"/>
            <w:vAlign w:val="center"/>
          </w:tcPr>
          <w:p w14:paraId="1CD4B324">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C7FCFA4">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45BAF3DD">
            <w:pPr>
              <w:widowControl/>
              <w:adjustRightInd w:val="0"/>
              <w:snapToGrid w:val="0"/>
              <w:ind w:firstLine="640" w:firstLineChars="200"/>
              <w:rPr>
                <w:rFonts w:hint="eastAsia" w:ascii="仿宋_GB2312" w:hAnsi="仿宋_GB2312" w:eastAsia="仿宋_GB2312" w:cs="仿宋_GB2312"/>
                <w:color w:val="auto"/>
                <w:sz w:val="32"/>
                <w:szCs w:val="32"/>
                <w:shd w:val="clear" w:color="auto" w:fill="FFFFFF"/>
              </w:rPr>
            </w:pPr>
          </w:p>
        </w:tc>
        <w:tc>
          <w:tcPr>
            <w:tcW w:w="951" w:type="dxa"/>
            <w:vAlign w:val="center"/>
          </w:tcPr>
          <w:p w14:paraId="2D4B2CE0">
            <w:pPr>
              <w:widowControl/>
              <w:adjustRightInd w:val="0"/>
              <w:snapToGrid w:val="0"/>
              <w:rPr>
                <w:rFonts w:hint="eastAsia" w:ascii="仿宋_GB2312" w:hAnsi="仿宋_GB2312" w:eastAsia="仿宋_GB2312" w:cs="仿宋_GB2312"/>
                <w:color w:val="auto"/>
                <w:kern w:val="0"/>
                <w:sz w:val="32"/>
                <w:szCs w:val="32"/>
              </w:rPr>
            </w:pPr>
          </w:p>
        </w:tc>
      </w:tr>
      <w:tr w14:paraId="54FF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0" w:hRule="atLeast"/>
          <w:jc w:val="center"/>
        </w:trPr>
        <w:tc>
          <w:tcPr>
            <w:tcW w:w="616" w:type="dxa"/>
            <w:vAlign w:val="center"/>
          </w:tcPr>
          <w:p w14:paraId="43B931C6">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12</w:t>
            </w:r>
          </w:p>
        </w:tc>
        <w:tc>
          <w:tcPr>
            <w:tcW w:w="950" w:type="dxa"/>
            <w:vAlign w:val="center"/>
          </w:tcPr>
          <w:p w14:paraId="0156F8FC">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应急救援器材、设备和物资</w:t>
            </w:r>
          </w:p>
        </w:tc>
        <w:tc>
          <w:tcPr>
            <w:tcW w:w="951" w:type="dxa"/>
            <w:vAlign w:val="center"/>
          </w:tcPr>
          <w:p w14:paraId="24FF4A9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是否配备必要的应急救援器材、设备和物资，并保证正常运转</w:t>
            </w:r>
          </w:p>
        </w:tc>
        <w:tc>
          <w:tcPr>
            <w:tcW w:w="3899" w:type="dxa"/>
            <w:vAlign w:val="center"/>
          </w:tcPr>
          <w:p w14:paraId="5740A150">
            <w:pPr>
              <w:widowControl/>
              <w:shd w:val="clear" w:color="auto" w:fill="FFFFFF"/>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《中华人民共和国安全生产法》  第八十二条第二款</w:t>
            </w:r>
            <w:r>
              <w:rPr>
                <w:rFonts w:hint="eastAsia" w:ascii="仿宋_GB2312" w:hAnsi="仿宋_GB2312" w:eastAsia="仿宋_GB2312" w:cs="仿宋_GB2312"/>
                <w:bCs/>
                <w:color w:val="auto"/>
                <w:kern w:val="0"/>
                <w:sz w:val="32"/>
                <w:szCs w:val="32"/>
              </w:rPr>
              <w:t>危险物品的生产、经营、储存、运输单位以及矿山、金属冶炼、城市轨道交通运营、建筑施工单位应当配备必要的应急救援器材、设备和物资，并进行经常性维护、保养，保证正常运转。</w:t>
            </w:r>
          </w:p>
          <w:p w14:paraId="16C172DE">
            <w:pPr>
              <w:pStyle w:val="2"/>
              <w:ind w:firstLine="361"/>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《中华人民共和国突发事件应对法》第二十四条第二款</w:t>
            </w:r>
            <w:r>
              <w:rPr>
                <w:rStyle w:val="15"/>
                <w:rFonts w:hint="eastAsia" w:ascii="仿宋_GB2312" w:hAnsi="仿宋_GB2312" w:eastAsia="仿宋_GB2312" w:cs="仿宋_GB2312"/>
                <w:color w:val="auto"/>
                <w:sz w:val="32"/>
                <w:szCs w:val="32"/>
              </w:rPr>
              <w:t>有关单位应当定期检测、维护其报警装置和应急救援设备、设施，使其处于良好状态，确保正常使用。</w:t>
            </w:r>
          </w:p>
          <w:p w14:paraId="5A0BB2A9">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《生产安全事故应急预案管理办法》第三十八条</w:t>
            </w:r>
            <w:r>
              <w:rPr>
                <w:rFonts w:hint="eastAsia" w:ascii="仿宋_GB2312" w:hAnsi="仿宋_GB2312" w:eastAsia="仿宋_GB2312" w:cs="仿宋_GB2312"/>
                <w:color w:val="auto"/>
                <w:kern w:val="0"/>
                <w:sz w:val="32"/>
                <w:szCs w:val="32"/>
              </w:rPr>
              <w:t>生产经营单位应当按照应急预案的规定，落实应急指挥体系、应急救援队伍、应急物资及装备，建立应急物资、装备配备及其使用档案，并对应急物资、装备进行定期检测和维护，使其处于适用状态。</w:t>
            </w:r>
          </w:p>
          <w:p w14:paraId="32D2E042">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《纺织工业企业安全管理规范》（AQ7002-2007）第11.6.3条</w:t>
            </w:r>
            <w:r>
              <w:rPr>
                <w:rFonts w:hint="eastAsia" w:ascii="仿宋_GB2312" w:hAnsi="仿宋_GB2312" w:eastAsia="仿宋_GB2312" w:cs="仿宋_GB2312"/>
                <w:color w:val="auto"/>
                <w:kern w:val="0"/>
                <w:sz w:val="32"/>
                <w:szCs w:val="32"/>
              </w:rPr>
              <w:t>企业应当建立、健全各项完整的特种设备安全管理规章制度、安全操作规程和事故应急救援预案等。</w:t>
            </w:r>
          </w:p>
          <w:p w14:paraId="2A5E5D3A">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《纺织工业企业安全管理规范》（AQ7002-2007）第22.3.2条</w:t>
            </w:r>
            <w:r>
              <w:rPr>
                <w:rFonts w:hint="eastAsia" w:ascii="仿宋_GB2312" w:hAnsi="仿宋_GB2312" w:eastAsia="仿宋_GB2312" w:cs="仿宋_GB2312"/>
                <w:color w:val="auto"/>
                <w:kern w:val="0"/>
                <w:sz w:val="32"/>
                <w:szCs w:val="32"/>
              </w:rPr>
              <w:t>企业应当定期对救援器材、救援物资进行检查、维护和更新，确保储备的器材和物资始终处于完好状态。</w:t>
            </w:r>
          </w:p>
        </w:tc>
        <w:tc>
          <w:tcPr>
            <w:tcW w:w="3899" w:type="dxa"/>
            <w:vAlign w:val="center"/>
          </w:tcPr>
          <w:p w14:paraId="790AC06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4DA4DF4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（2）生产安全事故应急救援预案；</w:t>
            </w:r>
          </w:p>
          <w:p w14:paraId="594C2B7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（3）应急救援器材、设备和物资台账；</w:t>
            </w:r>
          </w:p>
          <w:p w14:paraId="053FC87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（4）应急救援器材、设备和物资检测报告；</w:t>
            </w:r>
          </w:p>
          <w:p w14:paraId="7792AAD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（5）应急救援器材、设备和物资维护保养记录；</w:t>
            </w:r>
          </w:p>
          <w:p w14:paraId="133666D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（6）应急演练记录；</w:t>
            </w:r>
          </w:p>
          <w:p w14:paraId="177C27F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4825123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（8）企业相关人员任职文件、身份证明及其询问笔录；</w:t>
            </w:r>
          </w:p>
          <w:p w14:paraId="51CD422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899" w:type="dxa"/>
            <w:vAlign w:val="center"/>
          </w:tcPr>
          <w:p w14:paraId="05072BE9">
            <w:pPr>
              <w:widowControl/>
              <w:adjustRightInd w:val="0"/>
              <w:snapToGrid w:val="0"/>
              <w:ind w:firstLine="643" w:firstLineChars="200"/>
              <w:rPr>
                <w:rFonts w:hint="eastAsia" w:ascii="仿宋_GB2312" w:hAnsi="仿宋_GB2312" w:eastAsia="仿宋_GB2312" w:cs="仿宋_GB2312"/>
                <w:color w:val="auto"/>
                <w:kern w:val="0"/>
                <w:sz w:val="32"/>
                <w:szCs w:val="32"/>
              </w:rPr>
            </w:pPr>
            <w:r>
              <w:rPr>
                <w:rStyle w:val="14"/>
                <w:rFonts w:hint="eastAsia" w:ascii="仿宋_GB2312" w:hAnsi="仿宋_GB2312" w:eastAsia="仿宋_GB2312" w:cs="仿宋_GB2312"/>
                <w:color w:val="auto"/>
                <w:sz w:val="32"/>
                <w:szCs w:val="32"/>
              </w:rPr>
              <w:t>《中华人民共和国突发事件应对法》第六十四条第一款第三项</w:t>
            </w:r>
            <w:r>
              <w:rPr>
                <w:rStyle w:val="15"/>
                <w:rFonts w:hint="eastAsia" w:ascii="仿宋_GB2312" w:hAnsi="仿宋_GB2312" w:eastAsia="仿宋_GB2312" w:cs="仿宋_GB2312"/>
                <w:color w:val="auto"/>
                <w:sz w:val="32"/>
                <w:szCs w:val="32"/>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（三）未做好应急设备、设施日常维护、检测工作，导致发生严重突发事件或者突发事件危害扩大的；</w:t>
            </w:r>
            <w:r>
              <w:rPr>
                <w:rStyle w:val="15"/>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b/>
                <w:bCs/>
                <w:color w:val="auto"/>
                <w:kern w:val="0"/>
                <w:sz w:val="32"/>
                <w:szCs w:val="32"/>
              </w:rPr>
              <w:t xml:space="preserve">  《生产安全事故应急预案管理办法》第四十五条第一款</w:t>
            </w:r>
            <w:r>
              <w:rPr>
                <w:rFonts w:hint="eastAsia" w:ascii="仿宋_GB2312" w:hAnsi="仿宋_GB2312" w:eastAsia="仿宋_GB2312" w:cs="仿宋_GB2312"/>
                <w:color w:val="auto"/>
                <w:kern w:val="0"/>
                <w:sz w:val="32"/>
                <w:szCs w:val="32"/>
              </w:rPr>
              <w:t>生产经营单位有下列情形之一的，由县级以上人民政府应急管理部门责令限期改正，可以处1万元以上3万元以下的罚款：......</w:t>
            </w:r>
          </w:p>
          <w:p w14:paraId="0661128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（六）未落实应急预案规定的应急物资及装备的。</w:t>
            </w:r>
          </w:p>
        </w:tc>
        <w:tc>
          <w:tcPr>
            <w:tcW w:w="951" w:type="dxa"/>
            <w:vAlign w:val="center"/>
          </w:tcPr>
          <w:p w14:paraId="520CD2FD">
            <w:pPr>
              <w:widowControl/>
              <w:adjustRightInd w:val="0"/>
              <w:snapToGrid w:val="0"/>
              <w:rPr>
                <w:rFonts w:hint="eastAsia" w:ascii="仿宋_GB2312" w:hAnsi="仿宋_GB2312" w:eastAsia="仿宋_GB2312" w:cs="仿宋_GB2312"/>
                <w:color w:val="auto"/>
                <w:kern w:val="0"/>
                <w:sz w:val="32"/>
                <w:szCs w:val="32"/>
              </w:rPr>
            </w:pPr>
          </w:p>
        </w:tc>
      </w:tr>
      <w:tr w14:paraId="6D57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0" w:hRule="atLeast"/>
          <w:jc w:val="center"/>
        </w:trPr>
        <w:tc>
          <w:tcPr>
            <w:tcW w:w="15165" w:type="dxa"/>
            <w:gridSpan w:val="7"/>
            <w:vAlign w:val="center"/>
          </w:tcPr>
          <w:p w14:paraId="008487C3">
            <w:pPr>
              <w:widowControl/>
              <w:adjustRightInd w:val="0"/>
              <w:snapToGrid w:val="0"/>
              <w:rPr>
                <w:rFonts w:hint="eastAsia" w:ascii="仿宋_GB2312" w:hAnsi="仿宋_GB2312" w:eastAsia="仿宋_GB2312" w:cs="仿宋_GB2312"/>
                <w:color w:val="auto"/>
                <w:sz w:val="32"/>
                <w:szCs w:val="32"/>
              </w:rPr>
            </w:pPr>
          </w:p>
          <w:p w14:paraId="1014E2AD">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说明：1、根据本清单提供的证照及资料有原件的，应核实原件后留存复印件；无原件的提供复印件。所有复印件资料均应加盖企业公章。证照及资料有正副本的，均核验留存复印件。</w:t>
            </w:r>
          </w:p>
          <w:p w14:paraId="62FA1FB0">
            <w:pPr>
              <w:widowControl/>
              <w:adjustRightInd w:val="0"/>
              <w:snapToGrid w:val="0"/>
              <w:ind w:firstLine="960" w:firstLineChars="3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2、其他相关证据：能够证明企业违法违规行为的其他相关资料。</w:t>
            </w:r>
          </w:p>
        </w:tc>
      </w:tr>
    </w:tbl>
    <w:p w14:paraId="27C618F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74648F13">
      <w:pPr>
        <w:pStyle w:val="3"/>
        <w:spacing w:line="240" w:lineRule="auto"/>
        <w:jc w:val="center"/>
        <w:rPr>
          <w:rFonts w:hint="eastAsia" w:ascii="仿宋_GB2312" w:hAnsi="仿宋_GB2312" w:eastAsia="仿宋_GB2312" w:cs="仿宋_GB2312"/>
          <w:color w:val="auto"/>
          <w:sz w:val="32"/>
          <w:szCs w:val="32"/>
        </w:rPr>
      </w:pPr>
      <w:bookmarkStart w:id="23" w:name="_Toc8786"/>
      <w:r>
        <w:rPr>
          <w:rFonts w:hint="eastAsia" w:ascii="仿宋_GB2312" w:hAnsi="仿宋_GB2312" w:eastAsia="仿宋_GB2312" w:cs="仿宋_GB2312"/>
          <w:color w:val="auto"/>
          <w:sz w:val="32"/>
          <w:szCs w:val="32"/>
        </w:rPr>
        <w:t>建材企业检查清单</w:t>
      </w:r>
      <w:bookmarkEnd w:id="23"/>
    </w:p>
    <w:tbl>
      <w:tblPr>
        <w:tblStyle w:val="8"/>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601"/>
        <w:gridCol w:w="1175"/>
        <w:gridCol w:w="3458"/>
        <w:gridCol w:w="3710"/>
        <w:gridCol w:w="3480"/>
        <w:gridCol w:w="1145"/>
      </w:tblGrid>
      <w:tr w14:paraId="155F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596" w:type="dxa"/>
            <w:vAlign w:val="center"/>
          </w:tcPr>
          <w:p w14:paraId="17337D73">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序号</w:t>
            </w:r>
          </w:p>
        </w:tc>
        <w:tc>
          <w:tcPr>
            <w:tcW w:w="1601" w:type="dxa"/>
            <w:vAlign w:val="center"/>
          </w:tcPr>
          <w:p w14:paraId="16545708">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检查事项</w:t>
            </w:r>
          </w:p>
        </w:tc>
        <w:tc>
          <w:tcPr>
            <w:tcW w:w="1175" w:type="dxa"/>
            <w:vAlign w:val="center"/>
          </w:tcPr>
          <w:p w14:paraId="0A9942E4">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检查内容</w:t>
            </w:r>
          </w:p>
        </w:tc>
        <w:tc>
          <w:tcPr>
            <w:tcW w:w="3458" w:type="dxa"/>
            <w:vAlign w:val="center"/>
          </w:tcPr>
          <w:p w14:paraId="5C570030">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检查依据</w:t>
            </w:r>
          </w:p>
        </w:tc>
        <w:tc>
          <w:tcPr>
            <w:tcW w:w="3710" w:type="dxa"/>
            <w:vAlign w:val="center"/>
          </w:tcPr>
          <w:p w14:paraId="58221595">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主要证据</w:t>
            </w:r>
          </w:p>
        </w:tc>
        <w:tc>
          <w:tcPr>
            <w:tcW w:w="3480" w:type="dxa"/>
            <w:vAlign w:val="center"/>
          </w:tcPr>
          <w:p w14:paraId="79A3C5ED">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法律责任</w:t>
            </w:r>
          </w:p>
        </w:tc>
        <w:tc>
          <w:tcPr>
            <w:tcW w:w="1145" w:type="dxa"/>
            <w:vAlign w:val="center"/>
          </w:tcPr>
          <w:p w14:paraId="5599FAF2">
            <w:pPr>
              <w:widowControl/>
              <w:adjustRightInd w:val="0"/>
              <w:snapToGrid w:val="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检查结果</w:t>
            </w:r>
          </w:p>
        </w:tc>
      </w:tr>
      <w:tr w14:paraId="1216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96" w:type="dxa"/>
            <w:vAlign w:val="center"/>
          </w:tcPr>
          <w:p w14:paraId="04A1672C">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w:t>
            </w:r>
          </w:p>
        </w:tc>
        <w:tc>
          <w:tcPr>
            <w:tcW w:w="1601" w:type="dxa"/>
            <w:vAlign w:val="center"/>
          </w:tcPr>
          <w:p w14:paraId="7E8A3417">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水泥筒型库清库作业外包情况</w:t>
            </w:r>
          </w:p>
        </w:tc>
        <w:tc>
          <w:tcPr>
            <w:tcW w:w="1175" w:type="dxa"/>
            <w:vAlign w:val="center"/>
          </w:tcPr>
          <w:p w14:paraId="70D5B3E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水泥工厂筒型储存库人工清库作业外包给具有专业承包资质的承包方，是否签订专门的安全生产管理协议（重大隐患）</w:t>
            </w:r>
          </w:p>
        </w:tc>
        <w:tc>
          <w:tcPr>
            <w:tcW w:w="3458" w:type="dxa"/>
            <w:vAlign w:val="center"/>
          </w:tcPr>
          <w:p w14:paraId="5544359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第四十九条</w:t>
            </w:r>
            <w:r>
              <w:rPr>
                <w:rFonts w:hint="eastAsia" w:ascii="仿宋_GB2312" w:hAnsi="仿宋_GB2312" w:eastAsia="仿宋_GB2312" w:cs="仿宋_GB2312"/>
                <w:color w:val="auto"/>
                <w:kern w:val="0"/>
                <w:sz w:val="32"/>
                <w:szCs w:val="32"/>
              </w:rPr>
              <w:t>生产经营单位不得将生产经营项目、场所、设备发包或者出租给不具备安全生产条件或者相应资质的单位或者个人。</w:t>
            </w:r>
          </w:p>
          <w:p w14:paraId="677E4DA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14:paraId="7CC04C5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矿山、金属冶炼建设项目和用于生产、储存、装卸危险物品的建设项目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14:paraId="6AB673BF">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《水泥工厂筒型储存库人工清库安全规程》（AQ 2047-2012）第5.1条</w:t>
            </w:r>
            <w:r>
              <w:rPr>
                <w:rFonts w:hint="eastAsia" w:ascii="仿宋_GB2312" w:hAnsi="仿宋_GB2312" w:eastAsia="仿宋_GB2312" w:cs="仿宋_GB2312"/>
                <w:color w:val="auto"/>
                <w:kern w:val="0"/>
                <w:sz w:val="32"/>
                <w:szCs w:val="32"/>
              </w:rPr>
              <w:t>清库工作外包时，承包方必须具备高空作业工程专业承包企业资质。</w:t>
            </w:r>
          </w:p>
          <w:p w14:paraId="6E47687D">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《水泥工厂筒型储存库人工清库安全规程》（AQ 2047-2012）第5.2条</w:t>
            </w:r>
            <w:r>
              <w:rPr>
                <w:rFonts w:hint="eastAsia" w:ascii="仿宋_GB2312" w:hAnsi="仿宋_GB2312" w:eastAsia="仿宋_GB2312" w:cs="仿宋_GB2312"/>
                <w:color w:val="auto"/>
                <w:kern w:val="0"/>
                <w:sz w:val="32"/>
                <w:szCs w:val="32"/>
              </w:rPr>
              <w:t>清库前，承包方提交清库方案和符合AQ/T 9002要求的应急预案，报水泥工厂书面批准。水泥工厂应与承包方签订清库外包合同（包括安全责任协议），明确双方责任。</w:t>
            </w:r>
          </w:p>
        </w:tc>
        <w:tc>
          <w:tcPr>
            <w:tcW w:w="3710" w:type="dxa"/>
            <w:vAlign w:val="center"/>
          </w:tcPr>
          <w:p w14:paraId="4C51352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36B912F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（2）外包项目合同；</w:t>
            </w:r>
          </w:p>
          <w:p w14:paraId="37B430C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（3）外包项目安全生产管理协议；</w:t>
            </w:r>
          </w:p>
          <w:p w14:paraId="5352AF4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（4）承包方资质；</w:t>
            </w:r>
          </w:p>
          <w:p w14:paraId="0836E48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（5）对外包项目的安全检查记录；</w:t>
            </w:r>
          </w:p>
          <w:p w14:paraId="395F279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（6）外包方作业方案和应急预案；</w:t>
            </w:r>
          </w:p>
          <w:p w14:paraId="0CEBB54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（7）销售记录及账务资料；</w:t>
            </w:r>
          </w:p>
          <w:p w14:paraId="4199C64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63D7AA2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（9）图片或影像资料；</w:t>
            </w:r>
          </w:p>
          <w:p w14:paraId="1BD0326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（10）企业相关人员任职文件、身份证明及其询问笔录；</w:t>
            </w:r>
          </w:p>
          <w:p w14:paraId="2F68F61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（11）其他相关证据。</w:t>
            </w:r>
          </w:p>
        </w:tc>
        <w:tc>
          <w:tcPr>
            <w:tcW w:w="3480" w:type="dxa"/>
            <w:vAlign w:val="center"/>
          </w:tcPr>
          <w:p w14:paraId="5FEEC4D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第一百三条</w:t>
            </w:r>
            <w:r>
              <w:rPr>
                <w:rFonts w:hint="eastAsia" w:ascii="仿宋_GB2312" w:hAnsi="仿宋_GB2312" w:eastAsia="仿宋_GB2312" w:cs="仿宋_GB2312"/>
                <w:color w:val="auto"/>
                <w:kern w:val="0"/>
                <w:sz w:val="32"/>
                <w:szCs w:val="32"/>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3046319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679459F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14:paraId="0E14CC9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CF3589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1145" w:type="dxa"/>
            <w:vAlign w:val="center"/>
          </w:tcPr>
          <w:p w14:paraId="480D7E6C">
            <w:pPr>
              <w:widowControl/>
              <w:adjustRightInd w:val="0"/>
              <w:snapToGrid w:val="0"/>
              <w:rPr>
                <w:rFonts w:hint="eastAsia" w:ascii="仿宋_GB2312" w:hAnsi="仿宋_GB2312" w:eastAsia="仿宋_GB2312" w:cs="仿宋_GB2312"/>
                <w:color w:val="auto"/>
                <w:kern w:val="0"/>
                <w:sz w:val="32"/>
                <w:szCs w:val="32"/>
              </w:rPr>
            </w:pPr>
          </w:p>
        </w:tc>
      </w:tr>
      <w:tr w14:paraId="59FF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596" w:type="dxa"/>
            <w:vAlign w:val="center"/>
          </w:tcPr>
          <w:p w14:paraId="00996FB1">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w:t>
            </w:r>
          </w:p>
        </w:tc>
        <w:tc>
          <w:tcPr>
            <w:tcW w:w="1601" w:type="dxa"/>
            <w:vAlign w:val="center"/>
          </w:tcPr>
          <w:p w14:paraId="2DCB0726">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水泥工厂监测、报警、灭火及防爆装置的设置情况</w:t>
            </w:r>
          </w:p>
        </w:tc>
        <w:tc>
          <w:tcPr>
            <w:tcW w:w="1175" w:type="dxa"/>
            <w:vAlign w:val="center"/>
          </w:tcPr>
          <w:p w14:paraId="1E5FE9E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煤磨进出口是否设温度监测装置；在煤粉仓、收尘器上是否设监测报警装置；煤磨、煤粉仓、煤磨收尘器是否设置气体灭火系统（重大隐患）</w:t>
            </w:r>
          </w:p>
        </w:tc>
        <w:tc>
          <w:tcPr>
            <w:tcW w:w="3458" w:type="dxa"/>
            <w:vAlign w:val="center"/>
          </w:tcPr>
          <w:p w14:paraId="0A616ED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3E50113A">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《水泥工厂设计规范》（GB 50295-2016）第6.7.4条</w:t>
            </w:r>
            <w:r>
              <w:rPr>
                <w:rFonts w:hint="eastAsia" w:ascii="仿宋_GB2312" w:hAnsi="仿宋_GB2312" w:eastAsia="仿宋_GB2312" w:cs="仿宋_GB2312"/>
                <w:color w:val="auto"/>
                <w:kern w:val="0"/>
                <w:sz w:val="32"/>
                <w:szCs w:val="32"/>
              </w:rPr>
              <w:t>煤粉制备系统的安全防爆设计应符合下列规定；</w:t>
            </w:r>
          </w:p>
          <w:p w14:paraId="033A7CDD">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1.煤磨、收尘器、煤粉仓应装设泄压阀；......</w:t>
            </w:r>
          </w:p>
          <w:p w14:paraId="1AF0AC02">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8.煤磨进出口应设温度监测装置，在煤粉仓、收尘器上应设温度和一氧化碳监测及自动报警装置；......</w:t>
            </w:r>
          </w:p>
          <w:p w14:paraId="7AFBEBEC">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10.煤磨、煤粉仓、煤磨收尘器应设置气体灭火系统；......</w:t>
            </w:r>
          </w:p>
          <w:p w14:paraId="614C7B8F">
            <w:pPr>
              <w:widowControl/>
              <w:adjustRightInd w:val="0"/>
              <w:snapToGrid w:val="0"/>
              <w:ind w:firstLine="36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《水泥工厂职业安全卫生设计规范》（GB 50577-2010）</w:t>
            </w:r>
          </w:p>
          <w:p w14:paraId="544CD583">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5.4.9  煤粉仓应设置一氧化碳和温度监测仪表及报警、灭火设施。</w:t>
            </w:r>
          </w:p>
          <w:p w14:paraId="5E5FFC0E">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5.4.11  煤磨收尘器入口处及煤粉仓应设置气体灭火装置。</w:t>
            </w:r>
          </w:p>
          <w:p w14:paraId="00782DCF">
            <w:pPr>
              <w:widowControl/>
              <w:adjustRightInd w:val="0"/>
              <w:snapToGrid w:val="0"/>
              <w:ind w:firstLine="36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《工贸行业重大生产安全事故隐患判定标准（2017版）》（安监总管四〔2017〕129号）</w:t>
            </w:r>
          </w:p>
          <w:p w14:paraId="28681533">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77CE1209">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（三）建材行业。</w:t>
            </w:r>
          </w:p>
          <w:p w14:paraId="2BD1CA3B">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1.水泥工厂煤磨袋式收尘器（或煤粉仓）未设置温度和一氧化碳监测，或未设置气体灭火装置。</w:t>
            </w:r>
          </w:p>
        </w:tc>
        <w:tc>
          <w:tcPr>
            <w:tcW w:w="3710" w:type="dxa"/>
            <w:vAlign w:val="center"/>
          </w:tcPr>
          <w:p w14:paraId="184D524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554DAB6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（2）相应装置或设备购买凭证和说明书、合格证明；</w:t>
            </w:r>
          </w:p>
          <w:p w14:paraId="52A00E2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（3）安全管理制度；</w:t>
            </w:r>
          </w:p>
          <w:p w14:paraId="005083A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3C9E8B2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（5）图片或影像资料；</w:t>
            </w:r>
          </w:p>
          <w:p w14:paraId="068CD94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6109786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tc>
        <w:tc>
          <w:tcPr>
            <w:tcW w:w="3480" w:type="dxa"/>
            <w:vAlign w:val="center"/>
          </w:tcPr>
          <w:p w14:paraId="5F78C7C6">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0EBDBB6F">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4E44559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7384FD1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CDC8C1C">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45" w:type="dxa"/>
            <w:vAlign w:val="center"/>
          </w:tcPr>
          <w:p w14:paraId="5D616E9C">
            <w:pPr>
              <w:widowControl/>
              <w:adjustRightInd w:val="0"/>
              <w:snapToGrid w:val="0"/>
              <w:rPr>
                <w:rFonts w:hint="eastAsia" w:ascii="仿宋_GB2312" w:hAnsi="仿宋_GB2312" w:eastAsia="仿宋_GB2312" w:cs="仿宋_GB2312"/>
                <w:color w:val="auto"/>
                <w:kern w:val="0"/>
                <w:sz w:val="32"/>
                <w:szCs w:val="32"/>
              </w:rPr>
            </w:pPr>
          </w:p>
        </w:tc>
      </w:tr>
      <w:tr w14:paraId="4A21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96" w:type="dxa"/>
            <w:vAlign w:val="center"/>
          </w:tcPr>
          <w:p w14:paraId="5B9F9503">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p>
        </w:tc>
        <w:tc>
          <w:tcPr>
            <w:tcW w:w="1601" w:type="dxa"/>
            <w:vAlign w:val="center"/>
          </w:tcPr>
          <w:p w14:paraId="75BA0591">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燃气窑炉防火、防爆、防一氧化碳中毒措施情况</w:t>
            </w:r>
          </w:p>
        </w:tc>
        <w:tc>
          <w:tcPr>
            <w:tcW w:w="1175" w:type="dxa"/>
            <w:vAlign w:val="center"/>
          </w:tcPr>
          <w:p w14:paraId="197E84F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燃气窑炉是否设置燃气低压警报器和快速切断阀；发生炉煤气的熔窑烟道是否采取煤气换向防爆措施；煤气危险区域关键部位是否设置一氧化碳监测装置（重大隐患）</w:t>
            </w:r>
          </w:p>
        </w:tc>
        <w:tc>
          <w:tcPr>
            <w:tcW w:w="3458" w:type="dxa"/>
            <w:vAlign w:val="center"/>
          </w:tcPr>
          <w:p w14:paraId="3B3CC111">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0EB1B727">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《平板玻璃工厂设计规范》（GB 50435-2016）第7.2.6.9条</w:t>
            </w:r>
            <w:r>
              <w:rPr>
                <w:rFonts w:hint="eastAsia" w:ascii="仿宋_GB2312" w:hAnsi="仿宋_GB2312" w:eastAsia="仿宋_GB2312" w:cs="仿宋_GB2312"/>
                <w:color w:val="auto"/>
                <w:kern w:val="0"/>
                <w:sz w:val="32"/>
                <w:szCs w:val="32"/>
              </w:rPr>
              <w:t>发生炉煤气的熔窑烟道必须采取煤气换向防爆措施。</w:t>
            </w:r>
          </w:p>
          <w:p w14:paraId="5FD7603C">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《工业企业煤气安全规程》（GB 6222-2005）第4.10条</w:t>
            </w:r>
            <w:r>
              <w:rPr>
                <w:rFonts w:hint="eastAsia" w:ascii="仿宋_GB2312" w:hAnsi="仿宋_GB2312" w:eastAsia="仿宋_GB2312" w:cs="仿宋_GB2312"/>
                <w:color w:val="auto"/>
                <w:kern w:val="0"/>
                <w:sz w:val="32"/>
                <w:szCs w:val="32"/>
              </w:rPr>
              <w:t>煤气危险区(如地下室、加压站、热风炉及各种煤气发生设施附近)的一氧化碳浓度应定期测定，在关键部位应设置一氧化碳监测装置。作业环境一氧化碳最高允许浓度为30mg／m³ (24ppm)。</w:t>
            </w:r>
          </w:p>
          <w:p w14:paraId="10AD9FC2">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《耐火材料生产安全规程》（AQ 2023－2008）第5.15条</w:t>
            </w:r>
            <w:r>
              <w:rPr>
                <w:rFonts w:hint="eastAsia" w:ascii="仿宋_GB2312" w:hAnsi="仿宋_GB2312" w:eastAsia="仿宋_GB2312" w:cs="仿宋_GB2312"/>
                <w:color w:val="auto"/>
                <w:kern w:val="0"/>
                <w:sz w:val="32"/>
                <w:szCs w:val="32"/>
              </w:rPr>
              <w:t>燃气窑炉和燃气管道的仪表室应设低压警报器。室内应设灭火装置。</w:t>
            </w:r>
          </w:p>
          <w:p w14:paraId="3EED4132">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《耐火材料生产安全规程》（AQ 2023－2008）第7.6.11条</w:t>
            </w:r>
            <w:r>
              <w:rPr>
                <w:rFonts w:hint="eastAsia" w:ascii="仿宋_GB2312" w:hAnsi="仿宋_GB2312" w:eastAsia="仿宋_GB2312" w:cs="仿宋_GB2312"/>
                <w:color w:val="auto"/>
                <w:kern w:val="0"/>
                <w:sz w:val="32"/>
                <w:szCs w:val="32"/>
              </w:rPr>
              <w:t>燃气窑炉和燃气管道的仪表控制室和操作工位应设固定式泄漏报警装置、低压警报器和快速切断阀，室内应设灭火装置。</w:t>
            </w:r>
          </w:p>
          <w:p w14:paraId="311C9D7A">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《耐火材料生产安全规程》（AQ 2023－2008）第8.2.1条</w:t>
            </w:r>
            <w:r>
              <w:rPr>
                <w:rFonts w:hint="eastAsia" w:ascii="仿宋_GB2312" w:hAnsi="仿宋_GB2312" w:eastAsia="仿宋_GB2312" w:cs="仿宋_GB2312"/>
                <w:color w:val="auto"/>
                <w:kern w:val="0"/>
                <w:sz w:val="32"/>
                <w:szCs w:val="32"/>
              </w:rPr>
              <w:t>车间内各类燃气、动力管线，应架空敷设并应在车间入口设总管切断阀；燃气总管应设快速切断阀和低压报警装置。车间内架空燃气管道与其他架空管线的最小净距，应符合有关规定。</w:t>
            </w:r>
          </w:p>
          <w:p w14:paraId="19E1062F">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《耐火材料生产安全规程》（AQ 2023－2008）第8.2.4条</w:t>
            </w:r>
            <w:r>
              <w:rPr>
                <w:rFonts w:hint="eastAsia" w:ascii="仿宋_GB2312" w:hAnsi="仿宋_GB2312" w:eastAsia="仿宋_GB2312" w:cs="仿宋_GB2312"/>
                <w:color w:val="auto"/>
                <w:kern w:val="0"/>
                <w:sz w:val="32"/>
                <w:szCs w:val="32"/>
              </w:rPr>
              <w:t>煤气助燃用的空气管线总管应安装低压报警装置。空气管末端应安装放散管及防爆薄膜。</w:t>
            </w:r>
          </w:p>
          <w:p w14:paraId="50EC151B">
            <w:pPr>
              <w:widowControl/>
              <w:adjustRightInd w:val="0"/>
              <w:snapToGrid w:val="0"/>
              <w:ind w:firstLine="36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《耐火材料生产安全规程》（AQ 2023－2008</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bCs/>
                <w:color w:val="auto"/>
                <w:kern w:val="0"/>
                <w:sz w:val="32"/>
                <w:szCs w:val="32"/>
              </w:rPr>
              <w:t>第8.2.5条</w:t>
            </w:r>
            <w:r>
              <w:rPr>
                <w:rFonts w:hint="eastAsia" w:ascii="仿宋_GB2312" w:hAnsi="仿宋_GB2312" w:eastAsia="仿宋_GB2312" w:cs="仿宋_GB2312"/>
                <w:color w:val="auto"/>
                <w:kern w:val="0"/>
                <w:sz w:val="32"/>
                <w:szCs w:val="32"/>
              </w:rPr>
              <w:t>窑前燃气总管的开闭器之间和各分配管的末端，应设放散管。放散管管口高度应按GB 6222的相关规定设置。</w:t>
            </w:r>
          </w:p>
        </w:tc>
        <w:tc>
          <w:tcPr>
            <w:tcW w:w="3710" w:type="dxa"/>
            <w:vAlign w:val="center"/>
          </w:tcPr>
          <w:p w14:paraId="2E11EA8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401D14E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（2）相应装置或设备购买凭证和说明书、合格证明；</w:t>
            </w:r>
          </w:p>
          <w:p w14:paraId="0FFBC62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（3）安全管理制度；</w:t>
            </w:r>
          </w:p>
          <w:p w14:paraId="55B460E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4B89CBF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（5）图片或影像资料；</w:t>
            </w:r>
          </w:p>
          <w:p w14:paraId="5A05A6B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0082071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tc>
        <w:tc>
          <w:tcPr>
            <w:tcW w:w="3480" w:type="dxa"/>
            <w:vAlign w:val="center"/>
          </w:tcPr>
          <w:p w14:paraId="3EB4C789">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48CA9885">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6E03E4B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5F2F87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4FE5125E">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45" w:type="dxa"/>
            <w:vAlign w:val="center"/>
          </w:tcPr>
          <w:p w14:paraId="01756C27">
            <w:pPr>
              <w:widowControl/>
              <w:adjustRightInd w:val="0"/>
              <w:snapToGrid w:val="0"/>
              <w:rPr>
                <w:rFonts w:hint="eastAsia" w:ascii="仿宋_GB2312" w:hAnsi="仿宋_GB2312" w:eastAsia="仿宋_GB2312" w:cs="仿宋_GB2312"/>
                <w:color w:val="auto"/>
                <w:kern w:val="0"/>
                <w:sz w:val="32"/>
                <w:szCs w:val="32"/>
              </w:rPr>
            </w:pPr>
          </w:p>
        </w:tc>
      </w:tr>
      <w:tr w14:paraId="3EF1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96" w:type="dxa"/>
            <w:vAlign w:val="center"/>
          </w:tcPr>
          <w:p w14:paraId="12C628F8">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p>
        </w:tc>
        <w:tc>
          <w:tcPr>
            <w:tcW w:w="1601" w:type="dxa"/>
            <w:vAlign w:val="center"/>
          </w:tcPr>
          <w:p w14:paraId="16523FD6">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高温熔炉冷却及报警装置的设置情况</w:t>
            </w:r>
          </w:p>
        </w:tc>
        <w:tc>
          <w:tcPr>
            <w:tcW w:w="1175" w:type="dxa"/>
            <w:vAlign w:val="center"/>
          </w:tcPr>
          <w:p w14:paraId="4A89198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玻璃窑炉、纤维制品三相电弧炉、电熔制品电炉等高温熔炉的冷却保护系统满足冷却要求，是否设置停机报警装置（重大隐患）</w:t>
            </w:r>
          </w:p>
        </w:tc>
        <w:tc>
          <w:tcPr>
            <w:tcW w:w="3458" w:type="dxa"/>
            <w:vAlign w:val="center"/>
          </w:tcPr>
          <w:p w14:paraId="5A9A9992">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23AA3851">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《平板玻璃工厂设计规范》（GB 50435-2016）第7.2.5.2条第1）款</w:t>
            </w:r>
            <w:r>
              <w:rPr>
                <w:rFonts w:hint="eastAsia" w:ascii="仿宋_GB2312" w:hAnsi="仿宋_GB2312" w:eastAsia="仿宋_GB2312" w:cs="仿宋_GB2312"/>
                <w:color w:val="auto"/>
                <w:kern w:val="0"/>
                <w:sz w:val="32"/>
                <w:szCs w:val="32"/>
              </w:rPr>
              <w:t>熔窑自投产开始，冷却风不得中断。</w:t>
            </w:r>
          </w:p>
          <w:p w14:paraId="1D7F800B">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《平板玻璃工厂设计规范》（GB 50435-2016）第7.3.2.8条</w:t>
            </w:r>
            <w:r>
              <w:rPr>
                <w:rFonts w:hint="eastAsia" w:ascii="仿宋_GB2312" w:hAnsi="仿宋_GB2312" w:eastAsia="仿宋_GB2312" w:cs="仿宋_GB2312"/>
                <w:color w:val="auto"/>
                <w:kern w:val="0"/>
                <w:sz w:val="32"/>
                <w:szCs w:val="32"/>
              </w:rPr>
              <w:t>锡槽槽底必须设置防止锡液渗漏的冷却设施。</w:t>
            </w:r>
          </w:p>
          <w:p w14:paraId="4576634A">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《平板玻璃工厂设计规范》（GB 50435-2016）第11.3.5条</w:t>
            </w:r>
            <w:r>
              <w:rPr>
                <w:rFonts w:hint="eastAsia" w:ascii="仿宋_GB2312" w:hAnsi="仿宋_GB2312" w:eastAsia="仿宋_GB2312" w:cs="仿宋_GB2312"/>
                <w:color w:val="auto"/>
                <w:kern w:val="0"/>
                <w:sz w:val="32"/>
                <w:szCs w:val="32"/>
              </w:rPr>
              <w:t>熔窑的冷却风机、助燃风机等机电设备均应设运行显示和故障报警装置。对于重要设备的冷却水进出口温度宜设显示和超温报警装置，并应在进水口设计断水报警装置。</w:t>
            </w:r>
          </w:p>
          <w:p w14:paraId="77A38143">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《耐火材料生产安全规程》（AQ 2023－2008）第7.8.1条</w:t>
            </w:r>
            <w:r>
              <w:rPr>
                <w:rFonts w:hint="eastAsia" w:ascii="仿宋_GB2312" w:hAnsi="仿宋_GB2312" w:eastAsia="仿宋_GB2312" w:cs="仿宋_GB2312"/>
                <w:color w:val="auto"/>
                <w:kern w:val="0"/>
                <w:sz w:val="32"/>
                <w:szCs w:val="32"/>
              </w:rPr>
              <w:t>使用三相电弧炉时 ,应遵守下列规定：电极夹头安装冷却循环水防漏装置，如有漏水，立即断电抢修；......</w:t>
            </w:r>
          </w:p>
        </w:tc>
        <w:tc>
          <w:tcPr>
            <w:tcW w:w="3710" w:type="dxa"/>
            <w:vAlign w:val="center"/>
          </w:tcPr>
          <w:p w14:paraId="38A2FF6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7458940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（2）相应装置或设备购买凭证和说明书、合格证明；</w:t>
            </w:r>
          </w:p>
          <w:p w14:paraId="16CC16E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（3）安全管理制度</w:t>
            </w:r>
          </w:p>
          <w:p w14:paraId="1B35328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3570A8F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（5）图片或影像资料；</w:t>
            </w:r>
          </w:p>
          <w:p w14:paraId="1518041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3527D68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tc>
        <w:tc>
          <w:tcPr>
            <w:tcW w:w="3480" w:type="dxa"/>
            <w:vAlign w:val="center"/>
          </w:tcPr>
          <w:p w14:paraId="38BB4B7A">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6962CDB">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2735CE8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72017B9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1145" w:type="dxa"/>
            <w:vAlign w:val="center"/>
          </w:tcPr>
          <w:p w14:paraId="63E6C8AE">
            <w:pPr>
              <w:widowControl/>
              <w:adjustRightInd w:val="0"/>
              <w:snapToGrid w:val="0"/>
              <w:rPr>
                <w:rFonts w:hint="eastAsia" w:ascii="仿宋_GB2312" w:hAnsi="仿宋_GB2312" w:eastAsia="仿宋_GB2312" w:cs="仿宋_GB2312"/>
                <w:color w:val="auto"/>
                <w:kern w:val="0"/>
                <w:sz w:val="32"/>
                <w:szCs w:val="32"/>
              </w:rPr>
            </w:pPr>
          </w:p>
        </w:tc>
      </w:tr>
      <w:tr w14:paraId="2EEA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596" w:type="dxa"/>
            <w:vAlign w:val="center"/>
          </w:tcPr>
          <w:p w14:paraId="634849AB">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p>
        </w:tc>
        <w:tc>
          <w:tcPr>
            <w:tcW w:w="1601" w:type="dxa"/>
            <w:vAlign w:val="center"/>
          </w:tcPr>
          <w:p w14:paraId="2445E93C">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煤气发生炉及煤气输送系统的防火、防爆等装置的设置情况</w:t>
            </w:r>
          </w:p>
        </w:tc>
        <w:tc>
          <w:tcPr>
            <w:tcW w:w="1175" w:type="dxa"/>
            <w:vAlign w:val="center"/>
          </w:tcPr>
          <w:p w14:paraId="0A272A6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煤气发生炉的进口空气管道上，是否设有阀门、止回阀和蒸汽吹扫装置；煤气发生炉空气总管末端是否设有泄爆装置和放散管；是否设报警装置（重大隐患）</w:t>
            </w:r>
          </w:p>
        </w:tc>
        <w:tc>
          <w:tcPr>
            <w:tcW w:w="3458" w:type="dxa"/>
            <w:vAlign w:val="center"/>
          </w:tcPr>
          <w:p w14:paraId="58278C93">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《四川省安全生产条例》第三十二条第二款</w:t>
            </w:r>
            <w:r>
              <w:rPr>
                <w:rFonts w:hint="eastAsia" w:ascii="仿宋_GB2312" w:hAnsi="仿宋_GB2312" w:eastAsia="仿宋_GB2312" w:cs="仿宋_GB2312"/>
                <w:color w:val="auto"/>
                <w:kern w:val="0"/>
                <w:sz w:val="32"/>
                <w:szCs w:val="32"/>
              </w:rPr>
              <w:t>有易燃、易爆气体和粉尘的作业场所，应当使用防爆型电气设备或者采取有效的防爆技术措施。</w:t>
            </w:r>
          </w:p>
          <w:p w14:paraId="7E74A95C">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《平板玻璃工厂设计规范》（GB 50435-2016）第14.4.7条</w:t>
            </w:r>
            <w:r>
              <w:rPr>
                <w:rFonts w:hint="eastAsia" w:ascii="仿宋_GB2312" w:hAnsi="仿宋_GB2312" w:eastAsia="仿宋_GB2312" w:cs="仿宋_GB2312"/>
                <w:color w:val="auto"/>
                <w:kern w:val="0"/>
                <w:sz w:val="32"/>
                <w:szCs w:val="32"/>
              </w:rPr>
              <w:t>净化有爆炸危险的煤粉尘时，所设置的除尘器、过滤器及管道等均应设置泄爆装置，设备和管道均应采取防静电接地措施，设备应采用防爆型，干式除尘器和过滤器应布置在系统负压段上。</w:t>
            </w:r>
          </w:p>
          <w:p w14:paraId="0E4D79FA">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《工业企业煤气安全规程》(GB 6222-2005)第5.1.2.3条</w:t>
            </w:r>
            <w:r>
              <w:rPr>
                <w:rFonts w:hint="eastAsia" w:ascii="仿宋_GB2312" w:hAnsi="仿宋_GB2312" w:eastAsia="仿宋_GB2312" w:cs="仿宋_GB2312"/>
                <w:color w:val="auto"/>
                <w:kern w:val="0"/>
                <w:sz w:val="32"/>
                <w:szCs w:val="32"/>
              </w:rPr>
              <w:t>煤气发生站中央控制室应设有调度电话和一般电话，并设有煤气发生炉进口饱和空气压力计、温度计、流量计、煤气发生炉出口煤气压力计、温度计、煤气高低压和空气低压报警装置、主要自动控制调节装置、连锁装置及灯光信号等。</w:t>
            </w:r>
          </w:p>
          <w:p w14:paraId="3ACBBFB5">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《工业企业煤气安全规程》(GB 6222-2005)第5.1.3.5条</w:t>
            </w:r>
            <w:r>
              <w:rPr>
                <w:rFonts w:hint="eastAsia" w:ascii="仿宋_GB2312" w:hAnsi="仿宋_GB2312" w:eastAsia="仿宋_GB2312" w:cs="仿宋_GB2312"/>
                <w:color w:val="auto"/>
                <w:kern w:val="0"/>
                <w:sz w:val="32"/>
                <w:szCs w:val="32"/>
              </w:rPr>
              <w:t>煤气发生炉的进口空气管道上，应设有阀门、止回阀和蒸汽吹扫装置。空气总管末端应设有泄爆装置和放散管，放散管应接至室外。</w:t>
            </w:r>
          </w:p>
          <w:p w14:paraId="2C691E7C">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《工业企业煤气安全规程》(GB 6222-2005)第5.1.3.9条</w:t>
            </w:r>
            <w:r>
              <w:rPr>
                <w:rFonts w:hint="eastAsia" w:ascii="仿宋_GB2312" w:hAnsi="仿宋_GB2312" w:eastAsia="仿宋_GB2312" w:cs="仿宋_GB2312"/>
                <w:color w:val="auto"/>
                <w:kern w:val="0"/>
                <w:sz w:val="32"/>
                <w:szCs w:val="32"/>
              </w:rPr>
              <w:t>新建、扩建煤气发生炉后的竖管、除尘器顶部或煤气发生炉出口管道，应设能自动放散煤气的装置。</w:t>
            </w:r>
          </w:p>
          <w:p w14:paraId="6866A078">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《发生炉煤气站设计规范》（GB 50195-2013）第7.0.1条</w:t>
            </w:r>
            <w:r>
              <w:rPr>
                <w:rFonts w:hint="eastAsia" w:ascii="仿宋_GB2312" w:hAnsi="仿宋_GB2312" w:eastAsia="仿宋_GB2312" w:cs="仿宋_GB2312"/>
                <w:color w:val="auto"/>
                <w:kern w:val="0"/>
                <w:sz w:val="32"/>
                <w:szCs w:val="32"/>
              </w:rPr>
              <w:t>煤气净化设备和煤气余热锅炉，应设放散管和吹扫管接头；其装设的位置应能使设备内的介质吹净；当煤气净化设备相连处无隔断装置时，应在较高的设备上或设备之间的煤气管道上装设放散管。</w:t>
            </w:r>
          </w:p>
        </w:tc>
        <w:tc>
          <w:tcPr>
            <w:tcW w:w="3710" w:type="dxa"/>
            <w:vAlign w:val="center"/>
          </w:tcPr>
          <w:p w14:paraId="0584E68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1AF2895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（2）相应装置或设备的合格证明；</w:t>
            </w:r>
          </w:p>
          <w:p w14:paraId="1D7C1B5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（3）安全管理制度；</w:t>
            </w:r>
          </w:p>
          <w:p w14:paraId="548121A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（4）爆炸危险区电气设备购买凭证和说明书；</w:t>
            </w:r>
          </w:p>
          <w:p w14:paraId="5202AFD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73FD253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（6）图片或影像资料；</w:t>
            </w:r>
          </w:p>
          <w:p w14:paraId="1648D73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（7）企业相关人员任职文件、身份证明及其询问笔录；</w:t>
            </w:r>
          </w:p>
          <w:p w14:paraId="7E7E041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480" w:type="dxa"/>
            <w:vAlign w:val="center"/>
          </w:tcPr>
          <w:p w14:paraId="1DB0D86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《四川省安全生产条例》第六十九条</w:t>
            </w:r>
            <w:r>
              <w:rPr>
                <w:rFonts w:hint="eastAsia" w:ascii="仿宋_GB2312" w:hAnsi="仿宋_GB2312" w:eastAsia="仿宋_GB2312" w:cs="仿宋_GB2312"/>
                <w:color w:val="auto"/>
                <w:kern w:val="0"/>
                <w:sz w:val="32"/>
                <w:szCs w:val="32"/>
              </w:rPr>
              <w:t>生产经营单位违反本条例第十六条、第二十一条第一款、第二十三条、第二十四条第一款、第三十二条、第三十四条第一款规定的，责令限期改正，可并处5000元以上2万元以下的罚款；逾期未改正的，责令停产停业整顿。</w:t>
            </w:r>
          </w:p>
          <w:p w14:paraId="036A7D9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D54572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6CD94B2">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45" w:type="dxa"/>
            <w:vAlign w:val="center"/>
          </w:tcPr>
          <w:p w14:paraId="7E930982">
            <w:pPr>
              <w:widowControl/>
              <w:adjustRightInd w:val="0"/>
              <w:snapToGrid w:val="0"/>
              <w:rPr>
                <w:rFonts w:hint="eastAsia" w:ascii="仿宋_GB2312" w:hAnsi="仿宋_GB2312" w:eastAsia="仿宋_GB2312" w:cs="仿宋_GB2312"/>
                <w:color w:val="auto"/>
                <w:kern w:val="0"/>
                <w:sz w:val="32"/>
                <w:szCs w:val="32"/>
              </w:rPr>
            </w:pPr>
          </w:p>
        </w:tc>
      </w:tr>
      <w:tr w14:paraId="4F51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596" w:type="dxa"/>
            <w:vAlign w:val="center"/>
          </w:tcPr>
          <w:p w14:paraId="7CAD6224">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p>
        </w:tc>
        <w:tc>
          <w:tcPr>
            <w:tcW w:w="1601" w:type="dxa"/>
            <w:vAlign w:val="center"/>
          </w:tcPr>
          <w:p w14:paraId="24518684">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输送设备防护、急停等隔离的情况</w:t>
            </w:r>
          </w:p>
        </w:tc>
        <w:tc>
          <w:tcPr>
            <w:tcW w:w="1175" w:type="dxa"/>
            <w:vAlign w:val="center"/>
          </w:tcPr>
          <w:p w14:paraId="630E8D4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输送机的头部、尾部、拉紧部位和输送带改向部位及夹角等部位是否设防护装置；滚筒、托辊是否设防护；各种机械传动装置的外露部分是否设防护，露出的轴承是否加护盖</w:t>
            </w:r>
          </w:p>
        </w:tc>
        <w:tc>
          <w:tcPr>
            <w:tcW w:w="3458" w:type="dxa"/>
            <w:vAlign w:val="center"/>
          </w:tcPr>
          <w:p w14:paraId="1554266B">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《四川省安全生产条例》第三十八条第二款</w:t>
            </w:r>
            <w:r>
              <w:rPr>
                <w:rFonts w:hint="eastAsia" w:ascii="仿宋_GB2312" w:hAnsi="仿宋_GB2312" w:eastAsia="仿宋_GB2312" w:cs="仿宋_GB2312"/>
                <w:color w:val="auto"/>
                <w:kern w:val="0"/>
                <w:sz w:val="32"/>
                <w:szCs w:val="32"/>
              </w:rPr>
              <w:t>各种动力机械的转动、传动部位，压力机械的施压部位，切削机械的切削部位和其他机械对人体有伤害危险的部位，应当设置可靠的安全防护装置。</w:t>
            </w:r>
          </w:p>
          <w:p w14:paraId="5A40D491">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《水泥工厂职业安全卫生设计规范》（GB 50577-2010）第5.2.8条</w:t>
            </w:r>
            <w:r>
              <w:rPr>
                <w:rFonts w:hint="eastAsia" w:ascii="仿宋_GB2312" w:hAnsi="仿宋_GB2312" w:eastAsia="仿宋_GB2312" w:cs="仿宋_GB2312"/>
                <w:color w:val="auto"/>
                <w:kern w:val="0"/>
                <w:sz w:val="32"/>
                <w:szCs w:val="32"/>
              </w:rPr>
              <w:t>各种机械传动装置的外露部分必须配置防护罩或防护网等安全防护装置，露出的轴承必须加护盖。</w:t>
            </w:r>
          </w:p>
          <w:p w14:paraId="6C4B5C4F">
            <w:pPr>
              <w:widowControl/>
              <w:adjustRightInd w:val="0"/>
              <w:snapToGrid w:val="0"/>
              <w:ind w:firstLine="36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《带式输送机安全规范》（GB 14784-2013）第4.1.1.1条</w:t>
            </w:r>
            <w:r>
              <w:rPr>
                <w:rFonts w:hint="eastAsia" w:ascii="仿宋_GB2312" w:hAnsi="仿宋_GB2312" w:eastAsia="仿宋_GB2312" w:cs="仿宋_GB2312"/>
                <w:color w:val="auto"/>
                <w:kern w:val="0"/>
                <w:sz w:val="32"/>
                <w:szCs w:val="32"/>
              </w:rPr>
              <w:t>在经常有人接近的输送机的头部、尾部、拉紧部位和输送带改向部位是易挤夹部位。</w:t>
            </w:r>
          </w:p>
          <w:p w14:paraId="62FC7EC4">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《带式输送机安全规范》（GB 14784-2013）第4.1.2条滚筒的防护第一款</w:t>
            </w:r>
            <w:r>
              <w:rPr>
                <w:rFonts w:hint="eastAsia" w:ascii="仿宋_GB2312" w:hAnsi="仿宋_GB2312" w:eastAsia="仿宋_GB2312" w:cs="仿宋_GB2312"/>
                <w:color w:val="auto"/>
                <w:kern w:val="0"/>
                <w:sz w:val="32"/>
                <w:szCs w:val="32"/>
              </w:rPr>
              <w:t>滚筒的防护应采用防护罩（板）或防夹楔。</w:t>
            </w:r>
          </w:p>
          <w:p w14:paraId="4CAA0469">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《带式输送机安全规范》（GB 14784-2013）第4.1.3.1条</w:t>
            </w:r>
            <w:r>
              <w:rPr>
                <w:rFonts w:hint="eastAsia" w:ascii="仿宋_GB2312" w:hAnsi="仿宋_GB2312" w:eastAsia="仿宋_GB2312" w:cs="仿宋_GB2312"/>
                <w:color w:val="auto"/>
                <w:kern w:val="0"/>
                <w:sz w:val="32"/>
                <w:szCs w:val="32"/>
              </w:rPr>
              <w:t>输送松散物料且在凸弧段内相邻两组承载托辊的夹角大于3°时，应对托辊两侧用防护板进行防护。......</w:t>
            </w:r>
          </w:p>
          <w:p w14:paraId="4D0DBA85">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《带式输送机安全规范》（GB 14784-2013）第4.1.3.3条</w:t>
            </w:r>
            <w:r>
              <w:rPr>
                <w:rFonts w:hint="eastAsia" w:ascii="仿宋_GB2312" w:hAnsi="仿宋_GB2312" w:eastAsia="仿宋_GB2312" w:cs="仿宋_GB2312"/>
                <w:color w:val="auto"/>
                <w:kern w:val="0"/>
                <w:sz w:val="32"/>
                <w:szCs w:val="32"/>
              </w:rPr>
              <w:t>在回程分支凸弧段两相邻托辊组的夹角大于3°时，也应按照4.1.3.1的规定对托辊进行防护。......</w:t>
            </w:r>
          </w:p>
        </w:tc>
        <w:tc>
          <w:tcPr>
            <w:tcW w:w="3710" w:type="dxa"/>
            <w:vAlign w:val="center"/>
          </w:tcPr>
          <w:p w14:paraId="42EACD6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69F460B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（2）相应装置或设备购买凭证和说明书、合格证明；</w:t>
            </w:r>
          </w:p>
          <w:p w14:paraId="1A727C1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（3）安全管理制度；</w:t>
            </w:r>
          </w:p>
          <w:p w14:paraId="6B71B45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2915564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（5）图片或影像资料；</w:t>
            </w:r>
          </w:p>
          <w:p w14:paraId="36702E8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2EC2ED3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tc>
        <w:tc>
          <w:tcPr>
            <w:tcW w:w="3480" w:type="dxa"/>
            <w:vAlign w:val="center"/>
          </w:tcPr>
          <w:p w14:paraId="618B8F9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《四川省安全生产条例》第六十七条</w:t>
            </w:r>
            <w:r>
              <w:rPr>
                <w:rFonts w:hint="eastAsia" w:ascii="仿宋_GB2312" w:hAnsi="仿宋_GB2312" w:eastAsia="仿宋_GB2312" w:cs="仿宋_GB2312"/>
                <w:color w:val="auto"/>
                <w:kern w:val="0"/>
                <w:sz w:val="32"/>
                <w:szCs w:val="32"/>
              </w:rPr>
              <w:t>生产经营单位违反本条例第十七条、第二十五条第一款、第二十八条、第三十六条、第三十七条、第三十八条、第三十九条规定的，责令限期改正，可并处1万元以上5万元以下的罚款;逾期未改正的，责令停产停业整顿。</w:t>
            </w:r>
          </w:p>
        </w:tc>
        <w:tc>
          <w:tcPr>
            <w:tcW w:w="1145" w:type="dxa"/>
            <w:vAlign w:val="center"/>
          </w:tcPr>
          <w:p w14:paraId="6F9DFC4C">
            <w:pPr>
              <w:widowControl/>
              <w:adjustRightInd w:val="0"/>
              <w:snapToGrid w:val="0"/>
              <w:rPr>
                <w:rFonts w:hint="eastAsia" w:ascii="仿宋_GB2312" w:hAnsi="仿宋_GB2312" w:eastAsia="仿宋_GB2312" w:cs="仿宋_GB2312"/>
                <w:color w:val="auto"/>
                <w:kern w:val="0"/>
                <w:sz w:val="32"/>
                <w:szCs w:val="32"/>
              </w:rPr>
            </w:pPr>
          </w:p>
        </w:tc>
      </w:tr>
      <w:tr w14:paraId="5D51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96" w:type="dxa"/>
            <w:vAlign w:val="center"/>
          </w:tcPr>
          <w:p w14:paraId="3555119B">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p>
        </w:tc>
        <w:tc>
          <w:tcPr>
            <w:tcW w:w="1601" w:type="dxa"/>
            <w:vAlign w:val="center"/>
          </w:tcPr>
          <w:p w14:paraId="49A17226">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脱硝系统防爆、接地、烟感温感及报警情况</w:t>
            </w:r>
          </w:p>
        </w:tc>
        <w:tc>
          <w:tcPr>
            <w:tcW w:w="1175" w:type="dxa"/>
            <w:vAlign w:val="center"/>
          </w:tcPr>
          <w:p w14:paraId="59BF93D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低压供配电是否采用TN-S系统；氨水储罐接地是否良好、是否设有防雷设施；还原剂储存区域内是否设火灾感温感烟探测器；氨水储存区域是否设氨气泄漏检测器及声光报警装置（重大隐患）</w:t>
            </w:r>
          </w:p>
        </w:tc>
        <w:tc>
          <w:tcPr>
            <w:tcW w:w="3458" w:type="dxa"/>
            <w:vAlign w:val="center"/>
          </w:tcPr>
          <w:p w14:paraId="657B6716">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66704626">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《水泥工厂脱硝工程技术规范》（GB 51045-2014）第7.1.1条</w:t>
            </w:r>
            <w:r>
              <w:rPr>
                <w:rFonts w:hint="eastAsia" w:ascii="仿宋_GB2312" w:hAnsi="仿宋_GB2312" w:eastAsia="仿宋_GB2312" w:cs="仿宋_GB2312"/>
                <w:color w:val="auto"/>
                <w:kern w:val="0"/>
                <w:sz w:val="32"/>
                <w:szCs w:val="32"/>
              </w:rPr>
              <w:t>采用封闭厂房储存还原剂时，厂房内的电气设计应符合现行国家标准《爆炸危险环境电力装置设计规范》GB 50058的有关规定，并应按2区爆炸性气体环境危险区域设计，且应采用防爆型电机，现场仪表应选用隔爆型或本安型产品，电气设备应采用防腐、防爆型。</w:t>
            </w:r>
          </w:p>
          <w:p w14:paraId="061C74FF">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《水泥工厂脱硝工程技术规范》（GB 51045-2014）第7.1.2条</w:t>
            </w:r>
            <w:r>
              <w:rPr>
                <w:rFonts w:hint="eastAsia" w:ascii="仿宋_GB2312" w:hAnsi="仿宋_GB2312" w:eastAsia="仿宋_GB2312" w:cs="仿宋_GB2312"/>
                <w:color w:val="auto"/>
                <w:kern w:val="0"/>
                <w:sz w:val="32"/>
                <w:szCs w:val="32"/>
              </w:rPr>
              <w:t>还原剂储存厂房的防雷设计应符合现行国家标准《建筑物防雷设计规范》GB 50057中二类防雷建筑的有关规定。</w:t>
            </w:r>
          </w:p>
          <w:p w14:paraId="65FA00CF">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《水泥工厂脱硝工程技术规范》（GB 51045-2014）第7.1.3条</w:t>
            </w:r>
            <w:r>
              <w:rPr>
                <w:rFonts w:hint="eastAsia" w:ascii="仿宋_GB2312" w:hAnsi="仿宋_GB2312" w:eastAsia="仿宋_GB2312" w:cs="仿宋_GB2312"/>
                <w:color w:val="auto"/>
                <w:kern w:val="0"/>
                <w:sz w:val="32"/>
                <w:szCs w:val="32"/>
              </w:rPr>
              <w:t>低压供配电应采用TN-S系统。</w:t>
            </w:r>
          </w:p>
          <w:p w14:paraId="61B6D7F3">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《水泥工厂脱硝工程技术规范》（GB 51045-2014）第7.1.4条</w:t>
            </w:r>
            <w:r>
              <w:rPr>
                <w:rFonts w:hint="eastAsia" w:ascii="仿宋_GB2312" w:hAnsi="仿宋_GB2312" w:eastAsia="仿宋_GB2312" w:cs="仿宋_GB2312"/>
                <w:color w:val="auto"/>
                <w:kern w:val="0"/>
                <w:sz w:val="32"/>
                <w:szCs w:val="32"/>
              </w:rPr>
              <w:t>还原剂储存区域内应设置火灾感温感烟探测器，应能自动切断电源。</w:t>
            </w:r>
          </w:p>
          <w:p w14:paraId="230AB029">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《水泥工厂脱硝工程技术规范》（GB 51045-2014）第7.1.5条</w:t>
            </w:r>
            <w:r>
              <w:rPr>
                <w:rFonts w:hint="eastAsia" w:ascii="仿宋_GB2312" w:hAnsi="仿宋_GB2312" w:eastAsia="仿宋_GB2312" w:cs="仿宋_GB2312"/>
                <w:color w:val="auto"/>
                <w:kern w:val="0"/>
                <w:sz w:val="32"/>
                <w:szCs w:val="32"/>
              </w:rPr>
              <w:t>电气控制柜不应布置在还原剂储存罐所在广房内。</w:t>
            </w:r>
          </w:p>
          <w:p w14:paraId="598EAAFA">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《水泥工厂脱硝工程技术规范》（GB 51045-2014）第7.3.2条</w:t>
            </w:r>
            <w:r>
              <w:rPr>
                <w:rFonts w:hint="eastAsia" w:ascii="仿宋_GB2312" w:hAnsi="仿宋_GB2312" w:eastAsia="仿宋_GB2312" w:cs="仿宋_GB2312"/>
                <w:color w:val="auto"/>
                <w:kern w:val="0"/>
                <w:sz w:val="32"/>
                <w:szCs w:val="32"/>
              </w:rPr>
              <w:t>氨水储存区域应设置氨气泄漏检测器及声光报警装置，报警信号应在中央控制室及现场同步显现，现场氨气浓度大于或等于30mg／m³时应能自动报警。</w:t>
            </w:r>
          </w:p>
          <w:p w14:paraId="3FCBFF3E">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《新型干法水泥生产安全规程》（AQ 7014-2018）第7.1.6.2条</w:t>
            </w:r>
            <w:r>
              <w:rPr>
                <w:rFonts w:hint="eastAsia" w:ascii="仿宋_GB2312" w:hAnsi="仿宋_GB2312" w:eastAsia="仿宋_GB2312" w:cs="仿宋_GB2312"/>
                <w:color w:val="auto"/>
                <w:kern w:val="0"/>
                <w:sz w:val="32"/>
                <w:szCs w:val="32"/>
              </w:rPr>
              <w:t>氨水储罐应接地良好，储罐的遮阳棚及周边30m范围内要增设安全有效的防雷设施。</w:t>
            </w:r>
          </w:p>
        </w:tc>
        <w:tc>
          <w:tcPr>
            <w:tcW w:w="3710" w:type="dxa"/>
            <w:vAlign w:val="center"/>
          </w:tcPr>
          <w:p w14:paraId="08AD649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6FC88F4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（2）相应装置或设备的合格证明；</w:t>
            </w:r>
          </w:p>
          <w:p w14:paraId="0EEFB4B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（3）安全管理制度；</w:t>
            </w:r>
          </w:p>
          <w:p w14:paraId="523337B8">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（4）爆炸危险区电气设备购买凭证和说明书；</w:t>
            </w:r>
          </w:p>
          <w:p w14:paraId="79366357">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（5）供配电系统图；</w:t>
            </w:r>
          </w:p>
          <w:p w14:paraId="6B18A94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597BBFC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（7）图片或影像资料；</w:t>
            </w:r>
          </w:p>
          <w:p w14:paraId="2E441AB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（8）企业相关人员任职文件、身份证明及其询问笔录；</w:t>
            </w:r>
          </w:p>
          <w:p w14:paraId="47395BB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（9）其他相关证据。</w:t>
            </w:r>
          </w:p>
        </w:tc>
        <w:tc>
          <w:tcPr>
            <w:tcW w:w="3480" w:type="dxa"/>
            <w:vAlign w:val="center"/>
          </w:tcPr>
          <w:p w14:paraId="6B8A4B23">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6D88C1B">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68139FD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9DB947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B81B6E5">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1145" w:type="dxa"/>
            <w:vAlign w:val="center"/>
          </w:tcPr>
          <w:p w14:paraId="5EE4951F">
            <w:pPr>
              <w:widowControl/>
              <w:adjustRightInd w:val="0"/>
              <w:snapToGrid w:val="0"/>
              <w:rPr>
                <w:rFonts w:hint="eastAsia" w:ascii="仿宋_GB2312" w:hAnsi="仿宋_GB2312" w:eastAsia="仿宋_GB2312" w:cs="仿宋_GB2312"/>
                <w:color w:val="auto"/>
                <w:kern w:val="0"/>
                <w:sz w:val="32"/>
                <w:szCs w:val="32"/>
              </w:rPr>
            </w:pPr>
          </w:p>
        </w:tc>
      </w:tr>
      <w:tr w14:paraId="3744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96" w:type="dxa"/>
            <w:vAlign w:val="center"/>
          </w:tcPr>
          <w:p w14:paraId="55FB8FA7">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w:t>
            </w:r>
          </w:p>
        </w:tc>
        <w:tc>
          <w:tcPr>
            <w:tcW w:w="1601" w:type="dxa"/>
            <w:vAlign w:val="center"/>
          </w:tcPr>
          <w:p w14:paraId="3BC04620">
            <w:pPr>
              <w:widowControl/>
              <w:adjustRightInd w:val="0"/>
              <w:snapToGrid w:val="0"/>
              <w:jc w:val="left"/>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有限空间作业安全管理</w:t>
            </w:r>
          </w:p>
        </w:tc>
        <w:tc>
          <w:tcPr>
            <w:tcW w:w="1175" w:type="dxa"/>
            <w:vAlign w:val="center"/>
          </w:tcPr>
          <w:p w14:paraId="4615813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进入筒型储库、磨机、破碎机、篦冷机、各种焙烧窑等有限空间作业时，是否采取有效的防止电气设备意外启动、热气涌入等隔离防护措施。（重大隐患）</w:t>
            </w:r>
          </w:p>
        </w:tc>
        <w:tc>
          <w:tcPr>
            <w:tcW w:w="3458" w:type="dxa"/>
            <w:vAlign w:val="center"/>
          </w:tcPr>
          <w:p w14:paraId="6D04A886">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40642C6E">
            <w:pPr>
              <w:widowControl/>
              <w:adjustRightInd w:val="0"/>
              <w:snapToGrid w:val="0"/>
              <w:ind w:firstLine="36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《工贸行业重大生产安全事故隐患判定标准（2017版）》（安监总管四〔2017〕129号）</w:t>
            </w:r>
          </w:p>
          <w:p w14:paraId="51FFDDDE">
            <w:pPr>
              <w:widowControl/>
              <w:adjustRightInd w:val="0"/>
              <w:snapToGrid w:val="0"/>
              <w:ind w:firstLine="36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二、行业类重大事故隐患</w:t>
            </w:r>
          </w:p>
          <w:p w14:paraId="17A69FDC">
            <w:pPr>
              <w:widowControl/>
              <w:adjustRightInd w:val="0"/>
              <w:snapToGrid w:val="0"/>
              <w:ind w:firstLine="36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（三）建材行业。</w:t>
            </w:r>
          </w:p>
          <w:p w14:paraId="132468D3">
            <w:pPr>
              <w:widowControl/>
              <w:adjustRightInd w:val="0"/>
              <w:snapToGrid w:val="0"/>
              <w:ind w:firstLine="36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5.进入筒型储库、磨机、破碎机、篦冷机、各种焙烧窑等有限空间作业时，未采取有效的防止电气设备意外启动、热气涌入等隔离防护措施。</w:t>
            </w:r>
          </w:p>
          <w:p w14:paraId="4923E2A3">
            <w:pPr>
              <w:widowControl/>
              <w:adjustRightInd w:val="0"/>
              <w:snapToGrid w:val="0"/>
              <w:ind w:firstLine="36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《工贸企业有限空间作业安全管理与监督暂行规定》第八条</w:t>
            </w:r>
            <w:r>
              <w:rPr>
                <w:rFonts w:hint="eastAsia" w:ascii="仿宋_GB2312" w:hAnsi="仿宋_GB2312" w:eastAsia="仿宋_GB2312" w:cs="仿宋_GB2312"/>
                <w:bCs/>
                <w:color w:val="auto"/>
                <w:kern w:val="0"/>
                <w:sz w:val="32"/>
                <w:szCs w:val="32"/>
              </w:rPr>
              <w:t>工贸企业实施有限空间作业前，应当对作业环境进行评估，分析存在的危险有害因素，提出消除、控制危害的措施，制定有限空间作业方案，并经本企业安全生产管理人员审核，负责人批准。</w:t>
            </w:r>
          </w:p>
          <w:p w14:paraId="2277D8F9">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第十一条</w:t>
            </w:r>
            <w:r>
              <w:rPr>
                <w:rFonts w:hint="eastAsia" w:ascii="仿宋_GB2312" w:hAnsi="仿宋_GB2312" w:eastAsia="仿宋_GB2312" w:cs="仿宋_GB2312"/>
                <w:color w:val="auto"/>
                <w:kern w:val="0"/>
                <w:sz w:val="32"/>
                <w:szCs w:val="32"/>
              </w:rPr>
              <w:t>工贸企业应当采取可靠的隔断（隔离）措施，将可能危及作业安全的设施设备、存在有毒有害物质的空间与作业地点隔开。</w:t>
            </w:r>
          </w:p>
        </w:tc>
        <w:tc>
          <w:tcPr>
            <w:tcW w:w="3710" w:type="dxa"/>
            <w:vAlign w:val="center"/>
          </w:tcPr>
          <w:p w14:paraId="6BBF618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07A3A76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（2）隔离防护安全管理制度；</w:t>
            </w:r>
          </w:p>
          <w:p w14:paraId="4F2C78B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（3）《现场检查记录》《责令限期整改指令书》等相关执法文书；</w:t>
            </w:r>
          </w:p>
          <w:p w14:paraId="6E46F2E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（4）有限空间作业方案；</w:t>
            </w:r>
          </w:p>
          <w:p w14:paraId="7AC3FB8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（5）图片或影像资料；</w:t>
            </w:r>
          </w:p>
          <w:p w14:paraId="4F8D90D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3D2AAB3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tc>
        <w:tc>
          <w:tcPr>
            <w:tcW w:w="3480" w:type="dxa"/>
            <w:vAlign w:val="center"/>
          </w:tcPr>
          <w:p w14:paraId="7F8A63A8">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77A644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《工贸企业有限空间作业安全管理与监督暂行规定》第三十条</w:t>
            </w:r>
            <w:r>
              <w:rPr>
                <w:rFonts w:hint="eastAsia" w:ascii="仿宋_GB2312" w:hAnsi="仿宋_GB2312" w:eastAsia="仿宋_GB2312" w:cs="仿宋_GB2312"/>
                <w:color w:val="auto"/>
                <w:kern w:val="0"/>
                <w:sz w:val="32"/>
                <w:szCs w:val="32"/>
              </w:rPr>
              <w:t>工贸企业有下列情形之一的，由县级以上安全生产监督管理部门责令限期改正，可以处3万元以下的罚款，对其直接负责的主管人员和其他直接责任人员处1万元以下的罚款：</w:t>
            </w:r>
          </w:p>
          <w:p w14:paraId="53ED732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（一）未按照本规定对有限空间作业进行辨识、提出防范措施、建立有限空间管理台账的；</w:t>
            </w:r>
          </w:p>
          <w:p w14:paraId="605E30F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（二）未按照本规定对有限空间作业制定作业方案或者方案未经审批擅自作业的;</w:t>
            </w:r>
          </w:p>
          <w:p w14:paraId="23BE5CF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(三)有限空间作业未按照本规定进行危险有害因素检测或者监测，并实行专人监护作业的。</w:t>
            </w:r>
          </w:p>
          <w:p w14:paraId="036B2BA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FD4757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1145" w:type="dxa"/>
            <w:vAlign w:val="center"/>
          </w:tcPr>
          <w:p w14:paraId="3724D8CF">
            <w:pPr>
              <w:widowControl/>
              <w:adjustRightInd w:val="0"/>
              <w:snapToGrid w:val="0"/>
              <w:rPr>
                <w:rFonts w:hint="eastAsia" w:ascii="仿宋_GB2312" w:hAnsi="仿宋_GB2312" w:eastAsia="仿宋_GB2312" w:cs="仿宋_GB2312"/>
                <w:color w:val="auto"/>
                <w:kern w:val="0"/>
                <w:sz w:val="32"/>
                <w:szCs w:val="32"/>
              </w:rPr>
            </w:pPr>
          </w:p>
        </w:tc>
      </w:tr>
      <w:tr w14:paraId="1725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165" w:type="dxa"/>
            <w:gridSpan w:val="7"/>
            <w:vAlign w:val="center"/>
          </w:tcPr>
          <w:p w14:paraId="3479919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说明：1、根据本清单提供的证照及资料有原件的，应核实原件后留存复印件；无原件的提供复印件。所有复印件资料均应加盖企业公章。证照及资料有正副本的，均核验留存复印件。</w:t>
            </w:r>
          </w:p>
          <w:p w14:paraId="102D3C84">
            <w:pPr>
              <w:widowControl/>
              <w:adjustRightInd w:val="0"/>
              <w:snapToGrid w:val="0"/>
              <w:ind w:firstLine="960" w:firstLineChars="3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2、其他相关证据：能够证明企业违法违规行为的其他相关资料。</w:t>
            </w:r>
          </w:p>
        </w:tc>
      </w:tr>
    </w:tbl>
    <w:p w14:paraId="159228AE">
      <w:pPr>
        <w:rPr>
          <w:rFonts w:hint="eastAsia" w:ascii="仿宋_GB2312" w:hAnsi="仿宋_GB2312" w:eastAsia="仿宋_GB2312" w:cs="仿宋_GB2312"/>
          <w:color w:val="auto"/>
          <w:sz w:val="32"/>
          <w:szCs w:val="32"/>
        </w:rPr>
      </w:pPr>
    </w:p>
    <w:p w14:paraId="7FAF0D60">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711E66C5">
      <w:pPr>
        <w:pStyle w:val="3"/>
        <w:spacing w:line="240" w:lineRule="auto"/>
        <w:jc w:val="center"/>
        <w:rPr>
          <w:rFonts w:hint="eastAsia" w:ascii="仿宋_GB2312" w:hAnsi="仿宋_GB2312" w:eastAsia="仿宋_GB2312" w:cs="仿宋_GB2312"/>
          <w:color w:val="auto"/>
          <w:sz w:val="32"/>
          <w:szCs w:val="32"/>
        </w:rPr>
      </w:pPr>
      <w:bookmarkStart w:id="24" w:name="_Toc997"/>
      <w:r>
        <w:rPr>
          <w:rFonts w:hint="eastAsia" w:ascii="仿宋_GB2312" w:hAnsi="仿宋_GB2312" w:eastAsia="仿宋_GB2312" w:cs="仿宋_GB2312"/>
          <w:color w:val="auto"/>
          <w:sz w:val="32"/>
          <w:szCs w:val="32"/>
        </w:rPr>
        <w:t>轻工企业重点检查清单</w:t>
      </w:r>
      <w:bookmarkEnd w:id="24"/>
    </w:p>
    <w:tbl>
      <w:tblPr>
        <w:tblStyle w:val="8"/>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54"/>
        <w:gridCol w:w="954"/>
        <w:gridCol w:w="3908"/>
        <w:gridCol w:w="3885"/>
        <w:gridCol w:w="3896"/>
        <w:gridCol w:w="950"/>
      </w:tblGrid>
      <w:tr w14:paraId="1603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18" w:type="dxa"/>
            <w:vAlign w:val="center"/>
          </w:tcPr>
          <w:p w14:paraId="6FA72998">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序号</w:t>
            </w:r>
          </w:p>
        </w:tc>
        <w:tc>
          <w:tcPr>
            <w:tcW w:w="954" w:type="dxa"/>
            <w:vAlign w:val="center"/>
          </w:tcPr>
          <w:p w14:paraId="7D96DF2C">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检查事项</w:t>
            </w:r>
          </w:p>
        </w:tc>
        <w:tc>
          <w:tcPr>
            <w:tcW w:w="954" w:type="dxa"/>
            <w:vAlign w:val="center"/>
          </w:tcPr>
          <w:p w14:paraId="7AC37F7B">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检查内容</w:t>
            </w:r>
          </w:p>
        </w:tc>
        <w:tc>
          <w:tcPr>
            <w:tcW w:w="3908" w:type="dxa"/>
            <w:vAlign w:val="center"/>
          </w:tcPr>
          <w:p w14:paraId="548CA266">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检查依据</w:t>
            </w:r>
          </w:p>
        </w:tc>
        <w:tc>
          <w:tcPr>
            <w:tcW w:w="3885" w:type="dxa"/>
            <w:vAlign w:val="center"/>
          </w:tcPr>
          <w:p w14:paraId="0EAD51F0">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主要证据</w:t>
            </w:r>
          </w:p>
        </w:tc>
        <w:tc>
          <w:tcPr>
            <w:tcW w:w="3896" w:type="dxa"/>
            <w:vAlign w:val="center"/>
          </w:tcPr>
          <w:p w14:paraId="3947D97A">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法律责任</w:t>
            </w:r>
          </w:p>
        </w:tc>
        <w:tc>
          <w:tcPr>
            <w:tcW w:w="950" w:type="dxa"/>
            <w:vAlign w:val="center"/>
          </w:tcPr>
          <w:p w14:paraId="22C628BB">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检查结果</w:t>
            </w:r>
          </w:p>
        </w:tc>
      </w:tr>
      <w:tr w14:paraId="30E0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8" w:type="dxa"/>
            <w:vAlign w:val="center"/>
          </w:tcPr>
          <w:p w14:paraId="492EF270">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1</w:t>
            </w:r>
          </w:p>
        </w:tc>
        <w:tc>
          <w:tcPr>
            <w:tcW w:w="954" w:type="dxa"/>
            <w:vAlign w:val="center"/>
          </w:tcPr>
          <w:p w14:paraId="0FDB56A3">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安全警示标志</w:t>
            </w:r>
          </w:p>
        </w:tc>
        <w:tc>
          <w:tcPr>
            <w:tcW w:w="954" w:type="dxa"/>
            <w:vAlign w:val="center"/>
          </w:tcPr>
          <w:p w14:paraId="4F73EFC9">
            <w:pPr>
              <w:widowControl/>
              <w:adjustRightInd w:val="0"/>
              <w:snapToGrid w:val="0"/>
              <w:rPr>
                <w:rFonts w:hint="eastAsia" w:ascii="仿宋_GB2312" w:hAnsi="仿宋_GB2312" w:eastAsia="仿宋_GB2312" w:cs="仿宋_GB2312"/>
                <w:color w:val="auto"/>
                <w:kern w:val="0"/>
                <w:sz w:val="32"/>
                <w:szCs w:val="32"/>
              </w:rPr>
            </w:pPr>
          </w:p>
          <w:p w14:paraId="150D787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在有较大危险因素的场所和有关设施、设备上，是否设置明显的安全警示标志。</w:t>
            </w:r>
          </w:p>
        </w:tc>
        <w:tc>
          <w:tcPr>
            <w:tcW w:w="3908" w:type="dxa"/>
            <w:vAlign w:val="center"/>
          </w:tcPr>
          <w:p w14:paraId="5FC03112">
            <w:pPr>
              <w:widowControl/>
              <w:tabs>
                <w:tab w:val="left" w:pos="3150"/>
              </w:tabs>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第三十五条</w:t>
            </w:r>
            <w:r>
              <w:rPr>
                <w:rFonts w:hint="eastAsia" w:ascii="仿宋_GB2312" w:hAnsi="仿宋_GB2312" w:eastAsia="仿宋_GB2312" w:cs="仿宋_GB2312"/>
                <w:color w:val="auto"/>
                <w:kern w:val="0"/>
                <w:sz w:val="32"/>
                <w:szCs w:val="32"/>
              </w:rPr>
              <w:t>生产经营单位应当在有较大危险因素的生产经营场所和有关设施、设备上，设置明显的安全警示标志。</w:t>
            </w:r>
          </w:p>
          <w:p w14:paraId="544D7CF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《安全标志及其使用导则》（GB2894-2008）8.</w:t>
            </w:r>
            <w:r>
              <w:rPr>
                <w:rFonts w:hint="eastAsia" w:ascii="仿宋_GB2312" w:hAnsi="仿宋_GB2312" w:eastAsia="仿宋_GB2312" w:cs="仿宋_GB2312"/>
                <w:color w:val="auto"/>
                <w:kern w:val="0"/>
                <w:sz w:val="32"/>
                <w:szCs w:val="32"/>
              </w:rPr>
              <w:t>标志牌的设置高度</w:t>
            </w:r>
          </w:p>
          <w:p w14:paraId="472423E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标志牌的设置高度，应尽量与人眼的视线高度相一致。悬挂式和柱式的环境信息标志牌的下缘距地面的高度不宜小于2m：局部信息标志的设置高度应视具体情况确定。</w:t>
            </w:r>
          </w:p>
          <w:p w14:paraId="042E196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《安全标志及其使用导则》（GB2894-2008）</w:t>
            </w:r>
            <w:r>
              <w:rPr>
                <w:rFonts w:hint="eastAsia" w:ascii="仿宋_GB2312" w:hAnsi="仿宋_GB2312" w:eastAsia="仿宋_GB2312" w:cs="仿宋_GB2312"/>
                <w:color w:val="auto"/>
                <w:kern w:val="0"/>
                <w:sz w:val="32"/>
                <w:szCs w:val="32"/>
              </w:rPr>
              <w:t>附录A 安全标志牌的尺寸。</w:t>
            </w:r>
          </w:p>
        </w:tc>
        <w:tc>
          <w:tcPr>
            <w:tcW w:w="3885" w:type="dxa"/>
            <w:vAlign w:val="center"/>
          </w:tcPr>
          <w:p w14:paraId="3DAE5DB5">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2E8C1615">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（2）企业较大危险因素辨识的相关资料；</w:t>
            </w:r>
          </w:p>
          <w:p w14:paraId="5A7435F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（3）现场图片或影像资料（含安全警示标志的图片或影像资料）；</w:t>
            </w:r>
          </w:p>
          <w:p w14:paraId="4E799AA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28EBA4D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14240FB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（6）其它相关证据。</w:t>
            </w:r>
          </w:p>
        </w:tc>
        <w:tc>
          <w:tcPr>
            <w:tcW w:w="3896" w:type="dxa"/>
            <w:vAlign w:val="center"/>
          </w:tcPr>
          <w:p w14:paraId="2F82E6F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第九十九条第一项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3C29863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（一）未在有较大危险因素的生产经营场所和有关设施、设备上设置明显的安全警示标志的；</w:t>
            </w:r>
          </w:p>
        </w:tc>
        <w:tc>
          <w:tcPr>
            <w:tcW w:w="950" w:type="dxa"/>
            <w:vAlign w:val="center"/>
          </w:tcPr>
          <w:p w14:paraId="4635DA52">
            <w:pPr>
              <w:widowControl/>
              <w:adjustRightInd w:val="0"/>
              <w:snapToGrid w:val="0"/>
              <w:rPr>
                <w:rFonts w:hint="eastAsia" w:ascii="仿宋_GB2312" w:hAnsi="仿宋_GB2312" w:eastAsia="仿宋_GB2312" w:cs="仿宋_GB2312"/>
                <w:color w:val="auto"/>
                <w:sz w:val="32"/>
                <w:szCs w:val="32"/>
              </w:rPr>
            </w:pPr>
          </w:p>
        </w:tc>
      </w:tr>
      <w:tr w14:paraId="0B57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618" w:type="dxa"/>
            <w:vAlign w:val="center"/>
          </w:tcPr>
          <w:p w14:paraId="642CBF8F">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2</w:t>
            </w:r>
          </w:p>
        </w:tc>
        <w:tc>
          <w:tcPr>
            <w:tcW w:w="954" w:type="dxa"/>
            <w:vAlign w:val="center"/>
          </w:tcPr>
          <w:p w14:paraId="65C6E9B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高温设备安全保护措施配备情况</w:t>
            </w:r>
          </w:p>
          <w:p w14:paraId="1AB729DD">
            <w:pPr>
              <w:widowControl/>
              <w:adjustRightInd w:val="0"/>
              <w:snapToGrid w:val="0"/>
              <w:rPr>
                <w:rFonts w:hint="eastAsia" w:ascii="仿宋_GB2312" w:hAnsi="仿宋_GB2312" w:eastAsia="仿宋_GB2312" w:cs="仿宋_GB2312"/>
                <w:color w:val="auto"/>
                <w:sz w:val="32"/>
                <w:szCs w:val="32"/>
              </w:rPr>
            </w:pPr>
          </w:p>
        </w:tc>
        <w:tc>
          <w:tcPr>
            <w:tcW w:w="954" w:type="dxa"/>
            <w:vAlign w:val="center"/>
          </w:tcPr>
          <w:p w14:paraId="40C93A4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烘制、油炸等高温设备未采用防过热自动报警切断和隔热板、墙等保护措施。（重大隐患）</w:t>
            </w:r>
          </w:p>
        </w:tc>
        <w:tc>
          <w:tcPr>
            <w:tcW w:w="3908" w:type="dxa"/>
            <w:vAlign w:val="center"/>
          </w:tcPr>
          <w:p w14:paraId="05C696B5">
            <w:pPr>
              <w:widowControl/>
              <w:shd w:val="clear" w:color="auto" w:fill="FFFFFF"/>
              <w:ind w:left="531" w:leftChars="100" w:hanging="321" w:hangingChars="1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w:t>
            </w:r>
          </w:p>
          <w:p w14:paraId="1E736DBC">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条</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6FEB47D3">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p w14:paraId="2C41A7CA">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生产经营单位不得关闭、破坏直接关系生产安全的监控、报警、防护、救生设备、设施，或者篡改、隐瞒、销毁其相关数据、信息。</w:t>
            </w:r>
          </w:p>
          <w:p w14:paraId="75408A28">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餐饮等行业的生产经营单位使用燃气的，应当安装可燃气体报警装置，并保障其正常使用。</w:t>
            </w:r>
          </w:p>
          <w:p w14:paraId="07DE79F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《食品生产企业安全生产监督管理暂行规定》第十六条</w:t>
            </w:r>
            <w:r>
              <w:rPr>
                <w:rFonts w:hint="eastAsia" w:ascii="仿宋_GB2312" w:hAnsi="仿宋_GB2312" w:eastAsia="仿宋_GB2312" w:cs="仿宋_GB2312"/>
                <w:color w:val="auto"/>
                <w:kern w:val="0"/>
                <w:sz w:val="32"/>
                <w:szCs w:val="32"/>
              </w:rPr>
              <w:t>食品生产企业的作业场所应当符合下列要求：......</w:t>
            </w:r>
          </w:p>
          <w:p w14:paraId="4C9B0D0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（三）涉及烘制、油炸等高温的设施设备和岗位，采用必要的防过热自动报警切断和隔热板、墙等保护设施；......</w:t>
            </w:r>
          </w:p>
          <w:p w14:paraId="1C82EF0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《肉类加工机械油炸机》（JB/T11068-2011）</w:t>
            </w:r>
            <w:r>
              <w:rPr>
                <w:rFonts w:hint="eastAsia" w:ascii="仿宋_GB2312" w:hAnsi="仿宋_GB2312" w:eastAsia="仿宋_GB2312" w:cs="仿宋_GB2312"/>
                <w:b/>
                <w:bCs/>
                <w:color w:val="auto"/>
                <w:kern w:val="0"/>
                <w:sz w:val="32"/>
                <w:szCs w:val="32"/>
              </w:rPr>
              <w:cr/>
            </w:r>
            <w:r>
              <w:rPr>
                <w:rFonts w:hint="eastAsia" w:ascii="仿宋_GB2312" w:hAnsi="仿宋_GB2312" w:eastAsia="仿宋_GB2312" w:cs="仿宋_GB2312"/>
                <w:color w:val="auto"/>
                <w:kern w:val="0"/>
                <w:sz w:val="32"/>
                <w:szCs w:val="32"/>
              </w:rPr>
              <w:t>（１）安全操作规程应设置在作业现场，并有醒目的安全警示标识。</w:t>
            </w:r>
          </w:p>
          <w:p w14:paraId="4915F53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（２）油炸机应有油温过热自动保护和预警装置，严禁员工离岗、脱岗。</w:t>
            </w:r>
          </w:p>
          <w:p w14:paraId="4D22CEE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（３）油烟排放系统应建立现场可视监控、监测报警系统和定期清理制度，并确保执行到位。</w:t>
            </w:r>
          </w:p>
          <w:p w14:paraId="284086F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（４）作业完毕应及时关闭加热设备，确保降温措施执行到位。</w:t>
            </w:r>
          </w:p>
          <w:p w14:paraId="3307CDC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（５）油炸锅配备二氧化碳自动灭火装置。</w:t>
            </w:r>
          </w:p>
          <w:p w14:paraId="60133B1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（６）车间物理隔离严禁使用易燃材料。</w:t>
            </w:r>
          </w:p>
          <w:p w14:paraId="1B719587">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《工贸行业重大生产安全事故隐患判定标准（2017版）》（安监总管四〔2017〕129号）</w:t>
            </w:r>
          </w:p>
          <w:p w14:paraId="181C005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3AC84F9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（五）轻工行业。</w:t>
            </w:r>
          </w:p>
          <w:p w14:paraId="6D659D2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1.食品制造企业涉及烘制、油炸等设施设备，未采取防过热自动报警切断装置和隔热防护措施。</w:t>
            </w:r>
          </w:p>
        </w:tc>
        <w:tc>
          <w:tcPr>
            <w:tcW w:w="3885" w:type="dxa"/>
            <w:vAlign w:val="center"/>
          </w:tcPr>
          <w:p w14:paraId="62C70137">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767003D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（2）高温设备防护装置设置情况和相关设施合格证明；</w:t>
            </w:r>
          </w:p>
          <w:p w14:paraId="4C09F40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（3）安全管理机构设置情况和相关制度；</w:t>
            </w:r>
          </w:p>
          <w:p w14:paraId="6BCC9CD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（4）配备人员执业/资质证明等相关资料；</w:t>
            </w:r>
          </w:p>
          <w:p w14:paraId="2CE96A4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（5）安全生产教育培训计划和档案等资料；</w:t>
            </w:r>
          </w:p>
          <w:p w14:paraId="3BC5384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（6）事故隐患排查治理制度、事故隐患排查治理统计分析表、事故隐患治理方案、重大事故隐患报告的资料、事故隐患排查治理记录、事故隐患排查治理通报记录等相关资料；</w:t>
            </w:r>
          </w:p>
          <w:p w14:paraId="00756CE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（7）现场图片或影像资料；</w:t>
            </w:r>
          </w:p>
          <w:p w14:paraId="30BC216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7C8E13A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（9）企业相关人员任职文件、身份证明及其询问笔录；</w:t>
            </w:r>
          </w:p>
          <w:p w14:paraId="78FEA92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（10）其它相关证据。</w:t>
            </w:r>
          </w:p>
        </w:tc>
        <w:tc>
          <w:tcPr>
            <w:tcW w:w="3896" w:type="dxa"/>
            <w:vAlign w:val="center"/>
          </w:tcPr>
          <w:p w14:paraId="1A59642F">
            <w:pPr>
              <w:widowControl/>
              <w:shd w:val="clear" w:color="auto" w:fill="FFFFFF"/>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第九十九条第二项、第三项、第四项、第八项</w:t>
            </w:r>
            <w:r>
              <w:rPr>
                <w:rFonts w:hint="eastAsia" w:ascii="仿宋_GB2312" w:hAnsi="仿宋_GB2312" w:eastAsia="仿宋_GB2312" w:cs="仿宋_GB2312"/>
                <w:color w:val="auto"/>
                <w:kern w:val="0"/>
                <w:sz w:val="32"/>
                <w:szCs w:val="32"/>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5C80E86A">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173848B7">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（三）未对安全设备进行经常性维护、保养和定期检测的；</w:t>
            </w:r>
          </w:p>
          <w:p w14:paraId="4539AD2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（四）关闭、破坏直接关系生产安全的监控、报警、防护、救生设备、设施，或者篡改、隐瞒、销毁其相关数据、信息的；</w:t>
            </w:r>
          </w:p>
          <w:p w14:paraId="51CB53F4">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（八）餐饮等行业的生产经营单位使用燃气未安装可燃气体报警装置的。</w:t>
            </w:r>
          </w:p>
          <w:p w14:paraId="558109E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《食品生产企业安全生产监督管理暂行规定》第二十六条</w:t>
            </w:r>
            <w:r>
              <w:rPr>
                <w:rFonts w:hint="eastAsia" w:ascii="仿宋_GB2312" w:hAnsi="仿宋_GB2312" w:eastAsia="仿宋_GB2312" w:cs="仿宋_GB2312"/>
                <w:color w:val="auto"/>
                <w:kern w:val="0"/>
                <w:sz w:val="32"/>
                <w:szCs w:val="32"/>
              </w:rPr>
              <w:t>食品生产企业有下列行为之一的，责令限期改正，可以处以5万元以下的罚款；逾期未改正的，责令停产停业整顿，并处以5万元以上10万元以下的罚款，对其直接负责的主管人员和其他直接责任人员处以1万元以上2万元以下的罚款：</w:t>
            </w:r>
          </w:p>
          <w:p w14:paraId="75B9CAC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（一）未按照规定设置安全生产管理机构或者配备安全生产管理人员的；</w:t>
            </w:r>
          </w:p>
          <w:p w14:paraId="2D01990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（二）未如实记录安全生产教育和培训情况的；</w:t>
            </w:r>
          </w:p>
          <w:p w14:paraId="0F77EE0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（三）未将事故隐患排查治理情况如实记录或者未向从业人员通报的。</w:t>
            </w:r>
          </w:p>
          <w:p w14:paraId="36ABC31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5D65C4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6FE14E5">
            <w:pPr>
              <w:widowControl/>
              <w:adjustRightInd w:val="0"/>
              <w:snapToGrid w:val="0"/>
              <w:ind w:firstLine="640" w:firstLineChars="200"/>
              <w:rPr>
                <w:rFonts w:hint="eastAsia" w:ascii="仿宋_GB2312" w:hAnsi="仿宋_GB2312" w:eastAsia="仿宋_GB2312" w:cs="仿宋_GB2312"/>
                <w:color w:val="auto"/>
                <w:kern w:val="0"/>
                <w:sz w:val="32"/>
                <w:szCs w:val="32"/>
              </w:rPr>
            </w:pPr>
          </w:p>
          <w:p w14:paraId="20A7A957">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0" w:type="dxa"/>
            <w:vAlign w:val="center"/>
          </w:tcPr>
          <w:p w14:paraId="156B8227">
            <w:pPr>
              <w:widowControl/>
              <w:adjustRightInd w:val="0"/>
              <w:snapToGrid w:val="0"/>
              <w:rPr>
                <w:rFonts w:hint="eastAsia" w:ascii="仿宋_GB2312" w:hAnsi="仿宋_GB2312" w:eastAsia="仿宋_GB2312" w:cs="仿宋_GB2312"/>
                <w:color w:val="auto"/>
                <w:sz w:val="32"/>
                <w:szCs w:val="32"/>
              </w:rPr>
            </w:pPr>
          </w:p>
        </w:tc>
      </w:tr>
      <w:tr w14:paraId="63C2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18" w:type="dxa"/>
            <w:tcBorders>
              <w:left w:val="single" w:color="auto" w:sz="4" w:space="0"/>
              <w:bottom w:val="single" w:color="auto" w:sz="4" w:space="0"/>
              <w:right w:val="single" w:color="auto" w:sz="4" w:space="0"/>
            </w:tcBorders>
            <w:vAlign w:val="center"/>
          </w:tcPr>
          <w:p w14:paraId="783F98B4">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3</w:t>
            </w:r>
          </w:p>
        </w:tc>
        <w:tc>
          <w:tcPr>
            <w:tcW w:w="954" w:type="dxa"/>
            <w:tcBorders>
              <w:left w:val="single" w:color="auto" w:sz="4" w:space="0"/>
            </w:tcBorders>
            <w:vAlign w:val="center"/>
          </w:tcPr>
          <w:p w14:paraId="47055B9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木糖醇生产加氢环节氢气罐防雷、防静电装置的设置</w:t>
            </w:r>
          </w:p>
          <w:p w14:paraId="5E42C976">
            <w:pPr>
              <w:widowControl/>
              <w:adjustRightInd w:val="0"/>
              <w:snapToGrid w:val="0"/>
              <w:jc w:val="center"/>
              <w:rPr>
                <w:rFonts w:hint="eastAsia" w:ascii="仿宋_GB2312" w:hAnsi="仿宋_GB2312" w:eastAsia="仿宋_GB2312" w:cs="仿宋_GB2312"/>
                <w:color w:val="auto"/>
                <w:sz w:val="32"/>
                <w:szCs w:val="32"/>
              </w:rPr>
            </w:pPr>
          </w:p>
        </w:tc>
        <w:tc>
          <w:tcPr>
            <w:tcW w:w="954" w:type="dxa"/>
            <w:vAlign w:val="center"/>
          </w:tcPr>
          <w:p w14:paraId="7CB9FAA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氢气罐是否安装防雷装置和防静电设施。</w:t>
            </w:r>
          </w:p>
        </w:tc>
        <w:tc>
          <w:tcPr>
            <w:tcW w:w="3908" w:type="dxa"/>
            <w:vAlign w:val="center"/>
          </w:tcPr>
          <w:p w14:paraId="6C765A49">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0A5BD8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《四川省安全生产条例》第十五条</w:t>
            </w:r>
            <w:r>
              <w:rPr>
                <w:rFonts w:hint="eastAsia" w:ascii="仿宋_GB2312" w:hAnsi="仿宋_GB2312" w:eastAsia="仿宋_GB2312" w:cs="仿宋_GB2312"/>
                <w:color w:val="auto"/>
                <w:kern w:val="0"/>
                <w:sz w:val="32"/>
                <w:szCs w:val="32"/>
              </w:rPr>
              <w:t>生产经营单位应当积极采用先进的工艺装备，利用有效的管理技术和手段，加强生产经营活动过程的监测监控，及时制止不安全行为和消除安全隐患，确保生产经营活动安全。</w:t>
            </w:r>
          </w:p>
          <w:p w14:paraId="4BC572E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《氢气使用安全技术规程》（GB 4962-2008）6.4.6</w:t>
            </w:r>
            <w:r>
              <w:rPr>
                <w:rFonts w:hint="eastAsia" w:ascii="仿宋_GB2312" w:hAnsi="仿宋_GB2312" w:eastAsia="仿宋_GB2312" w:cs="仿宋_GB2312"/>
                <w:color w:val="auto"/>
                <w:kern w:val="0"/>
                <w:sz w:val="32"/>
                <w:szCs w:val="32"/>
              </w:rPr>
              <w:t>氢气罐应安装防雷装置。防雷装置应每年检测一次，并建立设备档案。</w:t>
            </w:r>
          </w:p>
          <w:p w14:paraId="199567F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《氢气使用安全技术规程》（GB 4962-2008）6.4.8</w:t>
            </w:r>
            <w:r>
              <w:rPr>
                <w:rFonts w:hint="eastAsia" w:ascii="仿宋_GB2312" w:hAnsi="仿宋_GB2312" w:eastAsia="仿宋_GB2312" w:cs="仿宋_GB2312"/>
                <w:color w:val="auto"/>
                <w:kern w:val="0"/>
                <w:sz w:val="32"/>
                <w:szCs w:val="32"/>
              </w:rPr>
              <w:t>氢气罐应有静电接地装置，所有防静电设施应定期检查、维修，并建立设备档案。</w:t>
            </w:r>
          </w:p>
          <w:p w14:paraId="30B0DAD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《防止静电事故通用导则》（GB12158-2006）</w:t>
            </w:r>
            <w:r>
              <w:rPr>
                <w:rFonts w:hint="eastAsia" w:ascii="仿宋_GB2312" w:hAnsi="仿宋_GB2312" w:eastAsia="仿宋_GB2312" w:cs="仿宋_GB2312"/>
                <w:color w:val="auto"/>
                <w:kern w:val="0"/>
                <w:sz w:val="32"/>
                <w:szCs w:val="32"/>
              </w:rPr>
              <w:t>（１）爆炸危险场所电气设备应采用防爆型，线路穿金属管防护，或用阻燃硬塑料管保护。通讯设备使用防爆型。（２）静电积聚危险的生产装置应采用控制流速、消除静电等措施，大于０􀆱 ０３欧姆的法兰应进行跨接。（３）定期进行设备维护保养，确保密封及润滑良好并做好记录；设备应避免撞击、摩擦和无润滑运行。（４）氢气储罐防雷接地装置每半年至少检查、测量一次。（５）静电危险场所的工作人员，外露穿着物（包括鞋、衣物）应具防静电或导电功能。（６）动火作业应执行审批程序。</w:t>
            </w:r>
          </w:p>
        </w:tc>
        <w:tc>
          <w:tcPr>
            <w:tcW w:w="3885" w:type="dxa"/>
            <w:vAlign w:val="center"/>
          </w:tcPr>
          <w:p w14:paraId="5CB042C1">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1A06489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（2）防雷装置和防静电设施装置合格证明；</w:t>
            </w:r>
          </w:p>
          <w:p w14:paraId="071C6B1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2378504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0D2EC76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4F1D7DA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（6）其它相关证据。</w:t>
            </w:r>
          </w:p>
        </w:tc>
        <w:tc>
          <w:tcPr>
            <w:tcW w:w="3896" w:type="dxa"/>
            <w:vAlign w:val="center"/>
          </w:tcPr>
          <w:p w14:paraId="60629348">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1B6C43C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50" w:type="dxa"/>
            <w:vAlign w:val="center"/>
          </w:tcPr>
          <w:p w14:paraId="66996EF3">
            <w:pPr>
              <w:widowControl/>
              <w:adjustRightInd w:val="0"/>
              <w:snapToGrid w:val="0"/>
              <w:jc w:val="center"/>
              <w:rPr>
                <w:rFonts w:hint="eastAsia" w:ascii="仿宋_GB2312" w:hAnsi="仿宋_GB2312" w:eastAsia="仿宋_GB2312" w:cs="仿宋_GB2312"/>
                <w:color w:val="auto"/>
                <w:sz w:val="32"/>
                <w:szCs w:val="32"/>
              </w:rPr>
            </w:pPr>
          </w:p>
        </w:tc>
      </w:tr>
      <w:tr w14:paraId="36B9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tcBorders>
              <w:top w:val="single" w:color="auto" w:sz="4" w:space="0"/>
            </w:tcBorders>
            <w:vAlign w:val="center"/>
          </w:tcPr>
          <w:p w14:paraId="3B67360E">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4</w:t>
            </w:r>
          </w:p>
        </w:tc>
        <w:tc>
          <w:tcPr>
            <w:tcW w:w="954" w:type="dxa"/>
            <w:vAlign w:val="center"/>
          </w:tcPr>
          <w:p w14:paraId="734CEE7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造纸企业</w:t>
            </w:r>
          </w:p>
          <w:p w14:paraId="6BA45C65">
            <w:pPr>
              <w:widowControl/>
              <w:adjustRightInd w:val="0"/>
              <w:snapToGrid w:val="0"/>
              <w:jc w:val="center"/>
              <w:rPr>
                <w:rFonts w:hint="eastAsia" w:ascii="仿宋_GB2312" w:hAnsi="仿宋_GB2312" w:eastAsia="仿宋_GB2312" w:cs="仿宋_GB2312"/>
                <w:color w:val="auto"/>
                <w:sz w:val="32"/>
                <w:szCs w:val="32"/>
              </w:rPr>
            </w:pPr>
          </w:p>
        </w:tc>
        <w:tc>
          <w:tcPr>
            <w:tcW w:w="954" w:type="dxa"/>
            <w:vAlign w:val="center"/>
          </w:tcPr>
          <w:p w14:paraId="0936809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造纸企业液氯使用安全规程落实情况，采用液氯气化法作业时，控制压力和温度情况。</w:t>
            </w:r>
          </w:p>
        </w:tc>
        <w:tc>
          <w:tcPr>
            <w:tcW w:w="3908" w:type="dxa"/>
            <w:vAlign w:val="center"/>
          </w:tcPr>
          <w:p w14:paraId="0E4C502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141998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《氯气安全规程》（GB 11984-2008）5.3.2</w:t>
            </w:r>
            <w:r>
              <w:rPr>
                <w:rFonts w:hint="eastAsia" w:ascii="仿宋_GB2312" w:hAnsi="仿宋_GB2312" w:eastAsia="仿宋_GB2312" w:cs="仿宋_GB2312"/>
                <w:color w:val="auto"/>
                <w:kern w:val="0"/>
                <w:sz w:val="32"/>
                <w:szCs w:val="32"/>
              </w:rPr>
              <w:t>采用液氯气化法向贮罐压送液氯时，要严格控制气化器的压力和温度，液氯气化器应用热水加热，不应用蒸汽加热，进口水温不应超过40℃，气化压力不应超过1Mpa.</w:t>
            </w:r>
          </w:p>
          <w:p w14:paraId="1E07FD7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6.1.5不应使用蒸汽、明火直接加热气瓶。可采用40℃以下的温水加热。</w:t>
            </w:r>
          </w:p>
          <w:p w14:paraId="386C6BC7">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《工贸行业重大生产安全事故隐患判定标准（2017版）》（安监总管四〔2017〕129号）</w:t>
            </w:r>
          </w:p>
          <w:p w14:paraId="06A67CB7">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0EAF9EE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（五）轻工行业。</w:t>
            </w:r>
          </w:p>
          <w:p w14:paraId="5CEA76C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3.纸浆制造、造纸企业使用水蒸气或明火直接加热钢瓶汽化液氯。</w:t>
            </w:r>
          </w:p>
          <w:p w14:paraId="379C148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《四川省安全生产条例》第十五条</w:t>
            </w:r>
            <w:r>
              <w:rPr>
                <w:rFonts w:hint="eastAsia" w:ascii="仿宋_GB2312" w:hAnsi="仿宋_GB2312" w:eastAsia="仿宋_GB2312" w:cs="仿宋_GB2312"/>
                <w:color w:val="auto"/>
                <w:kern w:val="0"/>
                <w:sz w:val="32"/>
                <w:szCs w:val="32"/>
              </w:rPr>
              <w:t>生产经营单位应当积极采用先进的工艺装备，利用有效的管理技术和手段，加强生产经营活动过程的监测监控，及时制止不安全行为和消除安全隐患，确保生产经营活动安全。</w:t>
            </w:r>
          </w:p>
          <w:p w14:paraId="7BE9477A">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3885" w:type="dxa"/>
            <w:vAlign w:val="center"/>
          </w:tcPr>
          <w:p w14:paraId="2BFA4868">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3843467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（2）设施使用和管理相关制度；</w:t>
            </w:r>
          </w:p>
          <w:p w14:paraId="281D83D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（3）作业过程记录等相关资料；</w:t>
            </w:r>
          </w:p>
          <w:p w14:paraId="325ABFC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（4）现场图片或影像资料；</w:t>
            </w:r>
          </w:p>
          <w:p w14:paraId="3CA31DF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0E99561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4995805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（7）其它相关证据。</w:t>
            </w:r>
          </w:p>
        </w:tc>
        <w:tc>
          <w:tcPr>
            <w:tcW w:w="3896" w:type="dxa"/>
            <w:vAlign w:val="center"/>
          </w:tcPr>
          <w:p w14:paraId="3F2714C1">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9BD501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《安全生产违法行为行政处罚办法》第四十五条</w:t>
            </w:r>
            <w:r>
              <w:rPr>
                <w:rFonts w:hint="eastAsia" w:ascii="仿宋_GB2312" w:hAnsi="仿宋_GB2312" w:eastAsia="仿宋_GB2312" w:cs="仿宋_GB2312"/>
                <w:color w:val="auto"/>
                <w:kern w:val="0"/>
                <w:sz w:val="32"/>
                <w:szCs w:val="32"/>
              </w:rPr>
              <w:t>生产经营单位及其主要负责人或者其他人员有下列行为之一的，给予警告，并可以对生产经营单位处1万元以上3万元以下罚款，对其主要负责人、其他有关人员处1000元以上1万元以下的罚款：</w:t>
            </w:r>
          </w:p>
          <w:p w14:paraId="0D8F243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（一）违反操作规程或者安全管理规定作业的；......</w:t>
            </w:r>
          </w:p>
          <w:p w14:paraId="037DA0E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tc>
        <w:tc>
          <w:tcPr>
            <w:tcW w:w="950" w:type="dxa"/>
            <w:vAlign w:val="center"/>
          </w:tcPr>
          <w:p w14:paraId="6F2E4D84">
            <w:pPr>
              <w:widowControl/>
              <w:adjustRightInd w:val="0"/>
              <w:snapToGrid w:val="0"/>
              <w:jc w:val="center"/>
              <w:rPr>
                <w:rFonts w:hint="eastAsia" w:ascii="仿宋_GB2312" w:hAnsi="仿宋_GB2312" w:eastAsia="仿宋_GB2312" w:cs="仿宋_GB2312"/>
                <w:color w:val="auto"/>
                <w:sz w:val="32"/>
                <w:szCs w:val="32"/>
              </w:rPr>
            </w:pPr>
          </w:p>
        </w:tc>
      </w:tr>
      <w:tr w14:paraId="3D8C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8" w:type="dxa"/>
            <w:vAlign w:val="center"/>
          </w:tcPr>
          <w:p w14:paraId="1350EFB6">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5</w:t>
            </w:r>
          </w:p>
        </w:tc>
        <w:tc>
          <w:tcPr>
            <w:tcW w:w="954" w:type="dxa"/>
            <w:vAlign w:val="center"/>
          </w:tcPr>
          <w:p w14:paraId="37ECFCD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日用玻璃、陶瓷、搪瓷制造企业燃气窑炉安全防护设备情况</w:t>
            </w:r>
          </w:p>
          <w:p w14:paraId="427FAECB">
            <w:pPr>
              <w:widowControl/>
              <w:adjustRightInd w:val="0"/>
              <w:snapToGrid w:val="0"/>
              <w:jc w:val="center"/>
              <w:rPr>
                <w:rFonts w:hint="eastAsia" w:ascii="仿宋_GB2312" w:hAnsi="仿宋_GB2312" w:eastAsia="仿宋_GB2312" w:cs="仿宋_GB2312"/>
                <w:color w:val="auto"/>
                <w:sz w:val="32"/>
                <w:szCs w:val="32"/>
              </w:rPr>
            </w:pPr>
          </w:p>
        </w:tc>
        <w:tc>
          <w:tcPr>
            <w:tcW w:w="954" w:type="dxa"/>
            <w:vAlign w:val="center"/>
          </w:tcPr>
          <w:p w14:paraId="09D33CF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日用玻璃制造企业炉、窑类设备本体及附属设施严禁出现开裂、腐蚀、破损、衬砖损坏、壳体发红及明显弯曲变形；</w:t>
            </w:r>
          </w:p>
          <w:p w14:paraId="09C525D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煤气危险区域关键部位是否设置一氧化碳监测装置。（重大隐患）</w:t>
            </w:r>
          </w:p>
        </w:tc>
        <w:tc>
          <w:tcPr>
            <w:tcW w:w="3908" w:type="dxa"/>
            <w:vAlign w:val="center"/>
          </w:tcPr>
          <w:p w14:paraId="2C7E1A1C">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4D2143C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《四川省安全生产条例》第十五条</w:t>
            </w:r>
            <w:r>
              <w:rPr>
                <w:rFonts w:hint="eastAsia" w:ascii="仿宋_GB2312" w:hAnsi="仿宋_GB2312" w:eastAsia="仿宋_GB2312" w:cs="仿宋_GB2312"/>
                <w:color w:val="auto"/>
                <w:kern w:val="0"/>
                <w:sz w:val="32"/>
                <w:szCs w:val="32"/>
              </w:rPr>
              <w:t>生产经营单位应当积极采用先进的工艺装备，利用有效的管理技术和手段，加强生产经营活动过程的监测监控，及时制止不安全行为和消除安全隐患，确保生产经营活动安全。</w:t>
            </w:r>
          </w:p>
          <w:p w14:paraId="2ED1086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《工业企业煤气安全规程》（GB 6222-2005）4.10 </w:t>
            </w:r>
            <w:r>
              <w:rPr>
                <w:rFonts w:hint="eastAsia" w:ascii="仿宋_GB2312" w:hAnsi="仿宋_GB2312" w:eastAsia="仿宋_GB2312" w:cs="仿宋_GB2312"/>
                <w:color w:val="auto"/>
                <w:kern w:val="0"/>
                <w:sz w:val="32"/>
                <w:szCs w:val="32"/>
              </w:rPr>
              <w:t>煤气危险区(如地下室、加压站、热风炉及各种煤气发生设施附近)的一氧化碳浓度应定期测定，在关键部位应设置一氧化碳监测装置。作业环境一氧化碳最高允许浓度为30mg／m3 (24ppm)。</w:t>
            </w:r>
          </w:p>
          <w:p w14:paraId="73EBBF8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《工贸行业重大生产安全事故隐患判定标准（2017版）》（安监总管四〔2017〕129号）</w:t>
            </w:r>
            <w:r>
              <w:rPr>
                <w:rFonts w:hint="eastAsia" w:ascii="仿宋_GB2312" w:hAnsi="仿宋_GB2312" w:eastAsia="仿宋_GB2312" w:cs="仿宋_GB2312"/>
                <w:color w:val="auto"/>
                <w:kern w:val="0"/>
                <w:sz w:val="32"/>
                <w:szCs w:val="32"/>
              </w:rPr>
              <w:t>二、行业类重大事故隐患</w:t>
            </w:r>
          </w:p>
          <w:p w14:paraId="2DB2F6F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（五）轻工行业。</w:t>
            </w:r>
          </w:p>
          <w:p w14:paraId="04CA6F4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5.日用玻璃制造企业炉、窑类设备本体及附属设施出现开裂、腐蚀、破损、衬砖损坏、壳体发红及明显弯曲变形。</w:t>
            </w:r>
          </w:p>
        </w:tc>
        <w:tc>
          <w:tcPr>
            <w:tcW w:w="3885" w:type="dxa"/>
            <w:vAlign w:val="center"/>
          </w:tcPr>
          <w:p w14:paraId="48B5E2D2">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3C79034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（2）一氧化碳监测装置合格证明；</w:t>
            </w:r>
          </w:p>
          <w:p w14:paraId="6AF5039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45A8202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5A1D7E2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15AD8B8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（6）其它相关证据。</w:t>
            </w:r>
          </w:p>
        </w:tc>
        <w:tc>
          <w:tcPr>
            <w:tcW w:w="3896" w:type="dxa"/>
            <w:vAlign w:val="center"/>
          </w:tcPr>
          <w:p w14:paraId="2944FF3E">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71DECCA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14:paraId="6E0450C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F10A05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2EC5FD17">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0" w:type="dxa"/>
            <w:vAlign w:val="center"/>
          </w:tcPr>
          <w:p w14:paraId="6AB96084">
            <w:pPr>
              <w:widowControl/>
              <w:adjustRightInd w:val="0"/>
              <w:snapToGrid w:val="0"/>
              <w:jc w:val="center"/>
              <w:rPr>
                <w:rFonts w:hint="eastAsia" w:ascii="仿宋_GB2312" w:hAnsi="仿宋_GB2312" w:eastAsia="仿宋_GB2312" w:cs="仿宋_GB2312"/>
                <w:color w:val="auto"/>
                <w:sz w:val="32"/>
                <w:szCs w:val="32"/>
              </w:rPr>
            </w:pPr>
          </w:p>
        </w:tc>
      </w:tr>
      <w:tr w14:paraId="023C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3A9503D8">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6</w:t>
            </w:r>
          </w:p>
        </w:tc>
        <w:tc>
          <w:tcPr>
            <w:tcW w:w="954" w:type="dxa"/>
            <w:vAlign w:val="center"/>
          </w:tcPr>
          <w:p w14:paraId="6035BA71">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喷涂车间、调漆间</w:t>
            </w:r>
          </w:p>
        </w:tc>
        <w:tc>
          <w:tcPr>
            <w:tcW w:w="954" w:type="dxa"/>
            <w:vAlign w:val="center"/>
          </w:tcPr>
          <w:p w14:paraId="34AA9FC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是否规范设置通风装置和防爆电气设备设施。（重大隐患）</w:t>
            </w:r>
          </w:p>
        </w:tc>
        <w:tc>
          <w:tcPr>
            <w:tcW w:w="3908" w:type="dxa"/>
            <w:vAlign w:val="center"/>
          </w:tcPr>
          <w:p w14:paraId="4362E687">
            <w:pPr>
              <w:widowControl/>
              <w:shd w:val="clear" w:color="auto" w:fill="FFFFFF"/>
              <w:ind w:left="531" w:leftChars="100" w:hanging="321" w:hangingChars="1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w:t>
            </w:r>
          </w:p>
          <w:p w14:paraId="2C02BB32">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条第一款、第二款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7C58637E">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生产经营单位必须对安全设备进行经常性维护、保养，并定期检测，保证正常运转。维护、保养、检测应当作好记录，并由有关人员签字。</w:t>
            </w:r>
          </w:p>
          <w:p w14:paraId="7E111629">
            <w:pPr>
              <w:widowControl/>
              <w:adjustRightInd w:val="0"/>
              <w:snapToGrid w:val="0"/>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《涂装作业安全规程喷漆室安全技术规定》（GB 14444-2006）</w:t>
            </w:r>
          </w:p>
          <w:p w14:paraId="02B15D0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5.3  喷漆室应设置安全通风装置和去除漆雾装置”；第6.1.1条规定：“喷漆区为1区爆炸危险区域”；第6.2条规定：“喷漆区的电气设施—喷漆区的电气接线和设备应符合爆炸危险场所1区的规定”。</w:t>
            </w:r>
          </w:p>
          <w:p w14:paraId="3CB41856">
            <w:pPr>
              <w:widowControl/>
              <w:adjustRightInd w:val="0"/>
              <w:snapToGrid w:val="0"/>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《工贸行业重大生产安全事故隐患判定标准（2017版）》（安监总管四〔2017〕129号）</w:t>
            </w:r>
          </w:p>
          <w:p w14:paraId="409E3ADA">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0C7DC4B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（五）轻工行业。</w:t>
            </w:r>
          </w:p>
          <w:p w14:paraId="4F0FEF3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6.喷涂车间、调漆间未规范设置通风装置和防爆电气设备设施。</w:t>
            </w:r>
          </w:p>
        </w:tc>
        <w:tc>
          <w:tcPr>
            <w:tcW w:w="3885" w:type="dxa"/>
            <w:vAlign w:val="center"/>
          </w:tcPr>
          <w:p w14:paraId="0A60BAD9">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1FDED7B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（2）通风装置和防爆电气设备设施合格证明；</w:t>
            </w:r>
          </w:p>
          <w:p w14:paraId="25D7884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61434AE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5215602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77AC892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（6）其它相关证据。</w:t>
            </w:r>
          </w:p>
        </w:tc>
        <w:tc>
          <w:tcPr>
            <w:tcW w:w="3896" w:type="dxa"/>
            <w:vAlign w:val="center"/>
          </w:tcPr>
          <w:p w14:paraId="1C7A2BC3">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第九十九条第二项、第三项、第四项</w:t>
            </w:r>
            <w:r>
              <w:rPr>
                <w:rFonts w:hint="eastAsia" w:ascii="仿宋_GB2312" w:hAnsi="仿宋_GB2312" w:eastAsia="仿宋_GB2312" w:cs="仿宋_GB2312"/>
                <w:color w:val="auto"/>
                <w:kern w:val="0"/>
                <w:sz w:val="32"/>
                <w:szCs w:val="32"/>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02A7C8F4">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4F7C2C38">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（三）未对安全设备进行经常性维护、保养和定期检测的；</w:t>
            </w:r>
          </w:p>
          <w:p w14:paraId="0CAB38D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06A15B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B187806">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0" w:type="dxa"/>
            <w:vAlign w:val="center"/>
          </w:tcPr>
          <w:p w14:paraId="5B90BAAA">
            <w:pPr>
              <w:widowControl/>
              <w:adjustRightInd w:val="0"/>
              <w:snapToGrid w:val="0"/>
              <w:jc w:val="center"/>
              <w:rPr>
                <w:rFonts w:hint="eastAsia" w:ascii="仿宋_GB2312" w:hAnsi="仿宋_GB2312" w:eastAsia="仿宋_GB2312" w:cs="仿宋_GB2312"/>
                <w:color w:val="auto"/>
                <w:sz w:val="32"/>
                <w:szCs w:val="32"/>
              </w:rPr>
            </w:pPr>
          </w:p>
        </w:tc>
      </w:tr>
      <w:tr w14:paraId="3704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618" w:type="dxa"/>
            <w:vAlign w:val="center"/>
          </w:tcPr>
          <w:p w14:paraId="4DCAEA44">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7</w:t>
            </w:r>
          </w:p>
        </w:tc>
        <w:tc>
          <w:tcPr>
            <w:tcW w:w="954" w:type="dxa"/>
            <w:vAlign w:val="center"/>
          </w:tcPr>
          <w:p w14:paraId="38D51297">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白酒储存、勾兑场所</w:t>
            </w:r>
          </w:p>
        </w:tc>
        <w:tc>
          <w:tcPr>
            <w:tcW w:w="954" w:type="dxa"/>
            <w:vAlign w:val="center"/>
          </w:tcPr>
          <w:p w14:paraId="261E886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是否规范设置乙醇浓度检测报警装置。</w:t>
            </w:r>
          </w:p>
          <w:p w14:paraId="2686A3F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（重大隐患）</w:t>
            </w:r>
          </w:p>
        </w:tc>
        <w:tc>
          <w:tcPr>
            <w:tcW w:w="3908" w:type="dxa"/>
            <w:vAlign w:val="center"/>
          </w:tcPr>
          <w:p w14:paraId="2D46DB76">
            <w:pPr>
              <w:widowControl/>
              <w:shd w:val="clear" w:color="auto" w:fill="FFFFFF"/>
              <w:ind w:left="531" w:leftChars="100" w:hanging="321" w:hangingChars="1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w:t>
            </w:r>
          </w:p>
          <w:p w14:paraId="1581ADE6">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69C5B22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《四川省酒类管理条例》第十九条</w:t>
            </w:r>
            <w:r>
              <w:rPr>
                <w:rFonts w:hint="eastAsia" w:ascii="仿宋_GB2312" w:hAnsi="仿宋_GB2312" w:eastAsia="仿宋_GB2312" w:cs="仿宋_GB2312"/>
                <w:color w:val="auto"/>
                <w:kern w:val="0"/>
                <w:sz w:val="32"/>
                <w:szCs w:val="32"/>
              </w:rPr>
              <w:t>酒类生产经营禁止下列行为：（一）用甲醇、非食用酒精等其他非食用物质或者超过保质期的食品原料、食品添加剂生产酒类食品；（二）超范围、超限量使用食品添加剂，或者经营超范围、超限量使用食品添加剂的酒类食品；（三）以假充真，以次充好，掺杂、掺假，或者以不合格酒类食品冒充合格酒类食品；（四）使用有毒、有害容器、工具和设备生产、包装、运输、储存酒类食品；（五）销售未经检验或者检验不合格的酒类食品；（六）销售未取得食品生产许可证生产的预包装酒类食品；（七）法律、法规禁止的其他行为。</w:t>
            </w:r>
          </w:p>
          <w:p w14:paraId="6A6CA110">
            <w:pPr>
              <w:widowControl/>
              <w:adjustRightInd w:val="0"/>
              <w:snapToGrid w:val="0"/>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《工贸行业重大生产安全事故隐患判定标准（2017版）》（安监总管四〔2017〕129号）</w:t>
            </w:r>
          </w:p>
          <w:p w14:paraId="74C3AD51">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7396A03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（五）轻工行业。</w:t>
            </w:r>
          </w:p>
          <w:p w14:paraId="11DA2AD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2.白酒储存、勾兑场所未规范设置乙醇浓度检测报警装置。</w:t>
            </w:r>
          </w:p>
        </w:tc>
        <w:tc>
          <w:tcPr>
            <w:tcW w:w="3885" w:type="dxa"/>
            <w:vAlign w:val="center"/>
          </w:tcPr>
          <w:p w14:paraId="2C1F1BA7">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4591C8E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（2）乙醇浓度检测报警装置合格证明；</w:t>
            </w:r>
          </w:p>
          <w:p w14:paraId="367A5B7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（3）现场图片或影像资料；</w:t>
            </w:r>
          </w:p>
          <w:p w14:paraId="1D2FBC0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1F21CE3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04F7B1C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（6）其它相关证据。</w:t>
            </w:r>
          </w:p>
        </w:tc>
        <w:tc>
          <w:tcPr>
            <w:tcW w:w="3896" w:type="dxa"/>
            <w:vAlign w:val="center"/>
          </w:tcPr>
          <w:p w14:paraId="755F4F19">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第九十九条第二项、第三项、第四项</w:t>
            </w:r>
            <w:r>
              <w:rPr>
                <w:rFonts w:hint="eastAsia" w:ascii="仿宋_GB2312" w:hAnsi="仿宋_GB2312" w:eastAsia="仿宋_GB2312" w:cs="仿宋_GB2312"/>
                <w:color w:val="auto"/>
                <w:kern w:val="0"/>
                <w:sz w:val="32"/>
                <w:szCs w:val="32"/>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3449893">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（二）安全设备的安装、使用、检测、改造和报废不符合国家标准或者行业标准的；</w:t>
            </w:r>
          </w:p>
          <w:p w14:paraId="499B187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《四川省酒类管理条例》第四十二条</w:t>
            </w:r>
            <w:r>
              <w:rPr>
                <w:rFonts w:hint="eastAsia" w:ascii="仿宋_GB2312" w:hAnsi="仿宋_GB2312" w:eastAsia="仿宋_GB2312" w:cs="仿宋_GB2312"/>
                <w:color w:val="auto"/>
                <w:kern w:val="0"/>
                <w:sz w:val="32"/>
                <w:szCs w:val="32"/>
              </w:rPr>
              <w:t>违反本条例第十九条第六项规定的，销售未取得食品生产许可证生产的预包装酒类食品的，由县级以上地方人民政府食品安全监督管理部门责令改正，并处一千元以上三万元以下罚款。</w:t>
            </w:r>
          </w:p>
          <w:p w14:paraId="0338464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C423F18">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8A1BCDA">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0" w:type="dxa"/>
            <w:vAlign w:val="center"/>
          </w:tcPr>
          <w:p w14:paraId="0A578CF5">
            <w:pPr>
              <w:widowControl/>
              <w:adjustRightInd w:val="0"/>
              <w:snapToGrid w:val="0"/>
              <w:jc w:val="center"/>
              <w:rPr>
                <w:rFonts w:hint="eastAsia" w:ascii="仿宋_GB2312" w:hAnsi="仿宋_GB2312" w:eastAsia="仿宋_GB2312" w:cs="仿宋_GB2312"/>
                <w:color w:val="auto"/>
                <w:sz w:val="32"/>
                <w:szCs w:val="32"/>
              </w:rPr>
            </w:pPr>
          </w:p>
        </w:tc>
      </w:tr>
      <w:tr w14:paraId="41E6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18" w:type="dxa"/>
            <w:vAlign w:val="center"/>
          </w:tcPr>
          <w:p w14:paraId="0FE0859C">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8</w:t>
            </w:r>
          </w:p>
        </w:tc>
        <w:tc>
          <w:tcPr>
            <w:tcW w:w="954" w:type="dxa"/>
            <w:vAlign w:val="center"/>
          </w:tcPr>
          <w:p w14:paraId="469DBEC1">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有限空间</w:t>
            </w:r>
          </w:p>
        </w:tc>
        <w:tc>
          <w:tcPr>
            <w:tcW w:w="954" w:type="dxa"/>
            <w:vAlign w:val="center"/>
          </w:tcPr>
          <w:p w14:paraId="0708800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有限空间的辨识和作业检查</w:t>
            </w:r>
          </w:p>
        </w:tc>
        <w:tc>
          <w:tcPr>
            <w:tcW w:w="3908" w:type="dxa"/>
            <w:vAlign w:val="center"/>
          </w:tcPr>
          <w:p w14:paraId="5BA3D81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《有限空间作业安全技术规程》（DB33/707-2013）</w:t>
            </w:r>
            <w:r>
              <w:rPr>
                <w:rFonts w:hint="eastAsia" w:ascii="仿宋_GB2312" w:hAnsi="仿宋_GB2312" w:eastAsia="仿宋_GB2312" w:cs="仿宋_GB2312"/>
                <w:color w:val="auto"/>
                <w:kern w:val="0"/>
                <w:sz w:val="32"/>
                <w:szCs w:val="32"/>
              </w:rPr>
              <w:t>（１）作业点应设置醒目的警示标识和清仓、维修作业流程。（２）有限空间作业应执行审批程序。作业先通风，再检测，合格后进行监护作业。（３）进入仓内作业时应正确佩戴安全绳、安全帽及防毒用品。监护人员到位，并配备急救用品和正压呼吸器。（４）在自然通风不良的环境内作业时，应采用机械通风置换空气，在作业过程中不得停风。（５）有限空间的吸风口应设置在下部。当存在与空气密度相同或小于空气密度的污染物时，还应在顶部增设吸风口。</w:t>
            </w:r>
          </w:p>
          <w:p w14:paraId="723032D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《工贸企业有限空间作业安全管理与监督暂行规定》第七条  </w:t>
            </w:r>
            <w:r>
              <w:rPr>
                <w:rFonts w:hint="eastAsia" w:ascii="仿宋_GB2312" w:hAnsi="仿宋_GB2312" w:eastAsia="仿宋_GB2312" w:cs="仿宋_GB2312"/>
                <w:color w:val="auto"/>
                <w:kern w:val="0"/>
                <w:sz w:val="32"/>
                <w:szCs w:val="32"/>
              </w:rPr>
              <w:t>工贸企业应当对本企业的有限空间进行辨识,确定有限空间的数量、位置以及危险有害因素等基本情况,建立有限空间管理台账,并及时更新。</w:t>
            </w:r>
          </w:p>
          <w:p w14:paraId="6C39544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《工贸企业有限空间作业安全管理与监督暂行规定》第八条</w:t>
            </w:r>
            <w:r>
              <w:rPr>
                <w:rFonts w:hint="eastAsia" w:ascii="仿宋_GB2312" w:hAnsi="仿宋_GB2312" w:eastAsia="仿宋_GB2312" w:cs="仿宋_GB2312"/>
                <w:color w:val="auto"/>
                <w:kern w:val="0"/>
                <w:sz w:val="32"/>
                <w:szCs w:val="32"/>
              </w:rPr>
              <w:t xml:space="preserve">  工贸企业实施有限空间作业前,应当对作业环境进行评估,分析存在的危险有害因素,提出消除、控制危害的措施,制定有限空间作业方案,并经本企业安全生产管理人员审核,负责人批准。</w:t>
            </w:r>
          </w:p>
          <w:p w14:paraId="23E514C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《工贸企业有限空间作业安全管理与监督暂行规定》第九条</w:t>
            </w:r>
            <w:r>
              <w:rPr>
                <w:rFonts w:hint="eastAsia" w:ascii="仿宋_GB2312" w:hAnsi="仿宋_GB2312" w:eastAsia="仿宋_GB2312" w:cs="仿宋_GB2312"/>
                <w:color w:val="auto"/>
                <w:kern w:val="0"/>
                <w:sz w:val="32"/>
                <w:szCs w:val="32"/>
              </w:rPr>
              <w:t xml:space="preserve">  工贸企业应当按照有限空间作业方案,明确作业现场负责人、监护人员、作业人员及其安全职责。</w:t>
            </w:r>
          </w:p>
          <w:p w14:paraId="2DDCECC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《工贸企业有限空间作业安全管理与监督暂行规定》第十条</w:t>
            </w:r>
            <w:r>
              <w:rPr>
                <w:rFonts w:hint="eastAsia" w:ascii="仿宋_GB2312" w:hAnsi="仿宋_GB2312" w:eastAsia="仿宋_GB2312" w:cs="仿宋_GB2312"/>
                <w:color w:val="auto"/>
                <w:kern w:val="0"/>
                <w:sz w:val="32"/>
                <w:szCs w:val="32"/>
              </w:rPr>
              <w:t xml:space="preserve">  工贸企业实施有限空间作业前,应当将有限空间作业方案和作业现场可能存在的危险有害因素、防控措施告知作业人员。现场负责人应当监督作业人员按照方案进行作业准备。</w:t>
            </w:r>
          </w:p>
        </w:tc>
        <w:tc>
          <w:tcPr>
            <w:tcW w:w="3885" w:type="dxa"/>
            <w:vAlign w:val="center"/>
          </w:tcPr>
          <w:p w14:paraId="439C5F4D">
            <w:pPr>
              <w:widowControl/>
              <w:numPr>
                <w:ilvl w:val="255"/>
                <w:numId w:val="0"/>
              </w:numPr>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705B659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（2）设置明显安全警示标志和清仓、维修作业流程的图片；</w:t>
            </w:r>
          </w:p>
          <w:p w14:paraId="7193771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（3）作业审批记录资料；</w:t>
            </w:r>
          </w:p>
          <w:p w14:paraId="525FE36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（4）安全绳、安全帽及防毒用品、急救用品和正压呼吸器等劳动保护用品配备情况及产品合格证书；</w:t>
            </w:r>
          </w:p>
          <w:p w14:paraId="5E2EEE9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（5）监护人员上岗记录表或类似资料；</w:t>
            </w:r>
          </w:p>
          <w:p w14:paraId="2A6F4BF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（6）作业过程记录资料；</w:t>
            </w:r>
          </w:p>
          <w:p w14:paraId="4A0747A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（7）吸风口设置相关资料；</w:t>
            </w:r>
          </w:p>
          <w:p w14:paraId="6317D27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（8）专项安全培训资料、培训计划、培训签到表、培训录音录像等相关资料；</w:t>
            </w:r>
          </w:p>
          <w:p w14:paraId="24A96C9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（9）现场图片或影像资料；</w:t>
            </w:r>
          </w:p>
          <w:p w14:paraId="7679994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（10）《现场检查记录》《责令限期整改指令书》等相关执法文书；</w:t>
            </w:r>
          </w:p>
          <w:p w14:paraId="6E38028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（11）企业相关人员任职文件、身份证明及其询问笔录；</w:t>
            </w:r>
          </w:p>
          <w:p w14:paraId="6C9FB1D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（12）其它相关证据。</w:t>
            </w:r>
          </w:p>
        </w:tc>
        <w:tc>
          <w:tcPr>
            <w:tcW w:w="3896" w:type="dxa"/>
            <w:vAlign w:val="center"/>
          </w:tcPr>
          <w:p w14:paraId="276D236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《工贸企业有限空间作业安全管理与监督暂行规定》第三十条</w:t>
            </w:r>
            <w:r>
              <w:rPr>
                <w:rFonts w:hint="eastAsia" w:ascii="仿宋_GB2312" w:hAnsi="仿宋_GB2312" w:eastAsia="仿宋_GB2312" w:cs="仿宋_GB2312"/>
                <w:color w:val="auto"/>
                <w:kern w:val="0"/>
                <w:sz w:val="32"/>
                <w:szCs w:val="32"/>
              </w:rPr>
              <w:t>工贸企业有下列情形之一的，由县级以上安全生产监督管理部门责令限期改正，可以处3万元以下的罚款，对其直接负责的主管人员和其他直接责任人员处1万元以下的罚款：</w:t>
            </w:r>
          </w:p>
          <w:p w14:paraId="76850836">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（一）未按照本规定对有限空间作业进行辨识、提出防范措施、建立有限空间管理台账的；</w:t>
            </w:r>
          </w:p>
          <w:p w14:paraId="765EDBD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（二）未按照本规定对有限空间作业制定作业方案或者方案未经审批擅自作业的；</w:t>
            </w:r>
          </w:p>
          <w:p w14:paraId="2C732E3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（三）有限空间作业未按照本规定进行危险有害因素检测或者监测，并实行专人监护作业的。</w:t>
            </w:r>
          </w:p>
        </w:tc>
        <w:tc>
          <w:tcPr>
            <w:tcW w:w="950" w:type="dxa"/>
            <w:vAlign w:val="center"/>
          </w:tcPr>
          <w:p w14:paraId="4AB50941">
            <w:pPr>
              <w:widowControl/>
              <w:adjustRightInd w:val="0"/>
              <w:snapToGrid w:val="0"/>
              <w:jc w:val="center"/>
              <w:rPr>
                <w:rFonts w:hint="eastAsia" w:ascii="仿宋_GB2312" w:hAnsi="仿宋_GB2312" w:eastAsia="仿宋_GB2312" w:cs="仿宋_GB2312"/>
                <w:color w:val="auto"/>
                <w:sz w:val="32"/>
                <w:szCs w:val="32"/>
              </w:rPr>
            </w:pPr>
          </w:p>
        </w:tc>
      </w:tr>
      <w:tr w14:paraId="5732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5" w:type="dxa"/>
            <w:gridSpan w:val="7"/>
            <w:vAlign w:val="center"/>
          </w:tcPr>
          <w:p w14:paraId="71D3680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说明：1、根据本清单提供的证照及资料有原件的，应核实原件后留存复印件；无原件的提供复印件。所有复印件资料均应加盖企业公章。证照及资料有正副本的，均核验留存复印件。</w:t>
            </w:r>
          </w:p>
          <w:p w14:paraId="129CFFBA">
            <w:pPr>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2、其他相关证据：能够证明企业违法违规行为的其他相关资料。</w:t>
            </w:r>
          </w:p>
          <w:p w14:paraId="23C89A5B">
            <w:pPr>
              <w:widowControl/>
              <w:adjustRightInd w:val="0"/>
              <w:snapToGrid w:val="0"/>
              <w:jc w:val="center"/>
              <w:rPr>
                <w:rFonts w:hint="eastAsia" w:ascii="仿宋_GB2312" w:hAnsi="仿宋_GB2312" w:eastAsia="仿宋_GB2312" w:cs="仿宋_GB2312"/>
                <w:color w:val="auto"/>
                <w:sz w:val="32"/>
                <w:szCs w:val="32"/>
              </w:rPr>
            </w:pPr>
          </w:p>
        </w:tc>
      </w:tr>
    </w:tbl>
    <w:p w14:paraId="4EAAB6DF">
      <w:pPr>
        <w:rPr>
          <w:rFonts w:hint="eastAsia" w:ascii="仿宋_GB2312" w:hAnsi="仿宋_GB2312" w:eastAsia="仿宋_GB2312" w:cs="仿宋_GB2312"/>
          <w:color w:val="auto"/>
          <w:sz w:val="32"/>
          <w:szCs w:val="32"/>
        </w:rPr>
      </w:pPr>
    </w:p>
    <w:p w14:paraId="795ABE8A">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6FFC0049">
      <w:pPr>
        <w:pStyle w:val="3"/>
        <w:spacing w:line="240" w:lineRule="auto"/>
        <w:jc w:val="center"/>
        <w:rPr>
          <w:rFonts w:hint="eastAsia" w:ascii="仿宋_GB2312" w:hAnsi="仿宋_GB2312" w:eastAsia="仿宋_GB2312" w:cs="仿宋_GB2312"/>
          <w:color w:val="auto"/>
          <w:kern w:val="2"/>
          <w:sz w:val="32"/>
          <w:szCs w:val="32"/>
        </w:rPr>
      </w:pPr>
      <w:bookmarkStart w:id="25" w:name="_Toc1604"/>
      <w:r>
        <w:rPr>
          <w:rFonts w:hint="eastAsia" w:ascii="仿宋_GB2312" w:hAnsi="仿宋_GB2312" w:eastAsia="仿宋_GB2312" w:cs="仿宋_GB2312"/>
          <w:color w:val="auto"/>
          <w:sz w:val="32"/>
          <w:szCs w:val="32"/>
        </w:rPr>
        <w:t>有色企业检查清单</w:t>
      </w:r>
      <w:bookmarkEnd w:id="25"/>
    </w:p>
    <w:tbl>
      <w:tblPr>
        <w:tblStyle w:val="8"/>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7"/>
        <w:gridCol w:w="950"/>
        <w:gridCol w:w="950"/>
        <w:gridCol w:w="5668"/>
        <w:gridCol w:w="2130"/>
        <w:gridCol w:w="3899"/>
        <w:gridCol w:w="951"/>
      </w:tblGrid>
      <w:tr w14:paraId="201B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74" w:hRule="atLeast"/>
          <w:tblHeader/>
          <w:jc w:val="center"/>
        </w:trPr>
        <w:tc>
          <w:tcPr>
            <w:tcW w:w="617" w:type="dxa"/>
            <w:vAlign w:val="center"/>
          </w:tcPr>
          <w:p w14:paraId="29B58BD3">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序号</w:t>
            </w:r>
          </w:p>
        </w:tc>
        <w:tc>
          <w:tcPr>
            <w:tcW w:w="950" w:type="dxa"/>
            <w:vAlign w:val="center"/>
          </w:tcPr>
          <w:p w14:paraId="69AA9CB3">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检查事项</w:t>
            </w:r>
          </w:p>
        </w:tc>
        <w:tc>
          <w:tcPr>
            <w:tcW w:w="950" w:type="dxa"/>
            <w:vAlign w:val="center"/>
          </w:tcPr>
          <w:p w14:paraId="1802B85D">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检查内容</w:t>
            </w:r>
          </w:p>
        </w:tc>
        <w:tc>
          <w:tcPr>
            <w:tcW w:w="5668" w:type="dxa"/>
            <w:vAlign w:val="center"/>
          </w:tcPr>
          <w:p w14:paraId="6F1DD0CC">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检查依据</w:t>
            </w:r>
          </w:p>
        </w:tc>
        <w:tc>
          <w:tcPr>
            <w:tcW w:w="2130" w:type="dxa"/>
            <w:vAlign w:val="center"/>
          </w:tcPr>
          <w:p w14:paraId="356E7DAA">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主要证据</w:t>
            </w:r>
          </w:p>
        </w:tc>
        <w:tc>
          <w:tcPr>
            <w:tcW w:w="3899" w:type="dxa"/>
            <w:vAlign w:val="center"/>
          </w:tcPr>
          <w:p w14:paraId="1B20DC2D">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法律责任</w:t>
            </w:r>
          </w:p>
        </w:tc>
        <w:tc>
          <w:tcPr>
            <w:tcW w:w="951" w:type="dxa"/>
            <w:vAlign w:val="center"/>
          </w:tcPr>
          <w:p w14:paraId="05E388B7">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检查结果</w:t>
            </w:r>
          </w:p>
        </w:tc>
      </w:tr>
      <w:tr w14:paraId="6076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1" w:hRule="atLeast"/>
          <w:jc w:val="center"/>
        </w:trPr>
        <w:tc>
          <w:tcPr>
            <w:tcW w:w="617" w:type="dxa"/>
            <w:vAlign w:val="center"/>
          </w:tcPr>
          <w:p w14:paraId="08B05F2F">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w:t>
            </w:r>
          </w:p>
        </w:tc>
        <w:tc>
          <w:tcPr>
            <w:tcW w:w="950" w:type="dxa"/>
            <w:vAlign w:val="center"/>
          </w:tcPr>
          <w:p w14:paraId="2EEEB71D">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安全设施“三同时”</w:t>
            </w:r>
          </w:p>
        </w:tc>
        <w:tc>
          <w:tcPr>
            <w:tcW w:w="950" w:type="dxa"/>
            <w:vAlign w:val="center"/>
          </w:tcPr>
          <w:p w14:paraId="5F6065D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有色行业内的金属冶炼建设项目是否按照国家有关规定进行安全评价和安全设施设计</w:t>
            </w:r>
          </w:p>
        </w:tc>
        <w:tc>
          <w:tcPr>
            <w:tcW w:w="5668" w:type="dxa"/>
            <w:vAlign w:val="center"/>
          </w:tcPr>
          <w:p w14:paraId="69AC8EBC">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第三十二条</w:t>
            </w:r>
            <w:r>
              <w:rPr>
                <w:rFonts w:hint="eastAsia" w:ascii="仿宋_GB2312" w:hAnsi="仿宋_GB2312" w:eastAsia="仿宋_GB2312" w:cs="仿宋_GB2312"/>
                <w:color w:val="auto"/>
                <w:kern w:val="0"/>
                <w:sz w:val="32"/>
                <w:szCs w:val="32"/>
              </w:rPr>
              <w:t>矿山、金属冶炼建设项目和用于生产、储存、装卸危险物品的建设项目，应当按照国家有关规定进行安全评价。</w:t>
            </w:r>
          </w:p>
          <w:p w14:paraId="145536F7">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第三十三条第二款</w:t>
            </w:r>
            <w:r>
              <w:rPr>
                <w:rFonts w:hint="eastAsia" w:ascii="仿宋_GB2312" w:hAnsi="仿宋_GB2312" w:eastAsia="仿宋_GB2312" w:cs="仿宋_GB2312"/>
                <w:color w:val="auto"/>
                <w:kern w:val="0"/>
                <w:sz w:val="32"/>
                <w:szCs w:val="32"/>
              </w:rPr>
              <w:t>矿山、金属冶炼建设项目和用于生产、储存、装卸危险物品的建设项目的安全设施设计应当按照国家有关规定报经有关部门审查，审查部门及其负责审查的人员对审查结果负责。</w:t>
            </w:r>
          </w:p>
          <w:p w14:paraId="773B31CE">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第三十四条</w:t>
            </w:r>
            <w:r>
              <w:rPr>
                <w:rFonts w:hint="eastAsia" w:ascii="仿宋_GB2312" w:hAnsi="仿宋_GB2312" w:eastAsia="仿宋_GB2312" w:cs="仿宋_GB2312"/>
                <w:color w:val="auto"/>
                <w:kern w:val="0"/>
                <w:sz w:val="32"/>
                <w:szCs w:val="32"/>
              </w:rPr>
              <w:t xml:space="preserve"> 矿山、金属冶炼建设项目和用于生产、储存、装卸危险物品的建设项目的施工单位必须按照批准的安全设施设计施工，并对安全设施的工程质量负责。</w:t>
            </w:r>
          </w:p>
          <w:p w14:paraId="2ABD0BC3">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3F2A6D36">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《冶金企业和有色金属企业安全生产规定》第十四条</w:t>
            </w:r>
            <w:r>
              <w:rPr>
                <w:rFonts w:hint="eastAsia" w:ascii="仿宋_GB2312" w:hAnsi="仿宋_GB2312" w:eastAsia="仿宋_GB2312" w:cs="仿宋_GB2312"/>
                <w:color w:val="auto"/>
                <w:kern w:val="0"/>
                <w:sz w:val="32"/>
                <w:szCs w:val="32"/>
              </w:rPr>
              <w:t>金属冶炼建设项目在可行性研究阶段，建设单位应当依法进行安全评价。</w:t>
            </w:r>
          </w:p>
          <w:p w14:paraId="711C8EED">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建设项目在初步设计阶段，建设单位应当委托具备国家规定资质的设计单位对其安全设施进行设计，并编制安全设施设计。</w:t>
            </w:r>
          </w:p>
          <w:p w14:paraId="50A2EBDD">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建设项目竣工投入生产或者使用前，建设单位应当按照有关规定进行安全设施竣工验收。</w:t>
            </w:r>
          </w:p>
        </w:tc>
        <w:tc>
          <w:tcPr>
            <w:tcW w:w="2130" w:type="dxa"/>
            <w:vAlign w:val="center"/>
          </w:tcPr>
          <w:p w14:paraId="29090FE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05CD83CA">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（2）相关行政许可；</w:t>
            </w:r>
          </w:p>
          <w:p w14:paraId="0574AAC5">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（3）建设项目立项审批手续；</w:t>
            </w:r>
          </w:p>
          <w:p w14:paraId="56C484E5">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（4）安全预评价和安全验收评价报告；</w:t>
            </w:r>
          </w:p>
          <w:p w14:paraId="44CDCD4F">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（5）安全设施设计；</w:t>
            </w:r>
          </w:p>
          <w:p w14:paraId="16BBF511">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（6）安全评价和安全设施设计评审记录；</w:t>
            </w:r>
          </w:p>
          <w:p w14:paraId="308163F9">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4CB881B1">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（8）图片或影像资料；</w:t>
            </w:r>
          </w:p>
          <w:p w14:paraId="718A70E9">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（9）企业相关人员任职文件、身份证明及其询问笔录；</w:t>
            </w:r>
          </w:p>
          <w:p w14:paraId="6DAB64C2">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899" w:type="dxa"/>
            <w:vAlign w:val="center"/>
          </w:tcPr>
          <w:p w14:paraId="1FDCC565">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第九十八条</w:t>
            </w:r>
            <w:r>
              <w:rPr>
                <w:rFonts w:hint="eastAsia" w:ascii="仿宋_GB2312" w:hAnsi="仿宋_GB2312" w:eastAsia="仿宋_GB2312" w:cs="仿宋_GB2312"/>
                <w:color w:val="auto"/>
                <w:kern w:val="0"/>
                <w:sz w:val="32"/>
                <w:szCs w:val="32"/>
              </w:rPr>
              <w:t>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090E635B">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（一）未按照规定对矿山、金属冶炼建设项目或者用于生产、储存、装卸危险物品的建设项目进行安全评价的；</w:t>
            </w:r>
          </w:p>
          <w:p w14:paraId="2DD3F6B8">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（二）矿山、金属冶炼建设项目或者用于生产、储存、装卸危险物品的建设项目没有安全设施设计或者安全设施设计未按照规定报经有关部门审查同意的；</w:t>
            </w:r>
          </w:p>
          <w:p w14:paraId="7880C123">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（三）矿山、金属冶炼建设项目或者用于生产、储存、装卸危险物品的建设项目的施工单位未按照批准的安全设施设计施工的；</w:t>
            </w:r>
          </w:p>
          <w:p w14:paraId="565ADA89">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（四）矿山、金属冶炼建设项目或者用于生产、储存、装卸危险物品的建设项目竣工投入生产或者使用前，安全设施未经验收合格的。</w:t>
            </w:r>
          </w:p>
        </w:tc>
        <w:tc>
          <w:tcPr>
            <w:tcW w:w="951" w:type="dxa"/>
            <w:vAlign w:val="center"/>
          </w:tcPr>
          <w:p w14:paraId="2B43D0F4">
            <w:pPr>
              <w:widowControl/>
              <w:adjustRightInd w:val="0"/>
              <w:snapToGrid w:val="0"/>
              <w:rPr>
                <w:rFonts w:hint="eastAsia" w:ascii="仿宋_GB2312" w:hAnsi="仿宋_GB2312" w:eastAsia="仿宋_GB2312" w:cs="仿宋_GB2312"/>
                <w:color w:val="auto"/>
                <w:kern w:val="0"/>
                <w:sz w:val="32"/>
                <w:szCs w:val="32"/>
              </w:rPr>
            </w:pPr>
          </w:p>
        </w:tc>
      </w:tr>
      <w:tr w14:paraId="23ED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16" w:hRule="atLeast"/>
          <w:jc w:val="center"/>
        </w:trPr>
        <w:tc>
          <w:tcPr>
            <w:tcW w:w="617" w:type="dxa"/>
            <w:vAlign w:val="center"/>
          </w:tcPr>
          <w:p w14:paraId="64F16EB1">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w:t>
            </w:r>
          </w:p>
        </w:tc>
        <w:tc>
          <w:tcPr>
            <w:tcW w:w="950" w:type="dxa"/>
            <w:vAlign w:val="center"/>
          </w:tcPr>
          <w:p w14:paraId="11B423A7">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特种作业操作证</w:t>
            </w:r>
          </w:p>
        </w:tc>
        <w:tc>
          <w:tcPr>
            <w:tcW w:w="950" w:type="dxa"/>
            <w:vAlign w:val="center"/>
          </w:tcPr>
          <w:p w14:paraId="70E6B90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有色企业内从事煤气生产、储存、输送、使用、维护检修的作业人员是否持特种作业操作证</w:t>
            </w:r>
          </w:p>
        </w:tc>
        <w:tc>
          <w:tcPr>
            <w:tcW w:w="5668" w:type="dxa"/>
            <w:vAlign w:val="center"/>
          </w:tcPr>
          <w:p w14:paraId="54598EDF">
            <w:pPr>
              <w:widowControl/>
              <w:shd w:val="clear" w:color="auto" w:fill="FFFFFF"/>
              <w:ind w:firstLine="321" w:firstLineChars="1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第三十条</w:t>
            </w:r>
            <w:r>
              <w:rPr>
                <w:rFonts w:hint="eastAsia" w:ascii="仿宋_GB2312" w:hAnsi="仿宋_GB2312" w:eastAsia="仿宋_GB2312" w:cs="仿宋_GB2312"/>
                <w:color w:val="auto"/>
                <w:kern w:val="0"/>
                <w:sz w:val="32"/>
                <w:szCs w:val="32"/>
              </w:rPr>
              <w:t>生产经营单位的特种作业人员必须按照国家有关规定经专门的安全作业培训，取得相应资格，方可上岗作业。</w:t>
            </w:r>
          </w:p>
          <w:p w14:paraId="01F4387B">
            <w:pPr>
              <w:widowControl/>
              <w:shd w:val="clear" w:color="auto" w:fill="FFFFFF"/>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特种作业人员的范围由国务院应急管理部门会同国务院有关部门确定。</w:t>
            </w:r>
          </w:p>
          <w:p w14:paraId="227B19F8">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《特种作业人员安全技术培训考核管理规定》附件</w:t>
            </w:r>
            <w:r>
              <w:rPr>
                <w:rFonts w:hint="eastAsia" w:ascii="仿宋_GB2312" w:hAnsi="仿宋_GB2312" w:eastAsia="仿宋_GB2312" w:cs="仿宋_GB2312"/>
                <w:color w:val="auto"/>
                <w:kern w:val="0"/>
                <w:sz w:val="32"/>
                <w:szCs w:val="32"/>
              </w:rPr>
              <w:t>特种作业目录“8.1煤气作业”</w:t>
            </w:r>
          </w:p>
        </w:tc>
        <w:tc>
          <w:tcPr>
            <w:tcW w:w="2130" w:type="dxa"/>
            <w:vAlign w:val="center"/>
          </w:tcPr>
          <w:p w14:paraId="6263D989">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w:t>
            </w:r>
          </w:p>
          <w:p w14:paraId="66933E8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（2）从业人员花名册；</w:t>
            </w:r>
          </w:p>
          <w:p w14:paraId="3076B37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（3）特种作业操作证和身份证；</w:t>
            </w:r>
          </w:p>
          <w:p w14:paraId="1FAC8F7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（4）政务网站查询特种作业人员截屏；</w:t>
            </w:r>
          </w:p>
          <w:p w14:paraId="598134A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（5）图片或影像资料；</w:t>
            </w:r>
          </w:p>
          <w:p w14:paraId="10693F6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432332A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（7）企业相关人员任职文件、身份证明及其询问笔录；</w:t>
            </w:r>
          </w:p>
          <w:p w14:paraId="1052D7C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（8）其他相关证据。</w:t>
            </w:r>
          </w:p>
        </w:tc>
        <w:tc>
          <w:tcPr>
            <w:tcW w:w="3899" w:type="dxa"/>
            <w:vAlign w:val="center"/>
          </w:tcPr>
          <w:p w14:paraId="2CB0FBF0">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第九十七条第七项</w:t>
            </w:r>
            <w:r>
              <w:rPr>
                <w:rFonts w:hint="eastAsia" w:ascii="仿宋_GB2312" w:hAnsi="仿宋_GB2312" w:eastAsia="仿宋_GB2312" w:cs="仿宋_GB2312"/>
                <w:color w:val="auto"/>
                <w:kern w:val="0"/>
                <w:sz w:val="32"/>
                <w:szCs w:val="32"/>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214E94F0">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（七）特种作业人员未按照规定经专门的安全作业培训并取得相应资格，上岗作业的。</w:t>
            </w:r>
          </w:p>
          <w:p w14:paraId="44AFC164">
            <w:pPr>
              <w:widowControl/>
              <w:adjustRightInd w:val="0"/>
              <w:snapToGrid w:val="0"/>
              <w:ind w:firstLine="640" w:firstLineChars="200"/>
              <w:rPr>
                <w:rFonts w:hint="eastAsia" w:ascii="仿宋_GB2312" w:hAnsi="仿宋_GB2312" w:eastAsia="仿宋_GB2312" w:cs="仿宋_GB2312"/>
                <w:color w:val="auto"/>
                <w:sz w:val="32"/>
                <w:szCs w:val="32"/>
              </w:rPr>
            </w:pPr>
          </w:p>
        </w:tc>
        <w:tc>
          <w:tcPr>
            <w:tcW w:w="951" w:type="dxa"/>
            <w:vAlign w:val="center"/>
          </w:tcPr>
          <w:p w14:paraId="3BCB3E87">
            <w:pPr>
              <w:widowControl/>
              <w:adjustRightInd w:val="0"/>
              <w:snapToGrid w:val="0"/>
              <w:rPr>
                <w:rFonts w:hint="eastAsia" w:ascii="仿宋_GB2312" w:hAnsi="仿宋_GB2312" w:eastAsia="仿宋_GB2312" w:cs="仿宋_GB2312"/>
                <w:color w:val="auto"/>
                <w:kern w:val="0"/>
                <w:sz w:val="32"/>
                <w:szCs w:val="32"/>
              </w:rPr>
            </w:pPr>
          </w:p>
        </w:tc>
      </w:tr>
      <w:tr w14:paraId="2A29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20" w:hRule="atLeast"/>
          <w:jc w:val="center"/>
        </w:trPr>
        <w:tc>
          <w:tcPr>
            <w:tcW w:w="617" w:type="dxa"/>
            <w:vAlign w:val="center"/>
          </w:tcPr>
          <w:p w14:paraId="53C7384C">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p>
        </w:tc>
        <w:tc>
          <w:tcPr>
            <w:tcW w:w="950" w:type="dxa"/>
            <w:vAlign w:val="center"/>
          </w:tcPr>
          <w:p w14:paraId="0E3AAE28">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人员聚集场所设置情况</w:t>
            </w:r>
          </w:p>
        </w:tc>
        <w:tc>
          <w:tcPr>
            <w:tcW w:w="950" w:type="dxa"/>
            <w:vAlign w:val="center"/>
          </w:tcPr>
          <w:p w14:paraId="42FE0F1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会议室、活动室、休息室、更衣室等场所是否设置在安全地点（重大隐患）</w:t>
            </w:r>
          </w:p>
        </w:tc>
        <w:tc>
          <w:tcPr>
            <w:tcW w:w="5668" w:type="dxa"/>
            <w:vAlign w:val="center"/>
          </w:tcPr>
          <w:p w14:paraId="07770D9D">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4297EBD0">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《冶金企业和有色金属企业安全生产规定》第二十七条</w:t>
            </w:r>
            <w:r>
              <w:rPr>
                <w:rFonts w:hint="eastAsia" w:ascii="仿宋_GB2312" w:hAnsi="仿宋_GB2312" w:eastAsia="仿宋_GB2312" w:cs="仿宋_GB2312"/>
                <w:color w:val="auto"/>
                <w:kern w:val="0"/>
                <w:sz w:val="32"/>
                <w:szCs w:val="32"/>
              </w:rPr>
              <w:t>企业的操作室、会议室、活动室、休息室、更衣室等场所不得设置在高温熔融金属吊运的影响范围内。……</w:t>
            </w:r>
          </w:p>
          <w:p w14:paraId="32733CB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《有色金属工程设计防火规范》（GB50630-2010）第4.5.6条</w:t>
            </w:r>
            <w:r>
              <w:rPr>
                <w:rFonts w:hint="eastAsia" w:ascii="仿宋_GB2312" w:hAnsi="仿宋_GB2312" w:eastAsia="仿宋_GB2312" w:cs="仿宋_GB2312"/>
                <w:color w:val="auto"/>
                <w:kern w:val="0"/>
                <w:sz w:val="32"/>
                <w:szCs w:val="32"/>
              </w:rPr>
              <w:t>冶炼生产厂房内具有熔融体作业区的防火设计应符合下列规定：1.作业区范围内（含地下、上空）严禁设置车间生活间；......</w:t>
            </w:r>
          </w:p>
          <w:p w14:paraId="4E9D594B">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《有色金属工程设计防火规范》（GB50630-2010）第6.2.2条第一款</w:t>
            </w:r>
            <w:r>
              <w:rPr>
                <w:rFonts w:hint="eastAsia" w:ascii="仿宋_GB2312" w:hAnsi="仿宋_GB2312" w:eastAsia="仿宋_GB2312" w:cs="仿宋_GB2312"/>
                <w:color w:val="auto"/>
                <w:kern w:val="0"/>
                <w:sz w:val="32"/>
                <w:szCs w:val="32"/>
              </w:rPr>
              <w:t>受炽热烘烤、熔体喷溅、明火作用的区域，不应设置控制（操作、值班）室。当确需设置时，其构件应采用不燃烧体，并应对门、窗和结构构件采取防火保护措施；当具有爆炸危险时，尚应设置有效的防爆设施。</w:t>
            </w:r>
          </w:p>
          <w:p w14:paraId="487D28CB">
            <w:pPr>
              <w:widowControl/>
              <w:adjustRightInd w:val="0"/>
              <w:snapToGrid w:val="0"/>
              <w:ind w:firstLine="36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《铜及铜合金熔铸安全设计规范》（GB30187-2013）第11.2条</w:t>
            </w:r>
            <w:r>
              <w:rPr>
                <w:rFonts w:hint="eastAsia" w:ascii="仿宋_GB2312" w:hAnsi="仿宋_GB2312" w:eastAsia="仿宋_GB2312" w:cs="仿宋_GB2312"/>
                <w:color w:val="auto"/>
                <w:kern w:val="0"/>
                <w:sz w:val="32"/>
                <w:szCs w:val="32"/>
              </w:rPr>
              <w:t>起吊高温铜液的起重机，应符合JB/T7688.5的规定，其行走路线应尽量短，并</w:t>
            </w:r>
            <w:r>
              <w:rPr>
                <w:rFonts w:hint="eastAsia" w:ascii="仿宋_GB2312" w:hAnsi="仿宋_GB2312" w:eastAsia="仿宋_GB2312" w:cs="仿宋_GB2312"/>
                <w:b/>
                <w:bCs/>
                <w:color w:val="auto"/>
                <w:kern w:val="0"/>
                <w:sz w:val="32"/>
                <w:szCs w:val="32"/>
              </w:rPr>
              <w:t>禁止通过操作室、人行通道等有人区域。</w:t>
            </w:r>
          </w:p>
          <w:p w14:paraId="674B7DC0">
            <w:pPr>
              <w:widowControl/>
              <w:adjustRightInd w:val="0"/>
              <w:snapToGrid w:val="0"/>
              <w:ind w:firstLine="36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《工贸行业重大生产安全事故隐患判定标准（2017版）》（安监总管四〔2017〕129号）</w:t>
            </w:r>
          </w:p>
          <w:p w14:paraId="6D4B7D08">
            <w:pPr>
              <w:widowControl/>
              <w:adjustRightInd w:val="0"/>
              <w:snapToGrid w:val="0"/>
              <w:ind w:firstLine="36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二、行业类重大事故隐患</w:t>
            </w:r>
          </w:p>
          <w:p w14:paraId="592831BC">
            <w:pPr>
              <w:widowControl/>
              <w:adjustRightInd w:val="0"/>
              <w:snapToGrid w:val="0"/>
              <w:ind w:firstLine="36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（二）有色行业。</w:t>
            </w:r>
          </w:p>
          <w:p w14:paraId="142A99AB">
            <w:pPr>
              <w:widowControl/>
              <w:adjustRightInd w:val="0"/>
              <w:snapToGrid w:val="0"/>
              <w:ind w:firstLine="36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2.会议室、活动室、休息室、更衣室等场所设置在铜水等熔融有色金属及渣的吊运影响范围内。</w:t>
            </w:r>
          </w:p>
        </w:tc>
        <w:tc>
          <w:tcPr>
            <w:tcW w:w="2130" w:type="dxa"/>
            <w:vAlign w:val="center"/>
          </w:tcPr>
          <w:p w14:paraId="0B3E6407">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w:t>
            </w:r>
          </w:p>
          <w:p w14:paraId="5E9B097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（2）总平面布置图和车间平面布置图；</w:t>
            </w:r>
          </w:p>
          <w:p w14:paraId="186BC0A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（3）图片或影像资料；</w:t>
            </w:r>
          </w:p>
          <w:p w14:paraId="15A4617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519A0DC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2B8CE8DA">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（6）其他相关证据。</w:t>
            </w:r>
          </w:p>
        </w:tc>
        <w:tc>
          <w:tcPr>
            <w:tcW w:w="3899" w:type="dxa"/>
            <w:vAlign w:val="center"/>
          </w:tcPr>
          <w:p w14:paraId="2E8AC1E6">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191F450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《冶金和有色金属企业安全生产规定》第四十六条</w:t>
            </w:r>
            <w:r>
              <w:rPr>
                <w:rFonts w:hint="eastAsia" w:ascii="仿宋_GB2312" w:hAnsi="仿宋_GB2312" w:eastAsia="仿宋_GB2312" w:cs="仿宋_GB2312"/>
                <w:color w:val="auto"/>
                <w:kern w:val="0"/>
                <w:sz w:val="32"/>
                <w:szCs w:val="32"/>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7DF4610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9F9570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CD60F5E">
            <w:pPr>
              <w:widowControl/>
              <w:adjustRightInd w:val="0"/>
              <w:snapToGrid w:val="0"/>
              <w:ind w:firstLine="640" w:firstLineChars="200"/>
              <w:rPr>
                <w:rFonts w:hint="eastAsia" w:ascii="仿宋_GB2312" w:hAnsi="仿宋_GB2312" w:eastAsia="仿宋_GB2312" w:cs="仿宋_GB2312"/>
                <w:color w:val="auto"/>
                <w:sz w:val="32"/>
                <w:szCs w:val="32"/>
              </w:rPr>
            </w:pPr>
          </w:p>
        </w:tc>
        <w:tc>
          <w:tcPr>
            <w:tcW w:w="951" w:type="dxa"/>
            <w:vAlign w:val="center"/>
          </w:tcPr>
          <w:p w14:paraId="4F1C36A5">
            <w:pPr>
              <w:widowControl/>
              <w:adjustRightInd w:val="0"/>
              <w:snapToGrid w:val="0"/>
              <w:rPr>
                <w:rFonts w:hint="eastAsia" w:ascii="仿宋_GB2312" w:hAnsi="仿宋_GB2312" w:eastAsia="仿宋_GB2312" w:cs="仿宋_GB2312"/>
                <w:color w:val="auto"/>
                <w:kern w:val="0"/>
                <w:sz w:val="32"/>
                <w:szCs w:val="32"/>
              </w:rPr>
            </w:pPr>
          </w:p>
        </w:tc>
      </w:tr>
      <w:tr w14:paraId="7E67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7" w:type="dxa"/>
            <w:vAlign w:val="center"/>
          </w:tcPr>
          <w:p w14:paraId="08553088">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p>
        </w:tc>
        <w:tc>
          <w:tcPr>
            <w:tcW w:w="950" w:type="dxa"/>
            <w:vAlign w:val="center"/>
          </w:tcPr>
          <w:p w14:paraId="28EF4549">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起重机等吊具情况</w:t>
            </w:r>
          </w:p>
        </w:tc>
        <w:tc>
          <w:tcPr>
            <w:tcW w:w="950" w:type="dxa"/>
            <w:vAlign w:val="center"/>
          </w:tcPr>
          <w:p w14:paraId="0D65710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吊运铜水等熔融有色金属及渣的起重机符合冶金起重机的相关要求；横梁、耳轴销和吊钩、钢丝绳及其端头固定零件进行定期检查，发现问题及时处理（重大隐患）</w:t>
            </w:r>
          </w:p>
        </w:tc>
        <w:tc>
          <w:tcPr>
            <w:tcW w:w="5668" w:type="dxa"/>
            <w:vAlign w:val="center"/>
          </w:tcPr>
          <w:p w14:paraId="05756469">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31F00609">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《冶金企业和有色金属企业安全生产规定》第三十条第一款</w:t>
            </w:r>
            <w:r>
              <w:rPr>
                <w:rFonts w:hint="eastAsia" w:ascii="仿宋_GB2312" w:hAnsi="仿宋_GB2312" w:eastAsia="仿宋_GB2312" w:cs="仿宋_GB2312"/>
                <w:color w:val="auto"/>
                <w:kern w:val="0"/>
                <w:sz w:val="32"/>
                <w:szCs w:val="32"/>
              </w:rPr>
              <w:t>吊运高温熔融金属的起重机，应当满足《起重机械安全技术监察规程--桥式起重机》(TSGQ002)和《起重机械定期检验规则》（TSGQ7015）的要求。</w:t>
            </w:r>
          </w:p>
          <w:p w14:paraId="6836CD21">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《有色金属工程设计防火规范》（GB50630-2010）第4.5.5.9条</w:t>
            </w:r>
            <w:r>
              <w:rPr>
                <w:rFonts w:hint="eastAsia" w:ascii="仿宋_GB2312" w:hAnsi="仿宋_GB2312" w:eastAsia="仿宋_GB2312" w:cs="仿宋_GB2312"/>
                <w:color w:val="auto"/>
                <w:kern w:val="0"/>
                <w:sz w:val="32"/>
                <w:szCs w:val="32"/>
              </w:rPr>
              <w:t>用于吊运熔融体或进行浇铸作业的厂房起重机（吊车）应采用冶金专用的铸造桥式起重机。</w:t>
            </w:r>
          </w:p>
          <w:p w14:paraId="7BA3FCE9">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《起重机械安全技术监察规程-桥式起重机》(TSG Q0002-2008) 第六条</w:t>
            </w:r>
            <w:r>
              <w:rPr>
                <w:rFonts w:hint="eastAsia" w:ascii="仿宋_GB2312" w:hAnsi="仿宋_GB2312" w:eastAsia="仿宋_GB2312" w:cs="仿宋_GB2312"/>
                <w:color w:val="auto"/>
                <w:kern w:val="0"/>
                <w:sz w:val="32"/>
                <w:szCs w:val="32"/>
              </w:rPr>
              <w:t>吊运熔融金属的起重机，其额定起重量 75t 以上（含 75t），除符合本规程外，还必须符合JB/T 7688.15-1999《冶金起重机技术条件铸造起重机》相关要求。以电动葫芦作为起升机构，吊运熔融金属的起重机还应当符合以下要求：(一)额定起重量不得大于10t； (二)电动葫芦的工作级别不小于 M6 级。</w:t>
            </w:r>
          </w:p>
          <w:p w14:paraId="22E0D9D0">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《起重机械安全技术监察规程-桥式起重机》(TSG Q0002-2008)第九十四条</w:t>
            </w:r>
            <w:r>
              <w:rPr>
                <w:rFonts w:hint="eastAsia" w:ascii="仿宋_GB2312" w:hAnsi="仿宋_GB2312" w:eastAsia="仿宋_GB2312" w:cs="仿宋_GB2312"/>
                <w:color w:val="auto"/>
                <w:kern w:val="0"/>
                <w:sz w:val="32"/>
                <w:szCs w:val="32"/>
              </w:rPr>
              <w:t>起重机每班使用前，应当对制动器、吊钩、钢丝绳、滑轮、安全保护装置和电气系统等进行检查，发现异常时，应当在使用前排除，并且做好相应记录。</w:t>
            </w:r>
          </w:p>
          <w:p w14:paraId="73ADE97A">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《起重机械安全技术监察规程-桥式起重机》(TSG Q0002-2008)第九十五条第一款</w:t>
            </w:r>
            <w:r>
              <w:rPr>
                <w:rFonts w:hint="eastAsia" w:ascii="仿宋_GB2312" w:hAnsi="仿宋_GB2312" w:eastAsia="仿宋_GB2312" w:cs="仿宋_GB2312"/>
                <w:color w:val="auto"/>
                <w:kern w:val="0"/>
                <w:sz w:val="32"/>
                <w:szCs w:val="32"/>
              </w:rPr>
              <w:t>使用单位应当对在用起重机进行定期的自行检查和日常维护保养，至少每月进行一次常规检查（内容见第九十六条），每年进行一次全面检查，必要时进行试验验证，并且做记录。</w:t>
            </w:r>
          </w:p>
          <w:p w14:paraId="33CA9952">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《有色金属工程设计防火规范》（GB 50630-2010）</w:t>
            </w:r>
          </w:p>
          <w:p w14:paraId="681FF292">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4.5.5  9.用于吊运熔融体或进行浇铸作业的厂房起重机（吊车）应采用冶金专用的铸造桥式起重机。</w:t>
            </w:r>
          </w:p>
          <w:p w14:paraId="468CE7DE">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《炼钢安全规程》（AQ2001-2018）</w:t>
            </w:r>
          </w:p>
          <w:p w14:paraId="3FE228DE">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8.4.4炼钢车间铁水、钢水或液渣，应使用铸造起重机，铸造起重机额定能力应符合GB50439的规定。</w:t>
            </w:r>
          </w:p>
          <w:p w14:paraId="2A5B6CEB">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《高温熔融金属吊运安全规程》（AQ7011-2018）</w:t>
            </w:r>
          </w:p>
          <w:p w14:paraId="1F4024E0">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6.1.2 炼钢企业吊运铁水、钢水或液渣，应使用带有固定龙门钩的铸造起重机，铸造起重机额定能力应符合GB50439的规定。</w:t>
            </w:r>
          </w:p>
          <w:p w14:paraId="62EE4C5A">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《工贸行业重大生产安全事故隐患判定标准（2017版）》（安监总管四〔2017〕129号）</w:t>
            </w:r>
          </w:p>
          <w:p w14:paraId="4F0E0760">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0ACC78D7">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（二）有色行业。</w:t>
            </w:r>
          </w:p>
          <w:p w14:paraId="6F54ED57">
            <w:pPr>
              <w:widowControl/>
              <w:adjustRightInd w:val="0"/>
              <w:snapToGrid w:val="0"/>
              <w:ind w:firstLine="3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1.吊运铜水等熔融有色金属及渣的起重机不符合冶金起重机的相关要求；横梁、耳轴销和吊钩、钢丝绳及其端头固定零件，未进行定期检查，发现问题未及时处理。</w:t>
            </w:r>
          </w:p>
        </w:tc>
        <w:tc>
          <w:tcPr>
            <w:tcW w:w="2130" w:type="dxa"/>
            <w:vAlign w:val="center"/>
          </w:tcPr>
          <w:p w14:paraId="629D6406">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w:t>
            </w:r>
          </w:p>
          <w:p w14:paraId="1FE05BF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（2）起重机购买凭证和说明书；</w:t>
            </w:r>
          </w:p>
          <w:p w14:paraId="31E9ACB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（3）起重机检测报告；</w:t>
            </w:r>
          </w:p>
          <w:p w14:paraId="3C317D9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（4）起重机维护保养记录；</w:t>
            </w:r>
          </w:p>
          <w:p w14:paraId="62E13D6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（5）图片或影像资料；</w:t>
            </w:r>
          </w:p>
          <w:p w14:paraId="6C284F9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0885A05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（7）企业相关人员任职文件、身份证明及其询问笔录；</w:t>
            </w:r>
          </w:p>
          <w:p w14:paraId="2FE4DC75">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（8）其他相关证据。</w:t>
            </w:r>
          </w:p>
        </w:tc>
        <w:tc>
          <w:tcPr>
            <w:tcW w:w="3899" w:type="dxa"/>
            <w:vAlign w:val="center"/>
          </w:tcPr>
          <w:p w14:paraId="7CE97FE6">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054593F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《冶金和有色金属企业安全生产规定》第四十六条</w:t>
            </w:r>
            <w:r>
              <w:rPr>
                <w:rFonts w:hint="eastAsia" w:ascii="仿宋_GB2312" w:hAnsi="仿宋_GB2312" w:eastAsia="仿宋_GB2312" w:cs="仿宋_GB2312"/>
                <w:color w:val="auto"/>
                <w:kern w:val="0"/>
                <w:sz w:val="32"/>
                <w:szCs w:val="32"/>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4987BA0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B5D8DE2">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8AE6664">
            <w:pPr>
              <w:widowControl/>
              <w:adjustRightInd w:val="0"/>
              <w:snapToGrid w:val="0"/>
              <w:ind w:firstLine="640" w:firstLineChars="200"/>
              <w:rPr>
                <w:rFonts w:hint="eastAsia" w:ascii="仿宋_GB2312" w:hAnsi="仿宋_GB2312" w:eastAsia="仿宋_GB2312" w:cs="仿宋_GB2312"/>
                <w:color w:val="auto"/>
                <w:sz w:val="32"/>
                <w:szCs w:val="32"/>
              </w:rPr>
            </w:pPr>
          </w:p>
        </w:tc>
        <w:tc>
          <w:tcPr>
            <w:tcW w:w="951" w:type="dxa"/>
            <w:vAlign w:val="center"/>
          </w:tcPr>
          <w:p w14:paraId="0DB0E063">
            <w:pPr>
              <w:widowControl/>
              <w:adjustRightInd w:val="0"/>
              <w:snapToGrid w:val="0"/>
              <w:rPr>
                <w:rFonts w:hint="eastAsia" w:ascii="仿宋_GB2312" w:hAnsi="仿宋_GB2312" w:eastAsia="仿宋_GB2312" w:cs="仿宋_GB2312"/>
                <w:color w:val="auto"/>
                <w:kern w:val="0"/>
                <w:sz w:val="32"/>
                <w:szCs w:val="32"/>
              </w:rPr>
            </w:pPr>
          </w:p>
        </w:tc>
      </w:tr>
      <w:tr w14:paraId="75D9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19" w:hRule="atLeast"/>
          <w:jc w:val="center"/>
        </w:trPr>
        <w:tc>
          <w:tcPr>
            <w:tcW w:w="617" w:type="dxa"/>
            <w:vAlign w:val="center"/>
          </w:tcPr>
          <w:p w14:paraId="5700026D">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p>
        </w:tc>
        <w:tc>
          <w:tcPr>
            <w:tcW w:w="950" w:type="dxa"/>
            <w:vAlign w:val="center"/>
          </w:tcPr>
          <w:p w14:paraId="7E6F059D">
            <w:pPr>
              <w:widowControl/>
              <w:adjustRightInd w:val="0"/>
              <w:snapToGrid w:val="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熔融有色金属罐体耳轴检测情况</w:t>
            </w:r>
          </w:p>
        </w:tc>
        <w:tc>
          <w:tcPr>
            <w:tcW w:w="950" w:type="dxa"/>
            <w:vAlign w:val="center"/>
          </w:tcPr>
          <w:p w14:paraId="49DDB75E">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盛装铜水等熔融有色金属及渣的罐（包、盆）等容器耳轴是否定期进行检测（重大隐患）</w:t>
            </w:r>
          </w:p>
        </w:tc>
        <w:tc>
          <w:tcPr>
            <w:tcW w:w="5668" w:type="dxa"/>
            <w:vAlign w:val="center"/>
          </w:tcPr>
          <w:p w14:paraId="19AD83F4">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26667EED">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《冶金企业和有色金属企业安全生产规定》第三十条第二款</w:t>
            </w:r>
            <w:r>
              <w:rPr>
                <w:rFonts w:hint="eastAsia" w:ascii="仿宋_GB2312" w:hAnsi="仿宋_GB2312" w:eastAsia="仿宋_GB2312" w:cs="仿宋_GB2312"/>
                <w:color w:val="auto"/>
                <w:kern w:val="0"/>
                <w:sz w:val="32"/>
                <w:szCs w:val="32"/>
              </w:rPr>
              <w:t>企业应当定期对吊运、盛装熔融金属的吊具、罐体（本体、耳轴）进行安全检查和探伤检测。</w:t>
            </w:r>
          </w:p>
          <w:p w14:paraId="47DFF601">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《高温熔融金属吊运安全规程》（AQ7011-2018）第6.2.6条</w:t>
            </w:r>
            <w:r>
              <w:rPr>
                <w:rFonts w:hint="eastAsia" w:ascii="仿宋_GB2312" w:hAnsi="仿宋_GB2312" w:eastAsia="仿宋_GB2312" w:cs="仿宋_GB2312"/>
                <w:color w:val="auto"/>
                <w:kern w:val="0"/>
                <w:sz w:val="32"/>
                <w:szCs w:val="32"/>
              </w:rPr>
              <w:t>罐体和浇包耳轴加工后应进行探伤检查，探伤的要求应遵守JB/T 5000的规定。使用中的熔融金属罐体和包体每年应至少对耳轴作一次无损探伤检查，做好记录，并存档。凡耳轴出现内裂纹、壳体焊缝开裂、明显变形、耳轴磨损超过原轴直径的10%、机械失灵、内衬损坏超过规定，均应报修或报废。</w:t>
            </w:r>
          </w:p>
          <w:p w14:paraId="1B5AADA9">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《国家安全监管总局关于印发〈工贸行业重大生产安全事故隐患判定标准（2017）版〉的通知》第3项。</w:t>
            </w:r>
          </w:p>
        </w:tc>
        <w:tc>
          <w:tcPr>
            <w:tcW w:w="2130" w:type="dxa"/>
            <w:vAlign w:val="center"/>
          </w:tcPr>
          <w:p w14:paraId="21617D3E">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w:t>
            </w:r>
          </w:p>
          <w:p w14:paraId="09FF1A4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（2）吊运、盛装熔融金属的吊具、罐体等检测报告；</w:t>
            </w:r>
          </w:p>
          <w:p w14:paraId="1BD76F9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（3）吊运、盛装熔融金属的吊具、罐体等维护保养记录；</w:t>
            </w:r>
          </w:p>
          <w:p w14:paraId="292E96C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（4）图片或影像资料；</w:t>
            </w:r>
          </w:p>
          <w:p w14:paraId="0FF3A73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1B37765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320DB4E0">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（7）其他相关证据。</w:t>
            </w:r>
          </w:p>
        </w:tc>
        <w:tc>
          <w:tcPr>
            <w:tcW w:w="3899" w:type="dxa"/>
            <w:vAlign w:val="center"/>
          </w:tcPr>
          <w:p w14:paraId="6888A19F">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77088DD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《冶金和有色金属企业安全生产规定》第四十六条</w:t>
            </w:r>
            <w:r>
              <w:rPr>
                <w:rFonts w:hint="eastAsia" w:ascii="仿宋_GB2312" w:hAnsi="仿宋_GB2312" w:eastAsia="仿宋_GB2312" w:cs="仿宋_GB2312"/>
                <w:color w:val="auto"/>
                <w:kern w:val="0"/>
                <w:sz w:val="32"/>
                <w:szCs w:val="32"/>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0F32E43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71C7FE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8EE4C96">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23A96C0D">
            <w:pPr>
              <w:widowControl/>
              <w:adjustRightInd w:val="0"/>
              <w:snapToGrid w:val="0"/>
              <w:rPr>
                <w:rFonts w:hint="eastAsia" w:ascii="仿宋_GB2312" w:hAnsi="仿宋_GB2312" w:eastAsia="仿宋_GB2312" w:cs="仿宋_GB2312"/>
                <w:color w:val="auto"/>
                <w:kern w:val="0"/>
                <w:sz w:val="32"/>
                <w:szCs w:val="32"/>
              </w:rPr>
            </w:pPr>
          </w:p>
        </w:tc>
      </w:tr>
      <w:tr w14:paraId="5E73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17" w:hRule="atLeast"/>
          <w:jc w:val="center"/>
        </w:trPr>
        <w:tc>
          <w:tcPr>
            <w:tcW w:w="617" w:type="dxa"/>
            <w:vAlign w:val="center"/>
          </w:tcPr>
          <w:p w14:paraId="3CCDBC87">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p>
        </w:tc>
        <w:tc>
          <w:tcPr>
            <w:tcW w:w="950" w:type="dxa"/>
            <w:vAlign w:val="center"/>
          </w:tcPr>
          <w:p w14:paraId="76A6DBE7">
            <w:pPr>
              <w:widowControl/>
              <w:adjustRightInd w:val="0"/>
              <w:snapToGrid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防积水情况</w:t>
            </w:r>
          </w:p>
        </w:tc>
        <w:tc>
          <w:tcPr>
            <w:tcW w:w="950" w:type="dxa"/>
            <w:vAlign w:val="center"/>
          </w:tcPr>
          <w:p w14:paraId="03C05BA5">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高温熔融有色金属冶炼、精炼、铸造生产区域的安全坑内及熔体泄漏、喷溅影响范围内是否存在非生产性积水；熔体容易喷溅到的区域是否放置有易燃易爆物品（重大隐患）</w:t>
            </w:r>
          </w:p>
        </w:tc>
        <w:tc>
          <w:tcPr>
            <w:tcW w:w="5668" w:type="dxa"/>
            <w:vAlign w:val="center"/>
          </w:tcPr>
          <w:p w14:paraId="1E3370DC">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49CA105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《冶金企业和有色金属企业安全生产规定》第二十八条第一款</w:t>
            </w:r>
            <w:r>
              <w:rPr>
                <w:rFonts w:hint="eastAsia" w:ascii="仿宋_GB2312" w:hAnsi="仿宋_GB2312" w:eastAsia="仿宋_GB2312" w:cs="仿宋_GB2312"/>
                <w:color w:val="auto"/>
                <w:kern w:val="0"/>
                <w:sz w:val="32"/>
                <w:szCs w:val="32"/>
              </w:rPr>
              <w:t>企业在进行高温熔融金属冶炼、保温、运输、吊运过程中，应当采取防止泄漏、喷溅、爆炸伤人的安全措施，其影响区域不得有非生产性积水。</w:t>
            </w:r>
          </w:p>
          <w:p w14:paraId="6E9EC28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《有色金属工程设计防火规范》（GB50630-2010）第4.5.6条</w:t>
            </w:r>
            <w:r>
              <w:rPr>
                <w:rFonts w:hint="eastAsia" w:ascii="仿宋_GB2312" w:hAnsi="仿宋_GB2312" w:eastAsia="仿宋_GB2312" w:cs="仿宋_GB2312"/>
                <w:color w:val="auto"/>
                <w:kern w:val="0"/>
                <w:sz w:val="32"/>
                <w:szCs w:val="32"/>
              </w:rPr>
              <w:t>冶炼生产厂房内具有熔融体作业区的防火设计应符合下列规定：......2.应采取防止雨雪飘淋室内的措施，严禁地面积水；不应在场地内设置水沟和给、排水管道，当必需设置时，应有避免水沟中积存水和防止渗漏的可靠构造措施；......</w:t>
            </w:r>
          </w:p>
          <w:p w14:paraId="045F825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《有色金属工程设计防火规范》（GB50630-2010）第4.7.1条</w:t>
            </w:r>
            <w:r>
              <w:rPr>
                <w:rFonts w:hint="eastAsia" w:ascii="仿宋_GB2312" w:hAnsi="仿宋_GB2312" w:eastAsia="仿宋_GB2312" w:cs="仿宋_GB2312"/>
                <w:color w:val="auto"/>
                <w:kern w:val="0"/>
                <w:sz w:val="32"/>
                <w:szCs w:val="32"/>
              </w:rPr>
              <w:t>熔盐电解（含铝、镁电解等类型）生产工艺的防火设计应符合下列规定：......3.严禁雨水、地表水、地下水进入电解厂房，不得在电解厂房内设置上、下水管道；......</w:t>
            </w:r>
          </w:p>
          <w:p w14:paraId="598AB3B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《有色金属工程设计防火规范》（GB50630-2010）第6.3.1条</w:t>
            </w:r>
            <w:r>
              <w:rPr>
                <w:rFonts w:hint="eastAsia" w:ascii="仿宋_GB2312" w:hAnsi="仿宋_GB2312" w:eastAsia="仿宋_GB2312" w:cs="仿宋_GB2312"/>
                <w:color w:val="auto"/>
                <w:kern w:val="0"/>
                <w:sz w:val="32"/>
                <w:szCs w:val="32"/>
              </w:rPr>
              <w:t>具有熔融状态的粗金属（熔渣）作业区，其厂房屋面防水等级不应低于二级，应有防止天窗、天沟、水落管等雨水飘落、渗漏的可靠措施；......。</w:t>
            </w:r>
          </w:p>
          <w:p w14:paraId="7A7AB96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《铜及铜合金熔铸安全设计规范》（GB30187-2013）第8.10.8条</w:t>
            </w:r>
            <w:r>
              <w:rPr>
                <w:rFonts w:hint="eastAsia" w:ascii="仿宋_GB2312" w:hAnsi="仿宋_GB2312" w:eastAsia="仿宋_GB2312" w:cs="仿宋_GB2312"/>
                <w:color w:val="auto"/>
                <w:kern w:val="0"/>
                <w:sz w:val="32"/>
                <w:szCs w:val="32"/>
              </w:rPr>
              <w:t>具有熔融铜液（熔渣）的作业、吊运及浇铸场所，不宜设置地沟；不应敷设上、下水管道；屋面防水等级不应低于二级，并应有防止雨水渗漏的可靠措施。生产确需设置地沟或地坑时，应有严密的防水设施。该类车间地坪标高宜高出室外地面0.3m以上。</w:t>
            </w:r>
          </w:p>
          <w:p w14:paraId="43FC587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《国家安全监管总局关于印发〈工贸行业重大生产安全事故隐患判定标准（2017）版〉的通知》第4项。</w:t>
            </w:r>
          </w:p>
        </w:tc>
        <w:tc>
          <w:tcPr>
            <w:tcW w:w="2130" w:type="dxa"/>
            <w:vAlign w:val="center"/>
          </w:tcPr>
          <w:p w14:paraId="561D3D94">
            <w:pPr>
              <w:widowControl/>
              <w:adjustRightInd w:val="0"/>
              <w:snapToGrid w:val="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kern w:val="0"/>
                <w:sz w:val="32"/>
                <w:szCs w:val="32"/>
              </w:rPr>
              <w:t>（1）企业营业执照和有关证照；</w:t>
            </w:r>
          </w:p>
          <w:p w14:paraId="66A96AB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（2）图片或影像资料；</w:t>
            </w:r>
          </w:p>
          <w:p w14:paraId="7B26964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（3）《现场检查记录》《责令限期整改指令书》等相关执法文书；</w:t>
            </w:r>
          </w:p>
          <w:p w14:paraId="3B164A2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（4）企业相关人员任职文件、身份证明及其询问笔录；</w:t>
            </w:r>
          </w:p>
          <w:p w14:paraId="6D2C041E">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（5）其他相关证据。</w:t>
            </w:r>
          </w:p>
        </w:tc>
        <w:tc>
          <w:tcPr>
            <w:tcW w:w="3899" w:type="dxa"/>
            <w:vAlign w:val="center"/>
          </w:tcPr>
          <w:p w14:paraId="53703162">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636F913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《冶金和有色金属企业安全生产规定》第四十六条</w:t>
            </w:r>
            <w:r>
              <w:rPr>
                <w:rFonts w:hint="eastAsia" w:ascii="仿宋_GB2312" w:hAnsi="仿宋_GB2312" w:eastAsia="仿宋_GB2312" w:cs="仿宋_GB2312"/>
                <w:color w:val="auto"/>
                <w:kern w:val="0"/>
                <w:sz w:val="32"/>
                <w:szCs w:val="32"/>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41FCDB3D">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7C13BCC7">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0CEE37C">
            <w:pPr>
              <w:widowControl/>
              <w:adjustRightInd w:val="0"/>
              <w:snapToGrid w:val="0"/>
              <w:ind w:firstLine="640" w:firstLineChars="200"/>
              <w:rPr>
                <w:rFonts w:hint="eastAsia" w:ascii="仿宋_GB2312" w:hAnsi="仿宋_GB2312" w:eastAsia="仿宋_GB2312" w:cs="仿宋_GB2312"/>
                <w:color w:val="auto"/>
                <w:sz w:val="32"/>
                <w:szCs w:val="32"/>
              </w:rPr>
            </w:pPr>
          </w:p>
        </w:tc>
        <w:tc>
          <w:tcPr>
            <w:tcW w:w="951" w:type="dxa"/>
            <w:vAlign w:val="center"/>
          </w:tcPr>
          <w:p w14:paraId="350D1372">
            <w:pPr>
              <w:rPr>
                <w:rFonts w:hint="eastAsia" w:ascii="仿宋_GB2312" w:hAnsi="仿宋_GB2312" w:eastAsia="仿宋_GB2312" w:cs="仿宋_GB2312"/>
                <w:color w:val="auto"/>
                <w:sz w:val="32"/>
                <w:szCs w:val="32"/>
              </w:rPr>
            </w:pPr>
          </w:p>
        </w:tc>
      </w:tr>
      <w:tr w14:paraId="2208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20" w:hRule="atLeast"/>
          <w:jc w:val="center"/>
        </w:trPr>
        <w:tc>
          <w:tcPr>
            <w:tcW w:w="617" w:type="dxa"/>
            <w:vAlign w:val="center"/>
          </w:tcPr>
          <w:p w14:paraId="4FC6D490">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p>
        </w:tc>
        <w:tc>
          <w:tcPr>
            <w:tcW w:w="950" w:type="dxa"/>
            <w:vAlign w:val="center"/>
          </w:tcPr>
          <w:p w14:paraId="1671BDA0">
            <w:pPr>
              <w:widowControl/>
              <w:adjustRightInd w:val="0"/>
              <w:snapToGrid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有色金属铸造、浇铸流程紧急排放和应急储存设施情况</w:t>
            </w:r>
          </w:p>
        </w:tc>
        <w:tc>
          <w:tcPr>
            <w:tcW w:w="950" w:type="dxa"/>
            <w:vAlign w:val="center"/>
          </w:tcPr>
          <w:p w14:paraId="086BDD3F">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电炉、铸造熔炼炉、保温炉、倾翻炉、铸机、流液槽、熔盐电解槽等设备，铜水等有色熔融有色金属铸造、浇铸流程是否设置紧急排放和储存的设施情况（重大隐患）</w:t>
            </w:r>
          </w:p>
        </w:tc>
        <w:tc>
          <w:tcPr>
            <w:tcW w:w="5668" w:type="dxa"/>
            <w:vAlign w:val="center"/>
          </w:tcPr>
          <w:p w14:paraId="05E2446B">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78385A7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《冶金企业和有色金属企业安全生产规定》第二十九条</w:t>
            </w:r>
            <w:r>
              <w:rPr>
                <w:rFonts w:hint="eastAsia" w:ascii="仿宋_GB2312" w:hAnsi="仿宋_GB2312" w:eastAsia="仿宋_GB2312" w:cs="仿宋_GB2312"/>
                <w:color w:val="auto"/>
                <w:kern w:val="0"/>
                <w:sz w:val="32"/>
                <w:szCs w:val="32"/>
              </w:rPr>
              <w:t>企业对电炉、电解车间应当采取防雨措施和有效的排水设施，防止雨水进入槽下地坪，确保电炉、电解槽下没有积水。</w:t>
            </w:r>
          </w:p>
          <w:p w14:paraId="1079EC79">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企业对电炉、铸造熔炼炉、保温炉、倾翻炉、铸机、流液槽、熔盐电解槽等设备，应当设置熔融金属紧急排放和储存的设施，并在设备周围设置拦挡围堰，防止熔融金属外流。</w:t>
            </w:r>
          </w:p>
          <w:p w14:paraId="1CA1A65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《有色金属工程设计防火规范》（GB50630-2010）第4.5.5.8条</w:t>
            </w:r>
            <w:r>
              <w:rPr>
                <w:rFonts w:hint="eastAsia" w:ascii="仿宋_GB2312" w:hAnsi="仿宋_GB2312" w:eastAsia="仿宋_GB2312" w:cs="仿宋_GB2312"/>
                <w:color w:val="auto"/>
                <w:kern w:val="0"/>
                <w:sz w:val="32"/>
                <w:szCs w:val="32"/>
              </w:rPr>
              <w:t>根据工艺配置要求，在冶炼炉熔体放出口邻近区位处，当设置容纳漏淌熔体的应急事故坑时，事故坑距离厂房结构柱的净距不应小于0.5m，邻近事故坑的厂房钢结构（柱）应按本规范附录A的有关规定，进行耐火稳定性的验算和耐火防护。</w:t>
            </w:r>
          </w:p>
          <w:p w14:paraId="4F8F2BA6">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《国家安全监管总局关于印发〈工贸行业重大生产安全事故隐患判定标准（2017）版〉的通知》第4项</w:t>
            </w:r>
            <w:r>
              <w:rPr>
                <w:rFonts w:hint="eastAsia" w:ascii="仿宋_GB2312" w:hAnsi="仿宋_GB2312" w:eastAsia="仿宋_GB2312" w:cs="仿宋_GB2312"/>
                <w:color w:val="auto"/>
                <w:kern w:val="0"/>
                <w:sz w:val="32"/>
                <w:szCs w:val="32"/>
              </w:rPr>
              <w:t>。</w:t>
            </w:r>
          </w:p>
        </w:tc>
        <w:tc>
          <w:tcPr>
            <w:tcW w:w="2130" w:type="dxa"/>
            <w:vAlign w:val="center"/>
          </w:tcPr>
          <w:p w14:paraId="6B29228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54FA71D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（2）流程制度或说明等相关资料；</w:t>
            </w:r>
          </w:p>
          <w:p w14:paraId="4B8D5AC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（3）紧急排放和储存设施的购买凭证和说明书、合格证明；</w:t>
            </w:r>
          </w:p>
          <w:p w14:paraId="55676B1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（4）图片或影像资料；</w:t>
            </w:r>
          </w:p>
          <w:p w14:paraId="2D134EB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65C2EC2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5E6C7132">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（7）其他相关证据。</w:t>
            </w:r>
          </w:p>
        </w:tc>
        <w:tc>
          <w:tcPr>
            <w:tcW w:w="3899" w:type="dxa"/>
            <w:vAlign w:val="center"/>
          </w:tcPr>
          <w:p w14:paraId="16EBDE06">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26AFA99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《冶金和有色金属企业安全生产规定》第四十六条</w:t>
            </w:r>
            <w:r>
              <w:rPr>
                <w:rFonts w:hint="eastAsia" w:ascii="仿宋_GB2312" w:hAnsi="仿宋_GB2312" w:eastAsia="仿宋_GB2312" w:cs="仿宋_GB2312"/>
                <w:color w:val="auto"/>
                <w:kern w:val="0"/>
                <w:sz w:val="32"/>
                <w:szCs w:val="32"/>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2ED89D2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622D2F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tc>
        <w:tc>
          <w:tcPr>
            <w:tcW w:w="951" w:type="dxa"/>
            <w:vAlign w:val="center"/>
          </w:tcPr>
          <w:p w14:paraId="165C1808">
            <w:pPr>
              <w:rPr>
                <w:rFonts w:hint="eastAsia" w:ascii="仿宋_GB2312" w:hAnsi="仿宋_GB2312" w:eastAsia="仿宋_GB2312" w:cs="仿宋_GB2312"/>
                <w:color w:val="auto"/>
                <w:sz w:val="32"/>
                <w:szCs w:val="32"/>
              </w:rPr>
            </w:pPr>
          </w:p>
        </w:tc>
      </w:tr>
      <w:tr w14:paraId="16E7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603" w:hRule="atLeast"/>
          <w:jc w:val="center"/>
        </w:trPr>
        <w:tc>
          <w:tcPr>
            <w:tcW w:w="617" w:type="dxa"/>
            <w:vAlign w:val="center"/>
          </w:tcPr>
          <w:p w14:paraId="658E287A">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w:t>
            </w:r>
          </w:p>
        </w:tc>
        <w:tc>
          <w:tcPr>
            <w:tcW w:w="950" w:type="dxa"/>
            <w:vAlign w:val="center"/>
          </w:tcPr>
          <w:p w14:paraId="346692E2">
            <w:pPr>
              <w:widowControl/>
              <w:adjustRightInd w:val="0"/>
              <w:snapToGrid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高温工作的熔融有色金属冶炼炉窑、铸造机、加热炉及水冷元件设置应急冷却水源等冷却应急处置措施情况</w:t>
            </w:r>
          </w:p>
        </w:tc>
        <w:tc>
          <w:tcPr>
            <w:tcW w:w="950" w:type="dxa"/>
            <w:vAlign w:val="center"/>
          </w:tcPr>
          <w:p w14:paraId="18D22193">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高温工作的熔融有色金属冶炼炉窑、铸造机、加热炉及水冷元件是否设置应急冷却水源等冷却应急处置措施（重大隐患）</w:t>
            </w:r>
          </w:p>
        </w:tc>
        <w:tc>
          <w:tcPr>
            <w:tcW w:w="5668" w:type="dxa"/>
            <w:vAlign w:val="center"/>
          </w:tcPr>
          <w:p w14:paraId="761F7B96">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0D9A00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《铸造机械安全要求》（GB20905-2007）第10.4条</w:t>
            </w:r>
            <w:r>
              <w:rPr>
                <w:rFonts w:hint="eastAsia" w:ascii="仿宋_GB2312" w:hAnsi="仿宋_GB2312" w:eastAsia="仿宋_GB2312" w:cs="仿宋_GB2312"/>
                <w:color w:val="auto"/>
                <w:kern w:val="0"/>
                <w:sz w:val="32"/>
                <w:szCs w:val="32"/>
              </w:rPr>
              <w:t>工作中不允许因停电而造成水冷和其他系统中断的机器，应另设维持水冷和其他系统继续正常工作的附属装置。</w:t>
            </w:r>
          </w:p>
          <w:p w14:paraId="4929D69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《铜及铜合金熔铸安全设计规范》（GB30187-2013）第6.2.2条</w:t>
            </w:r>
            <w:r>
              <w:rPr>
                <w:rFonts w:hint="eastAsia" w:ascii="仿宋_GB2312" w:hAnsi="仿宋_GB2312" w:eastAsia="仿宋_GB2312" w:cs="仿宋_GB2312"/>
                <w:color w:val="auto"/>
                <w:kern w:val="0"/>
                <w:sz w:val="32"/>
                <w:szCs w:val="32"/>
              </w:rPr>
              <w:t>有芯感应炉应设置应急电源，有芯感应炉和无芯感应炉应设置应急水；并应设置事故坑、事故包；铸造机的结晶器应设置应急水。</w:t>
            </w:r>
          </w:p>
          <w:p w14:paraId="5B4FC0CE">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《铜冶炼厂工艺设计规范》（GB50616-2010）第6.2.12条</w:t>
            </w:r>
            <w:r>
              <w:rPr>
                <w:rFonts w:hint="eastAsia" w:ascii="仿宋_GB2312" w:hAnsi="仿宋_GB2312" w:eastAsia="仿宋_GB2312" w:cs="仿宋_GB2312"/>
                <w:color w:val="auto"/>
                <w:kern w:val="0"/>
                <w:sz w:val="32"/>
                <w:szCs w:val="32"/>
              </w:rPr>
              <w:t>闪速炉冷却水必须连续供水，不得中断，水压应稳定。冷却水应使用硬度低的净化水。</w:t>
            </w:r>
          </w:p>
          <w:p w14:paraId="124B2CA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《铜冶炼厂工艺设计规范》（GB50616-2010）第6.3.12条</w:t>
            </w:r>
            <w:r>
              <w:rPr>
                <w:rFonts w:hint="eastAsia" w:ascii="仿宋_GB2312" w:hAnsi="仿宋_GB2312" w:eastAsia="仿宋_GB2312" w:cs="仿宋_GB2312"/>
                <w:color w:val="auto"/>
                <w:kern w:val="0"/>
                <w:sz w:val="32"/>
                <w:szCs w:val="32"/>
              </w:rPr>
              <w:t>顶吹浸没熔炼安全措施必须符合下列规定：......3.炉体冷却元件供水不得中断，水压应稳定，冷却水应使用硬度低的净化水。</w:t>
            </w:r>
          </w:p>
          <w:p w14:paraId="1FE074F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《铜冶炼厂工艺设计规范》（GB50616-2010）第6.7.11条</w:t>
            </w:r>
            <w:r>
              <w:rPr>
                <w:rFonts w:hint="eastAsia" w:ascii="仿宋_GB2312" w:hAnsi="仿宋_GB2312" w:eastAsia="仿宋_GB2312" w:cs="仿宋_GB2312"/>
                <w:color w:val="auto"/>
                <w:kern w:val="0"/>
                <w:sz w:val="32"/>
                <w:szCs w:val="32"/>
              </w:rPr>
              <w:t>三菱熔炼炉冷却水必须连续供水，不得中断，水压应稳定，冷却水应为净化水。</w:t>
            </w:r>
          </w:p>
          <w:p w14:paraId="1445A0B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《铜冶炼厂工艺设计规范》（GB50616-2010）第6.8.10条</w:t>
            </w:r>
            <w:r>
              <w:rPr>
                <w:rFonts w:hint="eastAsia" w:ascii="仿宋_GB2312" w:hAnsi="仿宋_GB2312" w:eastAsia="仿宋_GB2312" w:cs="仿宋_GB2312"/>
                <w:color w:val="auto"/>
                <w:kern w:val="0"/>
                <w:sz w:val="32"/>
                <w:szCs w:val="32"/>
              </w:rPr>
              <w:t>瓦纽科夫熔炼炉冷却水必须连续供水，不得中断，水压应稳定，冷却水应为净化水。</w:t>
            </w:r>
          </w:p>
          <w:p w14:paraId="45242B75">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《国家安全监管总局关于印发〈工贸行业重大生产安全事故隐患判定标准（2017）版〉的通知》第6项。</w:t>
            </w:r>
          </w:p>
        </w:tc>
        <w:tc>
          <w:tcPr>
            <w:tcW w:w="2130" w:type="dxa"/>
            <w:vAlign w:val="center"/>
          </w:tcPr>
          <w:p w14:paraId="40E346AC">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w:t>
            </w:r>
          </w:p>
          <w:p w14:paraId="55BD4A2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（2）图片或影像资料；</w:t>
            </w:r>
          </w:p>
          <w:p w14:paraId="194364C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（3）《现场检查记录》《责令限期整改指令书》等相关执法文书；</w:t>
            </w:r>
          </w:p>
          <w:p w14:paraId="22EB3F5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（4）企业相关人员任职文件、身份证明及其询问笔录；</w:t>
            </w:r>
          </w:p>
          <w:p w14:paraId="36511162">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（5）其他相关证据。</w:t>
            </w:r>
          </w:p>
        </w:tc>
        <w:tc>
          <w:tcPr>
            <w:tcW w:w="3899" w:type="dxa"/>
            <w:vAlign w:val="center"/>
          </w:tcPr>
          <w:p w14:paraId="17ABE896">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61E51DC1">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46EC70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76ECD80">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0CFC89B5">
            <w:pPr>
              <w:rPr>
                <w:rFonts w:hint="eastAsia" w:ascii="仿宋_GB2312" w:hAnsi="仿宋_GB2312" w:eastAsia="仿宋_GB2312" w:cs="仿宋_GB2312"/>
                <w:color w:val="auto"/>
                <w:sz w:val="32"/>
                <w:szCs w:val="32"/>
              </w:rPr>
            </w:pPr>
          </w:p>
        </w:tc>
      </w:tr>
      <w:tr w14:paraId="5F3B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7" w:type="dxa"/>
            <w:vAlign w:val="center"/>
          </w:tcPr>
          <w:p w14:paraId="2F2025C8">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w:t>
            </w:r>
          </w:p>
        </w:tc>
        <w:tc>
          <w:tcPr>
            <w:tcW w:w="950" w:type="dxa"/>
            <w:vAlign w:val="center"/>
          </w:tcPr>
          <w:p w14:paraId="5362E0C2">
            <w:pPr>
              <w:widowControl/>
              <w:adjustRightInd w:val="0"/>
              <w:snapToGrid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冶炼炉窑的水冷元件配备温度、进出水流量差检测及报警装置和防止冷却水大量进入炉内的安全设施设置情况</w:t>
            </w:r>
          </w:p>
        </w:tc>
        <w:tc>
          <w:tcPr>
            <w:tcW w:w="950" w:type="dxa"/>
            <w:vAlign w:val="center"/>
          </w:tcPr>
          <w:p w14:paraId="7F7D5777">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冶炼炉窑的水冷元件是否配置温度、进出水流量差检测及报警装置；是否设置防止冷却水大量进入炉内的安全设施（如快速切断阀）（重大隐患）</w:t>
            </w:r>
          </w:p>
        </w:tc>
        <w:tc>
          <w:tcPr>
            <w:tcW w:w="5668" w:type="dxa"/>
            <w:vAlign w:val="center"/>
          </w:tcPr>
          <w:p w14:paraId="4FECFF66">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5CFC796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《有色金属工程设计防火规范》（GB50630-2010）第4.5.5条</w:t>
            </w:r>
            <w:r>
              <w:rPr>
                <w:rFonts w:hint="eastAsia" w:ascii="仿宋_GB2312" w:hAnsi="仿宋_GB2312" w:eastAsia="仿宋_GB2312" w:cs="仿宋_GB2312"/>
                <w:color w:val="auto"/>
                <w:kern w:val="0"/>
                <w:sz w:val="32"/>
                <w:szCs w:val="32"/>
              </w:rPr>
              <w:t>冶炼（含熔炼、吹炼、精炼等类型）生产工艺的防火设计应符合下列规定：......6.冶炼炉及其配套设施的密闭冷却水系统，应设置温度、压力、流量等检测以及事故报警信号和联锁控制装置，并宜独立设置循环水系统和应急供水装置；......</w:t>
            </w:r>
          </w:p>
          <w:p w14:paraId="0947B495">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《国家安全监管总局关于印发〈工贸行业重大生产安全事故隐患判定标准（2017）版〉的通知》第6项。</w:t>
            </w:r>
          </w:p>
        </w:tc>
        <w:tc>
          <w:tcPr>
            <w:tcW w:w="2130" w:type="dxa"/>
            <w:vAlign w:val="center"/>
          </w:tcPr>
          <w:p w14:paraId="6A95545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01CE381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（2）相关设施的购买凭证和说明书、合格证明；</w:t>
            </w:r>
          </w:p>
          <w:p w14:paraId="4B9F66A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（3）图片或影像资料；</w:t>
            </w:r>
          </w:p>
          <w:p w14:paraId="4191CD9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14D6574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17BA3D40">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（6）其他相关证据。</w:t>
            </w:r>
          </w:p>
        </w:tc>
        <w:tc>
          <w:tcPr>
            <w:tcW w:w="3899" w:type="dxa"/>
            <w:vAlign w:val="center"/>
          </w:tcPr>
          <w:p w14:paraId="1B25F75D">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1C6DD83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2C2DA5C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831C9F6">
            <w:pPr>
              <w:widowControl/>
              <w:adjustRightInd w:val="0"/>
              <w:snapToGrid w:val="0"/>
              <w:ind w:firstLine="643" w:firstLineChars="200"/>
              <w:rPr>
                <w:rFonts w:hint="eastAsia" w:ascii="仿宋_GB2312" w:hAnsi="仿宋_GB2312" w:eastAsia="仿宋_GB2312" w:cs="仿宋_GB2312"/>
                <w:b/>
                <w:bCs/>
                <w:color w:val="auto"/>
                <w:kern w:val="0"/>
                <w:sz w:val="32"/>
                <w:szCs w:val="32"/>
              </w:rPr>
            </w:pPr>
          </w:p>
        </w:tc>
        <w:tc>
          <w:tcPr>
            <w:tcW w:w="951" w:type="dxa"/>
            <w:vAlign w:val="center"/>
          </w:tcPr>
          <w:p w14:paraId="59EB143E">
            <w:pPr>
              <w:rPr>
                <w:rFonts w:hint="eastAsia" w:ascii="仿宋_GB2312" w:hAnsi="仿宋_GB2312" w:eastAsia="仿宋_GB2312" w:cs="仿宋_GB2312"/>
                <w:color w:val="auto"/>
                <w:sz w:val="32"/>
                <w:szCs w:val="32"/>
              </w:rPr>
            </w:pPr>
          </w:p>
        </w:tc>
      </w:tr>
      <w:tr w14:paraId="5124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7" w:type="dxa"/>
            <w:vAlign w:val="center"/>
          </w:tcPr>
          <w:p w14:paraId="232A2899">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w:t>
            </w:r>
          </w:p>
        </w:tc>
        <w:tc>
          <w:tcPr>
            <w:tcW w:w="950" w:type="dxa"/>
            <w:vAlign w:val="center"/>
          </w:tcPr>
          <w:p w14:paraId="387983FA">
            <w:pPr>
              <w:widowControl/>
              <w:adjustRightInd w:val="0"/>
              <w:snapToGrid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设备设施检查及维修报废情况</w:t>
            </w:r>
          </w:p>
        </w:tc>
        <w:tc>
          <w:tcPr>
            <w:tcW w:w="950" w:type="dxa"/>
            <w:vAlign w:val="center"/>
          </w:tcPr>
          <w:p w14:paraId="03DB87F5">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炉、窑、槽、罐类设备本体及附属设施定期检查，出现严重焊缝开裂、腐蚀、破损、衬砖损坏、壳体发红及明显弯曲变形等未报修或报废，仍继续使用（重大隐患）</w:t>
            </w:r>
          </w:p>
        </w:tc>
        <w:tc>
          <w:tcPr>
            <w:tcW w:w="5668" w:type="dxa"/>
            <w:vAlign w:val="center"/>
          </w:tcPr>
          <w:p w14:paraId="5DE9DD71">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0B94C84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《冶金企业和有色金属企业安全生产规定》第三十四条第一款</w:t>
            </w:r>
            <w:r>
              <w:rPr>
                <w:rFonts w:hint="eastAsia" w:ascii="仿宋_GB2312" w:hAnsi="仿宋_GB2312" w:eastAsia="仿宋_GB2312" w:cs="仿宋_GB2312"/>
                <w:color w:val="auto"/>
                <w:kern w:val="0"/>
                <w:sz w:val="32"/>
                <w:szCs w:val="32"/>
              </w:rPr>
              <w:t>企业对反应槽、罐、池、釜和储液罐、酸洗槽应当采取防腐蚀措施，设置事故池，进行经常性安全检查、维护、保养，并定期检测，保证正常运转。</w:t>
            </w:r>
          </w:p>
          <w:p w14:paraId="62E1232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《氧化铝安全生产规范》（GB30186-2013）第4.1.1.1条</w:t>
            </w:r>
            <w:r>
              <w:rPr>
                <w:rFonts w:hint="eastAsia" w:ascii="仿宋_GB2312" w:hAnsi="仿宋_GB2312" w:eastAsia="仿宋_GB2312" w:cs="仿宋_GB2312"/>
                <w:color w:val="auto"/>
                <w:kern w:val="0"/>
                <w:sz w:val="32"/>
                <w:szCs w:val="32"/>
              </w:rPr>
              <w:t>应定期检查石灰炉炉体及卷扬、下料漏斗、布料器等，设备出现裂纹、破损、炉体焊缝开裂、明显变形、机械失灵、衬砖损坏等应报修或报废。</w:t>
            </w:r>
          </w:p>
          <w:p w14:paraId="0FD9EAE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《氧化铝安全生产规范》（GB30186-2013）第4.2.4.1条</w:t>
            </w:r>
            <w:r>
              <w:rPr>
                <w:rFonts w:hint="eastAsia" w:ascii="仿宋_GB2312" w:hAnsi="仿宋_GB2312" w:eastAsia="仿宋_GB2312" w:cs="仿宋_GB2312"/>
                <w:color w:val="auto"/>
                <w:kern w:val="0"/>
                <w:sz w:val="32"/>
                <w:szCs w:val="32"/>
              </w:rPr>
              <w:t>应定期检查槽罐类设备及附属设施，槽体出现焊缝开裂、腐蚀、破损、明显变形、机械失灵应报修或报废。应按规定检测承压槽罐、管道，检测不合格不应使用。</w:t>
            </w:r>
          </w:p>
          <w:p w14:paraId="44919424">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《氧化铝安全生产规范》（GB30186-2013）第4.3.1.1条</w:t>
            </w:r>
            <w:r>
              <w:rPr>
                <w:rFonts w:hint="eastAsia" w:ascii="仿宋_GB2312" w:hAnsi="仿宋_GB2312" w:eastAsia="仿宋_GB2312" w:cs="仿宋_GB2312"/>
                <w:color w:val="auto"/>
                <w:kern w:val="0"/>
                <w:sz w:val="32"/>
                <w:szCs w:val="32"/>
              </w:rPr>
              <w:t>应定期检查熟料窑，窑体出现裂纹破损、焊缝开裂、明显弯曲变形、衬砖损坏等应检修处置。窑附属设施应定期检查、维护，发现问题及时联系检修处置。</w:t>
            </w:r>
          </w:p>
          <w:p w14:paraId="5133C11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《氧化铝安全生产规范》（GB30186-2013）第4.5.1.1条</w:t>
            </w:r>
            <w:r>
              <w:rPr>
                <w:rFonts w:hint="eastAsia" w:ascii="仿宋_GB2312" w:hAnsi="仿宋_GB2312" w:eastAsia="仿宋_GB2312" w:cs="仿宋_GB2312"/>
                <w:color w:val="auto"/>
                <w:kern w:val="0"/>
                <w:sz w:val="32"/>
                <w:szCs w:val="32"/>
              </w:rPr>
              <w:t>应定期检查、检测脱硅机及附属设施，机体出现焊缝开裂、腐蚀、机械损伤、凸凹变形、超过规定使用年限等，应报修或报废。</w:t>
            </w:r>
          </w:p>
          <w:p w14:paraId="73F3E96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《国家安全监管总局关于印发〈工贸行业重大生产安全事故隐患判定标准（2017）版〉的通知》第5项。</w:t>
            </w:r>
          </w:p>
        </w:tc>
        <w:tc>
          <w:tcPr>
            <w:tcW w:w="2130" w:type="dxa"/>
            <w:vAlign w:val="center"/>
          </w:tcPr>
          <w:p w14:paraId="73225C4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3E8B7C5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（2）安全设施设计；</w:t>
            </w:r>
          </w:p>
          <w:p w14:paraId="261EC85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（3）相关设施的购买凭证和说明书、合格证明；</w:t>
            </w:r>
          </w:p>
          <w:p w14:paraId="53599A6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（4）相关设备检查、维护保养记录；</w:t>
            </w:r>
          </w:p>
          <w:p w14:paraId="7E5CF9C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（5）相关设备检测报告；</w:t>
            </w:r>
          </w:p>
          <w:p w14:paraId="0F09057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（6）图片或影像资料；</w:t>
            </w:r>
          </w:p>
          <w:p w14:paraId="4D5757C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（7）《现场检查记录》《责令限期整改指令书》等相关执法文书；</w:t>
            </w:r>
          </w:p>
          <w:p w14:paraId="043534C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（8）企业相关人员任职文件、身份证明及其询问笔录；</w:t>
            </w:r>
          </w:p>
          <w:p w14:paraId="2603DBEE">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（9）其他相关证据。</w:t>
            </w:r>
          </w:p>
        </w:tc>
        <w:tc>
          <w:tcPr>
            <w:tcW w:w="3899" w:type="dxa"/>
            <w:vAlign w:val="center"/>
          </w:tcPr>
          <w:p w14:paraId="38C401F4">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5379AA4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69838E0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4030D7E">
            <w:pPr>
              <w:widowControl/>
              <w:adjustRightInd w:val="0"/>
              <w:snapToGrid w:val="0"/>
              <w:ind w:firstLine="640" w:firstLineChars="200"/>
              <w:rPr>
                <w:rFonts w:hint="eastAsia" w:ascii="仿宋_GB2312" w:hAnsi="仿宋_GB2312" w:eastAsia="仿宋_GB2312" w:cs="仿宋_GB2312"/>
                <w:color w:val="auto"/>
                <w:sz w:val="32"/>
                <w:szCs w:val="32"/>
              </w:rPr>
            </w:pPr>
          </w:p>
        </w:tc>
        <w:tc>
          <w:tcPr>
            <w:tcW w:w="951" w:type="dxa"/>
            <w:vAlign w:val="center"/>
          </w:tcPr>
          <w:p w14:paraId="5AB9BF02">
            <w:pPr>
              <w:rPr>
                <w:rFonts w:hint="eastAsia" w:ascii="仿宋_GB2312" w:hAnsi="仿宋_GB2312" w:eastAsia="仿宋_GB2312" w:cs="仿宋_GB2312"/>
                <w:color w:val="auto"/>
                <w:sz w:val="32"/>
                <w:szCs w:val="32"/>
              </w:rPr>
            </w:pPr>
          </w:p>
        </w:tc>
      </w:tr>
      <w:tr w14:paraId="7EC2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7" w:type="dxa"/>
            <w:vAlign w:val="center"/>
          </w:tcPr>
          <w:p w14:paraId="147AD663">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11</w:t>
            </w:r>
          </w:p>
        </w:tc>
        <w:tc>
          <w:tcPr>
            <w:tcW w:w="950" w:type="dxa"/>
            <w:vAlign w:val="center"/>
          </w:tcPr>
          <w:p w14:paraId="517BB4A3">
            <w:pPr>
              <w:widowControl/>
              <w:adjustRightInd w:val="0"/>
              <w:snapToGrid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使用煤气（天然气）的烧嘴等燃烧装置，设置与压力联锁的快速切断装置情况</w:t>
            </w:r>
          </w:p>
        </w:tc>
        <w:tc>
          <w:tcPr>
            <w:tcW w:w="950" w:type="dxa"/>
            <w:vAlign w:val="center"/>
          </w:tcPr>
          <w:p w14:paraId="1DAA0C2B">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使用煤气（天然气）的烧嘴等燃烧装置，是否设置与管线压力联锁的快速切断阀（重大隐患）</w:t>
            </w:r>
          </w:p>
        </w:tc>
        <w:tc>
          <w:tcPr>
            <w:tcW w:w="5668" w:type="dxa"/>
            <w:vAlign w:val="center"/>
          </w:tcPr>
          <w:p w14:paraId="21D00992">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6A01B05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《冶金企业和有色金属企业安全生产规定》第三十二条第一款</w:t>
            </w:r>
            <w:r>
              <w:rPr>
                <w:rFonts w:hint="eastAsia" w:ascii="仿宋_GB2312" w:hAnsi="仿宋_GB2312" w:eastAsia="仿宋_GB2312" w:cs="仿宋_GB2312"/>
                <w:color w:val="auto"/>
                <w:kern w:val="0"/>
                <w:sz w:val="32"/>
                <w:szCs w:val="32"/>
              </w:rPr>
              <w:t>生产、储存、使用煤气的企业应当严格执行《工业企业煤气安全规程》（GB6222），在可能发生煤气泄漏、聚集的场所，设置固定式煤气检测报警仪和安全警示标志。</w:t>
            </w:r>
          </w:p>
          <w:p w14:paraId="4FCBDBE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《工业企业煤气安全规程》（GB6222-2005）第7.1.1条</w:t>
            </w:r>
            <w:r>
              <w:rPr>
                <w:rFonts w:hint="eastAsia" w:ascii="仿宋_GB2312" w:hAnsi="仿宋_GB2312" w:eastAsia="仿宋_GB2312" w:cs="仿宋_GB2312"/>
                <w:color w:val="auto"/>
                <w:kern w:val="0"/>
                <w:sz w:val="32"/>
                <w:szCs w:val="32"/>
              </w:rPr>
              <w:t>当燃烧装置采用强制送风的燃烧嘴时，煤气支管上应装止回装置或自动隔断阀。在空气管道上应设泄爆膜。</w:t>
            </w:r>
          </w:p>
          <w:p w14:paraId="3A95449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《城镇燃气设计规范》（GB50028-2006）第10.6.6条</w:t>
            </w:r>
            <w:r>
              <w:rPr>
                <w:rFonts w:hint="eastAsia" w:ascii="仿宋_GB2312" w:hAnsi="仿宋_GB2312" w:eastAsia="仿宋_GB2312" w:cs="仿宋_GB2312"/>
                <w:color w:val="auto"/>
                <w:kern w:val="0"/>
                <w:sz w:val="32"/>
                <w:szCs w:val="32"/>
              </w:rPr>
              <w:t>工业企业生产用气设备燃烧装置的安全设施应符合下列要求：1.燃气管道上应安装低压和超压报警以及紧急自动切断阀；......</w:t>
            </w:r>
          </w:p>
          <w:p w14:paraId="697AC857">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《有色金属工程设计防火规范》（GB50630-2010）第4.5.2条</w:t>
            </w:r>
            <w:r>
              <w:rPr>
                <w:rFonts w:hint="eastAsia" w:ascii="仿宋_GB2312" w:hAnsi="仿宋_GB2312" w:eastAsia="仿宋_GB2312" w:cs="仿宋_GB2312"/>
                <w:color w:val="auto"/>
                <w:kern w:val="0"/>
                <w:sz w:val="32"/>
                <w:szCs w:val="32"/>
              </w:rPr>
              <w:t>冶金生产的各类炉窑（反应装置），当使用燃气时，其防火设计应符合下列规定：1.煤气使用装置的防火设计应符合现行国家标准《工业企业煤气安全规程》GB6222、《城镇燃气设计规范》GB50028的有关规定；......。</w:t>
            </w:r>
          </w:p>
          <w:p w14:paraId="214B041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《有色金属工程设计防火规范》（GB50630-2010）第4.5.4条</w:t>
            </w:r>
            <w:r>
              <w:rPr>
                <w:rFonts w:hint="eastAsia" w:ascii="仿宋_GB2312" w:hAnsi="仿宋_GB2312" w:eastAsia="仿宋_GB2312" w:cs="仿宋_GB2312"/>
                <w:color w:val="auto"/>
                <w:kern w:val="0"/>
                <w:sz w:val="32"/>
                <w:szCs w:val="32"/>
              </w:rPr>
              <w:t>冶金物料准备（含干燥、煅烧、焙烧、烧结等类型）生产工艺的防火设计应符合下列规定：......3.烧结机点火器应设置空气、煤气低压报警装置和指示信号以及煤气低压自动切断的装置；4.烧结机点火器烧嘴的空气支管应采取防爆措施，煤气管道应设置紧急事故快速切断阀；......</w:t>
            </w:r>
          </w:p>
          <w:p w14:paraId="74DFE42C">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《国家安全监管总局关于印发〈工贸行业重大生产安全事故隐患判定标准（2017）版〉的通知》第10项。</w:t>
            </w:r>
          </w:p>
        </w:tc>
        <w:tc>
          <w:tcPr>
            <w:tcW w:w="2130" w:type="dxa"/>
            <w:vAlign w:val="center"/>
          </w:tcPr>
          <w:p w14:paraId="7A1A701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7FD56CC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（2）图片或影像资料；</w:t>
            </w:r>
          </w:p>
          <w:p w14:paraId="0E46480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（3）《现场检查记录》《责令限期整改指令书》等相关执法文书；</w:t>
            </w:r>
          </w:p>
          <w:p w14:paraId="0A54A0C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（4）企业相关人员任职文件、身份证明及其询问笔录；</w:t>
            </w:r>
          </w:p>
          <w:p w14:paraId="01BA066B">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（5）其他相关证据。</w:t>
            </w:r>
          </w:p>
        </w:tc>
        <w:tc>
          <w:tcPr>
            <w:tcW w:w="3899" w:type="dxa"/>
            <w:vAlign w:val="center"/>
          </w:tcPr>
          <w:p w14:paraId="68C71A91">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7ADC063B">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《冶金和有色金属企业安全生产规定》第四十六条</w:t>
            </w:r>
            <w:r>
              <w:rPr>
                <w:rFonts w:hint="eastAsia" w:ascii="仿宋_GB2312" w:hAnsi="仿宋_GB2312" w:eastAsia="仿宋_GB2312" w:cs="仿宋_GB2312"/>
                <w:color w:val="auto"/>
                <w:kern w:val="0"/>
                <w:sz w:val="32"/>
                <w:szCs w:val="32"/>
              </w:rPr>
              <w:t>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p w14:paraId="7A4E951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0F05C96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60E21C4E">
            <w:pPr>
              <w:widowControl/>
              <w:adjustRightInd w:val="0"/>
              <w:snapToGrid w:val="0"/>
              <w:ind w:firstLine="640" w:firstLineChars="200"/>
              <w:rPr>
                <w:rFonts w:hint="eastAsia" w:ascii="仿宋_GB2312" w:hAnsi="仿宋_GB2312" w:eastAsia="仿宋_GB2312" w:cs="仿宋_GB2312"/>
                <w:color w:val="auto"/>
                <w:sz w:val="32"/>
                <w:szCs w:val="32"/>
              </w:rPr>
            </w:pPr>
          </w:p>
        </w:tc>
        <w:tc>
          <w:tcPr>
            <w:tcW w:w="951" w:type="dxa"/>
            <w:vAlign w:val="center"/>
          </w:tcPr>
          <w:p w14:paraId="2FF416FD">
            <w:pPr>
              <w:rPr>
                <w:rFonts w:hint="eastAsia" w:ascii="仿宋_GB2312" w:hAnsi="仿宋_GB2312" w:eastAsia="仿宋_GB2312" w:cs="仿宋_GB2312"/>
                <w:color w:val="auto"/>
                <w:sz w:val="32"/>
                <w:szCs w:val="32"/>
              </w:rPr>
            </w:pPr>
          </w:p>
        </w:tc>
      </w:tr>
      <w:tr w14:paraId="654C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011" w:hRule="atLeast"/>
          <w:jc w:val="center"/>
        </w:trPr>
        <w:tc>
          <w:tcPr>
            <w:tcW w:w="617" w:type="dxa"/>
            <w:vAlign w:val="center"/>
          </w:tcPr>
          <w:p w14:paraId="71A80ACC">
            <w:pPr>
              <w:widowControl/>
              <w:adjustRightInd w:val="0"/>
              <w:snapToGrid w:val="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12</w:t>
            </w:r>
          </w:p>
        </w:tc>
        <w:tc>
          <w:tcPr>
            <w:tcW w:w="950" w:type="dxa"/>
            <w:vAlign w:val="center"/>
          </w:tcPr>
          <w:p w14:paraId="40D9F87D">
            <w:pPr>
              <w:widowControl/>
              <w:adjustRightInd w:val="0"/>
              <w:snapToGrid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kern w:val="0"/>
                <w:sz w:val="32"/>
                <w:szCs w:val="32"/>
              </w:rPr>
              <w:t>煤气、氧气、氢气、酸、碱、氢化物等危险化学品的管理。</w:t>
            </w:r>
          </w:p>
        </w:tc>
        <w:tc>
          <w:tcPr>
            <w:tcW w:w="950" w:type="dxa"/>
            <w:vAlign w:val="center"/>
          </w:tcPr>
          <w:p w14:paraId="6A4FE8E4">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危险化学品、特别是剧毒化学品的管理是否符合相应规定</w:t>
            </w:r>
          </w:p>
        </w:tc>
        <w:tc>
          <w:tcPr>
            <w:tcW w:w="5668" w:type="dxa"/>
            <w:vAlign w:val="center"/>
          </w:tcPr>
          <w:p w14:paraId="36C6943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《冶金企业和有色金属企业安全生产规定》第三十一条</w:t>
            </w:r>
            <w:r>
              <w:rPr>
                <w:rFonts w:hint="eastAsia" w:ascii="仿宋_GB2312" w:hAnsi="仿宋_GB2312" w:eastAsia="仿宋_GB2312" w:cs="仿宋_GB2312"/>
                <w:color w:val="auto"/>
                <w:kern w:val="0"/>
                <w:sz w:val="32"/>
                <w:szCs w:val="32"/>
              </w:rPr>
              <w:t> 生产、储存、使用煤气的企业应当建立煤气防护站（组），配备必要的煤气防护人员、煤气检测报警装置及防护设施，并且每年至少组织一次煤气事故应急演练。</w:t>
            </w:r>
          </w:p>
          <w:p w14:paraId="31AB0EB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《冶金企业和有色金属企业安全生产规定》第三十二条</w:t>
            </w:r>
            <w:r>
              <w:rPr>
                <w:rFonts w:hint="eastAsia" w:ascii="仿宋_GB2312" w:hAnsi="仿宋_GB2312" w:eastAsia="仿宋_GB2312" w:cs="仿宋_GB2312"/>
                <w:color w:val="auto"/>
                <w:kern w:val="0"/>
                <w:sz w:val="32"/>
                <w:szCs w:val="32"/>
              </w:rPr>
              <w:t xml:space="preserve">  生产、储存、使用煤气的企业应当严格执行《工业企业煤气安全规程》（GB6222），在可能发生煤气泄漏、聚集的场所，设置固定式煤气检测报警仪和安全警示标志。</w:t>
            </w:r>
          </w:p>
          <w:p w14:paraId="42BF484C">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进入煤气区域作业的人员，应当携带便携式一氧化碳检测报警仪，配备空气呼吸器，并由企业安排专门人员进行安全管理。</w:t>
            </w:r>
          </w:p>
          <w:p w14:paraId="7BEF4473">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煤气柜区域应当设有隔离围栏，安装在线监控设备，并由企业安排专门人员值守。煤气柜区域严禁烟火。</w:t>
            </w:r>
          </w:p>
          <w:p w14:paraId="20F649C5">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《冶金企业和有色金属企业安全生产规定》第三十三条</w:t>
            </w:r>
            <w:r>
              <w:rPr>
                <w:rFonts w:hint="eastAsia" w:ascii="仿宋_GB2312" w:hAnsi="仿宋_GB2312" w:eastAsia="仿宋_GB2312" w:cs="仿宋_GB2312"/>
                <w:color w:val="auto"/>
                <w:kern w:val="0"/>
                <w:sz w:val="32"/>
                <w:szCs w:val="32"/>
              </w:rPr>
              <w:t>企业对涉及煤气、氧气、氢气等易燃易爆危险化学品生产、输送、使用、储存的设施以及油库、电缆隧道（沟）等重点防火部位，应当按照有关规定采取有效、可靠的防火、防爆和防泄漏措施。</w:t>
            </w:r>
          </w:p>
          <w:p w14:paraId="232D431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企业对具有爆炸危险环境的场所，应当按照《爆炸性气体环境用电气设备》（GB3836）及《爆炸危险环境电力装置设计规范》（GB50058）设置自动检测报警和防灭火装置。</w:t>
            </w:r>
          </w:p>
          <w:p w14:paraId="5B59F10F">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《冶金企业和有色金属企业安全生产规定》第三十六条</w:t>
            </w:r>
            <w:r>
              <w:rPr>
                <w:rFonts w:hint="eastAsia" w:ascii="仿宋_GB2312" w:hAnsi="仿宋_GB2312" w:eastAsia="仿宋_GB2312" w:cs="仿宋_GB2312"/>
                <w:color w:val="auto"/>
                <w:kern w:val="0"/>
                <w:sz w:val="32"/>
                <w:szCs w:val="32"/>
              </w:rPr>
              <w:t>企业在使用酸、碱的作业场所，应当采取防止人员灼伤的措施，并设置安全喷淋或者洗涤设施。</w:t>
            </w:r>
          </w:p>
          <w:p w14:paraId="3C44B31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采用剧毒物品的电镀、钝化等作业，企业应当在电镀槽的下方设置事故池，并加强对剧毒物品的安全管理。</w:t>
            </w:r>
          </w:p>
        </w:tc>
        <w:tc>
          <w:tcPr>
            <w:tcW w:w="2130" w:type="dxa"/>
            <w:vAlign w:val="center"/>
          </w:tcPr>
          <w:p w14:paraId="1E613A5B">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w:t>
            </w:r>
          </w:p>
          <w:p w14:paraId="0D386E3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（2）危险化学品相关管理制度和文件；</w:t>
            </w:r>
          </w:p>
          <w:p w14:paraId="67AE520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（3）图片或影像资料；</w:t>
            </w:r>
          </w:p>
          <w:p w14:paraId="36F8826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（4）《现场检查记录》《责令限期整改指令书》等相关执法文书；</w:t>
            </w:r>
          </w:p>
          <w:p w14:paraId="74AEAA0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（5）企业相关人员任职文件、身份证明及其询问笔录；</w:t>
            </w:r>
          </w:p>
          <w:p w14:paraId="09E87A33">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（6）其他相关证据。</w:t>
            </w:r>
          </w:p>
        </w:tc>
        <w:tc>
          <w:tcPr>
            <w:tcW w:w="3899" w:type="dxa"/>
            <w:vAlign w:val="center"/>
          </w:tcPr>
          <w:p w14:paraId="7564E56E">
            <w:pPr>
              <w:widowControl/>
              <w:adjustRightInd w:val="0"/>
              <w:snapToGrid w:val="0"/>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依据《中华人民共和国安全生产法》  、《危险化学品安全管理条例》、《四川省安全生产条例》相关条款实施处罚。</w:t>
            </w:r>
          </w:p>
        </w:tc>
        <w:tc>
          <w:tcPr>
            <w:tcW w:w="951" w:type="dxa"/>
            <w:vAlign w:val="center"/>
          </w:tcPr>
          <w:p w14:paraId="5FC6B06A">
            <w:pPr>
              <w:ind w:firstLine="640" w:firstLineChars="200"/>
              <w:rPr>
                <w:rFonts w:hint="eastAsia" w:ascii="仿宋_GB2312" w:hAnsi="仿宋_GB2312" w:eastAsia="仿宋_GB2312" w:cs="仿宋_GB2312"/>
                <w:color w:val="auto"/>
                <w:sz w:val="32"/>
                <w:szCs w:val="32"/>
              </w:rPr>
            </w:pPr>
          </w:p>
        </w:tc>
      </w:tr>
      <w:tr w14:paraId="346F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11" w:hRule="atLeast"/>
          <w:jc w:val="center"/>
        </w:trPr>
        <w:tc>
          <w:tcPr>
            <w:tcW w:w="15165" w:type="dxa"/>
            <w:gridSpan w:val="7"/>
            <w:vAlign w:val="center"/>
          </w:tcPr>
          <w:p w14:paraId="015FCC9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说明：1、根据本清单提供的证照及资料有原件的，应核实原件后留存复印件；无原件的提供复印件。所有复印件资料均应加盖企业公章。证照及资料有正副本的，均核验留存复印件。</w:t>
            </w:r>
          </w:p>
          <w:p w14:paraId="72FD76ED">
            <w:pPr>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2、其他相关证据：能够证明企业违法违规行为的其他相关资料。</w:t>
            </w:r>
          </w:p>
        </w:tc>
      </w:tr>
    </w:tbl>
    <w:p w14:paraId="559DD749">
      <w:pPr>
        <w:rPr>
          <w:rFonts w:hint="eastAsia" w:ascii="仿宋_GB2312" w:hAnsi="仿宋_GB2312" w:eastAsia="仿宋_GB2312" w:cs="仿宋_GB2312"/>
          <w:color w:val="auto"/>
          <w:sz w:val="32"/>
          <w:szCs w:val="32"/>
        </w:rPr>
        <w:sectPr>
          <w:footerReference r:id="rId4" w:type="default"/>
          <w:pgSz w:w="16838" w:h="11906" w:orient="landscape"/>
          <w:pgMar w:top="1134" w:right="680" w:bottom="1134" w:left="680" w:header="851" w:footer="992" w:gutter="0"/>
          <w:pgNumType w:fmt="numberInDash"/>
          <w:cols w:space="425" w:num="1"/>
          <w:docGrid w:type="lines" w:linePitch="312" w:charSpace="0"/>
        </w:sectPr>
      </w:pPr>
    </w:p>
    <w:p w14:paraId="204D391F">
      <w:pPr>
        <w:pStyle w:val="3"/>
        <w:spacing w:line="240" w:lineRule="auto"/>
        <w:jc w:val="center"/>
        <w:rPr>
          <w:rFonts w:hint="eastAsia" w:ascii="仿宋_GB2312" w:hAnsi="仿宋_GB2312" w:eastAsia="仿宋_GB2312" w:cs="仿宋_GB2312"/>
          <w:color w:val="auto"/>
          <w:sz w:val="32"/>
          <w:szCs w:val="32"/>
        </w:rPr>
      </w:pPr>
      <w:bookmarkStart w:id="26" w:name="_Toc9740"/>
      <w:r>
        <w:rPr>
          <w:rFonts w:hint="eastAsia" w:ascii="仿宋_GB2312" w:hAnsi="仿宋_GB2312" w:eastAsia="仿宋_GB2312" w:cs="仿宋_GB2312"/>
          <w:color w:val="auto"/>
          <w:sz w:val="32"/>
          <w:szCs w:val="32"/>
        </w:rPr>
        <w:t>烟草企业检查清单</w:t>
      </w:r>
      <w:bookmarkEnd w:id="26"/>
    </w:p>
    <w:tbl>
      <w:tblPr>
        <w:tblStyle w:val="8"/>
        <w:tblW w:w="15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7"/>
        <w:gridCol w:w="951"/>
        <w:gridCol w:w="951"/>
        <w:gridCol w:w="3899"/>
        <w:gridCol w:w="3899"/>
        <w:gridCol w:w="3899"/>
        <w:gridCol w:w="951"/>
      </w:tblGrid>
      <w:tr w14:paraId="1E8F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54" w:hRule="exact"/>
          <w:tblHeader/>
          <w:jc w:val="center"/>
        </w:trPr>
        <w:tc>
          <w:tcPr>
            <w:tcW w:w="617" w:type="dxa"/>
            <w:vAlign w:val="center"/>
          </w:tcPr>
          <w:p w14:paraId="712F7197">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序号</w:t>
            </w:r>
          </w:p>
        </w:tc>
        <w:tc>
          <w:tcPr>
            <w:tcW w:w="951" w:type="dxa"/>
            <w:vAlign w:val="center"/>
          </w:tcPr>
          <w:p w14:paraId="5C632CD8">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检查事项</w:t>
            </w:r>
          </w:p>
        </w:tc>
        <w:tc>
          <w:tcPr>
            <w:tcW w:w="951" w:type="dxa"/>
            <w:vAlign w:val="center"/>
          </w:tcPr>
          <w:p w14:paraId="6C26DBEB">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检查内容</w:t>
            </w:r>
          </w:p>
        </w:tc>
        <w:tc>
          <w:tcPr>
            <w:tcW w:w="3899" w:type="dxa"/>
            <w:vAlign w:val="center"/>
          </w:tcPr>
          <w:p w14:paraId="254C7E70">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检查依据</w:t>
            </w:r>
          </w:p>
        </w:tc>
        <w:tc>
          <w:tcPr>
            <w:tcW w:w="3899" w:type="dxa"/>
            <w:vAlign w:val="center"/>
          </w:tcPr>
          <w:p w14:paraId="36AD1BA2">
            <w:pPr>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主要证据</w:t>
            </w:r>
          </w:p>
        </w:tc>
        <w:tc>
          <w:tcPr>
            <w:tcW w:w="3899" w:type="dxa"/>
            <w:vAlign w:val="center"/>
          </w:tcPr>
          <w:p w14:paraId="095B72B7">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法律责任</w:t>
            </w:r>
          </w:p>
        </w:tc>
        <w:tc>
          <w:tcPr>
            <w:tcW w:w="951" w:type="dxa"/>
            <w:vAlign w:val="center"/>
          </w:tcPr>
          <w:p w14:paraId="2142D178">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检查结果</w:t>
            </w:r>
          </w:p>
        </w:tc>
      </w:tr>
      <w:tr w14:paraId="2F77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017" w:hRule="atLeast"/>
          <w:jc w:val="center"/>
        </w:trPr>
        <w:tc>
          <w:tcPr>
            <w:tcW w:w="617" w:type="dxa"/>
            <w:vMerge w:val="restart"/>
            <w:vAlign w:val="center"/>
          </w:tcPr>
          <w:p w14:paraId="60FE1957">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p w14:paraId="56413817">
            <w:pPr>
              <w:jc w:val="center"/>
              <w:rPr>
                <w:rFonts w:hint="eastAsia" w:ascii="仿宋_GB2312" w:hAnsi="仿宋_GB2312" w:eastAsia="仿宋_GB2312" w:cs="仿宋_GB2312"/>
                <w:color w:val="auto"/>
                <w:sz w:val="32"/>
                <w:szCs w:val="32"/>
              </w:rPr>
            </w:pPr>
          </w:p>
        </w:tc>
        <w:tc>
          <w:tcPr>
            <w:tcW w:w="951" w:type="dxa"/>
            <w:vMerge w:val="restart"/>
            <w:vAlign w:val="center"/>
          </w:tcPr>
          <w:p w14:paraId="71D1E2F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熏蒸杀虫作业安全防护措施情况</w:t>
            </w:r>
          </w:p>
        </w:tc>
        <w:tc>
          <w:tcPr>
            <w:tcW w:w="951" w:type="dxa"/>
            <w:vAlign w:val="center"/>
          </w:tcPr>
          <w:p w14:paraId="08BE37A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1.1熏蒸杀虫作业场所是否安排专人值班，</w:t>
            </w:r>
            <w:r>
              <w:rPr>
                <w:rFonts w:hint="eastAsia" w:ascii="仿宋_GB2312" w:hAnsi="仿宋_GB2312" w:eastAsia="仿宋_GB2312" w:cs="仿宋_GB2312"/>
                <w:color w:val="auto"/>
                <w:sz w:val="32"/>
                <w:szCs w:val="32"/>
              </w:rPr>
              <w:t>人员进入警戒区前是否进行许可登记</w:t>
            </w:r>
          </w:p>
        </w:tc>
        <w:tc>
          <w:tcPr>
            <w:tcW w:w="3899" w:type="dxa"/>
            <w:vAlign w:val="center"/>
          </w:tcPr>
          <w:p w14:paraId="704667C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《四川省安全生产条例》第四条第二款</w:t>
            </w:r>
            <w:r>
              <w:rPr>
                <w:rFonts w:hint="eastAsia" w:ascii="仿宋_GB2312" w:hAnsi="仿宋_GB2312" w:eastAsia="仿宋_GB2312" w:cs="仿宋_GB2312"/>
                <w:color w:val="auto"/>
                <w:kern w:val="0"/>
                <w:sz w:val="32"/>
                <w:szCs w:val="32"/>
              </w:rPr>
              <w:t>生产经营单位及其从业人员必须遵守安全生产法律、法规、规章、标准、规范、作业规程以及安全技术措施等相关规定。</w:t>
            </w:r>
          </w:p>
          <w:p w14:paraId="3C4313F2">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《储烟虫害治理磷化氢与二氧化碳混合熏蒸安全规程》(YC 301-2009)4.1.1.2</w:t>
            </w:r>
            <w:r>
              <w:rPr>
                <w:rFonts w:hint="eastAsia" w:ascii="仿宋_GB2312" w:hAnsi="仿宋_GB2312" w:eastAsia="仿宋_GB2312" w:cs="仿宋_GB2312"/>
                <w:color w:val="auto"/>
                <w:kern w:val="0"/>
                <w:sz w:val="32"/>
                <w:szCs w:val="32"/>
              </w:rPr>
              <w:t>熏蒸区域、设备清洗场所及残留物处理区应设置警戒线、悬挂醒目警示标志，并应安排专人值班，人员进入警戒区前应进行许可登记。</w:t>
            </w:r>
          </w:p>
        </w:tc>
        <w:tc>
          <w:tcPr>
            <w:tcW w:w="3899" w:type="dxa"/>
            <w:vAlign w:val="center"/>
          </w:tcPr>
          <w:p w14:paraId="52C187F6">
            <w:pPr>
              <w:widowControl/>
              <w:adjustRightInd w:val="0"/>
              <w:snapToGrid w:val="0"/>
              <w:rPr>
                <w:rFonts w:hint="eastAsia" w:ascii="仿宋_GB2312" w:hAnsi="仿宋_GB2312" w:eastAsia="仿宋_GB2312" w:cs="仿宋_GB2312"/>
                <w:color w:val="auto"/>
                <w:sz w:val="32"/>
                <w:szCs w:val="32"/>
              </w:rPr>
            </w:pPr>
          </w:p>
          <w:p w14:paraId="5113DA88">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（1）营业执照和有关证照；</w:t>
            </w:r>
          </w:p>
          <w:p w14:paraId="1CF06961">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（2）相关现场管理制度；</w:t>
            </w:r>
          </w:p>
          <w:p w14:paraId="5F312FF9">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（3）作业过程专人值班记录台账；</w:t>
            </w:r>
          </w:p>
          <w:p w14:paraId="44DDFD64">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（4）值班人员排班方案；</w:t>
            </w:r>
          </w:p>
          <w:p w14:paraId="5656C1E8">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（5）进入警戒区许可登记台账；</w:t>
            </w:r>
          </w:p>
          <w:p w14:paraId="41A134E8">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（6）现场图片或影像资料；</w:t>
            </w:r>
          </w:p>
          <w:p w14:paraId="4C9B3C64">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kern w:val="0"/>
                <w:sz w:val="32"/>
                <w:szCs w:val="32"/>
              </w:rPr>
              <w:t>《现场检查记录》《责令限期整改指令书》等相关执法文书；</w:t>
            </w:r>
          </w:p>
          <w:p w14:paraId="1ECC45F5">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kern w:val="0"/>
                <w:sz w:val="32"/>
                <w:szCs w:val="32"/>
              </w:rPr>
              <w:t>相关人员任职文件、身份证明及其询问笔录；</w:t>
            </w:r>
          </w:p>
          <w:p w14:paraId="5B75D665">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（9）证人证言；</w:t>
            </w:r>
          </w:p>
          <w:p w14:paraId="251D1E34">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（10）其他相关证据。</w:t>
            </w:r>
          </w:p>
        </w:tc>
        <w:tc>
          <w:tcPr>
            <w:tcW w:w="3899" w:type="dxa"/>
            <w:vAlign w:val="center"/>
          </w:tcPr>
          <w:p w14:paraId="6637D60A">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 </w:t>
            </w:r>
          </w:p>
        </w:tc>
        <w:tc>
          <w:tcPr>
            <w:tcW w:w="951" w:type="dxa"/>
            <w:vAlign w:val="center"/>
          </w:tcPr>
          <w:p w14:paraId="24B2D5FB">
            <w:pPr>
              <w:widowControl/>
              <w:adjustRightInd w:val="0"/>
              <w:snapToGrid w:val="0"/>
              <w:rPr>
                <w:rFonts w:hint="eastAsia" w:ascii="仿宋_GB2312" w:hAnsi="仿宋_GB2312" w:eastAsia="仿宋_GB2312" w:cs="仿宋_GB2312"/>
                <w:color w:val="auto"/>
                <w:kern w:val="0"/>
                <w:sz w:val="32"/>
                <w:szCs w:val="32"/>
              </w:rPr>
            </w:pPr>
          </w:p>
        </w:tc>
      </w:tr>
      <w:tr w14:paraId="7027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73" w:hRule="atLeast"/>
          <w:jc w:val="center"/>
        </w:trPr>
        <w:tc>
          <w:tcPr>
            <w:tcW w:w="617" w:type="dxa"/>
            <w:vMerge w:val="continue"/>
            <w:vAlign w:val="center"/>
          </w:tcPr>
          <w:p w14:paraId="7154BC8C">
            <w:pPr>
              <w:jc w:val="center"/>
              <w:rPr>
                <w:rFonts w:hint="eastAsia" w:ascii="仿宋_GB2312" w:hAnsi="仿宋_GB2312" w:eastAsia="仿宋_GB2312" w:cs="仿宋_GB2312"/>
                <w:color w:val="auto"/>
                <w:sz w:val="32"/>
                <w:szCs w:val="32"/>
              </w:rPr>
            </w:pPr>
          </w:p>
        </w:tc>
        <w:tc>
          <w:tcPr>
            <w:tcW w:w="951" w:type="dxa"/>
            <w:vMerge w:val="continue"/>
            <w:vAlign w:val="center"/>
          </w:tcPr>
          <w:p w14:paraId="42A7247F">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087071B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1.2熏蒸杀虫作业场所作业人员是否按规定配置相应的</w:t>
            </w:r>
            <w:r>
              <w:rPr>
                <w:rFonts w:hint="eastAsia" w:ascii="仿宋_GB2312" w:hAnsi="仿宋_GB2312" w:eastAsia="仿宋_GB2312" w:cs="仿宋_GB2312"/>
                <w:color w:val="auto"/>
                <w:sz w:val="32"/>
                <w:szCs w:val="32"/>
              </w:rPr>
              <w:t>专用防护用品</w:t>
            </w:r>
            <w:r>
              <w:rPr>
                <w:rFonts w:hint="eastAsia" w:ascii="仿宋_GB2312" w:hAnsi="仿宋_GB2312" w:eastAsia="仿宋_GB2312" w:cs="仿宋_GB2312"/>
                <w:color w:val="auto"/>
                <w:kern w:val="0"/>
                <w:sz w:val="32"/>
                <w:szCs w:val="32"/>
              </w:rPr>
              <w:t>，并在工作中正确佩戴使用</w:t>
            </w:r>
          </w:p>
        </w:tc>
        <w:tc>
          <w:tcPr>
            <w:tcW w:w="3899" w:type="dxa"/>
            <w:vAlign w:val="center"/>
          </w:tcPr>
          <w:p w14:paraId="670FAA58">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第四十五条</w:t>
            </w:r>
            <w:r>
              <w:rPr>
                <w:rFonts w:hint="eastAsia" w:ascii="仿宋_GB2312" w:hAnsi="仿宋_GB2312" w:eastAsia="仿宋_GB2312" w:cs="仿宋_GB2312"/>
                <w:color w:val="auto"/>
                <w:sz w:val="32"/>
                <w:szCs w:val="32"/>
              </w:rPr>
              <w:t>生产经营单位必须为从业人员提供符合国家标准或者行业标准的劳动防护用品，并监督、教育从业人员按照使用规则佩戴、使用。</w:t>
            </w:r>
          </w:p>
          <w:p w14:paraId="3F20D1D8">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 xml:space="preserve">《储烟虫害治理磷化氢与二氧化碳混合熏蒸安全规程》(YC 301-2009)4.1.2.1  </w:t>
            </w:r>
            <w:r>
              <w:rPr>
                <w:rFonts w:hint="eastAsia" w:ascii="仿宋_GB2312" w:hAnsi="仿宋_GB2312" w:eastAsia="仿宋_GB2312" w:cs="仿宋_GB2312"/>
                <w:color w:val="auto"/>
                <w:kern w:val="0"/>
                <w:sz w:val="32"/>
                <w:szCs w:val="32"/>
              </w:rPr>
              <w:t>现场人员应配备专用防护用品，劳动防护用品的选择应符合GB11651的相关规定。</w:t>
            </w:r>
          </w:p>
          <w:p w14:paraId="0C9B986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《储烟虫害治理磷化氢与二氧化碳混合熏蒸安全规程》(YC 301-2009)4.1.2.2</w:t>
            </w:r>
            <w:r>
              <w:rPr>
                <w:rFonts w:hint="eastAsia" w:ascii="仿宋_GB2312" w:hAnsi="仿宋_GB2312" w:eastAsia="仿宋_GB2312" w:cs="仿宋_GB2312"/>
                <w:color w:val="auto"/>
                <w:kern w:val="0"/>
                <w:sz w:val="32"/>
                <w:szCs w:val="32"/>
              </w:rPr>
              <w:t>接触、使用磷化铝等熏蒸药剂和清洗仓外磷化氢发生器的作业人员佩戴的防毒面具应符合GB2890的相关规定。</w:t>
            </w:r>
          </w:p>
        </w:tc>
        <w:tc>
          <w:tcPr>
            <w:tcW w:w="3899" w:type="dxa"/>
            <w:vAlign w:val="center"/>
          </w:tcPr>
          <w:p w14:paraId="36567F21">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（1）营业执照和有关证照；</w:t>
            </w:r>
          </w:p>
          <w:p w14:paraId="3AE1C53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（2）专用防护用品合格证书或其他合格证明资料；</w:t>
            </w:r>
          </w:p>
          <w:p w14:paraId="71AFA7A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color w:val="auto"/>
                <w:sz w:val="32"/>
                <w:szCs w:val="32"/>
              </w:rPr>
              <w:t>专用防护用品采购、发放记录台账；</w:t>
            </w:r>
          </w:p>
          <w:p w14:paraId="2AAEF39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（4）作业场所作业人员是否配置有</w:t>
            </w:r>
            <w:r>
              <w:rPr>
                <w:rFonts w:hint="eastAsia" w:ascii="仿宋_GB2312" w:hAnsi="仿宋_GB2312" w:eastAsia="仿宋_GB2312" w:cs="仿宋_GB2312"/>
                <w:color w:val="auto"/>
                <w:sz w:val="32"/>
                <w:szCs w:val="32"/>
              </w:rPr>
              <w:t>专用防护用品；</w:t>
            </w:r>
          </w:p>
          <w:p w14:paraId="741306F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（5）作业人员工作中正确佩戴使用</w:t>
            </w:r>
            <w:r>
              <w:rPr>
                <w:rFonts w:hint="eastAsia" w:ascii="仿宋_GB2312" w:hAnsi="仿宋_GB2312" w:eastAsia="仿宋_GB2312" w:cs="仿宋_GB2312"/>
                <w:color w:val="auto"/>
                <w:sz w:val="32"/>
                <w:szCs w:val="32"/>
              </w:rPr>
              <w:t>专用防护用品；</w:t>
            </w:r>
          </w:p>
          <w:p w14:paraId="2A8E8EAB">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color w:val="auto"/>
                <w:sz w:val="32"/>
                <w:szCs w:val="32"/>
              </w:rPr>
              <w:t>现场图片或影像资料；</w:t>
            </w:r>
          </w:p>
          <w:p w14:paraId="1B9269E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kern w:val="0"/>
                <w:sz w:val="32"/>
                <w:szCs w:val="32"/>
              </w:rPr>
              <w:t>《现场检查记录》《责令限期整改指令书》等相关执法文书；</w:t>
            </w:r>
          </w:p>
          <w:p w14:paraId="54F35865">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kern w:val="0"/>
                <w:sz w:val="32"/>
                <w:szCs w:val="32"/>
              </w:rPr>
              <w:t>相关人员任职文件、身份证明及其询问笔录；</w:t>
            </w:r>
          </w:p>
          <w:p w14:paraId="69699DE3">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（9）证人证言；</w:t>
            </w:r>
          </w:p>
          <w:p w14:paraId="5AD3703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（10）其他相关证据。</w:t>
            </w:r>
          </w:p>
        </w:tc>
        <w:tc>
          <w:tcPr>
            <w:tcW w:w="3899" w:type="dxa"/>
            <w:vAlign w:val="center"/>
          </w:tcPr>
          <w:p w14:paraId="755363F0">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第九十六条第五项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F57FFFF">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（五）未为从业人员提供符合国家标准或者行业标准的劳动防护用品的；</w:t>
            </w:r>
          </w:p>
        </w:tc>
        <w:tc>
          <w:tcPr>
            <w:tcW w:w="951" w:type="dxa"/>
            <w:vAlign w:val="center"/>
          </w:tcPr>
          <w:p w14:paraId="0C2DBDD9">
            <w:pPr>
              <w:widowControl/>
              <w:adjustRightInd w:val="0"/>
              <w:snapToGrid w:val="0"/>
              <w:rPr>
                <w:rFonts w:hint="eastAsia" w:ascii="仿宋_GB2312" w:hAnsi="仿宋_GB2312" w:eastAsia="仿宋_GB2312" w:cs="仿宋_GB2312"/>
                <w:color w:val="auto"/>
                <w:kern w:val="0"/>
                <w:sz w:val="32"/>
                <w:szCs w:val="32"/>
              </w:rPr>
            </w:pPr>
          </w:p>
        </w:tc>
      </w:tr>
      <w:tr w14:paraId="4A9D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22" w:hRule="atLeast"/>
          <w:jc w:val="center"/>
        </w:trPr>
        <w:tc>
          <w:tcPr>
            <w:tcW w:w="617" w:type="dxa"/>
            <w:vMerge w:val="continue"/>
            <w:vAlign w:val="center"/>
          </w:tcPr>
          <w:p w14:paraId="2434BCBB">
            <w:pPr>
              <w:jc w:val="center"/>
              <w:rPr>
                <w:rFonts w:hint="eastAsia" w:ascii="仿宋_GB2312" w:hAnsi="仿宋_GB2312" w:eastAsia="仿宋_GB2312" w:cs="仿宋_GB2312"/>
                <w:color w:val="auto"/>
                <w:sz w:val="32"/>
                <w:szCs w:val="32"/>
              </w:rPr>
            </w:pPr>
          </w:p>
        </w:tc>
        <w:tc>
          <w:tcPr>
            <w:tcW w:w="951" w:type="dxa"/>
            <w:vMerge w:val="continue"/>
            <w:vAlign w:val="center"/>
          </w:tcPr>
          <w:p w14:paraId="0F06887D">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504F8BF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1.3熏蒸杀虫作业前，是否确认无关人员全部撤离仓库（重大隐患）</w:t>
            </w:r>
          </w:p>
        </w:tc>
        <w:tc>
          <w:tcPr>
            <w:tcW w:w="3899" w:type="dxa"/>
            <w:vAlign w:val="center"/>
          </w:tcPr>
          <w:p w14:paraId="32047E9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《四川省安全生产条例》第四条第二款</w:t>
            </w:r>
            <w:r>
              <w:rPr>
                <w:rFonts w:hint="eastAsia" w:ascii="仿宋_GB2312" w:hAnsi="仿宋_GB2312" w:eastAsia="仿宋_GB2312" w:cs="仿宋_GB2312"/>
                <w:color w:val="auto"/>
                <w:kern w:val="0"/>
                <w:sz w:val="32"/>
                <w:szCs w:val="32"/>
              </w:rPr>
              <w:t>生产经营单位及其从业人员必须遵守安全生产法律、法规、规章、标准、规范、作业规程以及安全技术措施等相关规定。</w:t>
            </w:r>
          </w:p>
          <w:p w14:paraId="1FB2C87C">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《卷烟制造企业防尘防毒技术规范》（AQ4245-2015）6.7</w:t>
            </w:r>
            <w:r>
              <w:rPr>
                <w:rFonts w:hint="eastAsia" w:ascii="仿宋_GB2312" w:hAnsi="仿宋_GB2312" w:eastAsia="仿宋_GB2312" w:cs="仿宋_GB2312"/>
                <w:color w:val="auto"/>
                <w:kern w:val="0"/>
                <w:sz w:val="32"/>
                <w:szCs w:val="32"/>
              </w:rPr>
              <w:t>熏蒸作业应满足YC301的要求。应聘请专业机构和人员进行。熏蒸作业场所应密闭。熏蒸作业完成后经通风换气、有毒物质浓度经检测符合GBZ2.1的规定，撤销警戒区和撤除警示标识后，作业人员才可进入。</w:t>
            </w:r>
          </w:p>
        </w:tc>
        <w:tc>
          <w:tcPr>
            <w:tcW w:w="3899" w:type="dxa"/>
            <w:vAlign w:val="center"/>
          </w:tcPr>
          <w:p w14:paraId="4DF59AE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（1）营业执照和有关证照；</w:t>
            </w:r>
          </w:p>
          <w:p w14:paraId="2164AE1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（2）专业机构和人员聘用合同/协议、专业机构和人员的资质证明；</w:t>
            </w:r>
          </w:p>
          <w:p w14:paraId="1F493F4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（3）作业过程记录台账；</w:t>
            </w:r>
          </w:p>
          <w:p w14:paraId="376C6C1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（4）相关现场管理制度；</w:t>
            </w:r>
          </w:p>
          <w:p w14:paraId="04CDBE7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（5）现场图片或影像资料；</w:t>
            </w:r>
          </w:p>
          <w:p w14:paraId="432CEA01">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（6）《现场检查记录》《责令限期整改指令书》《现场处理措施决定书》等相关执法文书；</w:t>
            </w:r>
          </w:p>
          <w:p w14:paraId="5A29DDF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（7）相关人员任职文件、身份证明及其询问笔录；</w:t>
            </w:r>
          </w:p>
          <w:p w14:paraId="1D53A4F1">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（8）证人证言</w:t>
            </w:r>
            <w:r>
              <w:rPr>
                <w:rFonts w:hint="eastAsia" w:ascii="仿宋_GB2312" w:hAnsi="仿宋_GB2312" w:eastAsia="仿宋_GB2312" w:cs="仿宋_GB2312"/>
                <w:color w:val="auto"/>
                <w:sz w:val="32"/>
                <w:szCs w:val="32"/>
              </w:rPr>
              <w:t>；</w:t>
            </w:r>
          </w:p>
          <w:p w14:paraId="444C07C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（9）其他相关证据。</w:t>
            </w:r>
          </w:p>
        </w:tc>
        <w:tc>
          <w:tcPr>
            <w:tcW w:w="3899" w:type="dxa"/>
            <w:vAlign w:val="center"/>
          </w:tcPr>
          <w:p w14:paraId="7AFC148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《四川省安全生产条例》第七十七条</w:t>
            </w:r>
            <w:r>
              <w:rPr>
                <w:rFonts w:hint="eastAsia" w:ascii="仿宋_GB2312" w:hAnsi="仿宋_GB2312" w:eastAsia="仿宋_GB2312" w:cs="仿宋_GB2312"/>
                <w:color w:val="auto"/>
                <w:kern w:val="0"/>
                <w:sz w:val="32"/>
                <w:szCs w:val="32"/>
              </w:rPr>
              <w:t>违反本条例，未采取安全措施，造成事故隐患但未发生伤亡事故的，由安全生产监督管理部门在分级实施监察的职责内给予警告、责令限期整改，对有现实危险的应责令有关岗位的人员停止作业，消除隐患；对责任单位可并处5000元以上2万元以下罚款，对责任人员可并处500元以上2000元以下罚款。应负行政责任的，由有关部门给予行政处分。</w:t>
            </w:r>
          </w:p>
          <w:p w14:paraId="00EBD24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5FAF4A04">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5E36716C">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1A08DFA7">
            <w:pPr>
              <w:widowControl/>
              <w:adjustRightInd w:val="0"/>
              <w:snapToGrid w:val="0"/>
              <w:rPr>
                <w:rFonts w:hint="eastAsia" w:ascii="仿宋_GB2312" w:hAnsi="仿宋_GB2312" w:eastAsia="仿宋_GB2312" w:cs="仿宋_GB2312"/>
                <w:color w:val="auto"/>
                <w:kern w:val="0"/>
                <w:sz w:val="32"/>
                <w:szCs w:val="32"/>
              </w:rPr>
            </w:pPr>
          </w:p>
        </w:tc>
      </w:tr>
      <w:tr w14:paraId="014D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294" w:hRule="atLeast"/>
          <w:jc w:val="center"/>
        </w:trPr>
        <w:tc>
          <w:tcPr>
            <w:tcW w:w="617" w:type="dxa"/>
            <w:vMerge w:val="continue"/>
            <w:vAlign w:val="center"/>
          </w:tcPr>
          <w:p w14:paraId="5295799E">
            <w:pPr>
              <w:jc w:val="center"/>
              <w:rPr>
                <w:rFonts w:hint="eastAsia" w:ascii="仿宋_GB2312" w:hAnsi="仿宋_GB2312" w:eastAsia="仿宋_GB2312" w:cs="仿宋_GB2312"/>
                <w:color w:val="auto"/>
                <w:sz w:val="32"/>
                <w:szCs w:val="32"/>
              </w:rPr>
            </w:pPr>
          </w:p>
        </w:tc>
        <w:tc>
          <w:tcPr>
            <w:tcW w:w="951" w:type="dxa"/>
            <w:vMerge w:val="continue"/>
            <w:vAlign w:val="center"/>
          </w:tcPr>
          <w:p w14:paraId="4CA8E02D">
            <w:pPr>
              <w:widowControl/>
              <w:adjustRightInd w:val="0"/>
              <w:snapToGrid w:val="0"/>
              <w:rPr>
                <w:rFonts w:hint="eastAsia" w:ascii="仿宋_GB2312" w:hAnsi="仿宋_GB2312" w:eastAsia="仿宋_GB2312" w:cs="仿宋_GB2312"/>
                <w:color w:val="auto"/>
                <w:kern w:val="0"/>
                <w:sz w:val="32"/>
                <w:szCs w:val="32"/>
              </w:rPr>
            </w:pPr>
          </w:p>
        </w:tc>
        <w:tc>
          <w:tcPr>
            <w:tcW w:w="951" w:type="dxa"/>
            <w:vAlign w:val="center"/>
          </w:tcPr>
          <w:p w14:paraId="7BC2AF96">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1.4熏蒸杀虫作业场所是否设置警戒线、</w:t>
            </w:r>
            <w:r>
              <w:rPr>
                <w:rFonts w:hint="eastAsia" w:ascii="仿宋_GB2312" w:hAnsi="仿宋_GB2312" w:eastAsia="仿宋_GB2312" w:cs="仿宋_GB2312"/>
                <w:color w:val="auto"/>
                <w:sz w:val="32"/>
                <w:szCs w:val="32"/>
              </w:rPr>
              <w:t>悬挂醒目警示标志</w:t>
            </w:r>
          </w:p>
        </w:tc>
        <w:tc>
          <w:tcPr>
            <w:tcW w:w="3899" w:type="dxa"/>
            <w:vAlign w:val="center"/>
          </w:tcPr>
          <w:p w14:paraId="100EFE8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第三十五条</w:t>
            </w:r>
            <w:r>
              <w:rPr>
                <w:rFonts w:hint="eastAsia" w:ascii="仿宋_GB2312" w:hAnsi="仿宋_GB2312" w:eastAsia="仿宋_GB2312" w:cs="仿宋_GB2312"/>
                <w:color w:val="auto"/>
                <w:kern w:val="0"/>
                <w:sz w:val="32"/>
                <w:szCs w:val="32"/>
              </w:rPr>
              <w:t>生产经营单位应当在有较大危险因素的生产经营场所和有关设施、设备上，设置明显的安全警示标志。</w:t>
            </w:r>
          </w:p>
          <w:p w14:paraId="6A25A29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《储烟虫害治理磷化氢与二氧化碳混合熏蒸安全规程》(YC 301-2009)4.1.1.2</w:t>
            </w:r>
            <w:r>
              <w:rPr>
                <w:rFonts w:hint="eastAsia" w:ascii="仿宋_GB2312" w:hAnsi="仿宋_GB2312" w:eastAsia="仿宋_GB2312" w:cs="仿宋_GB2312"/>
                <w:color w:val="auto"/>
                <w:kern w:val="0"/>
                <w:sz w:val="32"/>
                <w:szCs w:val="32"/>
              </w:rPr>
              <w:t>熏蒸区域、设备清洗场所及残留物处理区应设置警戒线、悬挂醒目警示标志，并应安排专人值班，人员进入警戒区前应进行许可登记。</w:t>
            </w:r>
          </w:p>
        </w:tc>
        <w:tc>
          <w:tcPr>
            <w:tcW w:w="3899" w:type="dxa"/>
            <w:vAlign w:val="center"/>
          </w:tcPr>
          <w:p w14:paraId="38C48E7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（1）营业执照和有关证照；</w:t>
            </w:r>
          </w:p>
          <w:p w14:paraId="52BD139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（2）作业过程专人值班记录台账；</w:t>
            </w:r>
          </w:p>
          <w:p w14:paraId="54B72D0F">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（3）值班人员排班方案；</w:t>
            </w:r>
          </w:p>
          <w:p w14:paraId="5C587F40">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（4）进入警戒区许可登记台账；</w:t>
            </w:r>
          </w:p>
          <w:p w14:paraId="2E28247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（5）作业场所是否配备有警戒线、</w:t>
            </w:r>
            <w:r>
              <w:rPr>
                <w:rFonts w:hint="eastAsia" w:ascii="仿宋_GB2312" w:hAnsi="仿宋_GB2312" w:eastAsia="仿宋_GB2312" w:cs="仿宋_GB2312"/>
                <w:color w:val="auto"/>
                <w:sz w:val="32"/>
                <w:szCs w:val="32"/>
              </w:rPr>
              <w:t>醒目警示标志；</w:t>
            </w:r>
          </w:p>
          <w:p w14:paraId="339310CE">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（6）作业过程中是否正确使用警戒线、</w:t>
            </w:r>
            <w:r>
              <w:rPr>
                <w:rFonts w:hint="eastAsia" w:ascii="仿宋_GB2312" w:hAnsi="仿宋_GB2312" w:eastAsia="仿宋_GB2312" w:cs="仿宋_GB2312"/>
                <w:color w:val="auto"/>
                <w:sz w:val="32"/>
                <w:szCs w:val="32"/>
              </w:rPr>
              <w:t>醒目警示标志；</w:t>
            </w:r>
          </w:p>
          <w:p w14:paraId="7D64F592">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（7）相关现场管理制度；</w:t>
            </w:r>
          </w:p>
          <w:p w14:paraId="4956007A">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（8）现场图片或影像资料；</w:t>
            </w:r>
          </w:p>
          <w:p w14:paraId="6E980D55">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（9）《现场检查记录》《责令限期整改指令书》等相关执法文书；</w:t>
            </w:r>
          </w:p>
          <w:p w14:paraId="5F4BBF8A">
            <w:pPr>
              <w:widowControl/>
              <w:numPr>
                <w:ilvl w:val="255"/>
                <w:numId w:val="0"/>
              </w:num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（10）相关人员任职文件、身份证明及其询问笔录；</w:t>
            </w:r>
          </w:p>
          <w:p w14:paraId="3EEAD3E1">
            <w:pPr>
              <w:widowControl/>
              <w:numPr>
                <w:ilvl w:val="255"/>
                <w:numId w:val="0"/>
              </w:num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（11）证人证言</w:t>
            </w:r>
            <w:r>
              <w:rPr>
                <w:rFonts w:hint="eastAsia" w:ascii="仿宋_GB2312" w:hAnsi="仿宋_GB2312" w:eastAsia="仿宋_GB2312" w:cs="仿宋_GB2312"/>
                <w:color w:val="auto"/>
                <w:sz w:val="32"/>
                <w:szCs w:val="32"/>
              </w:rPr>
              <w:t>；</w:t>
            </w:r>
          </w:p>
          <w:p w14:paraId="187F20E9">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（12）其他相关证据。</w:t>
            </w:r>
          </w:p>
        </w:tc>
        <w:tc>
          <w:tcPr>
            <w:tcW w:w="3899" w:type="dxa"/>
            <w:vAlign w:val="center"/>
          </w:tcPr>
          <w:p w14:paraId="36CCE71D">
            <w:pPr>
              <w:widowControl/>
              <w:shd w:val="clear" w:color="auto" w:fill="FFFFFF"/>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第九十九条第一项</w:t>
            </w:r>
            <w:r>
              <w:rPr>
                <w:rFonts w:hint="eastAsia" w:ascii="仿宋_GB2312" w:hAnsi="仿宋_GB2312" w:eastAsia="仿宋_GB2312" w:cs="仿宋_GB2312"/>
                <w:color w:val="auto"/>
                <w:kern w:val="0"/>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6389089E">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（一）未在有较大危险因素的生产经营场所和有关设施、设备上设置明显的安全警示标志的；</w:t>
            </w:r>
          </w:p>
          <w:p w14:paraId="4D827462">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577451F2">
            <w:pPr>
              <w:widowControl/>
              <w:adjustRightInd w:val="0"/>
              <w:snapToGrid w:val="0"/>
              <w:rPr>
                <w:rFonts w:hint="eastAsia" w:ascii="仿宋_GB2312" w:hAnsi="仿宋_GB2312" w:eastAsia="仿宋_GB2312" w:cs="仿宋_GB2312"/>
                <w:color w:val="auto"/>
                <w:kern w:val="0"/>
                <w:sz w:val="32"/>
                <w:szCs w:val="32"/>
              </w:rPr>
            </w:pPr>
          </w:p>
        </w:tc>
      </w:tr>
      <w:tr w14:paraId="7732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741" w:hRule="atLeast"/>
          <w:jc w:val="center"/>
        </w:trPr>
        <w:tc>
          <w:tcPr>
            <w:tcW w:w="617" w:type="dxa"/>
            <w:vAlign w:val="center"/>
          </w:tcPr>
          <w:p w14:paraId="3AA5326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951" w:type="dxa"/>
            <w:vAlign w:val="center"/>
          </w:tcPr>
          <w:p w14:paraId="62DB815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使用液态二氧化碳的生产线和场所安全防护设备的设置情况</w:t>
            </w:r>
          </w:p>
        </w:tc>
        <w:tc>
          <w:tcPr>
            <w:tcW w:w="951" w:type="dxa"/>
            <w:vAlign w:val="center"/>
          </w:tcPr>
          <w:p w14:paraId="5FB5A7C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使用液态二氧化碳制造膨胀烟丝的生产线和场所，是否设置二氧化碳浓度报警仪、燃气浓度报警仪、紧急联动排风装置（重大隐患）</w:t>
            </w:r>
          </w:p>
        </w:tc>
        <w:tc>
          <w:tcPr>
            <w:tcW w:w="3899" w:type="dxa"/>
            <w:vAlign w:val="center"/>
          </w:tcPr>
          <w:p w14:paraId="031B6F52">
            <w:pPr>
              <w:widowControl/>
              <w:shd w:val="clear" w:color="auto" w:fill="FFFFFF"/>
              <w:ind w:left="531" w:leftChars="100" w:hanging="321" w:hangingChars="1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第三十六</w:t>
            </w:r>
          </w:p>
          <w:p w14:paraId="1E552A7B">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条第一款</w:t>
            </w:r>
            <w:r>
              <w:rPr>
                <w:rFonts w:hint="eastAsia" w:ascii="仿宋_GB2312" w:hAnsi="仿宋_GB2312" w:eastAsia="仿宋_GB2312" w:cs="仿宋_GB2312"/>
                <w:color w:val="auto"/>
                <w:kern w:val="0"/>
                <w:sz w:val="32"/>
                <w:szCs w:val="32"/>
              </w:rPr>
              <w:t>安全设备的设计、制造、安装、使用、检测、维修、改造和报废，应当符合国家标准或者行业标准。</w:t>
            </w:r>
          </w:p>
          <w:p w14:paraId="58DCAE56">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 xml:space="preserve">《卷烟厂设计规范》（YC/T 9-2015）6.3.10 </w:t>
            </w:r>
            <w:r>
              <w:rPr>
                <w:rFonts w:hint="eastAsia" w:ascii="仿宋_GB2312" w:hAnsi="仿宋_GB2312" w:eastAsia="仿宋_GB2312" w:cs="仿宋_GB2312"/>
                <w:color w:val="auto"/>
                <w:kern w:val="0"/>
                <w:sz w:val="32"/>
                <w:szCs w:val="32"/>
              </w:rPr>
              <w:t>在二氧化碳压缩机、二氧化碳容易积蓄及泄漏处应设二氧化碳浓度检测装置和自动报警系统，应设操作人员紧急出口。室内二氧化碳浓度不应超过5000mg／m</w:t>
            </w:r>
            <w:r>
              <w:rPr>
                <w:rFonts w:hint="eastAsia" w:ascii="仿宋_GB2312" w:hAnsi="仿宋_GB2312" w:eastAsia="仿宋_GB2312" w:cs="仿宋_GB2312"/>
                <w:color w:val="auto"/>
                <w:kern w:val="0"/>
                <w:sz w:val="32"/>
                <w:szCs w:val="32"/>
                <w:vertAlign w:val="superscript"/>
              </w:rPr>
              <w:t>3</w:t>
            </w:r>
            <w:r>
              <w:rPr>
                <w:rFonts w:hint="eastAsia" w:ascii="仿宋_GB2312" w:hAnsi="仿宋_GB2312" w:eastAsia="仿宋_GB2312" w:cs="仿宋_GB2312"/>
                <w:color w:val="auto"/>
                <w:kern w:val="0"/>
                <w:sz w:val="32"/>
                <w:szCs w:val="32"/>
              </w:rPr>
              <w:t>。</w:t>
            </w:r>
          </w:p>
          <w:p w14:paraId="4DA229A7">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《卷烟厂设计规范》（YC/T 9-2015）6.3.11</w:t>
            </w:r>
            <w:r>
              <w:rPr>
                <w:rFonts w:hint="eastAsia" w:ascii="仿宋_GB2312" w:hAnsi="仿宋_GB2312" w:eastAsia="仿宋_GB2312" w:cs="仿宋_GB2312"/>
                <w:color w:val="auto"/>
                <w:kern w:val="0"/>
                <w:sz w:val="32"/>
                <w:szCs w:val="32"/>
              </w:rPr>
              <w:t>膨胀烟丝车间应有对流通风措施，并应设事故通风装置。事故通风装置应与二氧化碳浓度检测装置和自动报警系统联动。</w:t>
            </w:r>
          </w:p>
          <w:p w14:paraId="5E112840">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《卷烟厂设计规范》（YC/T 9-2015）6.3.12</w:t>
            </w:r>
            <w:r>
              <w:rPr>
                <w:rFonts w:hint="eastAsia" w:ascii="仿宋_GB2312" w:hAnsi="仿宋_GB2312" w:eastAsia="仿宋_GB2312" w:cs="仿宋_GB2312"/>
                <w:color w:val="auto"/>
                <w:kern w:val="0"/>
                <w:sz w:val="32"/>
                <w:szCs w:val="32"/>
              </w:rPr>
              <w:t>热风炉宜布置在通风良好处，并设燃气浓度检测报警系统。</w:t>
            </w:r>
          </w:p>
          <w:p w14:paraId="54A815D2">
            <w:pPr>
              <w:widowControl/>
              <w:adjustRightInd w:val="0"/>
              <w:snapToGrid w:val="0"/>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《工贸行业重大生产安全事故隐患判定标准（2017版）》（安监总管四〔2017〕129号）</w:t>
            </w:r>
          </w:p>
          <w:p w14:paraId="0322749F">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二、行业类重大事故隐患</w:t>
            </w:r>
          </w:p>
          <w:p w14:paraId="100B475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（七）烟草行业</w:t>
            </w:r>
          </w:p>
          <w:p w14:paraId="0D3FE91E">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2.使用液态二氧化碳制造膨胀烟丝的生产线和场所，未设置二氧化碳浓度报警仪、燃气浓度报警仪、紧急联动排风装置。</w:t>
            </w:r>
          </w:p>
        </w:tc>
        <w:tc>
          <w:tcPr>
            <w:tcW w:w="3899" w:type="dxa"/>
            <w:vAlign w:val="center"/>
          </w:tcPr>
          <w:p w14:paraId="645B88E6">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（1）营业执照和有关证照；</w:t>
            </w:r>
          </w:p>
          <w:p w14:paraId="01B9F88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（2）查看购买合同；</w:t>
            </w:r>
          </w:p>
          <w:p w14:paraId="5123650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（3）查看合格证及使用说明；</w:t>
            </w:r>
          </w:p>
          <w:p w14:paraId="000998C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（4）查看安全设备登记表；</w:t>
            </w:r>
          </w:p>
          <w:p w14:paraId="5AA93CD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（5）查看运行记录；</w:t>
            </w:r>
          </w:p>
          <w:p w14:paraId="47BB213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（6）查看操作规程；</w:t>
            </w:r>
          </w:p>
          <w:p w14:paraId="299E264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（7）查设备管理部门及相关责任人责任落实情况；</w:t>
            </w:r>
          </w:p>
          <w:p w14:paraId="3265168C">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color w:val="auto"/>
                <w:sz w:val="32"/>
                <w:szCs w:val="32"/>
              </w:rPr>
              <w:t>现场图片或影像资料；</w:t>
            </w:r>
          </w:p>
          <w:p w14:paraId="55CFEA6E">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kern w:val="0"/>
                <w:sz w:val="32"/>
                <w:szCs w:val="32"/>
              </w:rPr>
              <w:t>《现场检查记录》《责令限期整改指令书》等相关执法文书；</w:t>
            </w:r>
          </w:p>
          <w:p w14:paraId="78E4ADB3">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kern w:val="0"/>
                <w:sz w:val="32"/>
                <w:szCs w:val="32"/>
              </w:rPr>
              <w:t>相关人员任职文件、身份证明及其询问笔录；</w:t>
            </w:r>
          </w:p>
          <w:p w14:paraId="555FB699">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（11）证人证言；</w:t>
            </w:r>
          </w:p>
          <w:p w14:paraId="499061D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（12）其他相关证据。</w:t>
            </w:r>
          </w:p>
        </w:tc>
        <w:tc>
          <w:tcPr>
            <w:tcW w:w="3899" w:type="dxa"/>
            <w:vAlign w:val="center"/>
          </w:tcPr>
          <w:p w14:paraId="7DC929AB">
            <w:pPr>
              <w:widowControl/>
              <w:adjustRightInd w:val="0"/>
              <w:snapToGrid w:val="0"/>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《中华人民共和国安全生产法》  第九十九条第二项</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sz w:val="32"/>
                <w:szCs w:val="32"/>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7D0FF801">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（二）安全设备的安装、使用、检测、改造和报废不符合国家标准或者行业标准的；</w:t>
            </w:r>
          </w:p>
          <w:p w14:paraId="7BAF8E03">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33BF9320">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1C9CEFDC">
            <w:pPr>
              <w:widowControl/>
              <w:adjustRightInd w:val="0"/>
              <w:snapToGrid w:val="0"/>
              <w:ind w:firstLine="640" w:firstLineChars="200"/>
              <w:rPr>
                <w:rFonts w:hint="eastAsia" w:ascii="仿宋_GB2312" w:hAnsi="仿宋_GB2312" w:eastAsia="仿宋_GB2312" w:cs="仿宋_GB2312"/>
                <w:color w:val="auto"/>
                <w:kern w:val="0"/>
                <w:sz w:val="32"/>
                <w:szCs w:val="32"/>
              </w:rPr>
            </w:pPr>
          </w:p>
        </w:tc>
        <w:tc>
          <w:tcPr>
            <w:tcW w:w="951" w:type="dxa"/>
            <w:vAlign w:val="center"/>
          </w:tcPr>
          <w:p w14:paraId="31FB160A">
            <w:pPr>
              <w:widowControl/>
              <w:adjustRightInd w:val="0"/>
              <w:snapToGrid w:val="0"/>
              <w:rPr>
                <w:rFonts w:hint="eastAsia" w:ascii="仿宋_GB2312" w:hAnsi="仿宋_GB2312" w:eastAsia="仿宋_GB2312" w:cs="仿宋_GB2312"/>
                <w:color w:val="auto"/>
                <w:kern w:val="0"/>
                <w:sz w:val="32"/>
                <w:szCs w:val="32"/>
              </w:rPr>
            </w:pPr>
          </w:p>
        </w:tc>
      </w:tr>
      <w:tr w14:paraId="26DA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529" w:hRule="atLeast"/>
          <w:jc w:val="center"/>
        </w:trPr>
        <w:tc>
          <w:tcPr>
            <w:tcW w:w="15167" w:type="dxa"/>
            <w:gridSpan w:val="7"/>
            <w:vAlign w:val="center"/>
          </w:tcPr>
          <w:p w14:paraId="5590E49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说明：1、根据本清单提供的证照及资料有原件的，应核实原件后留存复印件；无原件的提供复印件。所有复印件资料均应加盖企业公章。证照及资料有正副本的，均核验留存复印件。</w:t>
            </w:r>
          </w:p>
          <w:p w14:paraId="28DEDCAF">
            <w:pPr>
              <w:widowControl/>
              <w:adjustRightInd w:val="0"/>
              <w:snapToGrid w:val="0"/>
              <w:ind w:firstLine="960" w:firstLineChars="3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2、其他相关证据：能够证明企业违法违规行为的其他相关资料。</w:t>
            </w:r>
          </w:p>
        </w:tc>
      </w:tr>
    </w:tbl>
    <w:p w14:paraId="22813D5C">
      <w:pPr>
        <w:rPr>
          <w:rFonts w:hint="eastAsia" w:ascii="仿宋_GB2312" w:hAnsi="仿宋_GB2312" w:eastAsia="仿宋_GB2312" w:cs="仿宋_GB2312"/>
          <w:color w:val="auto"/>
          <w:sz w:val="32"/>
          <w:szCs w:val="32"/>
        </w:rPr>
      </w:pPr>
    </w:p>
    <w:p w14:paraId="39B591B3">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01355073">
      <w:pPr>
        <w:pStyle w:val="3"/>
        <w:spacing w:line="240" w:lineRule="auto"/>
        <w:jc w:val="center"/>
        <w:rPr>
          <w:rFonts w:hint="eastAsia" w:ascii="仿宋_GB2312" w:hAnsi="仿宋_GB2312" w:eastAsia="仿宋_GB2312" w:cs="仿宋_GB2312"/>
          <w:color w:val="auto"/>
          <w:sz w:val="32"/>
          <w:szCs w:val="32"/>
        </w:rPr>
      </w:pPr>
      <w:bookmarkStart w:id="27" w:name="_Toc15737"/>
      <w:r>
        <w:rPr>
          <w:rFonts w:hint="eastAsia" w:ascii="仿宋_GB2312" w:hAnsi="仿宋_GB2312" w:eastAsia="仿宋_GB2312" w:cs="仿宋_GB2312"/>
          <w:color w:val="auto"/>
          <w:sz w:val="32"/>
          <w:szCs w:val="32"/>
        </w:rPr>
        <w:t>粮食仓储企业检查清单</w:t>
      </w:r>
      <w:bookmarkEnd w:id="27"/>
    </w:p>
    <w:tbl>
      <w:tblPr>
        <w:tblStyle w:val="8"/>
        <w:tblW w:w="15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617"/>
        <w:gridCol w:w="950"/>
        <w:gridCol w:w="2193"/>
        <w:gridCol w:w="3834"/>
        <w:gridCol w:w="2723"/>
        <w:gridCol w:w="3900"/>
        <w:gridCol w:w="950"/>
      </w:tblGrid>
      <w:tr w14:paraId="54AC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97" w:hRule="atLeast"/>
          <w:tblHeader/>
          <w:jc w:val="center"/>
        </w:trPr>
        <w:tc>
          <w:tcPr>
            <w:tcW w:w="617" w:type="dxa"/>
            <w:vAlign w:val="center"/>
          </w:tcPr>
          <w:p w14:paraId="422A8B4D">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序号</w:t>
            </w:r>
          </w:p>
        </w:tc>
        <w:tc>
          <w:tcPr>
            <w:tcW w:w="950" w:type="dxa"/>
            <w:vAlign w:val="center"/>
          </w:tcPr>
          <w:p w14:paraId="2B544CAF">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检查事项</w:t>
            </w:r>
          </w:p>
        </w:tc>
        <w:tc>
          <w:tcPr>
            <w:tcW w:w="2193" w:type="dxa"/>
            <w:vAlign w:val="center"/>
          </w:tcPr>
          <w:p w14:paraId="58EC546D">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检查内容</w:t>
            </w:r>
          </w:p>
        </w:tc>
        <w:tc>
          <w:tcPr>
            <w:tcW w:w="3834" w:type="dxa"/>
            <w:vAlign w:val="center"/>
          </w:tcPr>
          <w:p w14:paraId="07D7F6A3">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检查依据</w:t>
            </w:r>
          </w:p>
        </w:tc>
        <w:tc>
          <w:tcPr>
            <w:tcW w:w="2723" w:type="dxa"/>
            <w:vAlign w:val="center"/>
          </w:tcPr>
          <w:p w14:paraId="54297F29">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主要证据</w:t>
            </w:r>
          </w:p>
        </w:tc>
        <w:tc>
          <w:tcPr>
            <w:tcW w:w="3900" w:type="dxa"/>
            <w:vAlign w:val="center"/>
          </w:tcPr>
          <w:p w14:paraId="788B8E4C">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法律责任</w:t>
            </w:r>
          </w:p>
        </w:tc>
        <w:tc>
          <w:tcPr>
            <w:tcW w:w="950" w:type="dxa"/>
            <w:vAlign w:val="center"/>
          </w:tcPr>
          <w:p w14:paraId="2B67FA63">
            <w:pPr>
              <w:widowControl/>
              <w:adjustRightInd w:val="0"/>
              <w:snapToGrid w:val="0"/>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检查结果</w:t>
            </w:r>
          </w:p>
        </w:tc>
      </w:tr>
      <w:tr w14:paraId="22407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3824" w:hRule="atLeast"/>
          <w:jc w:val="center"/>
        </w:trPr>
        <w:tc>
          <w:tcPr>
            <w:tcW w:w="617" w:type="dxa"/>
            <w:vAlign w:val="center"/>
          </w:tcPr>
          <w:p w14:paraId="262CE8D4">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950" w:type="dxa"/>
            <w:vAlign w:val="center"/>
          </w:tcPr>
          <w:p w14:paraId="5EB6D52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粮食出入仓作业安全保护措施情况</w:t>
            </w:r>
          </w:p>
        </w:tc>
        <w:tc>
          <w:tcPr>
            <w:tcW w:w="2193" w:type="dxa"/>
            <w:vAlign w:val="center"/>
          </w:tcPr>
          <w:p w14:paraId="64C4961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立筒仓和砖圆仓粮食入仓和自流出粮时，严禁人员进人仓内。人员从仓顶进仓作业时，应备有扶梯、站人护栏、软梯、安全带、吊篮等安全防护设施，进仓作业必须保证2人以上，系好安全带，仓外必须有人监护。进仓作业时，应先打开仓顶通风口，启动轴流风机，确认仓内不处于缺氧状态，熏蒸后药剂残留量已达到安全要求后，人员方可进仓（重大隐患）</w:t>
            </w:r>
          </w:p>
        </w:tc>
        <w:tc>
          <w:tcPr>
            <w:tcW w:w="3834" w:type="dxa"/>
            <w:vAlign w:val="center"/>
          </w:tcPr>
          <w:p w14:paraId="44E68A98">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41200040">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《粮食仓库安全操作规程》（LS 1206-2005）第4.2.8 条</w:t>
            </w:r>
            <w:r>
              <w:rPr>
                <w:rFonts w:hint="eastAsia" w:ascii="仿宋_GB2312" w:hAnsi="仿宋_GB2312" w:eastAsia="仿宋_GB2312" w:cs="仿宋_GB2312"/>
                <w:color w:val="auto"/>
                <w:kern w:val="0"/>
                <w:sz w:val="32"/>
                <w:szCs w:val="32"/>
              </w:rPr>
              <w:t>对于立筒仓和砖圆仓，粮食入仓时，严禁人员进入仓内;且仓内空气应能顺利排出，避免仓内形成过大的正压。</w:t>
            </w:r>
          </w:p>
          <w:p w14:paraId="49B501EF">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《粮食仓库安全操作规程》（LS 1206-2005）第4.2.17条</w:t>
            </w:r>
            <w:r>
              <w:rPr>
                <w:rFonts w:hint="eastAsia" w:ascii="仿宋_GB2312" w:hAnsi="仿宋_GB2312" w:eastAsia="仿宋_GB2312" w:cs="仿宋_GB2312"/>
                <w:color w:val="auto"/>
                <w:kern w:val="0"/>
                <w:sz w:val="32"/>
                <w:szCs w:val="32"/>
              </w:rPr>
              <w:t>进行通风口的开关和设备维护等仓顶作业时，若无爬梯和护栏，应系好安全带，并有专人保护。雨雪天气应注意防滑。</w:t>
            </w:r>
          </w:p>
          <w:p w14:paraId="250D12F4">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《粮食仓库安全操作规程》（LS 1206-2005）第5.2.1.3条</w:t>
            </w:r>
            <w:r>
              <w:rPr>
                <w:rFonts w:hint="eastAsia" w:ascii="仿宋_GB2312" w:hAnsi="仿宋_GB2312" w:eastAsia="仿宋_GB2312" w:cs="仿宋_GB2312"/>
                <w:color w:val="auto"/>
                <w:kern w:val="0"/>
                <w:sz w:val="32"/>
                <w:szCs w:val="32"/>
              </w:rPr>
              <w:t>人员从仓顶进仓作业时，必须遵循以下规定: a) 应备有扶梯、站人护栏、软梯、安全带、吊篮等安全防护设施；b)应先打开仓顶通风口，启动轴流风机，确认仓内不处于缺氧状态，熏蒸后药剂残留量已达到安全要求后，人员方可进仓；c)进仓作业必须保证2人以上。仓外必须有人监护，进仓作业人员必须系好安全带，并保证安全带有效；d) 仓内使用的灯具应属粉尘防爆型，电压应不超过36V。</w:t>
            </w:r>
          </w:p>
          <w:p w14:paraId="64760128">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《粮食仓库安全操作规程》（LS 1206-2005）第5.2.1.4条</w:t>
            </w:r>
            <w:r>
              <w:rPr>
                <w:rFonts w:hint="eastAsia" w:ascii="仿宋_GB2312" w:hAnsi="仿宋_GB2312" w:eastAsia="仿宋_GB2312" w:cs="仿宋_GB2312"/>
                <w:color w:val="auto"/>
                <w:kern w:val="0"/>
                <w:sz w:val="32"/>
                <w:szCs w:val="32"/>
              </w:rPr>
              <w:t>自流出粮时，禁止人员进入仓内。</w:t>
            </w:r>
          </w:p>
        </w:tc>
        <w:tc>
          <w:tcPr>
            <w:tcW w:w="2723" w:type="dxa"/>
            <w:vAlign w:val="center"/>
          </w:tcPr>
          <w:p w14:paraId="5054F9A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743F1F6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（2）相应装置或设备的合格证明；</w:t>
            </w:r>
          </w:p>
          <w:p w14:paraId="0C25C27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（3）作业人员和监护人员登记台账；</w:t>
            </w:r>
          </w:p>
          <w:p w14:paraId="3A14310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（4）安全管理制度和安全操作规程；</w:t>
            </w:r>
          </w:p>
          <w:p w14:paraId="40B52C3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（5）爆炸危险区域划分图；</w:t>
            </w:r>
          </w:p>
          <w:p w14:paraId="1C2C4E1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（6）防爆电气设备采购单和说明书、合格证；</w:t>
            </w:r>
          </w:p>
          <w:p w14:paraId="008211E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（7）图片或影像资料；</w:t>
            </w:r>
          </w:p>
          <w:p w14:paraId="0B2DE77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（8）《现场检查记录》《责令限期整改指令书》等相关执法文书；</w:t>
            </w:r>
          </w:p>
          <w:p w14:paraId="307C79F2">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（9）企业相关人员任职文件、身份证明及其询问笔录；</w:t>
            </w:r>
          </w:p>
          <w:p w14:paraId="66C61D3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（10）其他相关证据。</w:t>
            </w:r>
          </w:p>
        </w:tc>
        <w:tc>
          <w:tcPr>
            <w:tcW w:w="3900" w:type="dxa"/>
            <w:vAlign w:val="center"/>
          </w:tcPr>
          <w:p w14:paraId="1D6FCBA6">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119DDF49">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《中华人民共和国安全生产法》  第六十五条第一款第三项</w:t>
            </w:r>
            <w:r>
              <w:rPr>
                <w:rFonts w:hint="eastAsia" w:ascii="仿宋_GB2312" w:hAnsi="仿宋_GB2312" w:eastAsia="仿宋_GB2312" w:cs="仿宋_GB2312"/>
                <w:color w:val="auto"/>
                <w:kern w:val="0"/>
                <w:sz w:val="32"/>
                <w:szCs w:val="32"/>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14:paraId="1E3A48DD">
            <w:pPr>
              <w:widowControl/>
              <w:adjustRightInd w:val="0"/>
              <w:snapToGrid w:val="0"/>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rPr>
              <w:t>......（三）</w:t>
            </w:r>
            <w:r>
              <w:rPr>
                <w:rFonts w:hint="eastAsia" w:ascii="仿宋_GB2312" w:hAnsi="仿宋_GB2312" w:eastAsia="仿宋_GB2312" w:cs="仿宋_GB2312"/>
                <w:color w:val="auto"/>
                <w:kern w:val="0"/>
                <w:sz w:val="32"/>
                <w:szCs w:val="32"/>
              </w:rPr>
              <w:t>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75FF1449">
            <w:pPr>
              <w:widowControl/>
              <w:adjustRightInd w:val="0"/>
              <w:snapToGrid w:val="0"/>
              <w:ind w:firstLine="640" w:firstLineChars="200"/>
              <w:rPr>
                <w:rFonts w:hint="eastAsia" w:ascii="仿宋_GB2312" w:hAnsi="仿宋_GB2312" w:eastAsia="仿宋_GB2312" w:cs="仿宋_GB2312"/>
                <w:color w:val="auto"/>
                <w:kern w:val="0"/>
                <w:sz w:val="32"/>
                <w:szCs w:val="32"/>
              </w:rPr>
            </w:pPr>
          </w:p>
          <w:p w14:paraId="19FB0251">
            <w:pPr>
              <w:rPr>
                <w:rFonts w:hint="eastAsia" w:ascii="仿宋_GB2312" w:hAnsi="仿宋_GB2312" w:eastAsia="仿宋_GB2312" w:cs="仿宋_GB2312"/>
                <w:color w:val="auto"/>
                <w:kern w:val="0"/>
                <w:sz w:val="32"/>
                <w:szCs w:val="32"/>
              </w:rPr>
            </w:pPr>
          </w:p>
        </w:tc>
        <w:tc>
          <w:tcPr>
            <w:tcW w:w="950" w:type="dxa"/>
            <w:vAlign w:val="center"/>
          </w:tcPr>
          <w:p w14:paraId="529AF72E">
            <w:pPr>
              <w:widowControl/>
              <w:adjustRightInd w:val="0"/>
              <w:snapToGrid w:val="0"/>
              <w:rPr>
                <w:rFonts w:hint="eastAsia" w:ascii="仿宋_GB2312" w:hAnsi="仿宋_GB2312" w:eastAsia="仿宋_GB2312" w:cs="仿宋_GB2312"/>
                <w:color w:val="auto"/>
                <w:kern w:val="0"/>
                <w:sz w:val="32"/>
                <w:szCs w:val="32"/>
              </w:rPr>
            </w:pPr>
          </w:p>
        </w:tc>
      </w:tr>
      <w:tr w14:paraId="5A5D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464" w:hRule="atLeast"/>
          <w:jc w:val="center"/>
        </w:trPr>
        <w:tc>
          <w:tcPr>
            <w:tcW w:w="617" w:type="dxa"/>
            <w:vAlign w:val="center"/>
          </w:tcPr>
          <w:p w14:paraId="62033F8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950" w:type="dxa"/>
            <w:vAlign w:val="center"/>
          </w:tcPr>
          <w:p w14:paraId="6FDFB78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粉尘防爆，特别是谷物筒仓的工作塔</w:t>
            </w:r>
          </w:p>
        </w:tc>
        <w:tc>
          <w:tcPr>
            <w:tcW w:w="2193" w:type="dxa"/>
            <w:vAlign w:val="center"/>
          </w:tcPr>
          <w:p w14:paraId="069A92D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粉尘防爆是否符合标准规定</w:t>
            </w:r>
          </w:p>
        </w:tc>
        <w:tc>
          <w:tcPr>
            <w:tcW w:w="3834" w:type="dxa"/>
            <w:vAlign w:val="center"/>
          </w:tcPr>
          <w:p w14:paraId="1313CEAD">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《四川省安全生产条例》第三十二条第二款</w:t>
            </w:r>
            <w:r>
              <w:rPr>
                <w:rFonts w:hint="eastAsia" w:ascii="仿宋_GB2312" w:hAnsi="仿宋_GB2312" w:eastAsia="仿宋_GB2312" w:cs="仿宋_GB2312"/>
                <w:color w:val="auto"/>
                <w:kern w:val="0"/>
                <w:sz w:val="32"/>
                <w:szCs w:val="32"/>
              </w:rPr>
              <w:t>有易燃、易爆气体和粉尘的作业场所，应当使用防爆型电气设备或者采取有效的防爆技术措施。</w:t>
            </w:r>
          </w:p>
          <w:p w14:paraId="7C2F7F0F">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依据《建筑设计防火规范》（GB50016-2014，2018年版）、《爆炸危险环境电力装置设计规范》（GB50058-2014）、《</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"javascript:void(0)"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
                <w:bCs/>
                <w:color w:val="auto"/>
                <w:kern w:val="0"/>
                <w:sz w:val="32"/>
                <w:szCs w:val="32"/>
              </w:rPr>
              <w:t>粉尘防爆安全规程</w:t>
            </w:r>
            <w:r>
              <w:rPr>
                <w:rFonts w:hint="eastAsia" w:ascii="仿宋_GB2312" w:hAnsi="仿宋_GB2312" w:eastAsia="仿宋_GB2312" w:cs="仿宋_GB2312"/>
                <w:b/>
                <w:bCs/>
                <w:color w:val="auto"/>
                <w:kern w:val="0"/>
                <w:sz w:val="32"/>
                <w:szCs w:val="32"/>
              </w:rPr>
              <w:fldChar w:fldCharType="end"/>
            </w:r>
            <w:r>
              <w:rPr>
                <w:rFonts w:hint="eastAsia" w:ascii="仿宋_GB2312" w:hAnsi="仿宋_GB2312" w:eastAsia="仿宋_GB2312" w:cs="仿宋_GB2312"/>
                <w:b/>
                <w:bCs/>
                <w:color w:val="auto"/>
                <w:kern w:val="0"/>
                <w:sz w:val="32"/>
                <w:szCs w:val="32"/>
              </w:rPr>
              <w:t>》（GB15577-2018）、《粮食加工、储运系统粉尘防爆安全规程》（GB17440-2008）检查。</w:t>
            </w:r>
          </w:p>
        </w:tc>
        <w:tc>
          <w:tcPr>
            <w:tcW w:w="2723" w:type="dxa"/>
            <w:vAlign w:val="center"/>
          </w:tcPr>
          <w:p w14:paraId="5F0C96B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6C78BF7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（2）相应装置或设备的合格证明；</w:t>
            </w:r>
          </w:p>
          <w:p w14:paraId="050E91C0">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（3）爆炸危险区域划分图；</w:t>
            </w:r>
          </w:p>
          <w:p w14:paraId="1A153E4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（4）防爆电气设备采购单和说明书、合格证；</w:t>
            </w:r>
          </w:p>
          <w:p w14:paraId="1DD3A10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（5）图片或影像资料；</w:t>
            </w:r>
          </w:p>
          <w:p w14:paraId="4F3672A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368E3D07">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（7）企业相关人员任职文件、身份证明及其询问笔录；</w:t>
            </w:r>
          </w:p>
          <w:p w14:paraId="77F77586">
            <w:pPr>
              <w:widowControl/>
              <w:adjustRightInd w:val="0"/>
              <w:snapToGrid w:val="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rPr>
              <w:t>（8）其他相关证据。</w:t>
            </w:r>
          </w:p>
        </w:tc>
        <w:tc>
          <w:tcPr>
            <w:tcW w:w="3900" w:type="dxa"/>
            <w:vAlign w:val="center"/>
          </w:tcPr>
          <w:p w14:paraId="65AFFE28">
            <w:pPr>
              <w:widowControl/>
              <w:adjustRightInd w:val="0"/>
              <w:snapToGrid w:val="0"/>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《四川省安全生产条例》第六十九条</w:t>
            </w:r>
            <w:r>
              <w:rPr>
                <w:rFonts w:hint="eastAsia" w:ascii="仿宋_GB2312" w:hAnsi="仿宋_GB2312" w:eastAsia="仿宋_GB2312" w:cs="仿宋_GB2312"/>
                <w:color w:val="auto"/>
                <w:kern w:val="0"/>
                <w:sz w:val="32"/>
                <w:szCs w:val="32"/>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0" w:type="dxa"/>
            <w:vAlign w:val="center"/>
          </w:tcPr>
          <w:p w14:paraId="082AE6F8">
            <w:pPr>
              <w:widowControl/>
              <w:adjustRightInd w:val="0"/>
              <w:snapToGrid w:val="0"/>
              <w:rPr>
                <w:rFonts w:hint="eastAsia" w:ascii="仿宋_GB2312" w:hAnsi="仿宋_GB2312" w:eastAsia="仿宋_GB2312" w:cs="仿宋_GB2312"/>
                <w:color w:val="auto"/>
                <w:kern w:val="0"/>
                <w:sz w:val="32"/>
                <w:szCs w:val="32"/>
              </w:rPr>
            </w:pPr>
          </w:p>
        </w:tc>
      </w:tr>
      <w:tr w14:paraId="2327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0" w:hRule="atLeast"/>
          <w:jc w:val="center"/>
        </w:trPr>
        <w:tc>
          <w:tcPr>
            <w:tcW w:w="617" w:type="dxa"/>
            <w:vAlign w:val="center"/>
          </w:tcPr>
          <w:p w14:paraId="13392A8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950" w:type="dxa"/>
            <w:vAlign w:val="center"/>
          </w:tcPr>
          <w:p w14:paraId="5BB3EB08">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剧毒化学品储存</w:t>
            </w:r>
          </w:p>
        </w:tc>
        <w:tc>
          <w:tcPr>
            <w:tcW w:w="2193" w:type="dxa"/>
            <w:vAlign w:val="center"/>
          </w:tcPr>
          <w:p w14:paraId="1522B33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剧毒化学品储存是否符合相关规定</w:t>
            </w:r>
          </w:p>
        </w:tc>
        <w:tc>
          <w:tcPr>
            <w:tcW w:w="3834" w:type="dxa"/>
            <w:vAlign w:val="center"/>
          </w:tcPr>
          <w:p w14:paraId="527C9DC0">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《危险化学品安全管理条例》第二十二条第一款</w:t>
            </w:r>
            <w:r>
              <w:rPr>
                <w:rFonts w:hint="eastAsia" w:ascii="仿宋_GB2312" w:hAnsi="仿宋_GB2312" w:eastAsia="仿宋_GB2312" w:cs="仿宋_GB2312"/>
                <w:color w:val="auto"/>
                <w:kern w:val="0"/>
                <w:sz w:val="32"/>
                <w:szCs w:val="32"/>
              </w:rPr>
              <w:t>生产、储存危险化学品的企业，应当委托具备国家规定的资质条件的机构，对本企业的安全生产条件每3年进行一次安全评价，提出安全评价报告。安全评价报告的内容应当包括对安全生产条件存在的问题进行整改的方案。</w:t>
            </w:r>
          </w:p>
          <w:p w14:paraId="3DB90BD8">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《危险化学品安全管理条例》第二十四条</w:t>
            </w:r>
            <w:r>
              <w:rPr>
                <w:rFonts w:hint="eastAsia" w:ascii="仿宋_GB2312" w:hAnsi="仿宋_GB2312" w:eastAsia="仿宋_GB2312" w:cs="仿宋_GB2312"/>
                <w:color w:val="auto"/>
                <w:kern w:val="0"/>
                <w:sz w:val="32"/>
                <w:szCs w:val="32"/>
              </w:rPr>
              <w:t>危险化学品应当储存在专用仓库、专用场地或者专用储存室（以下统称专用仓库）内，并由专人负责管理；剧毒化学品以及储存数量构成重大危险源的其他危险化学品，应当在专用仓库内单独存放，并实行双人收发、双人保管制度。</w:t>
            </w:r>
          </w:p>
          <w:p w14:paraId="10E09678">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危险化学品的储存方式、方法以及储存数量应当符合国家标准或者国家有关规定。</w:t>
            </w:r>
          </w:p>
          <w:p w14:paraId="0658DB86">
            <w:pPr>
              <w:widowControl/>
              <w:adjustRightInd w:val="0"/>
              <w:snapToGrid w:val="0"/>
              <w:ind w:firstLine="36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kern w:val="0"/>
                <w:sz w:val="32"/>
                <w:szCs w:val="32"/>
              </w:rPr>
              <w:t>《危险化学品安全管理条例》第二十六条第一款</w:t>
            </w:r>
            <w:r>
              <w:rPr>
                <w:rFonts w:hint="eastAsia" w:ascii="仿宋_GB2312" w:hAnsi="仿宋_GB2312" w:eastAsia="仿宋_GB2312" w:cs="仿宋_GB2312"/>
                <w:color w:val="auto"/>
                <w:kern w:val="0"/>
                <w:sz w:val="32"/>
                <w:szCs w:val="32"/>
              </w:rPr>
              <w:t>危险化学品专用仓库应当符合国家标准、行业标准的要求，并设置明显的标志。储存剧毒化学品、易制爆危险化学品的专用仓库，应当按照国家有关规定设置相应的技术防范设施。</w:t>
            </w:r>
          </w:p>
        </w:tc>
        <w:tc>
          <w:tcPr>
            <w:tcW w:w="2723" w:type="dxa"/>
            <w:vAlign w:val="center"/>
          </w:tcPr>
          <w:p w14:paraId="7A952372">
            <w:pPr>
              <w:widowControl/>
              <w:adjustRightInd w:val="0"/>
              <w:snapToGrid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（1）企业营业执照和有关证照；</w:t>
            </w:r>
          </w:p>
          <w:p w14:paraId="7F64AD5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（2）安全生产管理制度和安全操作规程；</w:t>
            </w:r>
          </w:p>
          <w:p w14:paraId="33EA47CD">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（3）安全评价报告；</w:t>
            </w:r>
          </w:p>
          <w:p w14:paraId="17C8909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（4）总平面布置图；</w:t>
            </w:r>
          </w:p>
          <w:p w14:paraId="44A8CF4E">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（5）图片或影像资料；</w:t>
            </w:r>
          </w:p>
          <w:p w14:paraId="36E26933">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3B40F61B">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（7）企业相关人员任职文件、身份证明及其询问笔录；</w:t>
            </w:r>
          </w:p>
          <w:p w14:paraId="1EA46835">
            <w:pPr>
              <w:widowControl/>
              <w:adjustRightInd w:val="0"/>
              <w:snapToGrid w:val="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rPr>
              <w:t>（8）其他相关证据。</w:t>
            </w:r>
          </w:p>
        </w:tc>
        <w:tc>
          <w:tcPr>
            <w:tcW w:w="3900" w:type="dxa"/>
            <w:vAlign w:val="center"/>
          </w:tcPr>
          <w:p w14:paraId="5B815A91">
            <w:pPr>
              <w:widowControl/>
              <w:adjustRightInd w:val="0"/>
              <w:snapToGrid w:val="0"/>
              <w:ind w:firstLine="643"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《危险化学品安全管理条例》第七十八条第一款</w:t>
            </w:r>
            <w:r>
              <w:rPr>
                <w:rFonts w:hint="eastAsia" w:ascii="仿宋_GB2312" w:hAnsi="仿宋_GB2312" w:eastAsia="仿宋_GB2312" w:cs="仿宋_GB2312"/>
                <w:color w:val="auto"/>
                <w:sz w:val="32"/>
                <w:szCs w:val="32"/>
                <w:shd w:val="clear" w:color="auto" w:fill="FFFFFF"/>
              </w:rPr>
              <w:t>有下列情形之一的，由安全生产监督管理部门责令改正，可以处5万元以下的罚款；拒不改正的，处5万元以上10万元以下的罚款；情节严重的，责令停产停业整顿：......</w:t>
            </w:r>
          </w:p>
          <w:p w14:paraId="5BC33B4C">
            <w:pPr>
              <w:widowControl/>
              <w:adjustRightInd w:val="0"/>
              <w:snapToGrid w:val="0"/>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（九）危险化学品专用仓库未设专人负责管理，或者对储存的剧毒化学品以及储存数量构成重大危险源的其他危险化学品未实行双人收发、双人保管制度的；......</w:t>
            </w:r>
          </w:p>
          <w:p w14:paraId="311DA9F3">
            <w:pPr>
              <w:widowControl/>
              <w:adjustRightInd w:val="0"/>
              <w:snapToGrid w:val="0"/>
              <w:ind w:firstLine="643"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《危险化学品安全管理条例》第八十条第一款</w:t>
            </w:r>
            <w:r>
              <w:rPr>
                <w:rFonts w:hint="eastAsia" w:ascii="仿宋_GB2312" w:hAnsi="仿宋_GB2312" w:eastAsia="仿宋_GB2312" w:cs="仿宋_GB2312"/>
                <w:color w:val="auto"/>
                <w:sz w:val="32"/>
                <w:szCs w:val="32"/>
              </w:rPr>
              <w:t>生产、储存、使用危险化学品的单位有下列情形之一的，由安全生产监督管理部门责令改正，处5万元以上10万元以下的罚款；拒不改正的，责令停产停业整顿直至由原发证机关吊销其相关许可证件，并由工商行政管理部门责令其</w:t>
            </w:r>
            <w:r>
              <w:rPr>
                <w:rFonts w:hint="eastAsia" w:ascii="仿宋_GB2312" w:hAnsi="仿宋_GB2312" w:eastAsia="仿宋_GB2312" w:cs="仿宋_GB2312"/>
                <w:color w:val="auto"/>
                <w:sz w:val="32"/>
                <w:szCs w:val="32"/>
                <w:shd w:val="clear" w:color="auto" w:fill="FFFFFF"/>
              </w:rPr>
              <w:t>办理经营范围变更登记或者吊销其营业执照；有关责任人员构成犯罪的，依法追究刑事责任：......</w:t>
            </w:r>
          </w:p>
          <w:p w14:paraId="3C4675EA">
            <w:pPr>
              <w:widowControl/>
              <w:adjustRightInd w:val="0"/>
              <w:snapToGrid w:val="0"/>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（三）未依照本条例规定对其安全生产条件定期进行安全评价的；</w:t>
            </w:r>
          </w:p>
          <w:p w14:paraId="45BAB5ED">
            <w:pPr>
              <w:widowControl/>
              <w:adjustRightInd w:val="0"/>
              <w:snapToGrid w:val="0"/>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（四）未将危险化学品储存在专用仓库内，或者未将剧毒化学品以及储存数量构成重大危险源的其他危险化学品在专用仓库内单独存放的；</w:t>
            </w:r>
          </w:p>
          <w:p w14:paraId="70EC59B9">
            <w:pPr>
              <w:widowControl/>
              <w:adjustRightInd w:val="0"/>
              <w:snapToGrid w:val="0"/>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（五）危险化学品的储存方式、方法或者储存数量不符合国家标准或者国家有关规定的；</w:t>
            </w:r>
          </w:p>
          <w:p w14:paraId="0210AF4E">
            <w:pPr>
              <w:widowControl/>
              <w:adjustRightInd w:val="0"/>
              <w:snapToGrid w:val="0"/>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（六）危险化学品专用仓库不符合国家标准、行业标准的要求的；......</w:t>
            </w:r>
          </w:p>
        </w:tc>
        <w:tc>
          <w:tcPr>
            <w:tcW w:w="950" w:type="dxa"/>
            <w:vAlign w:val="center"/>
          </w:tcPr>
          <w:p w14:paraId="66966895">
            <w:pPr>
              <w:widowControl/>
              <w:adjustRightInd w:val="0"/>
              <w:snapToGrid w:val="0"/>
              <w:rPr>
                <w:rFonts w:hint="eastAsia" w:ascii="仿宋_GB2312" w:hAnsi="仿宋_GB2312" w:eastAsia="仿宋_GB2312" w:cs="仿宋_GB2312"/>
                <w:color w:val="auto"/>
                <w:kern w:val="0"/>
                <w:sz w:val="32"/>
                <w:szCs w:val="32"/>
              </w:rPr>
            </w:pPr>
          </w:p>
        </w:tc>
      </w:tr>
      <w:tr w14:paraId="04E7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53" w:hRule="atLeast"/>
          <w:jc w:val="center"/>
        </w:trPr>
        <w:tc>
          <w:tcPr>
            <w:tcW w:w="617" w:type="dxa"/>
            <w:vAlign w:val="center"/>
          </w:tcPr>
          <w:p w14:paraId="2EC1512C">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950" w:type="dxa"/>
            <w:vAlign w:val="center"/>
          </w:tcPr>
          <w:p w14:paraId="12565BC8">
            <w:pPr>
              <w:widowControl/>
              <w:adjustRightInd w:val="0"/>
              <w:snapToGrid w:val="0"/>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防火措施</w:t>
            </w:r>
          </w:p>
        </w:tc>
        <w:tc>
          <w:tcPr>
            <w:tcW w:w="2193" w:type="dxa"/>
            <w:vAlign w:val="center"/>
          </w:tcPr>
          <w:p w14:paraId="40591B24">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防火措施应符合</w:t>
            </w:r>
            <w:r>
              <w:rPr>
                <w:rFonts w:hint="eastAsia" w:ascii="仿宋_GB2312" w:hAnsi="仿宋_GB2312" w:eastAsia="仿宋_GB2312" w:cs="仿宋_GB2312"/>
                <w:color w:val="auto"/>
                <w:sz w:val="32"/>
                <w:szCs w:val="32"/>
                <w:shd w:val="clear" w:color="auto" w:fill="FFFFFF"/>
              </w:rPr>
              <w:t>《建筑设计防火规范》等标准要求</w:t>
            </w:r>
          </w:p>
        </w:tc>
        <w:tc>
          <w:tcPr>
            <w:tcW w:w="3834" w:type="dxa"/>
            <w:vAlign w:val="center"/>
          </w:tcPr>
          <w:p w14:paraId="4869FFD3">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  第四十一条第二款</w:t>
            </w:r>
            <w:r>
              <w:rPr>
                <w:rFonts w:hint="eastAsia" w:ascii="仿宋_GB2312" w:hAnsi="仿宋_GB2312" w:eastAsia="仿宋_GB2312" w:cs="仿宋_GB2312"/>
                <w:bCs/>
                <w:snapToGrid w:val="0"/>
                <w:color w:val="auto"/>
                <w:kern w:val="0"/>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1D9434BA">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《四川省安全生产条例》第三十二条第二款</w:t>
            </w:r>
            <w:r>
              <w:rPr>
                <w:rFonts w:hint="eastAsia" w:ascii="仿宋_GB2312" w:hAnsi="仿宋_GB2312" w:eastAsia="仿宋_GB2312" w:cs="仿宋_GB2312"/>
                <w:color w:val="auto"/>
                <w:kern w:val="0"/>
                <w:sz w:val="32"/>
                <w:szCs w:val="32"/>
              </w:rPr>
              <w:t>有易燃、易爆气体和粉尘的作业场所，应当使用防爆型电气设备或者采取有效的防爆技术措施。</w:t>
            </w:r>
          </w:p>
          <w:p w14:paraId="3CD481D9">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《建筑设计防火规范》（GB50016-2014,2018年版）第3.5.4条</w:t>
            </w:r>
            <w:r>
              <w:rPr>
                <w:rFonts w:hint="eastAsia" w:ascii="仿宋_GB2312" w:hAnsi="仿宋_GB2312" w:eastAsia="仿宋_GB2312" w:cs="仿宋_GB2312"/>
                <w:color w:val="auto"/>
                <w:kern w:val="0"/>
                <w:sz w:val="32"/>
                <w:szCs w:val="32"/>
              </w:rPr>
              <w:t>粮食筒仓与其他建筑、粮食筒仓组之间的防火间距，不应小于表3.5.4的规定。</w:t>
            </w:r>
          </w:p>
          <w:p w14:paraId="0598C339">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《建筑设计防火规范》（GB50016-2014,2018年版）第3.6.13条</w:t>
            </w:r>
            <w:r>
              <w:rPr>
                <w:rFonts w:hint="eastAsia" w:ascii="仿宋_GB2312" w:hAnsi="仿宋_GB2312" w:eastAsia="仿宋_GB2312" w:cs="仿宋_GB2312"/>
                <w:color w:val="auto"/>
                <w:kern w:val="0"/>
                <w:sz w:val="32"/>
                <w:szCs w:val="32"/>
              </w:rPr>
              <w:t>有粉尘爆炸危险的筒仓，其顶部盖板应设置必要的泄压设施。</w:t>
            </w:r>
          </w:p>
          <w:p w14:paraId="1AEAD5A2">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粮食筒仓工作塔和上通廊的泄压面积应按本规范第3.6.4条的规定计算确定。有粉尘爆炸危险的其他粮食储存设施应采取防爆措施。</w:t>
            </w:r>
          </w:p>
          <w:p w14:paraId="5975E93C">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《建筑设计防火规范》（GB50016-2014,2018年版）第3.8.4条</w:t>
            </w:r>
            <w:r>
              <w:rPr>
                <w:rFonts w:hint="eastAsia" w:ascii="仿宋_GB2312" w:hAnsi="仿宋_GB2312" w:eastAsia="仿宋_GB2312" w:cs="仿宋_GB2312"/>
                <w:color w:val="auto"/>
                <w:kern w:val="0"/>
                <w:sz w:val="32"/>
                <w:szCs w:val="32"/>
              </w:rPr>
              <w:t>冷库、粮食筒仓、金库的安全疏散设计应分别符合现行国家标准《冷库设计规范》GB50072和《粮食钢板筒仓设计规范》GB50322等标准的规定。</w:t>
            </w:r>
          </w:p>
          <w:p w14:paraId="5E21B949">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《建筑设计防火规范》（GB50016-2014,2018年版）第3.8.5条</w:t>
            </w:r>
            <w:r>
              <w:rPr>
                <w:rFonts w:hint="eastAsia" w:ascii="仿宋_GB2312" w:hAnsi="仿宋_GB2312" w:eastAsia="仿宋_GB2312" w:cs="仿宋_GB2312"/>
                <w:color w:val="auto"/>
                <w:kern w:val="0"/>
                <w:sz w:val="32"/>
                <w:szCs w:val="32"/>
              </w:rPr>
              <w:t>粮食筒仓上层面积小于1000㎡，且作业人数不超过2人时，可设置1个安全出口。</w:t>
            </w:r>
          </w:p>
          <w:p w14:paraId="361D6522">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《建筑设计防火规范》（GB50016-2014,2018年版）第3.8.6条</w:t>
            </w:r>
            <w:r>
              <w:rPr>
                <w:rFonts w:hint="eastAsia" w:ascii="仿宋_GB2312" w:hAnsi="仿宋_GB2312" w:eastAsia="仿宋_GB2312" w:cs="仿宋_GB2312"/>
                <w:color w:val="auto"/>
                <w:kern w:val="0"/>
                <w:sz w:val="32"/>
                <w:szCs w:val="32"/>
              </w:rPr>
              <w:t>仓库、筒仓中符合本规范第6.4.5条规定的室外金属梯，可作为疏散楼梯，但筒仓室外楼梯平台的耐火极限不应低于0.25h。</w:t>
            </w:r>
          </w:p>
          <w:p w14:paraId="5AA1DCEF">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《建筑设计防火规范》（GB50016-2014,2018年版）第7.1.3条</w:t>
            </w:r>
            <w:r>
              <w:rPr>
                <w:rFonts w:hint="eastAsia" w:ascii="仿宋_GB2312" w:hAnsi="仿宋_GB2312" w:eastAsia="仿宋_GB2312" w:cs="仿宋_GB2312"/>
                <w:color w:val="auto"/>
                <w:kern w:val="0"/>
                <w:sz w:val="32"/>
                <w:szCs w:val="32"/>
              </w:rPr>
              <w:t>工厂、仓库区内应设置消防车道。</w:t>
            </w:r>
          </w:p>
          <w:p w14:paraId="527E575C">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高层厂房，占地面积大于3000㎡的甲、乙、丙类厂房和占地面积大于1500㎡的乙、丙类仓库，应设置环形消防车道，确有困难时，应沿建筑物的两个长边设置消防车道。</w:t>
            </w:r>
          </w:p>
          <w:p w14:paraId="4CE09ACF">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《建筑设计防火规范》（GB50016-2014,2018年版）第8.1.2条第二款</w:t>
            </w:r>
            <w:r>
              <w:rPr>
                <w:rFonts w:hint="eastAsia" w:ascii="仿宋_GB2312" w:hAnsi="仿宋_GB2312" w:eastAsia="仿宋_GB2312" w:cs="仿宋_GB2312"/>
                <w:color w:val="auto"/>
                <w:kern w:val="0"/>
                <w:sz w:val="32"/>
                <w:szCs w:val="32"/>
              </w:rPr>
              <w:t>民用建筑、厂房、仓库、储罐（区）和堆场周围应设置室外消火栓系统。</w:t>
            </w:r>
          </w:p>
          <w:p w14:paraId="48450529">
            <w:pPr>
              <w:widowControl/>
              <w:adjustRightInd w:val="0"/>
              <w:snapToGrid w:val="0"/>
              <w:ind w:firstLine="36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《建筑设计防火规范》（GB50016-2014,2018年版）第8.5.2条</w:t>
            </w:r>
            <w:r>
              <w:rPr>
                <w:rFonts w:hint="eastAsia" w:ascii="仿宋_GB2312" w:hAnsi="仿宋_GB2312" w:eastAsia="仿宋_GB2312" w:cs="仿宋_GB2312"/>
                <w:color w:val="auto"/>
                <w:kern w:val="0"/>
                <w:sz w:val="32"/>
                <w:szCs w:val="32"/>
              </w:rPr>
              <w:t>厂房或仓库的下列场所或部位应设置排烟设施：</w:t>
            </w:r>
          </w:p>
          <w:p w14:paraId="1B0B3207">
            <w:pPr>
              <w:widowControl/>
              <w:adjustRightInd w:val="0"/>
              <w:snapToGrid w:val="0"/>
              <w:ind w:firstLine="36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rPr>
              <w:t>...…3占地面积大于1000㎡的丙类仓库；......</w:t>
            </w:r>
          </w:p>
        </w:tc>
        <w:tc>
          <w:tcPr>
            <w:tcW w:w="2723" w:type="dxa"/>
            <w:vAlign w:val="center"/>
          </w:tcPr>
          <w:p w14:paraId="0571394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（1）企业营业执照和有关证照；</w:t>
            </w:r>
          </w:p>
          <w:p w14:paraId="26E45E6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（2）安全评价报告；</w:t>
            </w:r>
          </w:p>
          <w:p w14:paraId="027991F9">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（3）设计图纸；</w:t>
            </w:r>
          </w:p>
          <w:p w14:paraId="0C8A569C">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（4）图片或影像资料；</w:t>
            </w:r>
          </w:p>
          <w:p w14:paraId="69DA6B3A">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（5）《现场检查记录》《责令限期整改指令书》等相关执法文书；</w:t>
            </w:r>
          </w:p>
          <w:p w14:paraId="40AB01B5">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（6）企业相关人员任职文件、身份证明及其询问笔录；</w:t>
            </w:r>
          </w:p>
          <w:p w14:paraId="4BEBAFCF">
            <w:pPr>
              <w:widowControl/>
              <w:adjustRightInd w:val="0"/>
              <w:snapToGrid w:val="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（7）其他相关证据。</w:t>
            </w:r>
          </w:p>
        </w:tc>
        <w:tc>
          <w:tcPr>
            <w:tcW w:w="3900" w:type="dxa"/>
            <w:vAlign w:val="center"/>
          </w:tcPr>
          <w:p w14:paraId="7C8FE893">
            <w:pPr>
              <w:widowControl/>
              <w:shd w:val="clear" w:color="auto" w:fill="FFFFFF"/>
              <w:ind w:firstLine="643" w:firstLineChars="200"/>
              <w:rPr>
                <w:rFonts w:hint="eastAsia" w:ascii="仿宋_GB2312" w:hAnsi="仿宋_GB2312" w:eastAsia="仿宋_GB2312" w:cs="仿宋_GB2312"/>
                <w:bCs/>
                <w:snapToGrid w:val="0"/>
                <w:color w:val="auto"/>
                <w:kern w:val="0"/>
                <w:sz w:val="32"/>
                <w:szCs w:val="32"/>
              </w:rPr>
            </w:pPr>
            <w:r>
              <w:rPr>
                <w:rFonts w:hint="eastAsia" w:ascii="仿宋_GB2312" w:hAnsi="仿宋_GB2312" w:eastAsia="仿宋_GB2312" w:cs="仿宋_GB2312"/>
                <w:b/>
                <w:bCs/>
                <w:color w:val="auto"/>
                <w:kern w:val="0"/>
                <w:sz w:val="32"/>
                <w:szCs w:val="32"/>
              </w:rPr>
              <w:t>《中华人民共和国安全生产法》第一百零二条</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bCs/>
                <w:snapToGrid w:val="0"/>
                <w:color w:val="auto"/>
                <w:kern w:val="0"/>
                <w:sz w:val="32"/>
                <w:szCs w:val="32"/>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459D6A47">
            <w:pPr>
              <w:widowControl/>
              <w:adjustRightInd w:val="0"/>
              <w:snapToGrid w:val="0"/>
              <w:ind w:firstLine="643"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b/>
                <w:bCs/>
                <w:color w:val="auto"/>
                <w:kern w:val="0"/>
                <w:sz w:val="32"/>
                <w:szCs w:val="32"/>
              </w:rPr>
              <w:t>《四川省安全生产条例》第六十九条</w:t>
            </w:r>
            <w:r>
              <w:rPr>
                <w:rFonts w:hint="eastAsia" w:ascii="仿宋_GB2312" w:hAnsi="仿宋_GB2312" w:eastAsia="仿宋_GB2312" w:cs="仿宋_GB2312"/>
                <w:color w:val="auto"/>
                <w:kern w:val="0"/>
                <w:sz w:val="32"/>
                <w:szCs w:val="32"/>
              </w:rPr>
              <w:t>生产经营单位违反本条例第十六条、第二十一条第一款、第二十三条、第二十四条第一款、第三十二条、第三十四条第一款规定的，责令限期改正，可并处5000元以上2万元以下的罚款；逾期未改正的，责令停产停业整顿。</w:t>
            </w:r>
          </w:p>
        </w:tc>
        <w:tc>
          <w:tcPr>
            <w:tcW w:w="950" w:type="dxa"/>
            <w:vAlign w:val="center"/>
          </w:tcPr>
          <w:p w14:paraId="5466B86D">
            <w:pPr>
              <w:widowControl/>
              <w:adjustRightInd w:val="0"/>
              <w:snapToGrid w:val="0"/>
              <w:rPr>
                <w:rFonts w:hint="eastAsia" w:ascii="仿宋_GB2312" w:hAnsi="仿宋_GB2312" w:eastAsia="仿宋_GB2312" w:cs="仿宋_GB2312"/>
                <w:color w:val="auto"/>
                <w:kern w:val="0"/>
                <w:sz w:val="32"/>
                <w:szCs w:val="32"/>
              </w:rPr>
            </w:pPr>
          </w:p>
        </w:tc>
      </w:tr>
      <w:tr w14:paraId="481E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953" w:hRule="atLeast"/>
          <w:jc w:val="center"/>
        </w:trPr>
        <w:tc>
          <w:tcPr>
            <w:tcW w:w="15167" w:type="dxa"/>
            <w:gridSpan w:val="7"/>
            <w:vAlign w:val="center"/>
          </w:tcPr>
          <w:p w14:paraId="76351D5E">
            <w:pPr>
              <w:widowControl/>
              <w:adjustRightInd w:val="0"/>
              <w:snapToGrid w:val="0"/>
              <w:ind w:left="540" w:hanging="960" w:hangingChars="3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说明：1、根据本清单提供的证照及资料有原件的，应核实原件后留存复印件；无原件的提供复印件。所有复印件资料均应加盖企业公章。证照及资料有正副本的，均核验留存复印件。</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2、其他相关证据：能够证明企业违法违规行为的其他相关资料。</w:t>
            </w:r>
          </w:p>
        </w:tc>
      </w:tr>
    </w:tbl>
    <w:p w14:paraId="391FC85D">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7281E40D">
      <w:pPr>
        <w:pStyle w:val="3"/>
        <w:spacing w:line="240" w:lineRule="auto"/>
        <w:jc w:val="center"/>
        <w:rPr>
          <w:rFonts w:hint="eastAsia" w:ascii="仿宋_GB2312" w:hAnsi="仿宋_GB2312" w:eastAsia="仿宋_GB2312" w:cs="仿宋_GB2312"/>
          <w:color w:val="auto"/>
          <w:sz w:val="32"/>
          <w:szCs w:val="32"/>
        </w:rPr>
      </w:pPr>
      <w:bookmarkStart w:id="28" w:name="_Toc4247"/>
      <w:r>
        <w:rPr>
          <w:rFonts w:hint="eastAsia" w:ascii="仿宋_GB2312" w:hAnsi="仿宋_GB2312" w:eastAsia="仿宋_GB2312" w:cs="仿宋_GB2312"/>
          <w:color w:val="auto"/>
          <w:sz w:val="32"/>
          <w:szCs w:val="32"/>
        </w:rPr>
        <w:t>安全培训及安全评价机构检测检验机构检查清单</w:t>
      </w:r>
      <w:bookmarkEnd w:id="28"/>
    </w:p>
    <w:tbl>
      <w:tblPr>
        <w:tblStyle w:val="8"/>
        <w:tblW w:w="15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950"/>
        <w:gridCol w:w="955"/>
        <w:gridCol w:w="3901"/>
        <w:gridCol w:w="3891"/>
        <w:gridCol w:w="3901"/>
        <w:gridCol w:w="950"/>
      </w:tblGrid>
      <w:tr w14:paraId="6612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blHeader/>
          <w:jc w:val="center"/>
        </w:trPr>
        <w:tc>
          <w:tcPr>
            <w:tcW w:w="617" w:type="dxa"/>
            <w:vAlign w:val="center"/>
          </w:tcPr>
          <w:p w14:paraId="7D97E4A9">
            <w:pPr>
              <w:jc w:val="center"/>
              <w:rPr>
                <w:rFonts w:hint="eastAsia" w:ascii="仿宋_GB2312" w:hAnsi="仿宋_GB2312" w:eastAsia="仿宋_GB2312" w:cs="仿宋_GB2312"/>
                <w:b/>
                <w:bCs/>
                <w:color w:val="auto"/>
                <w:spacing w:val="-20"/>
                <w:sz w:val="32"/>
                <w:szCs w:val="32"/>
              </w:rPr>
            </w:pPr>
            <w:r>
              <w:rPr>
                <w:rFonts w:hint="eastAsia" w:ascii="仿宋_GB2312" w:hAnsi="仿宋_GB2312" w:eastAsia="仿宋_GB2312" w:cs="仿宋_GB2312"/>
                <w:b/>
                <w:bCs/>
                <w:color w:val="auto"/>
                <w:spacing w:val="-20"/>
                <w:sz w:val="32"/>
                <w:szCs w:val="32"/>
              </w:rPr>
              <w:t>序号</w:t>
            </w:r>
          </w:p>
        </w:tc>
        <w:tc>
          <w:tcPr>
            <w:tcW w:w="950" w:type="dxa"/>
            <w:vAlign w:val="center"/>
          </w:tcPr>
          <w:p w14:paraId="256DED09">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检查事项</w:t>
            </w:r>
          </w:p>
        </w:tc>
        <w:tc>
          <w:tcPr>
            <w:tcW w:w="955" w:type="dxa"/>
            <w:vAlign w:val="center"/>
          </w:tcPr>
          <w:p w14:paraId="020C07FE">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检查内容</w:t>
            </w:r>
          </w:p>
        </w:tc>
        <w:tc>
          <w:tcPr>
            <w:tcW w:w="3901" w:type="dxa"/>
            <w:vAlign w:val="center"/>
          </w:tcPr>
          <w:p w14:paraId="69680BB4">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检查依据</w:t>
            </w:r>
          </w:p>
        </w:tc>
        <w:tc>
          <w:tcPr>
            <w:tcW w:w="3891" w:type="dxa"/>
            <w:vAlign w:val="center"/>
          </w:tcPr>
          <w:p w14:paraId="288B44DB">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主要证据</w:t>
            </w:r>
          </w:p>
        </w:tc>
        <w:tc>
          <w:tcPr>
            <w:tcW w:w="3901" w:type="dxa"/>
            <w:vAlign w:val="center"/>
          </w:tcPr>
          <w:p w14:paraId="32615C47">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法律责任</w:t>
            </w:r>
          </w:p>
        </w:tc>
        <w:tc>
          <w:tcPr>
            <w:tcW w:w="950" w:type="dxa"/>
            <w:vAlign w:val="center"/>
          </w:tcPr>
          <w:p w14:paraId="5853B9AF">
            <w:pPr>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检查结果</w:t>
            </w:r>
          </w:p>
        </w:tc>
      </w:tr>
      <w:tr w14:paraId="2FF5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restart"/>
            <w:vAlign w:val="center"/>
          </w:tcPr>
          <w:p w14:paraId="1970869D">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950" w:type="dxa"/>
            <w:vMerge w:val="restart"/>
            <w:vAlign w:val="center"/>
          </w:tcPr>
          <w:p w14:paraId="2084CF1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资质认可</w:t>
            </w:r>
          </w:p>
        </w:tc>
        <w:tc>
          <w:tcPr>
            <w:tcW w:w="955" w:type="dxa"/>
            <w:vAlign w:val="center"/>
          </w:tcPr>
          <w:p w14:paraId="297E3A6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1.1法人资格</w:t>
            </w:r>
          </w:p>
        </w:tc>
        <w:tc>
          <w:tcPr>
            <w:tcW w:w="3901" w:type="dxa"/>
            <w:vAlign w:val="center"/>
          </w:tcPr>
          <w:p w14:paraId="3997744F">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《安全评价检测检验机构管理办法》第六条</w:t>
            </w:r>
            <w:r>
              <w:rPr>
                <w:rFonts w:hint="eastAsia" w:ascii="仿宋_GB2312" w:hAnsi="仿宋_GB2312" w:eastAsia="仿宋_GB2312" w:cs="仿宋_GB2312"/>
                <w:color w:val="auto"/>
                <w:sz w:val="32"/>
                <w:szCs w:val="32"/>
              </w:rPr>
              <w:t>申请安全评价机构资质应当具备下列条件：</w:t>
            </w:r>
          </w:p>
          <w:p w14:paraId="2BC5102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（一）独立法人资格，固定资产不少于八百万元；......</w:t>
            </w:r>
          </w:p>
          <w:p w14:paraId="6DA83707">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《安全评价检测检验机构管理办法》第七条</w:t>
            </w:r>
            <w:r>
              <w:rPr>
                <w:rFonts w:hint="eastAsia" w:ascii="仿宋_GB2312" w:hAnsi="仿宋_GB2312" w:eastAsia="仿宋_GB2312" w:cs="仿宋_GB2312"/>
                <w:color w:val="auto"/>
                <w:sz w:val="32"/>
                <w:szCs w:val="32"/>
              </w:rPr>
              <w:t>申请安全生产检测检验机构资质应当具备下列条件：</w:t>
            </w:r>
          </w:p>
          <w:p w14:paraId="731F423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（一）独立法人资格，固定资产不少于一千万元；......</w:t>
            </w:r>
          </w:p>
          <w:p w14:paraId="491F7B7D">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《安全评价检测检验机构管理办法》第八条</w:t>
            </w:r>
            <w:r>
              <w:rPr>
                <w:rFonts w:hint="eastAsia" w:ascii="仿宋_GB2312" w:hAnsi="仿宋_GB2312" w:eastAsia="仿宋_GB2312" w:cs="仿宋_GB2312"/>
                <w:color w:val="auto"/>
                <w:sz w:val="32"/>
                <w:szCs w:val="32"/>
              </w:rPr>
              <w:t>下列机构不得申请安全评价检测检验机构资质：</w:t>
            </w:r>
          </w:p>
          <w:p w14:paraId="5A13DF3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（一）本办法第三条规定部门所属的事业单位及其出资设立的企业法人；</w:t>
            </w:r>
          </w:p>
          <w:p w14:paraId="4BB172B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（二）本办法第三条规定部门主管的社会组织及其出资设立的企业法人；</w:t>
            </w:r>
          </w:p>
          <w:p w14:paraId="3E9F844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（三）本条第一项、第二项中的企业法人出资设立（含控股、参股）的企业法人。</w:t>
            </w:r>
          </w:p>
          <w:p w14:paraId="00FA1975">
            <w:pPr>
              <w:pStyle w:val="2"/>
              <w:ind w:firstLine="361"/>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《安全生产培训管理办法》第五条第一款</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rPr>
              <w:t>安全培训的机构应当具备从事安全培训工作所需要的条件。从事危险物品的生产、经营、储存单位以及矿山、金属冶炼单位的主要负责人和安全生产管理人员，特种作业人员以及注册安全工程师等相关人员培训的安全培训机构，应当将教师、教学和实习实训设施等情况书面报告所在地安全生产监督管理部门、煤矿安全培训监管机构。</w:t>
            </w:r>
          </w:p>
        </w:tc>
        <w:tc>
          <w:tcPr>
            <w:tcW w:w="3891" w:type="dxa"/>
            <w:vAlign w:val="center"/>
          </w:tcPr>
          <w:p w14:paraId="1EBD5FD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4F129E0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05CD4BD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（3）《现场检查记录》等</w:t>
            </w:r>
            <w:r>
              <w:rPr>
                <w:rFonts w:hint="eastAsia" w:ascii="仿宋_GB2312" w:hAnsi="仿宋_GB2312" w:eastAsia="仿宋_GB2312" w:cs="仿宋_GB2312"/>
                <w:color w:val="auto"/>
                <w:kern w:val="0"/>
                <w:sz w:val="32"/>
                <w:szCs w:val="32"/>
              </w:rPr>
              <w:t>相关</w:t>
            </w:r>
            <w:r>
              <w:rPr>
                <w:rFonts w:hint="eastAsia" w:ascii="仿宋_GB2312" w:hAnsi="仿宋_GB2312" w:eastAsia="仿宋_GB2312" w:cs="仿宋_GB2312"/>
                <w:color w:val="auto"/>
                <w:sz w:val="32"/>
                <w:szCs w:val="32"/>
              </w:rPr>
              <w:t>执法文书；</w:t>
            </w:r>
          </w:p>
          <w:p w14:paraId="09E16EF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（4）用于申请资质的相关资料；</w:t>
            </w:r>
          </w:p>
          <w:p w14:paraId="66937064">
            <w:pPr>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（5）相关人员任职文件、身份证明及其询问笔录；</w:t>
            </w:r>
          </w:p>
          <w:p w14:paraId="081E54B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（6）其他相关证据。</w:t>
            </w:r>
          </w:p>
        </w:tc>
        <w:tc>
          <w:tcPr>
            <w:tcW w:w="3901" w:type="dxa"/>
            <w:vAlign w:val="center"/>
          </w:tcPr>
          <w:p w14:paraId="6263D11C">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《安全评价检测检验机构管理办法》第二十七条</w:t>
            </w:r>
            <w:r>
              <w:rPr>
                <w:rFonts w:hint="eastAsia" w:ascii="仿宋_GB2312" w:hAnsi="仿宋_GB2312" w:eastAsia="仿宋_GB2312" w:cs="仿宋_GB2312"/>
                <w:color w:val="auto"/>
                <w:sz w:val="32"/>
                <w:szCs w:val="32"/>
              </w:rPr>
              <w:t>申请人隐瞒有关情况或者提供虚假材料申请资质（包括资质延续、资质变更、增加业务范围等）的，资质认可机关不予受理或者不予行政许可，并给予警告。该申请人在一年内不得再次申请。</w:t>
            </w:r>
          </w:p>
          <w:p w14:paraId="014DF028">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《安全评价检测检验机构管理办法》第二十八条</w:t>
            </w:r>
            <w:r>
              <w:rPr>
                <w:rFonts w:hint="eastAsia" w:ascii="仿宋_GB2312" w:hAnsi="仿宋_GB2312" w:eastAsia="仿宋_GB2312" w:cs="仿宋_GB2312"/>
                <w:color w:val="auto"/>
                <w:sz w:val="32"/>
                <w:szCs w:val="32"/>
              </w:rPr>
              <w:t>申请人以欺骗、贿赂等不正当手段取得资质（包括资质延续、资质变更、增加业务范围等）的，应当予以撤销。该申请人在三年内不得再次申请；构成犯罪的，依法追究刑事责任。</w:t>
            </w:r>
          </w:p>
          <w:p w14:paraId="0249F9D5">
            <w:pPr>
              <w:pStyle w:val="7"/>
              <w:shd w:val="clear" w:color="auto" w:fill="FFFFFF"/>
              <w:spacing w:before="0" w:beforeAutospacing="0" w:after="155" w:afterAutospacing="0" w:line="249" w:lineRule="atLeast"/>
              <w:ind w:firstLine="361"/>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《安全生产培训管理办法》第三十四条第一款第一项</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rPr>
              <w:t>安全培训机构有下列情形之一的，责令限期改正，处1万元以下的罚款;逾期未改正的，给予警告，处1万元以上3万元以下的罚款:</w:t>
            </w:r>
          </w:p>
          <w:p w14:paraId="666ABC64">
            <w:pPr>
              <w:pStyle w:val="7"/>
              <w:shd w:val="clear" w:color="auto" w:fill="FFFFFF"/>
              <w:spacing w:before="0" w:beforeAutospacing="0" w:after="155" w:afterAutospacing="0" w:line="249" w:lineRule="atLeast"/>
              <w:ind w:firstLine="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(一)不具备安全培训条件的;</w:t>
            </w:r>
          </w:p>
          <w:p w14:paraId="40CA836A">
            <w:pPr>
              <w:pStyle w:val="2"/>
              <w:ind w:firstLine="420"/>
              <w:rPr>
                <w:rFonts w:hint="eastAsia" w:ascii="仿宋_GB2312" w:hAnsi="仿宋_GB2312" w:eastAsia="仿宋_GB2312" w:cs="仿宋_GB2312"/>
                <w:color w:val="auto"/>
                <w:sz w:val="32"/>
                <w:szCs w:val="32"/>
              </w:rPr>
            </w:pPr>
          </w:p>
        </w:tc>
        <w:tc>
          <w:tcPr>
            <w:tcW w:w="950" w:type="dxa"/>
            <w:vAlign w:val="center"/>
          </w:tcPr>
          <w:p w14:paraId="264AF370">
            <w:pPr>
              <w:rPr>
                <w:rFonts w:hint="eastAsia" w:ascii="仿宋_GB2312" w:hAnsi="仿宋_GB2312" w:eastAsia="仿宋_GB2312" w:cs="仿宋_GB2312"/>
                <w:color w:val="auto"/>
                <w:sz w:val="32"/>
                <w:szCs w:val="32"/>
              </w:rPr>
            </w:pPr>
          </w:p>
        </w:tc>
      </w:tr>
      <w:tr w14:paraId="0B2B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14:paraId="4B18702C">
            <w:pPr>
              <w:rPr>
                <w:rFonts w:hint="eastAsia" w:ascii="仿宋_GB2312" w:hAnsi="仿宋_GB2312" w:eastAsia="仿宋_GB2312" w:cs="仿宋_GB2312"/>
                <w:color w:val="auto"/>
                <w:sz w:val="32"/>
                <w:szCs w:val="32"/>
              </w:rPr>
            </w:pPr>
          </w:p>
        </w:tc>
        <w:tc>
          <w:tcPr>
            <w:tcW w:w="950" w:type="dxa"/>
            <w:vMerge w:val="continue"/>
            <w:vAlign w:val="center"/>
          </w:tcPr>
          <w:p w14:paraId="3C3F7D64">
            <w:pPr>
              <w:rPr>
                <w:rFonts w:hint="eastAsia" w:ascii="仿宋_GB2312" w:hAnsi="仿宋_GB2312" w:eastAsia="仿宋_GB2312" w:cs="仿宋_GB2312"/>
                <w:color w:val="auto"/>
                <w:sz w:val="32"/>
                <w:szCs w:val="32"/>
              </w:rPr>
            </w:pPr>
          </w:p>
        </w:tc>
        <w:tc>
          <w:tcPr>
            <w:tcW w:w="955" w:type="dxa"/>
            <w:vAlign w:val="center"/>
          </w:tcPr>
          <w:p w14:paraId="06022B2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1.2固定资产</w:t>
            </w:r>
          </w:p>
        </w:tc>
        <w:tc>
          <w:tcPr>
            <w:tcW w:w="3901" w:type="dxa"/>
            <w:vAlign w:val="center"/>
          </w:tcPr>
          <w:p w14:paraId="041A8CDF">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《安全评价检测检验机构管理办法》第六条</w:t>
            </w:r>
            <w:r>
              <w:rPr>
                <w:rFonts w:hint="eastAsia" w:ascii="仿宋_GB2312" w:hAnsi="仿宋_GB2312" w:eastAsia="仿宋_GB2312" w:cs="仿宋_GB2312"/>
                <w:color w:val="auto"/>
                <w:sz w:val="32"/>
                <w:szCs w:val="32"/>
              </w:rPr>
              <w:t>申请安全评价机构资质应当具备下列条件：</w:t>
            </w:r>
          </w:p>
          <w:p w14:paraId="55D6E70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（一）独立法人资格，固定资产不少于八百万元；......</w:t>
            </w:r>
          </w:p>
          <w:p w14:paraId="6ADD8028">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《安全评价检测检验机构管理办法》第七条</w:t>
            </w:r>
            <w:r>
              <w:rPr>
                <w:rFonts w:hint="eastAsia" w:ascii="仿宋_GB2312" w:hAnsi="仿宋_GB2312" w:eastAsia="仿宋_GB2312" w:cs="仿宋_GB2312"/>
                <w:color w:val="auto"/>
                <w:sz w:val="32"/>
                <w:szCs w:val="32"/>
              </w:rPr>
              <w:t>申请安全生产检测检验机构资质应当具备下列条件：</w:t>
            </w:r>
          </w:p>
          <w:p w14:paraId="55DE9980">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（一）独立法人资格，固定资产不少于一千万元；......</w:t>
            </w:r>
          </w:p>
        </w:tc>
        <w:tc>
          <w:tcPr>
            <w:tcW w:w="3891" w:type="dxa"/>
            <w:vAlign w:val="center"/>
          </w:tcPr>
          <w:p w14:paraId="348FD41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1460F33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193D66A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（3）固定资产台账等资料；</w:t>
            </w:r>
          </w:p>
          <w:p w14:paraId="3698EE5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（4）《现场检查记录》等</w:t>
            </w:r>
            <w:r>
              <w:rPr>
                <w:rFonts w:hint="eastAsia" w:ascii="仿宋_GB2312" w:hAnsi="仿宋_GB2312" w:eastAsia="仿宋_GB2312" w:cs="仿宋_GB2312"/>
                <w:color w:val="auto"/>
                <w:kern w:val="0"/>
                <w:sz w:val="32"/>
                <w:szCs w:val="32"/>
              </w:rPr>
              <w:t>相关</w:t>
            </w:r>
            <w:r>
              <w:rPr>
                <w:rFonts w:hint="eastAsia" w:ascii="仿宋_GB2312" w:hAnsi="仿宋_GB2312" w:eastAsia="仿宋_GB2312" w:cs="仿宋_GB2312"/>
                <w:color w:val="auto"/>
                <w:sz w:val="32"/>
                <w:szCs w:val="32"/>
              </w:rPr>
              <w:t>执法文书；</w:t>
            </w:r>
          </w:p>
          <w:p w14:paraId="09200E2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bCs/>
                <w:color w:val="auto"/>
                <w:sz w:val="32"/>
                <w:szCs w:val="32"/>
              </w:rPr>
              <w:t>企业相关人员任职文件、身份证明及其询问笔录；</w:t>
            </w:r>
          </w:p>
          <w:p w14:paraId="2541E00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（6）其他相关证据。</w:t>
            </w:r>
          </w:p>
        </w:tc>
        <w:tc>
          <w:tcPr>
            <w:tcW w:w="3901" w:type="dxa"/>
            <w:vAlign w:val="center"/>
          </w:tcPr>
          <w:p w14:paraId="495899F0">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《安全评价检测检验机构管理办法》第二十七条</w:t>
            </w:r>
            <w:r>
              <w:rPr>
                <w:rFonts w:hint="eastAsia" w:ascii="仿宋_GB2312" w:hAnsi="仿宋_GB2312" w:eastAsia="仿宋_GB2312" w:cs="仿宋_GB2312"/>
                <w:color w:val="auto"/>
                <w:sz w:val="32"/>
                <w:szCs w:val="32"/>
              </w:rPr>
              <w:t>申请人隐瞒有关情况或者提供虚假材料申请资质（包括资质延续、资质变更、增加业务范围等）的，资质认可机关不予受理或者不予行政许可，并给予警告。该申请人在一年内不得再次申请。</w:t>
            </w:r>
          </w:p>
          <w:p w14:paraId="3D267C5E">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《安全评价检测检验机构管理办法》第二十八条</w:t>
            </w:r>
            <w:r>
              <w:rPr>
                <w:rFonts w:hint="eastAsia" w:ascii="仿宋_GB2312" w:hAnsi="仿宋_GB2312" w:eastAsia="仿宋_GB2312" w:cs="仿宋_GB2312"/>
                <w:color w:val="auto"/>
                <w:sz w:val="32"/>
                <w:szCs w:val="32"/>
              </w:rPr>
              <w:t>申请人以欺骗、贿赂等不正当手段取得资质（包括资质延续、资质变更、增加业务范围等）的，应当予以撤销。该申请人在三年内不得再次申请；构成犯罪的，依法追究刑事责任。</w:t>
            </w:r>
          </w:p>
        </w:tc>
        <w:tc>
          <w:tcPr>
            <w:tcW w:w="950" w:type="dxa"/>
            <w:vAlign w:val="center"/>
          </w:tcPr>
          <w:p w14:paraId="38D7ECBE">
            <w:pPr>
              <w:rPr>
                <w:rFonts w:hint="eastAsia" w:ascii="仿宋_GB2312" w:hAnsi="仿宋_GB2312" w:eastAsia="仿宋_GB2312" w:cs="仿宋_GB2312"/>
                <w:color w:val="auto"/>
                <w:sz w:val="32"/>
                <w:szCs w:val="32"/>
              </w:rPr>
            </w:pPr>
          </w:p>
        </w:tc>
      </w:tr>
      <w:tr w14:paraId="7924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14:paraId="4A0BF3ED">
            <w:pPr>
              <w:rPr>
                <w:rFonts w:hint="eastAsia" w:ascii="仿宋_GB2312" w:hAnsi="仿宋_GB2312" w:eastAsia="仿宋_GB2312" w:cs="仿宋_GB2312"/>
                <w:color w:val="auto"/>
                <w:sz w:val="32"/>
                <w:szCs w:val="32"/>
              </w:rPr>
            </w:pPr>
          </w:p>
        </w:tc>
        <w:tc>
          <w:tcPr>
            <w:tcW w:w="950" w:type="dxa"/>
            <w:vMerge w:val="continue"/>
            <w:vAlign w:val="center"/>
          </w:tcPr>
          <w:p w14:paraId="22F2A60C">
            <w:pPr>
              <w:rPr>
                <w:rFonts w:hint="eastAsia" w:ascii="仿宋_GB2312" w:hAnsi="仿宋_GB2312" w:eastAsia="仿宋_GB2312" w:cs="仿宋_GB2312"/>
                <w:color w:val="auto"/>
                <w:sz w:val="32"/>
                <w:szCs w:val="32"/>
              </w:rPr>
            </w:pPr>
          </w:p>
        </w:tc>
        <w:tc>
          <w:tcPr>
            <w:tcW w:w="955" w:type="dxa"/>
            <w:vAlign w:val="center"/>
          </w:tcPr>
          <w:p w14:paraId="61BBEB2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1.3工作场所</w:t>
            </w:r>
          </w:p>
        </w:tc>
        <w:tc>
          <w:tcPr>
            <w:tcW w:w="3901" w:type="dxa"/>
            <w:vAlign w:val="center"/>
          </w:tcPr>
          <w:p w14:paraId="3B57ADEA">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《安全评价检测检验机构管理办法》第六条</w:t>
            </w:r>
            <w:r>
              <w:rPr>
                <w:rFonts w:hint="eastAsia" w:ascii="仿宋_GB2312" w:hAnsi="仿宋_GB2312" w:eastAsia="仿宋_GB2312" w:cs="仿宋_GB2312"/>
                <w:color w:val="auto"/>
                <w:sz w:val="32"/>
                <w:szCs w:val="32"/>
              </w:rPr>
              <w:t>申请安全评价机构资质应当具备下列条件：......</w:t>
            </w:r>
          </w:p>
          <w:p w14:paraId="68BB85B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（二）工作场所建筑面积不少于一千平方米，其中档案室不少于一百平方米，设施、设备、软件等技术支撑条件满足工作需求；......</w:t>
            </w:r>
          </w:p>
          <w:p w14:paraId="5F4F78C8">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《安全评价检测检验机构管理办法》第七条</w:t>
            </w:r>
            <w:r>
              <w:rPr>
                <w:rFonts w:hint="eastAsia" w:ascii="仿宋_GB2312" w:hAnsi="仿宋_GB2312" w:eastAsia="仿宋_GB2312" w:cs="仿宋_GB2312"/>
                <w:color w:val="auto"/>
                <w:sz w:val="32"/>
                <w:szCs w:val="32"/>
              </w:rPr>
              <w:t>申请安全生产检测检验机构资质应当具备下列条件：......</w:t>
            </w:r>
          </w:p>
          <w:p w14:paraId="41A8C6C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（二）工作场所建筑面积不少于一千平方米，有与从事安全生产检测检验相适应的设施、设备和环境，检测检验设施、设备原值不少于八百万元；......</w:t>
            </w:r>
          </w:p>
        </w:tc>
        <w:tc>
          <w:tcPr>
            <w:tcW w:w="3891" w:type="dxa"/>
            <w:vAlign w:val="center"/>
          </w:tcPr>
          <w:p w14:paraId="077B404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2AF2DD6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28F8FA8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（3）工作场所建筑面积等资料；</w:t>
            </w:r>
          </w:p>
          <w:p w14:paraId="1C59E20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（4）设施设备及软件等台账资料；</w:t>
            </w:r>
          </w:p>
          <w:p w14:paraId="6725181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（5）《现场检查记录》等</w:t>
            </w:r>
            <w:r>
              <w:rPr>
                <w:rFonts w:hint="eastAsia" w:ascii="仿宋_GB2312" w:hAnsi="仿宋_GB2312" w:eastAsia="仿宋_GB2312" w:cs="仿宋_GB2312"/>
                <w:color w:val="auto"/>
                <w:kern w:val="0"/>
                <w:sz w:val="32"/>
                <w:szCs w:val="32"/>
              </w:rPr>
              <w:t>相关</w:t>
            </w:r>
            <w:r>
              <w:rPr>
                <w:rFonts w:hint="eastAsia" w:ascii="仿宋_GB2312" w:hAnsi="仿宋_GB2312" w:eastAsia="仿宋_GB2312" w:cs="仿宋_GB2312"/>
                <w:color w:val="auto"/>
                <w:sz w:val="32"/>
                <w:szCs w:val="32"/>
              </w:rPr>
              <w:t>执法文书；</w:t>
            </w:r>
          </w:p>
          <w:p w14:paraId="68704DF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bCs/>
                <w:color w:val="auto"/>
                <w:sz w:val="32"/>
                <w:szCs w:val="32"/>
              </w:rPr>
              <w:t>相关人员任职文件、身份证明及其询问笔录；</w:t>
            </w:r>
          </w:p>
          <w:p w14:paraId="12FD208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（7）其他相关证据。</w:t>
            </w:r>
          </w:p>
        </w:tc>
        <w:tc>
          <w:tcPr>
            <w:tcW w:w="3901" w:type="dxa"/>
            <w:vAlign w:val="center"/>
          </w:tcPr>
          <w:p w14:paraId="06E4937A">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《安全评价检测检验机构管理办法》第二十七条</w:t>
            </w:r>
            <w:r>
              <w:rPr>
                <w:rFonts w:hint="eastAsia" w:ascii="仿宋_GB2312" w:hAnsi="仿宋_GB2312" w:eastAsia="仿宋_GB2312" w:cs="仿宋_GB2312"/>
                <w:color w:val="auto"/>
                <w:sz w:val="32"/>
                <w:szCs w:val="32"/>
              </w:rPr>
              <w:t>申请人隐瞒有关情况或者提供虚假材料申请资质（包括资质延续、资质变更、增加业务范围等）的，资质认可机关不予受理或者不予行政许可，并给予警告。该申请人在一年内不得再次申请。</w:t>
            </w:r>
          </w:p>
          <w:p w14:paraId="5C93DC85">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《安全评价检测检验机构管理办法》第二十八条</w:t>
            </w:r>
            <w:r>
              <w:rPr>
                <w:rFonts w:hint="eastAsia" w:ascii="仿宋_GB2312" w:hAnsi="仿宋_GB2312" w:eastAsia="仿宋_GB2312" w:cs="仿宋_GB2312"/>
                <w:color w:val="auto"/>
                <w:sz w:val="32"/>
                <w:szCs w:val="32"/>
              </w:rPr>
              <w:t>申请人以欺骗、贿赂等不正当手段取得资质（包括资质延续、资质变更、增加业务范围等）的，应当予以撤销。该申请人在三年内不得再次申请；构成犯罪的，依法追究刑事责任。</w:t>
            </w:r>
          </w:p>
        </w:tc>
        <w:tc>
          <w:tcPr>
            <w:tcW w:w="950" w:type="dxa"/>
            <w:vAlign w:val="center"/>
          </w:tcPr>
          <w:p w14:paraId="2CB92070">
            <w:pPr>
              <w:rPr>
                <w:rFonts w:hint="eastAsia" w:ascii="仿宋_GB2312" w:hAnsi="仿宋_GB2312" w:eastAsia="仿宋_GB2312" w:cs="仿宋_GB2312"/>
                <w:color w:val="auto"/>
                <w:sz w:val="32"/>
                <w:szCs w:val="32"/>
              </w:rPr>
            </w:pPr>
          </w:p>
        </w:tc>
      </w:tr>
      <w:tr w14:paraId="5C1B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14:paraId="1A042FA8">
            <w:pPr>
              <w:rPr>
                <w:rFonts w:hint="eastAsia" w:ascii="仿宋_GB2312" w:hAnsi="仿宋_GB2312" w:eastAsia="仿宋_GB2312" w:cs="仿宋_GB2312"/>
                <w:color w:val="auto"/>
                <w:sz w:val="32"/>
                <w:szCs w:val="32"/>
              </w:rPr>
            </w:pPr>
          </w:p>
        </w:tc>
        <w:tc>
          <w:tcPr>
            <w:tcW w:w="950" w:type="dxa"/>
            <w:vMerge w:val="continue"/>
            <w:vAlign w:val="center"/>
          </w:tcPr>
          <w:p w14:paraId="0AE8F9E2">
            <w:pPr>
              <w:rPr>
                <w:rFonts w:hint="eastAsia" w:ascii="仿宋_GB2312" w:hAnsi="仿宋_GB2312" w:eastAsia="仿宋_GB2312" w:cs="仿宋_GB2312"/>
                <w:color w:val="auto"/>
                <w:sz w:val="32"/>
                <w:szCs w:val="32"/>
              </w:rPr>
            </w:pPr>
          </w:p>
        </w:tc>
        <w:tc>
          <w:tcPr>
            <w:tcW w:w="955" w:type="dxa"/>
            <w:vAlign w:val="center"/>
          </w:tcPr>
          <w:p w14:paraId="42AC739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1.4人员配备</w:t>
            </w:r>
          </w:p>
        </w:tc>
        <w:tc>
          <w:tcPr>
            <w:tcW w:w="3901" w:type="dxa"/>
            <w:vAlign w:val="center"/>
          </w:tcPr>
          <w:p w14:paraId="22AF909E">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《安全评价检测检验机构管理办法》第六条</w:t>
            </w:r>
            <w:r>
              <w:rPr>
                <w:rFonts w:hint="eastAsia" w:ascii="仿宋_GB2312" w:hAnsi="仿宋_GB2312" w:eastAsia="仿宋_GB2312" w:cs="仿宋_GB2312"/>
                <w:color w:val="auto"/>
                <w:sz w:val="32"/>
                <w:szCs w:val="32"/>
              </w:rPr>
              <w:t>申请安全评价机构资质应当具备下列条件：......</w:t>
            </w:r>
          </w:p>
          <w:p w14:paraId="4C6E407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（三）承担矿山、金属冶炼、危险化学品生产和储存、烟花爆竹等业务范围安全评价的机构，其专职安全评价师不低于本办法规定的配备标准（附件1）；</w:t>
            </w:r>
          </w:p>
          <w:p w14:paraId="7312E34F">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承担单一业务范围的安全评价机构，其专职安全评价师不少于二十五人；每增加一个行业（领域），按照专业配备标准至少增加五名专职安全评价师；专职安全评价师中，一级安全评价师比例不低于百分之二十，一级和二级安全评价师的总数比例不低于百分之五十，且中级及以上注册安全工程师比例不低于百分之三十；......</w:t>
            </w:r>
          </w:p>
          <w:p w14:paraId="5D450DD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配备专职技术负责人和过程控制负责人；专职技术负责人具有一级安全评价师职业资格，并具有与所开展业务相匹配的高级专业技术职称，在本行业领域工作八年以上；专职过程控制负责人具有安全评价师职业资格；......</w:t>
            </w:r>
          </w:p>
          <w:p w14:paraId="73D56BA1">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《安全评价检测检验机构管理办法》第七条</w:t>
            </w:r>
            <w:r>
              <w:rPr>
                <w:rFonts w:hint="eastAsia" w:ascii="仿宋_GB2312" w:hAnsi="仿宋_GB2312" w:eastAsia="仿宋_GB2312" w:cs="仿宋_GB2312"/>
                <w:color w:val="auto"/>
                <w:sz w:val="32"/>
                <w:szCs w:val="32"/>
              </w:rPr>
              <w:t>申请安全生产检测检验机构资质应当具备下列条件：......</w:t>
            </w:r>
          </w:p>
          <w:p w14:paraId="11AABBE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承担单一业务范围的安全生产检测检验机构，其专业技术人员不少于二十五人；每增加一个行业（领域），至少增加五名专业技术人员；专业技术人员中，中级及以上注册安全工程师比例不低于百分之三十，中级及以上技术职称比例不低于百分之五十，且高级技术职称人员比例不低于百分之二十五；</w:t>
            </w:r>
          </w:p>
          <w:p w14:paraId="4D1F7A1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（四）专业技术人员具有与承担安全生产检测检验相适应的专业技能，以及在本行业领域工作两年以上；......</w:t>
            </w:r>
          </w:p>
          <w:p w14:paraId="397F5A3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（六）主持安全生产检测检验工作的负责人、技术负责人、质量负责人具有高级技术职称，在本行业领域工作八年以上；......</w:t>
            </w:r>
          </w:p>
        </w:tc>
        <w:tc>
          <w:tcPr>
            <w:tcW w:w="3891" w:type="dxa"/>
            <w:vAlign w:val="center"/>
          </w:tcPr>
          <w:p w14:paraId="5E2F232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4B2E5F0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6E9E413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（3）劳动合同及工资支付记录等资料；</w:t>
            </w:r>
          </w:p>
          <w:p w14:paraId="01AB48C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（4）相关人员的人事档案资料；</w:t>
            </w:r>
          </w:p>
          <w:p w14:paraId="7C738F5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（5）《现场检查记录》等</w:t>
            </w:r>
            <w:r>
              <w:rPr>
                <w:rFonts w:hint="eastAsia" w:ascii="仿宋_GB2312" w:hAnsi="仿宋_GB2312" w:eastAsia="仿宋_GB2312" w:cs="仿宋_GB2312"/>
                <w:color w:val="auto"/>
                <w:kern w:val="0"/>
                <w:sz w:val="32"/>
                <w:szCs w:val="32"/>
              </w:rPr>
              <w:t>相关</w:t>
            </w:r>
            <w:r>
              <w:rPr>
                <w:rFonts w:hint="eastAsia" w:ascii="仿宋_GB2312" w:hAnsi="仿宋_GB2312" w:eastAsia="仿宋_GB2312" w:cs="仿宋_GB2312"/>
                <w:color w:val="auto"/>
                <w:sz w:val="32"/>
                <w:szCs w:val="32"/>
              </w:rPr>
              <w:t>执法文书；</w:t>
            </w:r>
          </w:p>
          <w:p w14:paraId="016D620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（6）相关人员的职业资格证书、执业证、职称证明等相关资料。</w:t>
            </w:r>
          </w:p>
          <w:p w14:paraId="6E92DBFB">
            <w:pPr>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（7）相关人员任职文件、身份证明及其询问笔录；</w:t>
            </w:r>
          </w:p>
          <w:p w14:paraId="5117322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（8）其他相关证据。</w:t>
            </w:r>
          </w:p>
          <w:p w14:paraId="4E0FC7BA">
            <w:pPr>
              <w:rPr>
                <w:rFonts w:hint="eastAsia" w:ascii="仿宋_GB2312" w:hAnsi="仿宋_GB2312" w:eastAsia="仿宋_GB2312" w:cs="仿宋_GB2312"/>
                <w:color w:val="auto"/>
                <w:sz w:val="32"/>
                <w:szCs w:val="32"/>
              </w:rPr>
            </w:pPr>
          </w:p>
        </w:tc>
        <w:tc>
          <w:tcPr>
            <w:tcW w:w="3901" w:type="dxa"/>
            <w:vAlign w:val="center"/>
          </w:tcPr>
          <w:p w14:paraId="3B5D2297">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《安全评价检测检验机构管理办法》第二十七条</w:t>
            </w:r>
            <w:r>
              <w:rPr>
                <w:rFonts w:hint="eastAsia" w:ascii="仿宋_GB2312" w:hAnsi="仿宋_GB2312" w:eastAsia="仿宋_GB2312" w:cs="仿宋_GB2312"/>
                <w:color w:val="auto"/>
                <w:sz w:val="32"/>
                <w:szCs w:val="32"/>
              </w:rPr>
              <w:t>申请人隐瞒有关情况或者提供虚假材料申请资质（包括资质延续、资质变更、增加业务范围等）的，资质认可机关不予受理或者不予行政许可，并给予警告。该申请人在一年内不得再次申请。</w:t>
            </w:r>
          </w:p>
          <w:p w14:paraId="7A399A9D">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《安全评价检测检验机构管理办法》第二十八条</w:t>
            </w:r>
            <w:r>
              <w:rPr>
                <w:rFonts w:hint="eastAsia" w:ascii="仿宋_GB2312" w:hAnsi="仿宋_GB2312" w:eastAsia="仿宋_GB2312" w:cs="仿宋_GB2312"/>
                <w:color w:val="auto"/>
                <w:sz w:val="32"/>
                <w:szCs w:val="32"/>
              </w:rPr>
              <w:t>申请人以欺骗、贿赂等不正当手段取得资质（包括资质延续、资质变更、增加业务范围等）的，应当予以撤销。该申请人在三年内不得再次申请；构成犯罪的，依法追究刑事责任。</w:t>
            </w:r>
          </w:p>
        </w:tc>
        <w:tc>
          <w:tcPr>
            <w:tcW w:w="950" w:type="dxa"/>
            <w:vAlign w:val="center"/>
          </w:tcPr>
          <w:p w14:paraId="13CF9CAC">
            <w:pPr>
              <w:rPr>
                <w:rFonts w:hint="eastAsia" w:ascii="仿宋_GB2312" w:hAnsi="仿宋_GB2312" w:eastAsia="仿宋_GB2312" w:cs="仿宋_GB2312"/>
                <w:color w:val="auto"/>
                <w:sz w:val="32"/>
                <w:szCs w:val="32"/>
              </w:rPr>
            </w:pPr>
          </w:p>
        </w:tc>
      </w:tr>
      <w:tr w14:paraId="1CB5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14:paraId="05DD92AF">
            <w:pPr>
              <w:rPr>
                <w:rFonts w:hint="eastAsia" w:ascii="仿宋_GB2312" w:hAnsi="仿宋_GB2312" w:eastAsia="仿宋_GB2312" w:cs="仿宋_GB2312"/>
                <w:color w:val="auto"/>
                <w:sz w:val="32"/>
                <w:szCs w:val="32"/>
              </w:rPr>
            </w:pPr>
          </w:p>
        </w:tc>
        <w:tc>
          <w:tcPr>
            <w:tcW w:w="950" w:type="dxa"/>
            <w:vMerge w:val="continue"/>
            <w:vAlign w:val="center"/>
          </w:tcPr>
          <w:p w14:paraId="2261ABED">
            <w:pPr>
              <w:rPr>
                <w:rFonts w:hint="eastAsia" w:ascii="仿宋_GB2312" w:hAnsi="仿宋_GB2312" w:eastAsia="仿宋_GB2312" w:cs="仿宋_GB2312"/>
                <w:color w:val="auto"/>
                <w:sz w:val="32"/>
                <w:szCs w:val="32"/>
              </w:rPr>
            </w:pPr>
          </w:p>
        </w:tc>
        <w:tc>
          <w:tcPr>
            <w:tcW w:w="955" w:type="dxa"/>
            <w:vAlign w:val="center"/>
          </w:tcPr>
          <w:p w14:paraId="4562F5F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1.5管理体系</w:t>
            </w:r>
          </w:p>
        </w:tc>
        <w:tc>
          <w:tcPr>
            <w:tcW w:w="3901" w:type="dxa"/>
            <w:vAlign w:val="center"/>
          </w:tcPr>
          <w:p w14:paraId="4F0D56F2">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《安全评价检测检验机构管理办法》第六条</w:t>
            </w:r>
            <w:r>
              <w:rPr>
                <w:rFonts w:hint="eastAsia" w:ascii="仿宋_GB2312" w:hAnsi="仿宋_GB2312" w:eastAsia="仿宋_GB2312" w:cs="仿宋_GB2312"/>
                <w:color w:val="auto"/>
                <w:sz w:val="32"/>
                <w:szCs w:val="32"/>
              </w:rPr>
              <w:t>申请安全评价机构资质应当具备下列条件：......</w:t>
            </w:r>
          </w:p>
          <w:p w14:paraId="72D5268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（五）健全的内部管理制度和安全评价过程控制体系；</w:t>
            </w:r>
          </w:p>
          <w:p w14:paraId="6AEB61D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（六）法定代表人出具知悉并承担安全评价的法律责任、义务、权利和风险的承诺书；......</w:t>
            </w:r>
          </w:p>
          <w:p w14:paraId="29B0099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（八）正常运行并可以供公众查询机构信息的网站；......</w:t>
            </w:r>
          </w:p>
          <w:p w14:paraId="128604B8">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《安全评价检测检验机构管理办法》第七条</w:t>
            </w:r>
            <w:r>
              <w:rPr>
                <w:rFonts w:hint="eastAsia" w:ascii="仿宋_GB2312" w:hAnsi="仿宋_GB2312" w:eastAsia="仿宋_GB2312" w:cs="仿宋_GB2312"/>
                <w:color w:val="auto"/>
                <w:sz w:val="32"/>
                <w:szCs w:val="32"/>
              </w:rPr>
              <w:t>申请安全生产检测检验机构资质应当具备下列条件：......</w:t>
            </w:r>
          </w:p>
          <w:p w14:paraId="0BA47A4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（五）法定代表人出具知悉并承担安全生产检测检验的法律责任、义务、权利和风险的承诺书；......</w:t>
            </w:r>
          </w:p>
          <w:p w14:paraId="71537C6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（七）符合安全生产检测检验机构能力通用要求等相关标准和规范性文件规定的文件化管理体系；</w:t>
            </w:r>
          </w:p>
          <w:p w14:paraId="51E28F8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（八）正常运行并可以供公众查询机构信息的网站；......</w:t>
            </w:r>
          </w:p>
        </w:tc>
        <w:tc>
          <w:tcPr>
            <w:tcW w:w="3891" w:type="dxa"/>
            <w:vAlign w:val="center"/>
          </w:tcPr>
          <w:p w14:paraId="497465C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365EB66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753CDF8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（3）内部管理制度、管理体系等资料；</w:t>
            </w:r>
          </w:p>
          <w:p w14:paraId="1F88E44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（4）法定代表人出具的承诺书；</w:t>
            </w:r>
          </w:p>
          <w:p w14:paraId="066E7E0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（5）网站运行情况；</w:t>
            </w:r>
          </w:p>
          <w:p w14:paraId="0270912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（6）《现场检查记录》等</w:t>
            </w:r>
            <w:r>
              <w:rPr>
                <w:rFonts w:hint="eastAsia" w:ascii="仿宋_GB2312" w:hAnsi="仿宋_GB2312" w:eastAsia="仿宋_GB2312" w:cs="仿宋_GB2312"/>
                <w:color w:val="auto"/>
                <w:kern w:val="0"/>
                <w:sz w:val="32"/>
                <w:szCs w:val="32"/>
              </w:rPr>
              <w:t>相关</w:t>
            </w:r>
            <w:r>
              <w:rPr>
                <w:rFonts w:hint="eastAsia" w:ascii="仿宋_GB2312" w:hAnsi="仿宋_GB2312" w:eastAsia="仿宋_GB2312" w:cs="仿宋_GB2312"/>
                <w:color w:val="auto"/>
                <w:sz w:val="32"/>
                <w:szCs w:val="32"/>
              </w:rPr>
              <w:t>执法文书；</w:t>
            </w:r>
          </w:p>
          <w:p w14:paraId="2CA6CFA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bCs/>
                <w:color w:val="auto"/>
                <w:sz w:val="32"/>
                <w:szCs w:val="32"/>
              </w:rPr>
              <w:t>相关人员任职文件、身份证明及其询问笔录；</w:t>
            </w:r>
          </w:p>
          <w:p w14:paraId="2B9490C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（8）其他相关证据。</w:t>
            </w:r>
          </w:p>
        </w:tc>
        <w:tc>
          <w:tcPr>
            <w:tcW w:w="3901" w:type="dxa"/>
            <w:vAlign w:val="center"/>
          </w:tcPr>
          <w:p w14:paraId="6ACC338F">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《安全评价检测检验机构管理办法》第二十七条</w:t>
            </w:r>
            <w:r>
              <w:rPr>
                <w:rFonts w:hint="eastAsia" w:ascii="仿宋_GB2312" w:hAnsi="仿宋_GB2312" w:eastAsia="仿宋_GB2312" w:cs="仿宋_GB2312"/>
                <w:color w:val="auto"/>
                <w:sz w:val="32"/>
                <w:szCs w:val="32"/>
              </w:rPr>
              <w:t>申请人隐瞒有关情况或者提供虚假材料申请资质（包括资质延续、资质变更、增加业务范围等）的，资质认可机关不予受理或者不予行政许可，并给予警告。该申请人在一年内不得再次申请。</w:t>
            </w:r>
          </w:p>
          <w:p w14:paraId="26B5DCE3">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《安全评价检测检验机构管理办法》第二十八条</w:t>
            </w:r>
            <w:r>
              <w:rPr>
                <w:rFonts w:hint="eastAsia" w:ascii="仿宋_GB2312" w:hAnsi="仿宋_GB2312" w:eastAsia="仿宋_GB2312" w:cs="仿宋_GB2312"/>
                <w:color w:val="auto"/>
                <w:sz w:val="32"/>
                <w:szCs w:val="32"/>
              </w:rPr>
              <w:t>申请人以欺骗、贿赂等不正当手段取得资质（包括资质延续、资质变更、增加业务范围等）的，应当予以撤销。该申请人在三年内不得再次申请；构成犯罪的，依法追究刑事责任。</w:t>
            </w:r>
          </w:p>
        </w:tc>
        <w:tc>
          <w:tcPr>
            <w:tcW w:w="950" w:type="dxa"/>
            <w:vAlign w:val="center"/>
          </w:tcPr>
          <w:p w14:paraId="1877DFF4">
            <w:pPr>
              <w:rPr>
                <w:rFonts w:hint="eastAsia" w:ascii="仿宋_GB2312" w:hAnsi="仿宋_GB2312" w:eastAsia="仿宋_GB2312" w:cs="仿宋_GB2312"/>
                <w:color w:val="auto"/>
                <w:sz w:val="32"/>
                <w:szCs w:val="32"/>
              </w:rPr>
            </w:pPr>
          </w:p>
        </w:tc>
      </w:tr>
      <w:tr w14:paraId="3E67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7" w:type="dxa"/>
            <w:vMerge w:val="continue"/>
            <w:vAlign w:val="center"/>
          </w:tcPr>
          <w:p w14:paraId="5F68ECDD">
            <w:pPr>
              <w:rPr>
                <w:rFonts w:hint="eastAsia" w:ascii="仿宋_GB2312" w:hAnsi="仿宋_GB2312" w:eastAsia="仿宋_GB2312" w:cs="仿宋_GB2312"/>
                <w:color w:val="auto"/>
                <w:sz w:val="32"/>
                <w:szCs w:val="32"/>
              </w:rPr>
            </w:pPr>
          </w:p>
        </w:tc>
        <w:tc>
          <w:tcPr>
            <w:tcW w:w="950" w:type="dxa"/>
            <w:vMerge w:val="continue"/>
            <w:vAlign w:val="center"/>
          </w:tcPr>
          <w:p w14:paraId="78AEA49B">
            <w:pPr>
              <w:rPr>
                <w:rFonts w:hint="eastAsia" w:ascii="仿宋_GB2312" w:hAnsi="仿宋_GB2312" w:eastAsia="仿宋_GB2312" w:cs="仿宋_GB2312"/>
                <w:color w:val="auto"/>
                <w:sz w:val="32"/>
                <w:szCs w:val="32"/>
              </w:rPr>
            </w:pPr>
          </w:p>
        </w:tc>
        <w:tc>
          <w:tcPr>
            <w:tcW w:w="955" w:type="dxa"/>
            <w:vAlign w:val="center"/>
          </w:tcPr>
          <w:p w14:paraId="0E90F51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1.6资质变更、延期</w:t>
            </w:r>
          </w:p>
        </w:tc>
        <w:tc>
          <w:tcPr>
            <w:tcW w:w="3901" w:type="dxa"/>
            <w:vAlign w:val="center"/>
          </w:tcPr>
          <w:p w14:paraId="6DE45273">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《安全评价检测检验机构管理办法》第十二条</w:t>
            </w:r>
            <w:r>
              <w:rPr>
                <w:rFonts w:hint="eastAsia" w:ascii="仿宋_GB2312" w:hAnsi="仿宋_GB2312" w:eastAsia="仿宋_GB2312" w:cs="仿宋_GB2312"/>
                <w:color w:val="auto"/>
                <w:sz w:val="32"/>
                <w:szCs w:val="32"/>
              </w:rPr>
              <w:t>安全评价检测检验机构的名称、注册地址、实验室条件、法定代表人、专职技术负责人、授权签字人发生变化的，应当自发生变化之日起三十日内向原资质认可机关提出书面变更申请。</w:t>
            </w:r>
          </w:p>
          <w:p w14:paraId="10E5BE7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安全评价检测检验机构因改制、分立或者合并等原因发生变化的，应当自发生变化之日起三十日内向原资质认可机关书面申请重新核定资质条件和业务范围。</w:t>
            </w:r>
          </w:p>
          <w:p w14:paraId="19B7EC5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安全评价检测检验机构取得资质一年以上，需要变更业务范围的，应当向原资质认可机关提出书面申请。</w:t>
            </w:r>
          </w:p>
          <w:p w14:paraId="75C54BC3">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《安全评价检测检验机构管理办法》第十三条</w:t>
            </w:r>
            <w:r>
              <w:rPr>
                <w:rFonts w:hint="eastAsia" w:ascii="仿宋_GB2312" w:hAnsi="仿宋_GB2312" w:eastAsia="仿宋_GB2312" w:cs="仿宋_GB2312"/>
                <w:color w:val="auto"/>
                <w:sz w:val="32"/>
                <w:szCs w:val="32"/>
              </w:rPr>
              <w:t>安全评价检测检验机构资质证书有效期五年。资质证书有效期届满需要延续的，应当在有效期届满三个月前向原资质认可机关提出申请。原资质认可机关应当按照本办法第九条至第十一条的规定办理。</w:t>
            </w:r>
          </w:p>
        </w:tc>
        <w:tc>
          <w:tcPr>
            <w:tcW w:w="3891" w:type="dxa"/>
            <w:vAlign w:val="center"/>
          </w:tcPr>
          <w:p w14:paraId="4F70BE0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2DBB905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654F8E1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（3）变更、延期申请资料；</w:t>
            </w:r>
          </w:p>
          <w:p w14:paraId="532CD81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（4）《现场检查记录》《责令限期整改指令书》等相关执法文书；</w:t>
            </w:r>
          </w:p>
          <w:p w14:paraId="16BC4C2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bCs/>
                <w:color w:val="auto"/>
                <w:sz w:val="32"/>
                <w:szCs w:val="32"/>
              </w:rPr>
              <w:t>相关人员任职文件、身份证明及其询问笔录；</w:t>
            </w:r>
          </w:p>
          <w:p w14:paraId="56B8BA0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（6）其他相关证据。</w:t>
            </w:r>
          </w:p>
        </w:tc>
        <w:tc>
          <w:tcPr>
            <w:tcW w:w="3901" w:type="dxa"/>
            <w:vAlign w:val="center"/>
          </w:tcPr>
          <w:p w14:paraId="286AA880">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《安全评价检测检验机构管理办法》第十四条</w:t>
            </w:r>
            <w:r>
              <w:rPr>
                <w:rFonts w:hint="eastAsia" w:ascii="仿宋_GB2312" w:hAnsi="仿宋_GB2312" w:eastAsia="仿宋_GB2312" w:cs="仿宋_GB2312"/>
                <w:color w:val="auto"/>
                <w:sz w:val="32"/>
                <w:szCs w:val="32"/>
              </w:rPr>
              <w:t>安全评价检测检验机构有下列情形之一的，原资质认可机关应当注销其资质，在本部门网站予以公告，并纳入安全评价检测检验机构信息查询系统：</w:t>
            </w:r>
          </w:p>
          <w:p w14:paraId="1A80701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（一）法人资格终止；</w:t>
            </w:r>
          </w:p>
          <w:p w14:paraId="3E6BC18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（二）资质证书有效期届满未延续；......</w:t>
            </w:r>
          </w:p>
          <w:p w14:paraId="5554C787">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《安全评价检测检验机构管理办法》第二十七条</w:t>
            </w:r>
            <w:r>
              <w:rPr>
                <w:rFonts w:hint="eastAsia" w:ascii="仿宋_GB2312" w:hAnsi="仿宋_GB2312" w:eastAsia="仿宋_GB2312" w:cs="仿宋_GB2312"/>
                <w:color w:val="auto"/>
                <w:sz w:val="32"/>
                <w:szCs w:val="32"/>
              </w:rPr>
              <w:t>申请人隐瞒有关情况或者提供虚假材料申请资质（包括资质延续、资质变更、增加业务范围等）的，资质认可机关不予受理或者不予行政许可，并给予警告。该申请人在一年内不得再次申请。</w:t>
            </w:r>
          </w:p>
          <w:p w14:paraId="7F3927F1">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《安全评价检测检验机构管理办法》第二十八条</w:t>
            </w:r>
            <w:r>
              <w:rPr>
                <w:rFonts w:hint="eastAsia" w:ascii="仿宋_GB2312" w:hAnsi="仿宋_GB2312" w:eastAsia="仿宋_GB2312" w:cs="仿宋_GB2312"/>
                <w:color w:val="auto"/>
                <w:sz w:val="32"/>
                <w:szCs w:val="32"/>
              </w:rPr>
              <w:t>申请人以欺骗、贿赂等不正当手段取得资质（包括资质延续、资质变更、增加业务范围等）的，应当予以撤销。该申请人在三年内不得再次申请；构成犯罪的，依法追究刑事责任。</w:t>
            </w:r>
          </w:p>
          <w:p w14:paraId="7929CAE9">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《安全评价检测检验机构管理办法》第三十条</w:t>
            </w:r>
            <w:r>
              <w:rPr>
                <w:rFonts w:hint="eastAsia" w:ascii="仿宋_GB2312" w:hAnsi="仿宋_GB2312" w:eastAsia="仿宋_GB2312" w:cs="仿宋_GB2312"/>
                <w:color w:val="auto"/>
                <w:sz w:val="32"/>
                <w:szCs w:val="32"/>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14:paraId="55D607F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（五）机构名称、注册地址、实验室条件、法定代表人、专职技术负责人、授权签字人发生变化之日起三十日内未向原资质认可机关提出变更申请的；......</w:t>
            </w:r>
          </w:p>
        </w:tc>
        <w:tc>
          <w:tcPr>
            <w:tcW w:w="950" w:type="dxa"/>
            <w:vAlign w:val="center"/>
          </w:tcPr>
          <w:p w14:paraId="25B7B52E">
            <w:pPr>
              <w:rPr>
                <w:rFonts w:hint="eastAsia" w:ascii="仿宋_GB2312" w:hAnsi="仿宋_GB2312" w:eastAsia="仿宋_GB2312" w:cs="仿宋_GB2312"/>
                <w:color w:val="auto"/>
                <w:sz w:val="32"/>
                <w:szCs w:val="32"/>
              </w:rPr>
            </w:pPr>
          </w:p>
        </w:tc>
      </w:tr>
      <w:tr w14:paraId="5DB8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restart"/>
            <w:vAlign w:val="center"/>
          </w:tcPr>
          <w:p w14:paraId="5D39D7ED">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950" w:type="dxa"/>
            <w:vMerge w:val="restart"/>
            <w:vAlign w:val="center"/>
          </w:tcPr>
          <w:p w14:paraId="5DB6C9E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技术服务</w:t>
            </w:r>
          </w:p>
        </w:tc>
        <w:tc>
          <w:tcPr>
            <w:tcW w:w="955" w:type="dxa"/>
            <w:vAlign w:val="center"/>
          </w:tcPr>
          <w:p w14:paraId="483B716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2.1签订合同</w:t>
            </w:r>
          </w:p>
        </w:tc>
        <w:tc>
          <w:tcPr>
            <w:tcW w:w="3901" w:type="dxa"/>
            <w:vAlign w:val="center"/>
          </w:tcPr>
          <w:p w14:paraId="180DBA94">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《安全评价检测检验机构管理办法》第十六条</w:t>
            </w:r>
            <w:r>
              <w:rPr>
                <w:rFonts w:hint="eastAsia" w:ascii="仿宋_GB2312" w:hAnsi="仿宋_GB2312" w:eastAsia="仿宋_GB2312" w:cs="仿宋_GB2312"/>
                <w:color w:val="auto"/>
                <w:sz w:val="32"/>
                <w:szCs w:val="32"/>
              </w:rPr>
              <w:t>生产经营单位委托安全评价检测检验机构开展技术服务时，应当签订委托技术服务合同，明确服务对象、范围、权利、义务和责任。</w:t>
            </w:r>
          </w:p>
        </w:tc>
        <w:tc>
          <w:tcPr>
            <w:tcW w:w="3891" w:type="dxa"/>
            <w:vAlign w:val="center"/>
          </w:tcPr>
          <w:p w14:paraId="1FA5810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4DD8616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14431BB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（3）安全评价、检测检验报告；</w:t>
            </w:r>
          </w:p>
          <w:p w14:paraId="49BEE06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（4）技术服务合同；</w:t>
            </w:r>
          </w:p>
          <w:p w14:paraId="4B2C70D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（5）《现场检查记录》《责令限期整改指令书》等相关执法文书；</w:t>
            </w:r>
          </w:p>
          <w:p w14:paraId="708C1AA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bCs/>
                <w:color w:val="auto"/>
                <w:sz w:val="32"/>
                <w:szCs w:val="32"/>
              </w:rPr>
              <w:t>相关人员任职文件、身份证明及其询问笔录；</w:t>
            </w:r>
          </w:p>
          <w:p w14:paraId="36ECD8F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（7）其他相关证据。</w:t>
            </w:r>
          </w:p>
        </w:tc>
        <w:tc>
          <w:tcPr>
            <w:tcW w:w="3901" w:type="dxa"/>
            <w:vAlign w:val="center"/>
          </w:tcPr>
          <w:p w14:paraId="25136DC8">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《安全评价检测检验机构管理办法》第三十条</w:t>
            </w:r>
            <w:r>
              <w:rPr>
                <w:rFonts w:hint="eastAsia" w:ascii="仿宋_GB2312" w:hAnsi="仿宋_GB2312" w:eastAsia="仿宋_GB2312" w:cs="仿宋_GB2312"/>
                <w:color w:val="auto"/>
                <w:sz w:val="32"/>
                <w:szCs w:val="32"/>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14:paraId="696F61A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（一）未依法与委托方签订技术服务合同的；......</w:t>
            </w:r>
          </w:p>
        </w:tc>
        <w:tc>
          <w:tcPr>
            <w:tcW w:w="950" w:type="dxa"/>
            <w:vAlign w:val="center"/>
          </w:tcPr>
          <w:p w14:paraId="5F2F1A08">
            <w:pPr>
              <w:rPr>
                <w:rFonts w:hint="eastAsia" w:ascii="仿宋_GB2312" w:hAnsi="仿宋_GB2312" w:eastAsia="仿宋_GB2312" w:cs="仿宋_GB2312"/>
                <w:color w:val="auto"/>
                <w:sz w:val="32"/>
                <w:szCs w:val="32"/>
              </w:rPr>
            </w:pPr>
          </w:p>
        </w:tc>
      </w:tr>
      <w:tr w14:paraId="6D59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14:paraId="39E7F303">
            <w:pPr>
              <w:jc w:val="center"/>
              <w:rPr>
                <w:rFonts w:hint="eastAsia" w:ascii="仿宋_GB2312" w:hAnsi="仿宋_GB2312" w:eastAsia="仿宋_GB2312" w:cs="仿宋_GB2312"/>
                <w:color w:val="auto"/>
                <w:sz w:val="32"/>
                <w:szCs w:val="32"/>
              </w:rPr>
            </w:pPr>
          </w:p>
        </w:tc>
        <w:tc>
          <w:tcPr>
            <w:tcW w:w="950" w:type="dxa"/>
            <w:vMerge w:val="continue"/>
            <w:vAlign w:val="center"/>
          </w:tcPr>
          <w:p w14:paraId="62067D42">
            <w:pPr>
              <w:rPr>
                <w:rFonts w:hint="eastAsia" w:ascii="仿宋_GB2312" w:hAnsi="仿宋_GB2312" w:eastAsia="仿宋_GB2312" w:cs="仿宋_GB2312"/>
                <w:color w:val="auto"/>
                <w:sz w:val="32"/>
                <w:szCs w:val="32"/>
              </w:rPr>
            </w:pPr>
          </w:p>
        </w:tc>
        <w:tc>
          <w:tcPr>
            <w:tcW w:w="955" w:type="dxa"/>
            <w:vAlign w:val="center"/>
          </w:tcPr>
          <w:p w14:paraId="3277D33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2.2信息公开</w:t>
            </w:r>
          </w:p>
        </w:tc>
        <w:tc>
          <w:tcPr>
            <w:tcW w:w="3901" w:type="dxa"/>
            <w:vAlign w:val="center"/>
          </w:tcPr>
          <w:p w14:paraId="39FA138C">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《安全评价检测检验机构管理办法》第十七条第一款</w:t>
            </w:r>
            <w:r>
              <w:rPr>
                <w:rFonts w:hint="eastAsia" w:ascii="仿宋_GB2312" w:hAnsi="仿宋_GB2312" w:eastAsia="仿宋_GB2312" w:cs="仿宋_GB2312"/>
                <w:color w:val="auto"/>
                <w:sz w:val="32"/>
                <w:szCs w:val="32"/>
              </w:rPr>
              <w:t>安全评价检测检验机构应当建立信息公开制度，加强内部管理，严格自我约束。......</w:t>
            </w:r>
          </w:p>
          <w:p w14:paraId="25548E2A">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《安全评价检测检验机构管理办法》第十八条</w:t>
            </w:r>
            <w:r>
              <w:rPr>
                <w:rFonts w:hint="eastAsia" w:ascii="仿宋_GB2312" w:hAnsi="仿宋_GB2312" w:eastAsia="仿宋_GB2312" w:cs="仿宋_GB2312"/>
                <w:color w:val="auto"/>
                <w:sz w:val="32"/>
                <w:szCs w:val="32"/>
              </w:rPr>
              <w:t>安全评价检测检验机构开展技术服务时，应当如实记录过程控制、现场勘验和检测检验的情况，并与现场图像影像等证明资料一并及时归档。</w:t>
            </w:r>
          </w:p>
          <w:p w14:paraId="2CBE2A1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安全评价检测检验机构应当按照有关规定在网上公开安全评价报告、安全生产检测检验报告相关信息及现场勘验图像影像。</w:t>
            </w:r>
          </w:p>
          <w:p w14:paraId="4FC1919F">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《安全评价检测检验机构管理办法》第十九条</w:t>
            </w:r>
            <w:r>
              <w:rPr>
                <w:rFonts w:hint="eastAsia" w:ascii="仿宋_GB2312" w:hAnsi="仿宋_GB2312" w:eastAsia="仿宋_GB2312" w:cs="仿宋_GB2312"/>
                <w:color w:val="auto"/>
                <w:sz w:val="32"/>
                <w:szCs w:val="32"/>
              </w:rPr>
              <w:t>安全评价检测检验机构应当在开展现场技术服务前七个工作日内，书面告知（附件4）项目实施地资质认可机关，接受资质认可机关及其下级部门的监督抽查。</w:t>
            </w:r>
          </w:p>
          <w:p w14:paraId="5A93AB99">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《安全评价检测检验机构管理办法》第二十一条第一款</w:t>
            </w:r>
            <w:r>
              <w:rPr>
                <w:rFonts w:hint="eastAsia" w:ascii="仿宋_GB2312" w:hAnsi="仿宋_GB2312" w:eastAsia="仿宋_GB2312" w:cs="仿宋_GB2312"/>
                <w:color w:val="auto"/>
                <w:sz w:val="32"/>
                <w:szCs w:val="32"/>
              </w:rPr>
              <w:t xml:space="preserve"> ......安全评价检测检验机构应当主动公开服务收费标准，方便用户和社会公众查询。</w:t>
            </w:r>
          </w:p>
        </w:tc>
        <w:tc>
          <w:tcPr>
            <w:tcW w:w="3891" w:type="dxa"/>
            <w:vAlign w:val="center"/>
          </w:tcPr>
          <w:p w14:paraId="320574E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19273B0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33CC323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（3）信息公开制度资料；</w:t>
            </w:r>
          </w:p>
          <w:p w14:paraId="24D81E0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（4）过程控制、现场勘验和检测检验等资料；</w:t>
            </w:r>
          </w:p>
          <w:p w14:paraId="72464BA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（5）网上公开情况；</w:t>
            </w:r>
          </w:p>
          <w:p w14:paraId="5EE9B55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（6）开展现场技术服务的书面告知；</w:t>
            </w:r>
          </w:p>
          <w:p w14:paraId="20AF4339">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（7）公开服务收费标准情况；</w:t>
            </w:r>
          </w:p>
          <w:p w14:paraId="6A3A9F2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（8）《现场检查记录》《责令限期整改指令书》等相关执法文书；</w:t>
            </w:r>
          </w:p>
          <w:p w14:paraId="738C124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bCs/>
                <w:color w:val="auto"/>
                <w:sz w:val="32"/>
                <w:szCs w:val="32"/>
              </w:rPr>
              <w:t>相关人员任职文件、身份证明及其询问笔录；</w:t>
            </w:r>
          </w:p>
          <w:p w14:paraId="1510EE3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（10）其他相关证据。</w:t>
            </w:r>
          </w:p>
        </w:tc>
        <w:tc>
          <w:tcPr>
            <w:tcW w:w="3901" w:type="dxa"/>
            <w:vAlign w:val="center"/>
          </w:tcPr>
          <w:p w14:paraId="561694CF">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《安全评价检测检验机构管理办法》第三十条</w:t>
            </w:r>
            <w:r>
              <w:rPr>
                <w:rFonts w:hint="eastAsia" w:ascii="仿宋_GB2312" w:hAnsi="仿宋_GB2312" w:eastAsia="仿宋_GB2312" w:cs="仿宋_GB2312"/>
                <w:color w:val="auto"/>
                <w:sz w:val="32"/>
                <w:szCs w:val="32"/>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14:paraId="34136DB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（二）违反法规标准规定更改或者简化安全评价、检测检验程序和相关内容的；</w:t>
            </w:r>
          </w:p>
          <w:p w14:paraId="37D7E06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（三）未按规定公开安全评价报告、安全生产检测检验报告相关信息及现场勘验图像影像资料的；</w:t>
            </w:r>
          </w:p>
          <w:p w14:paraId="7336EBA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（四）未在开展现场技术服务前七个工作日内，书面告知项目实施地资质认可机关的；......</w:t>
            </w:r>
          </w:p>
        </w:tc>
        <w:tc>
          <w:tcPr>
            <w:tcW w:w="950" w:type="dxa"/>
            <w:vAlign w:val="center"/>
          </w:tcPr>
          <w:p w14:paraId="14920F9E">
            <w:pPr>
              <w:rPr>
                <w:rFonts w:hint="eastAsia" w:ascii="仿宋_GB2312" w:hAnsi="仿宋_GB2312" w:eastAsia="仿宋_GB2312" w:cs="仿宋_GB2312"/>
                <w:color w:val="auto"/>
                <w:sz w:val="32"/>
                <w:szCs w:val="32"/>
              </w:rPr>
            </w:pPr>
          </w:p>
        </w:tc>
      </w:tr>
      <w:tr w14:paraId="46F8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Merge w:val="continue"/>
            <w:vAlign w:val="center"/>
          </w:tcPr>
          <w:p w14:paraId="6A0D7D27">
            <w:pPr>
              <w:jc w:val="center"/>
              <w:rPr>
                <w:rFonts w:hint="eastAsia" w:ascii="仿宋_GB2312" w:hAnsi="仿宋_GB2312" w:eastAsia="仿宋_GB2312" w:cs="仿宋_GB2312"/>
                <w:color w:val="auto"/>
                <w:sz w:val="32"/>
                <w:szCs w:val="32"/>
              </w:rPr>
            </w:pPr>
          </w:p>
        </w:tc>
        <w:tc>
          <w:tcPr>
            <w:tcW w:w="950" w:type="dxa"/>
            <w:vMerge w:val="continue"/>
            <w:vAlign w:val="center"/>
          </w:tcPr>
          <w:p w14:paraId="505482C1">
            <w:pPr>
              <w:rPr>
                <w:rFonts w:hint="eastAsia" w:ascii="仿宋_GB2312" w:hAnsi="仿宋_GB2312" w:eastAsia="仿宋_GB2312" w:cs="仿宋_GB2312"/>
                <w:color w:val="auto"/>
                <w:sz w:val="32"/>
                <w:szCs w:val="32"/>
              </w:rPr>
            </w:pPr>
          </w:p>
        </w:tc>
        <w:tc>
          <w:tcPr>
            <w:tcW w:w="955" w:type="dxa"/>
            <w:vAlign w:val="center"/>
          </w:tcPr>
          <w:p w14:paraId="4F524D3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2.3行为管理</w:t>
            </w:r>
          </w:p>
        </w:tc>
        <w:tc>
          <w:tcPr>
            <w:tcW w:w="3901" w:type="dxa"/>
            <w:vAlign w:val="center"/>
          </w:tcPr>
          <w:p w14:paraId="79A00AC5">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《安全评价检测检验机构管理办法》第十七条</w:t>
            </w:r>
            <w:r>
              <w:rPr>
                <w:rFonts w:hint="eastAsia" w:ascii="仿宋_GB2312" w:hAnsi="仿宋_GB2312" w:eastAsia="仿宋_GB2312" w:cs="仿宋_GB2312"/>
                <w:color w:val="auto"/>
                <w:sz w:val="32"/>
                <w:szCs w:val="32"/>
              </w:rPr>
              <w:t>......专职技术负责人和过程控制负责人应当按照法规标准的规定，加强安全评价、检测检验活动的管理。</w:t>
            </w:r>
          </w:p>
          <w:p w14:paraId="542EEDE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安全评价项目组组长应当具有与业务相关的二级以上安全评价师资格，并在本行业领域工作三年以上。项目组其他组成人员应当符合安全评价项目专职安全评价师专业能力配备标准。</w:t>
            </w:r>
          </w:p>
          <w:p w14:paraId="78FC43D9">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《安全评价检测检验机构管理办法》第二十二条</w:t>
            </w:r>
            <w:r>
              <w:rPr>
                <w:rFonts w:hint="eastAsia" w:ascii="仿宋_GB2312" w:hAnsi="仿宋_GB2312" w:eastAsia="仿宋_GB2312" w:cs="仿宋_GB2312"/>
                <w:color w:val="auto"/>
                <w:sz w:val="32"/>
                <w:szCs w:val="32"/>
              </w:rPr>
              <w:t>安全评价检测检验机构及其从业人员不得有下列行为：</w:t>
            </w:r>
          </w:p>
          <w:p w14:paraId="2DA21E4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（一）违反法规标准的规定开展安全评价、检测检验的；</w:t>
            </w:r>
          </w:p>
          <w:p w14:paraId="1E052BF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（二）不再具备资质条件或者资质过期从事安全评价、检测检验的；</w:t>
            </w:r>
          </w:p>
          <w:p w14:paraId="38C0445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（三）超出资质认可业务范围，从事法定的安全评价、检测检验的；</w:t>
            </w:r>
          </w:p>
          <w:p w14:paraId="7CD6215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（四）出租、出借安全评价检测检验资质证书的；</w:t>
            </w:r>
          </w:p>
          <w:p w14:paraId="05635EF5">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（五）出具虚假或者重大疏漏的安全评价、检测检验报告的；</w:t>
            </w:r>
          </w:p>
          <w:p w14:paraId="1669C32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（六）违反有关法规标准规定，更改或者简化安全评价、检测检验程序和相关内容的；</w:t>
            </w:r>
          </w:p>
          <w:p w14:paraId="1F40B4B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（七）专职安全评价师、专业技术人员同时在两个以上安全评价检测检验机构从业的；</w:t>
            </w:r>
          </w:p>
          <w:p w14:paraId="64E12E27">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（八）安全评价项目组组长及负责勘验人员不到现场实际地点开展勘验等有关工作的；</w:t>
            </w:r>
          </w:p>
          <w:p w14:paraId="2755A4B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（九）承担现场检测检验的人员不到现场实际地点开展设备检测检验等有关工作的；</w:t>
            </w:r>
          </w:p>
          <w:p w14:paraId="7EA2CA1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（十）冒用他人名义或者允许他人冒用本人名义在安全评价、检测检验报告和原始记录中签名的；</w:t>
            </w:r>
          </w:p>
          <w:p w14:paraId="63275BF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（十一）不接受资质认可机关及其下级部门监督抽查的。</w:t>
            </w:r>
          </w:p>
          <w:p w14:paraId="0C01E47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本办法所称虚假报告，是指安全评价报告、安全生产检测检验报告内容与当时实际情况严重不符，报告结论定性严重偏离客观实际。</w:t>
            </w:r>
          </w:p>
          <w:p w14:paraId="17D18644">
            <w:pPr>
              <w:ind w:firstLine="640" w:firstLineChars="200"/>
              <w:rPr>
                <w:rFonts w:hint="eastAsia" w:ascii="仿宋_GB2312" w:hAnsi="仿宋_GB2312" w:eastAsia="仿宋_GB2312" w:cs="仿宋_GB2312"/>
                <w:color w:val="auto"/>
                <w:sz w:val="32"/>
                <w:szCs w:val="32"/>
              </w:rPr>
            </w:pPr>
          </w:p>
        </w:tc>
        <w:tc>
          <w:tcPr>
            <w:tcW w:w="3891" w:type="dxa"/>
            <w:vAlign w:val="center"/>
          </w:tcPr>
          <w:p w14:paraId="7A445AF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3CEB9F6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59A42FC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（3）安全评价、检测检验报告；</w:t>
            </w:r>
          </w:p>
          <w:p w14:paraId="1094231F">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（4）技术服务合同；</w:t>
            </w:r>
          </w:p>
          <w:p w14:paraId="015C424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（5）加强安全评价、检测检验活动管理的相关记录资料；</w:t>
            </w:r>
          </w:p>
          <w:p w14:paraId="0879BF2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（6）网上公开情况；</w:t>
            </w:r>
          </w:p>
          <w:p w14:paraId="404D220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（7）《现场检查记录》《责令限期整改指令书》《查封扣押决定书》等</w:t>
            </w:r>
            <w:r>
              <w:rPr>
                <w:rFonts w:hint="eastAsia" w:ascii="仿宋_GB2312" w:hAnsi="仿宋_GB2312" w:eastAsia="仿宋_GB2312" w:cs="仿宋_GB2312"/>
                <w:color w:val="auto"/>
                <w:kern w:val="0"/>
                <w:sz w:val="32"/>
                <w:szCs w:val="32"/>
              </w:rPr>
              <w:t>相关</w:t>
            </w:r>
            <w:r>
              <w:rPr>
                <w:rFonts w:hint="eastAsia" w:ascii="仿宋_GB2312" w:hAnsi="仿宋_GB2312" w:eastAsia="仿宋_GB2312" w:cs="仿宋_GB2312"/>
                <w:color w:val="auto"/>
                <w:sz w:val="32"/>
                <w:szCs w:val="32"/>
              </w:rPr>
              <w:t>执法文书；</w:t>
            </w:r>
          </w:p>
          <w:p w14:paraId="4C597C3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（8）账务资料；</w:t>
            </w:r>
          </w:p>
          <w:p w14:paraId="3A0DA12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bCs/>
                <w:color w:val="auto"/>
                <w:sz w:val="32"/>
                <w:szCs w:val="32"/>
              </w:rPr>
              <w:t>相关人员任职文件、身份证明及其询问笔录；</w:t>
            </w:r>
          </w:p>
          <w:p w14:paraId="098101E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（10）其他相关证据。</w:t>
            </w:r>
          </w:p>
        </w:tc>
        <w:tc>
          <w:tcPr>
            <w:tcW w:w="3901" w:type="dxa"/>
            <w:vAlign w:val="center"/>
          </w:tcPr>
          <w:p w14:paraId="6E426704">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《安全评价检测检验机构管理办法》第二十九条</w:t>
            </w:r>
            <w:r>
              <w:rPr>
                <w:rFonts w:hint="eastAsia" w:ascii="仿宋_GB2312" w:hAnsi="仿宋_GB2312" w:eastAsia="仿宋_GB2312" w:cs="仿宋_GB2312"/>
                <w:color w:val="auto"/>
                <w:sz w:val="32"/>
                <w:szCs w:val="32"/>
              </w:rPr>
              <w:t>未取得资质的机构及其有关人员擅自从事安全评价、检测检验服务的，责令立即停止违法行为，依照下列规定给予处罚：</w:t>
            </w:r>
          </w:p>
          <w:p w14:paraId="6404983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（一）机构有违法所得的，没收其违法所得，并处违法所得一倍以上三倍以下的罚款，但最高不得超过三万元；没有违法所得的，处五千元以上一万元以下的罚款；</w:t>
            </w:r>
          </w:p>
          <w:p w14:paraId="55D67C68">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（二）有关人员处五千元以上一万元以下的罚款。</w:t>
            </w:r>
          </w:p>
          <w:p w14:paraId="22CBCF9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对有前款违法行为的机构及其人员，由资质认可机关记入有关机构和人员的信用记录，并依照有关规定予以公告。</w:t>
            </w:r>
          </w:p>
          <w:p w14:paraId="4FA00BE2">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《安全评价检测检验机构管理办法》第三十条</w:t>
            </w:r>
            <w:r>
              <w:rPr>
                <w:rFonts w:hint="eastAsia" w:ascii="仿宋_GB2312" w:hAnsi="仿宋_GB2312" w:eastAsia="仿宋_GB2312" w:cs="仿宋_GB2312"/>
                <w:color w:val="auto"/>
                <w:sz w:val="32"/>
                <w:szCs w:val="32"/>
              </w:rPr>
              <w:t>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14:paraId="098512F1">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（二）违反法规标准规定更改或者简化安全评价、检测检验程序和相关内容的；......</w:t>
            </w:r>
          </w:p>
          <w:p w14:paraId="6A864EB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（六）未按照有关法规标准的强制性规定从事安全评价、检测检验活动的；</w:t>
            </w:r>
          </w:p>
          <w:p w14:paraId="6D709B7D">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（七）出租、出借安全评价检测检验资质证书的；</w:t>
            </w:r>
          </w:p>
          <w:p w14:paraId="6131EB1B">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（八）安全评价项目组组长及负责勘验人员不到现场实际地点开展勘验等有关工作的；</w:t>
            </w:r>
          </w:p>
          <w:p w14:paraId="18633A8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（九）承担现场检测检验的人员不到现场实际地点开展设备检测检验等有关工作的；</w:t>
            </w:r>
          </w:p>
          <w:p w14:paraId="037012AC">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（十）安全评价报告存在法规标准引用错误、关键危险有害因素漏项、重大危险源辨识错误、对策措施建议与存在问题严重不符等重大疏漏，但尚未造成重大损失的；</w:t>
            </w:r>
          </w:p>
          <w:p w14:paraId="69C8130E">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（十一）安全生产检测检验报告存在法规标准引用错误、关键项目漏检、结论不明确等重大疏漏，但尚未造成重大损失的。</w:t>
            </w:r>
          </w:p>
          <w:p w14:paraId="168FEA11">
            <w:pPr>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《安全评价检测检验机构管理办法》第三十一条</w:t>
            </w:r>
            <w:r>
              <w:rPr>
                <w:rFonts w:hint="eastAsia" w:ascii="仿宋_GB2312" w:hAnsi="仿宋_GB2312" w:eastAsia="仿宋_GB2312" w:cs="仿宋_GB2312"/>
                <w:color w:val="auto"/>
                <w:sz w:val="32"/>
                <w:szCs w:val="32"/>
              </w:rPr>
              <w:t>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14:paraId="43DAB1F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对有前款违法行为的机构，由资质认可机关吊销其相应资质，向社会公告，按照国家有关规定对相关机构及其责任人员实行行业禁入，纳入不良记录“黑名单”管理，以及安全评价检测检验机构信息查询系统。</w:t>
            </w:r>
          </w:p>
        </w:tc>
        <w:tc>
          <w:tcPr>
            <w:tcW w:w="950" w:type="dxa"/>
            <w:vAlign w:val="center"/>
          </w:tcPr>
          <w:p w14:paraId="76C843D8">
            <w:pPr>
              <w:rPr>
                <w:rFonts w:hint="eastAsia" w:ascii="仿宋_GB2312" w:hAnsi="仿宋_GB2312" w:eastAsia="仿宋_GB2312" w:cs="仿宋_GB2312"/>
                <w:color w:val="auto"/>
                <w:sz w:val="32"/>
                <w:szCs w:val="32"/>
              </w:rPr>
            </w:pPr>
          </w:p>
        </w:tc>
      </w:tr>
      <w:tr w14:paraId="3348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0220288F">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950" w:type="dxa"/>
            <w:vAlign w:val="center"/>
          </w:tcPr>
          <w:p w14:paraId="2AA4765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报告质量及资质管理</w:t>
            </w:r>
          </w:p>
        </w:tc>
        <w:tc>
          <w:tcPr>
            <w:tcW w:w="955" w:type="dxa"/>
            <w:vAlign w:val="center"/>
          </w:tcPr>
          <w:p w14:paraId="744611D7">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报告合法性、真实性及租是否存在借资质、挂靠</w:t>
            </w:r>
          </w:p>
        </w:tc>
        <w:tc>
          <w:tcPr>
            <w:tcW w:w="3901" w:type="dxa"/>
            <w:vAlign w:val="center"/>
          </w:tcPr>
          <w:p w14:paraId="454B3759">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《中华人民共和国安全生产法》第七十二条 </w:t>
            </w:r>
            <w:r>
              <w:rPr>
                <w:rFonts w:hint="eastAsia" w:ascii="仿宋_GB2312" w:hAnsi="仿宋_GB2312" w:eastAsia="仿宋_GB2312" w:cs="仿宋_GB2312"/>
                <w:color w:val="auto"/>
                <w:sz w:val="32"/>
                <w:szCs w:val="32"/>
              </w:rPr>
              <w:t>承担安全评价、认证、检测、检验职责的机构应当具备国家规定的资质条件，并对其作出的安全评价、认证、检测、检验结果的合法性、真实性负责。资质条件由国务院应急管理部门会同国务院有关部门制定。</w:t>
            </w:r>
          </w:p>
          <w:p w14:paraId="01F5316F">
            <w:pPr>
              <w:widowControl/>
              <w:shd w:val="clear" w:color="auto" w:fill="FFFFFF"/>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承担安全评价、认证、检测、检验职责的机构应当建立并实施服务公开和报告公开制度，不得租借资质、挂靠、出具虚假报告。</w:t>
            </w:r>
          </w:p>
          <w:p w14:paraId="3CF28367">
            <w:pPr>
              <w:ind w:firstLine="643" w:firstLineChars="200"/>
              <w:rPr>
                <w:rFonts w:hint="eastAsia" w:ascii="仿宋_GB2312" w:hAnsi="仿宋_GB2312" w:eastAsia="仿宋_GB2312" w:cs="仿宋_GB2312"/>
                <w:b/>
                <w:bCs/>
                <w:color w:val="auto"/>
                <w:sz w:val="32"/>
                <w:szCs w:val="32"/>
              </w:rPr>
            </w:pPr>
          </w:p>
        </w:tc>
        <w:tc>
          <w:tcPr>
            <w:tcW w:w="3891" w:type="dxa"/>
            <w:vAlign w:val="center"/>
          </w:tcPr>
          <w:p w14:paraId="7F9F6EA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79BF533E">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41E7F3B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（3）安全评价、检测检验报告；</w:t>
            </w:r>
          </w:p>
          <w:p w14:paraId="32FC8EA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（4）技术服务合同；</w:t>
            </w:r>
          </w:p>
          <w:p w14:paraId="0F21227B">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（5）加强安全评价、检测检验活动管理的相关记录资料；</w:t>
            </w:r>
          </w:p>
          <w:p w14:paraId="2692184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（6）网上公开情况；</w:t>
            </w:r>
          </w:p>
          <w:p w14:paraId="71208DE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（7）《现场检查记录》《责令限期整改指令书》等</w:t>
            </w:r>
            <w:r>
              <w:rPr>
                <w:rFonts w:hint="eastAsia" w:ascii="仿宋_GB2312" w:hAnsi="仿宋_GB2312" w:eastAsia="仿宋_GB2312" w:cs="仿宋_GB2312"/>
                <w:color w:val="auto"/>
                <w:kern w:val="0"/>
                <w:sz w:val="32"/>
                <w:szCs w:val="32"/>
              </w:rPr>
              <w:t>相关</w:t>
            </w:r>
            <w:r>
              <w:rPr>
                <w:rFonts w:hint="eastAsia" w:ascii="仿宋_GB2312" w:hAnsi="仿宋_GB2312" w:eastAsia="仿宋_GB2312" w:cs="仿宋_GB2312"/>
                <w:color w:val="auto"/>
                <w:sz w:val="32"/>
                <w:szCs w:val="32"/>
              </w:rPr>
              <w:t>执法文书；</w:t>
            </w:r>
          </w:p>
          <w:p w14:paraId="130A1A6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bCs/>
                <w:color w:val="auto"/>
                <w:sz w:val="32"/>
                <w:szCs w:val="32"/>
              </w:rPr>
              <w:t>相关人员任职文件、身份证明及其询问笔录；</w:t>
            </w:r>
          </w:p>
          <w:p w14:paraId="005DBED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（9）其他相关证据。</w:t>
            </w:r>
          </w:p>
        </w:tc>
        <w:tc>
          <w:tcPr>
            <w:tcW w:w="3901" w:type="dxa"/>
            <w:vAlign w:val="center"/>
          </w:tcPr>
          <w:p w14:paraId="7D36CA6F">
            <w:pPr>
              <w:widowControl/>
              <w:shd w:val="clear" w:color="auto" w:fill="FFFFFF"/>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《中华人民共和国安全生产法》第九十二条</w:t>
            </w:r>
            <w:r>
              <w:rPr>
                <w:rFonts w:hint="eastAsia" w:ascii="仿宋_GB2312" w:hAnsi="仿宋_GB2312" w:eastAsia="仿宋_GB2312" w:cs="仿宋_GB2312"/>
                <w:color w:val="auto"/>
                <w:sz w:val="32"/>
                <w:szCs w:val="32"/>
              </w:rPr>
              <w:t>承担安全评价、认证、检测、检验职责的机构出具失实报告的，责令停业整顿，并处三万元以上十万元以下的罚款；给他人造成损害的，依法承担赔偿责任。</w:t>
            </w:r>
          </w:p>
          <w:p w14:paraId="66E5FF18">
            <w:pPr>
              <w:widowControl/>
              <w:shd w:val="clear" w:color="auto" w:fill="FFFFFF"/>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07927EB0">
            <w:pPr>
              <w:widowControl/>
              <w:shd w:val="clear" w:color="auto" w:fill="FFFFFF"/>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对有前款违法行为的机构及其直接责任人员，吊销其相应资质和资格，五年内不得从事安全评价、认证、检测、检验等工作，情节严重的，实行终身行业和职业禁入。</w:t>
            </w:r>
          </w:p>
        </w:tc>
        <w:tc>
          <w:tcPr>
            <w:tcW w:w="950" w:type="dxa"/>
            <w:vAlign w:val="center"/>
          </w:tcPr>
          <w:p w14:paraId="14418289">
            <w:pPr>
              <w:rPr>
                <w:rFonts w:hint="eastAsia" w:ascii="仿宋_GB2312" w:hAnsi="仿宋_GB2312" w:eastAsia="仿宋_GB2312" w:cs="仿宋_GB2312"/>
                <w:color w:val="auto"/>
                <w:sz w:val="32"/>
                <w:szCs w:val="32"/>
              </w:rPr>
            </w:pPr>
          </w:p>
        </w:tc>
      </w:tr>
      <w:tr w14:paraId="76BD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1F5BE3C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950" w:type="dxa"/>
            <w:vAlign w:val="center"/>
          </w:tcPr>
          <w:p w14:paraId="16FA8D2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培训内容</w:t>
            </w:r>
          </w:p>
        </w:tc>
        <w:tc>
          <w:tcPr>
            <w:tcW w:w="955" w:type="dxa"/>
            <w:vAlign w:val="center"/>
          </w:tcPr>
          <w:p w14:paraId="4665A43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培训内容是否按照统一的培训大纲组织培训</w:t>
            </w:r>
          </w:p>
        </w:tc>
        <w:tc>
          <w:tcPr>
            <w:tcW w:w="3901" w:type="dxa"/>
            <w:vAlign w:val="center"/>
          </w:tcPr>
          <w:p w14:paraId="74487F26">
            <w:pPr>
              <w:pStyle w:val="7"/>
              <w:shd w:val="clear" w:color="auto" w:fill="FFFFFF"/>
              <w:spacing w:before="0" w:beforeAutospacing="0" w:after="155" w:afterAutospacing="0" w:line="249" w:lineRule="atLeast"/>
              <w:ind w:firstLine="3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2"/>
                <w:sz w:val="32"/>
                <w:szCs w:val="32"/>
              </w:rPr>
              <w:t xml:space="preserve">《安全生产培训管理办法》第六条 </w:t>
            </w:r>
            <w:r>
              <w:rPr>
                <w:rFonts w:hint="eastAsia" w:ascii="仿宋_GB2312" w:hAnsi="仿宋_GB2312" w:eastAsia="仿宋_GB2312" w:cs="仿宋_GB2312"/>
                <w:color w:val="auto"/>
                <w:kern w:val="2"/>
                <w:sz w:val="32"/>
                <w:szCs w:val="32"/>
              </w:rPr>
              <w:t>安全培训应当按照规定的安全培训大纲进行。</w:t>
            </w:r>
          </w:p>
          <w:p w14:paraId="2B39EF24">
            <w:pPr>
              <w:pStyle w:val="7"/>
              <w:shd w:val="clear" w:color="auto" w:fill="FFFFFF"/>
              <w:spacing w:before="0" w:beforeAutospacing="0" w:after="155" w:afterAutospacing="0" w:line="249" w:lineRule="atLeast"/>
              <w:ind w:firstLine="3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安全监管监察人员，危险物品的生产、经营、储存单位与非煤矿山、金属冶炼单位的主要负责人和安全生产管理人员、特种作业人员以及从事安全生产工作的相关人员的安全培训大纲，由国家安全监管总局组织制定。</w:t>
            </w:r>
          </w:p>
          <w:p w14:paraId="791D2CFB">
            <w:pPr>
              <w:pStyle w:val="7"/>
              <w:shd w:val="clear" w:color="auto" w:fill="FFFFFF"/>
              <w:spacing w:before="0" w:beforeAutospacing="0" w:after="155" w:afterAutospacing="0" w:line="249" w:lineRule="atLeast"/>
              <w:ind w:firstLine="3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煤矿企业的主要负责人和安全生产管理人员、特种作业人员的培训大纲由国家煤矿安监局组织制定。</w:t>
            </w:r>
          </w:p>
          <w:p w14:paraId="3AC126BC">
            <w:pPr>
              <w:pStyle w:val="7"/>
              <w:shd w:val="clear" w:color="auto" w:fill="FFFFFF"/>
              <w:spacing w:before="0" w:beforeAutospacing="0" w:after="155" w:afterAutospacing="0" w:line="249" w:lineRule="atLeast"/>
              <w:ind w:firstLine="3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kern w:val="2"/>
                <w:sz w:val="32"/>
                <w:szCs w:val="32"/>
              </w:rPr>
              <w:t>除危险物品的生产、经营、储存单位和矿山、金属冶炼单位以外其他生产经营单位的主要负责人、安全生产管理人员及其他从业人员的安全培训大纲，由省级安全生产监督管理部门、省级煤矿安全培训监管机构组织制定。</w:t>
            </w:r>
          </w:p>
        </w:tc>
        <w:tc>
          <w:tcPr>
            <w:tcW w:w="3891" w:type="dxa"/>
            <w:vAlign w:val="center"/>
          </w:tcPr>
          <w:p w14:paraId="2480C91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0983715D">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3FDF828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（3）安全培训大纲；</w:t>
            </w:r>
          </w:p>
          <w:p w14:paraId="4C18D5A0">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（4）培训服务合同；</w:t>
            </w:r>
          </w:p>
          <w:p w14:paraId="7FCAFD6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（5）安全培训相关记录资料；</w:t>
            </w:r>
          </w:p>
          <w:p w14:paraId="0DD967F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（6）《现场检查记录》《责令限期整改指令书》等</w:t>
            </w:r>
            <w:r>
              <w:rPr>
                <w:rFonts w:hint="eastAsia" w:ascii="仿宋_GB2312" w:hAnsi="仿宋_GB2312" w:eastAsia="仿宋_GB2312" w:cs="仿宋_GB2312"/>
                <w:color w:val="auto"/>
                <w:kern w:val="0"/>
                <w:sz w:val="32"/>
                <w:szCs w:val="32"/>
              </w:rPr>
              <w:t>相关</w:t>
            </w:r>
            <w:r>
              <w:rPr>
                <w:rFonts w:hint="eastAsia" w:ascii="仿宋_GB2312" w:hAnsi="仿宋_GB2312" w:eastAsia="仿宋_GB2312" w:cs="仿宋_GB2312"/>
                <w:color w:val="auto"/>
                <w:sz w:val="32"/>
                <w:szCs w:val="32"/>
              </w:rPr>
              <w:t>执法文书；</w:t>
            </w:r>
          </w:p>
          <w:p w14:paraId="4DB6B08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bCs/>
                <w:color w:val="auto"/>
                <w:sz w:val="32"/>
                <w:szCs w:val="32"/>
              </w:rPr>
              <w:t>相关人员任职文件、身份证明及其询问笔录；</w:t>
            </w:r>
          </w:p>
          <w:p w14:paraId="71057E6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（8）其他相关证据。</w:t>
            </w:r>
          </w:p>
        </w:tc>
        <w:tc>
          <w:tcPr>
            <w:tcW w:w="3901" w:type="dxa"/>
            <w:vAlign w:val="center"/>
          </w:tcPr>
          <w:p w14:paraId="76CA6D40">
            <w:pPr>
              <w:pStyle w:val="7"/>
              <w:shd w:val="clear" w:color="auto" w:fill="FFFFFF"/>
              <w:spacing w:before="0" w:beforeAutospacing="0" w:after="155" w:afterAutospacing="0" w:line="249" w:lineRule="atLeast"/>
              <w:ind w:firstLine="3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color w:val="auto"/>
                <w:kern w:val="2"/>
                <w:sz w:val="32"/>
                <w:szCs w:val="32"/>
              </w:rPr>
              <w:t>《安全生产培训管理办法》第</w:t>
            </w:r>
            <w:r>
              <w:rPr>
                <w:rFonts w:hint="eastAsia" w:ascii="仿宋_GB2312" w:hAnsi="仿宋_GB2312" w:eastAsia="仿宋_GB2312" w:cs="仿宋_GB2312"/>
                <w:color w:val="auto"/>
                <w:kern w:val="2"/>
                <w:sz w:val="32"/>
                <w:szCs w:val="32"/>
              </w:rPr>
              <w:t>三十四条第一款第二项 安全培训机构有下列情形之一的，责令限期改正，处1万元以下的罚款;逾期未改正的，给予警告，处1万元以上3万元以下的罚款:</w:t>
            </w:r>
          </w:p>
          <w:p w14:paraId="4EE8AD98">
            <w:pPr>
              <w:pStyle w:val="7"/>
              <w:shd w:val="clear" w:color="auto" w:fill="FFFFFF"/>
              <w:spacing w:before="0" w:beforeAutospacing="0" w:after="155" w:afterAutospacing="0" w:line="249" w:lineRule="atLeast"/>
              <w:ind w:firstLine="3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(二)未按照统一的培训大纲组织教学培训的;</w:t>
            </w:r>
          </w:p>
          <w:p w14:paraId="5A68C860">
            <w:pPr>
              <w:pStyle w:val="7"/>
              <w:shd w:val="clear" w:color="auto" w:fill="FFFFFF"/>
              <w:spacing w:before="0" w:beforeAutospacing="0" w:after="155" w:afterAutospacing="0" w:line="249" w:lineRule="atLeast"/>
              <w:ind w:firstLine="300"/>
              <w:rPr>
                <w:rFonts w:hint="eastAsia" w:ascii="仿宋_GB2312" w:hAnsi="仿宋_GB2312" w:eastAsia="仿宋_GB2312" w:cs="仿宋_GB2312"/>
                <w:b/>
                <w:bCs/>
                <w:color w:val="auto"/>
                <w:sz w:val="32"/>
                <w:szCs w:val="32"/>
              </w:rPr>
            </w:pPr>
          </w:p>
        </w:tc>
        <w:tc>
          <w:tcPr>
            <w:tcW w:w="950" w:type="dxa"/>
            <w:vAlign w:val="center"/>
          </w:tcPr>
          <w:p w14:paraId="5216CA20">
            <w:pPr>
              <w:rPr>
                <w:rFonts w:hint="eastAsia" w:ascii="仿宋_GB2312" w:hAnsi="仿宋_GB2312" w:eastAsia="仿宋_GB2312" w:cs="仿宋_GB2312"/>
                <w:color w:val="auto"/>
                <w:sz w:val="32"/>
                <w:szCs w:val="32"/>
              </w:rPr>
            </w:pPr>
          </w:p>
        </w:tc>
      </w:tr>
      <w:tr w14:paraId="24DB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dxa"/>
            <w:vAlign w:val="center"/>
          </w:tcPr>
          <w:p w14:paraId="171720F2">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950" w:type="dxa"/>
            <w:vAlign w:val="center"/>
          </w:tcPr>
          <w:p w14:paraId="06F001E8">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培训档案</w:t>
            </w:r>
          </w:p>
        </w:tc>
        <w:tc>
          <w:tcPr>
            <w:tcW w:w="955" w:type="dxa"/>
            <w:vAlign w:val="center"/>
          </w:tcPr>
          <w:p w14:paraId="6CE90EAC">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培训档案管理</w:t>
            </w:r>
          </w:p>
        </w:tc>
        <w:tc>
          <w:tcPr>
            <w:tcW w:w="3901" w:type="dxa"/>
            <w:vAlign w:val="center"/>
          </w:tcPr>
          <w:p w14:paraId="76BF514D">
            <w:pPr>
              <w:widowControl/>
              <w:shd w:val="clear" w:color="auto" w:fill="FFFFFF"/>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color w:val="auto"/>
                <w:sz w:val="32"/>
                <w:szCs w:val="32"/>
              </w:rPr>
              <w:t>《安全生产培训管理办法》第十五条</w:t>
            </w:r>
            <w:r>
              <w:rPr>
                <w:rFonts w:hint="eastAsia" w:ascii="仿宋_GB2312" w:hAnsi="仿宋_GB2312" w:eastAsia="仿宋_GB2312" w:cs="仿宋_GB2312"/>
                <w:color w:val="auto"/>
                <w:sz w:val="32"/>
                <w:szCs w:val="32"/>
              </w:rPr>
              <w:t xml:space="preserve"> 安全培训机构应当建立安全培训工作制度和人员培训档案。安全培训相关情况，应当如实记录并建档备查。</w:t>
            </w:r>
          </w:p>
        </w:tc>
        <w:tc>
          <w:tcPr>
            <w:tcW w:w="3891" w:type="dxa"/>
            <w:vAlign w:val="center"/>
          </w:tcPr>
          <w:p w14:paraId="4730BA8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（1）营业执照；</w:t>
            </w:r>
          </w:p>
          <w:p w14:paraId="573E204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（2）有关证照；</w:t>
            </w:r>
          </w:p>
          <w:p w14:paraId="770F1B36">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（3）安全培训大纲；</w:t>
            </w:r>
          </w:p>
          <w:p w14:paraId="3BF2B184">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（4）培训服务合同；</w:t>
            </w:r>
          </w:p>
          <w:p w14:paraId="78B6244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（5）安全培训相关记录资料；</w:t>
            </w:r>
          </w:p>
          <w:p w14:paraId="4BDC2AB3">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（6）安全培训工作制度；</w:t>
            </w:r>
          </w:p>
          <w:p w14:paraId="7D2FB780">
            <w:pPr>
              <w:pStyle w:val="2"/>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（7）人员培训档案；</w:t>
            </w:r>
          </w:p>
          <w:p w14:paraId="78838F41">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（8）《现场检查记录》《责令限期整改指令书》等</w:t>
            </w:r>
            <w:r>
              <w:rPr>
                <w:rFonts w:hint="eastAsia" w:ascii="仿宋_GB2312" w:hAnsi="仿宋_GB2312" w:eastAsia="仿宋_GB2312" w:cs="仿宋_GB2312"/>
                <w:color w:val="auto"/>
                <w:kern w:val="0"/>
                <w:sz w:val="32"/>
                <w:szCs w:val="32"/>
              </w:rPr>
              <w:t>相关</w:t>
            </w:r>
            <w:r>
              <w:rPr>
                <w:rFonts w:hint="eastAsia" w:ascii="仿宋_GB2312" w:hAnsi="仿宋_GB2312" w:eastAsia="仿宋_GB2312" w:cs="仿宋_GB2312"/>
                <w:color w:val="auto"/>
                <w:sz w:val="32"/>
                <w:szCs w:val="32"/>
              </w:rPr>
              <w:t>执法文书；</w:t>
            </w:r>
          </w:p>
          <w:p w14:paraId="7D79C922">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bCs/>
                <w:color w:val="auto"/>
                <w:sz w:val="32"/>
                <w:szCs w:val="32"/>
              </w:rPr>
              <w:t>相关人员任职文件、身份证明及其询问笔录；</w:t>
            </w:r>
          </w:p>
          <w:p w14:paraId="6418AC8A">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（10）其他相关证据。</w:t>
            </w:r>
          </w:p>
        </w:tc>
        <w:tc>
          <w:tcPr>
            <w:tcW w:w="3901" w:type="dxa"/>
            <w:vAlign w:val="center"/>
          </w:tcPr>
          <w:p w14:paraId="311063D8">
            <w:pPr>
              <w:pStyle w:val="7"/>
              <w:shd w:val="clear" w:color="auto" w:fill="FFFFFF"/>
              <w:spacing w:before="0" w:beforeAutospacing="0" w:after="155" w:afterAutospacing="0" w:line="249" w:lineRule="atLeast"/>
              <w:ind w:firstLine="3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
                <w:color w:val="auto"/>
                <w:kern w:val="2"/>
                <w:sz w:val="32"/>
                <w:szCs w:val="32"/>
              </w:rPr>
              <w:t>《安全生产培训管理办法》第三十四条第一款第三项</w:t>
            </w:r>
            <w:r>
              <w:rPr>
                <w:rFonts w:hint="eastAsia" w:ascii="仿宋_GB2312" w:hAnsi="仿宋_GB2312" w:eastAsia="仿宋_GB2312" w:cs="仿宋_GB2312"/>
                <w:color w:val="auto"/>
                <w:kern w:val="2"/>
                <w:sz w:val="32"/>
                <w:szCs w:val="32"/>
              </w:rPr>
              <w:t xml:space="preserve"> 安全培训机构有下列情形之一的，责令限期改正，处1万元以下的罚款;逾期未改正的，给予警告，处1万元以上3万元以下的罚款:</w:t>
            </w:r>
          </w:p>
          <w:p w14:paraId="57F7C08B">
            <w:pPr>
              <w:pStyle w:val="7"/>
              <w:shd w:val="clear" w:color="auto" w:fill="FFFFFF"/>
              <w:spacing w:before="0" w:beforeAutospacing="0" w:after="155" w:afterAutospacing="0" w:line="249" w:lineRule="atLeast"/>
              <w:ind w:firstLine="3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kern w:val="2"/>
                <w:sz w:val="32"/>
                <w:szCs w:val="32"/>
              </w:rPr>
              <w:t xml:space="preserve"> (三)未建立培训档案或者培训档案管理不规范的;</w:t>
            </w:r>
          </w:p>
        </w:tc>
        <w:tc>
          <w:tcPr>
            <w:tcW w:w="950" w:type="dxa"/>
            <w:vAlign w:val="center"/>
          </w:tcPr>
          <w:p w14:paraId="6BC3F33F">
            <w:pPr>
              <w:rPr>
                <w:rFonts w:hint="eastAsia" w:ascii="仿宋_GB2312" w:hAnsi="仿宋_GB2312" w:eastAsia="仿宋_GB2312" w:cs="仿宋_GB2312"/>
                <w:color w:val="auto"/>
                <w:sz w:val="32"/>
                <w:szCs w:val="32"/>
              </w:rPr>
            </w:pPr>
          </w:p>
        </w:tc>
      </w:tr>
      <w:tr w14:paraId="316C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5" w:type="dxa"/>
            <w:gridSpan w:val="7"/>
            <w:vAlign w:val="center"/>
          </w:tcPr>
          <w:p w14:paraId="74C009A5">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说明：1、根据本清单提供的证照及资料有原件的，应核实原件后留存复印件；无原件的提供复印件。所有复印件资料均应加盖企业公章。证照及资料有正副本的，均核验留存复印件。</w:t>
            </w:r>
          </w:p>
          <w:p w14:paraId="3032866A">
            <w:pPr>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2、其他相关证据：能够证明企业违法违规行为的其他相关资料。</w:t>
            </w:r>
          </w:p>
        </w:tc>
      </w:tr>
    </w:tbl>
    <w:p w14:paraId="44F3D274">
      <w:pPr>
        <w:rPr>
          <w:rFonts w:hint="eastAsia" w:ascii="仿宋_GB2312" w:hAnsi="仿宋_GB2312" w:eastAsia="仿宋_GB2312" w:cs="仿宋_GB2312"/>
          <w:color w:val="auto"/>
          <w:sz w:val="32"/>
          <w:szCs w:val="32"/>
        </w:rPr>
      </w:pPr>
    </w:p>
    <w:p w14:paraId="25D3F6E6">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714B7A87">
      <w:pPr>
        <w:pStyle w:val="3"/>
        <w:spacing w:line="240" w:lineRule="auto"/>
        <w:jc w:val="center"/>
        <w:rPr>
          <w:rFonts w:hint="eastAsia" w:ascii="仿宋_GB2312" w:hAnsi="仿宋_GB2312" w:eastAsia="仿宋_GB2312" w:cs="仿宋_GB2312"/>
          <w:color w:val="auto"/>
          <w:sz w:val="32"/>
          <w:szCs w:val="32"/>
        </w:rPr>
      </w:pPr>
      <w:bookmarkStart w:id="29" w:name="_Toc4604"/>
      <w:r>
        <w:rPr>
          <w:rFonts w:hint="eastAsia" w:ascii="仿宋_GB2312" w:hAnsi="仿宋_GB2312" w:eastAsia="仿宋_GB2312" w:cs="仿宋_GB2312"/>
          <w:color w:val="auto"/>
          <w:sz w:val="32"/>
          <w:szCs w:val="32"/>
        </w:rPr>
        <w:t>安全生产应急管理检查清单</w:t>
      </w:r>
      <w:bookmarkEnd w:id="29"/>
    </w:p>
    <w:tbl>
      <w:tblPr>
        <w:tblStyle w:val="8"/>
        <w:tblW w:w="15165" w:type="dxa"/>
        <w:jc w:val="center"/>
        <w:tblLayout w:type="fixed"/>
        <w:tblCellMar>
          <w:top w:w="0" w:type="dxa"/>
          <w:left w:w="0" w:type="dxa"/>
          <w:bottom w:w="0" w:type="dxa"/>
          <w:right w:w="0" w:type="dxa"/>
        </w:tblCellMar>
      </w:tblPr>
      <w:tblGrid>
        <w:gridCol w:w="614"/>
        <w:gridCol w:w="950"/>
        <w:gridCol w:w="950"/>
        <w:gridCol w:w="3889"/>
        <w:gridCol w:w="3909"/>
        <w:gridCol w:w="3889"/>
        <w:gridCol w:w="964"/>
      </w:tblGrid>
      <w:tr w14:paraId="758E1ECC">
        <w:tblPrEx>
          <w:tblCellMar>
            <w:top w:w="0" w:type="dxa"/>
            <w:left w:w="0" w:type="dxa"/>
            <w:bottom w:w="0" w:type="dxa"/>
            <w:right w:w="0" w:type="dxa"/>
          </w:tblCellMar>
        </w:tblPrEx>
        <w:trPr>
          <w:trHeight w:val="482" w:hRule="atLeast"/>
          <w:tblHeader/>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1D178">
            <w:pPr>
              <w:widowControl/>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序号</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5D0BB">
            <w:pPr>
              <w:widowControl/>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检查事项</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44A37">
            <w:pPr>
              <w:widowControl/>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检查内容</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5EB28">
            <w:pPr>
              <w:widowControl/>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检查依据</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F971D">
            <w:pPr>
              <w:widowControl/>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主要证据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4412A">
            <w:pPr>
              <w:widowControl/>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法律责任（罚则）</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C7CFF">
            <w:pPr>
              <w:widowControl/>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检查结果</w:t>
            </w:r>
          </w:p>
        </w:tc>
      </w:tr>
      <w:tr w14:paraId="04805D89">
        <w:tblPrEx>
          <w:tblCellMar>
            <w:top w:w="0" w:type="dxa"/>
            <w:left w:w="0" w:type="dxa"/>
            <w:bottom w:w="0" w:type="dxa"/>
            <w:right w:w="0" w:type="dxa"/>
          </w:tblCellMar>
        </w:tblPrEx>
        <w:trPr>
          <w:trHeight w:val="9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EC2C">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EFAB1">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主要负责人应急管理职责履行情况</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5F863">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主要负责人组织制定并实施本单位事故应急救援预案</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99D5">
            <w:pPr>
              <w:widowControl/>
              <w:shd w:val="clear" w:color="auto" w:fill="FFFFFF"/>
              <w:ind w:firstLine="643" w:firstLineChars="200"/>
              <w:rPr>
                <w:rStyle w:val="15"/>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 xml:space="preserve">《中华人民共和国安全生产法》  第二十一条第六项 </w:t>
            </w:r>
            <w:r>
              <w:rPr>
                <w:rStyle w:val="15"/>
                <w:rFonts w:hint="eastAsia" w:ascii="仿宋_GB2312" w:hAnsi="仿宋_GB2312" w:eastAsia="仿宋_GB2312" w:cs="仿宋_GB2312"/>
                <w:color w:val="auto"/>
                <w:sz w:val="32"/>
                <w:szCs w:val="32"/>
              </w:rPr>
              <w:t>生产经营单位的主要负责人对本单位安全生产工作负有下列职责：</w:t>
            </w:r>
          </w:p>
          <w:p w14:paraId="5E25BB12">
            <w:pPr>
              <w:widowControl/>
              <w:shd w:val="clear" w:color="auto" w:fill="FFFFFF"/>
              <w:rPr>
                <w:rStyle w:val="15"/>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rPr>
              <w:t>（六）组织制定并实施本单位的生产安全事故应急救援预案；</w:t>
            </w:r>
          </w:p>
          <w:p w14:paraId="4906F7D8">
            <w:pPr>
              <w:widowControl/>
              <w:ind w:firstLine="643" w:firstLineChars="200"/>
              <w:jc w:val="left"/>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 xml:space="preserve">   《生产安全事故应急条例》第四条</w:t>
            </w:r>
            <w:r>
              <w:rPr>
                <w:rStyle w:val="15"/>
                <w:rFonts w:hint="eastAsia" w:ascii="仿宋_GB2312" w:hAnsi="仿宋_GB2312" w:eastAsia="仿宋_GB2312" w:cs="仿宋_GB2312"/>
                <w:color w:val="auto"/>
                <w:sz w:val="32"/>
                <w:szCs w:val="32"/>
              </w:rPr>
              <w:t xml:space="preserve">  生产经营单位应当加强生产安全事故应急工作，建立、健全生产安全事故应急工作责任制，其主要负责人对本单位的生产安全事故应急工作全面负责。</w:t>
            </w:r>
            <w:r>
              <w:rPr>
                <w:rStyle w:val="15"/>
                <w:rFonts w:hint="eastAsia" w:ascii="仿宋_GB2312" w:hAnsi="仿宋_GB2312" w:eastAsia="仿宋_GB2312" w:cs="仿宋_GB2312"/>
                <w:color w:val="auto"/>
                <w:sz w:val="32"/>
                <w:szCs w:val="32"/>
              </w:rPr>
              <w:br w:type="textWrapping"/>
            </w:r>
            <w:r>
              <w:rPr>
                <w:rStyle w:val="14"/>
                <w:rFonts w:hint="eastAsia" w:ascii="仿宋_GB2312" w:hAnsi="仿宋_GB2312" w:eastAsia="仿宋_GB2312" w:cs="仿宋_GB2312"/>
                <w:color w:val="auto"/>
                <w:sz w:val="32"/>
                <w:szCs w:val="32"/>
              </w:rPr>
              <w:t xml:space="preserve">   《生产安全事故应急预案管理办法》第五条</w:t>
            </w:r>
            <w:r>
              <w:rPr>
                <w:rStyle w:val="15"/>
                <w:rFonts w:hint="eastAsia" w:ascii="仿宋_GB2312" w:hAnsi="仿宋_GB2312" w:eastAsia="仿宋_GB2312" w:cs="仿宋_GB2312"/>
                <w:color w:val="auto"/>
                <w:sz w:val="32"/>
                <w:szCs w:val="32"/>
              </w:rPr>
              <w:t>生产经营单位主要负责人负责组织编制和实施本单位的应急预案，并对应急预案的真实性和实用性负责；各分管负责人应当按照职责分工落实应急预案规定的职责。</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672FB">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w:t>
            </w:r>
          </w:p>
          <w:p w14:paraId="0B5A0117">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（2）相关许可证；</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（3）应急预案颁布实施资料（预案首页和主要负责人签名页）；</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（4）现场取证资料（图片、视频等影像资料）；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（5）《现场检查记录》《责令限期整改指令书》等相关执法文书；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color w:val="auto"/>
                <w:sz w:val="32"/>
                <w:szCs w:val="32"/>
              </w:rPr>
              <w:t>企业相关人员任职文件、身份证明及其询问笔录；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9FDEA">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4"/>
                <w:rFonts w:hint="eastAsia" w:ascii="仿宋_GB2312" w:hAnsi="仿宋_GB2312" w:eastAsia="仿宋_GB2312" w:cs="仿宋_GB2312"/>
                <w:color w:val="auto"/>
                <w:sz w:val="32"/>
                <w:szCs w:val="32"/>
              </w:rPr>
              <w:t>《中华人民共和国安全生产法》  第九十四条</w:t>
            </w:r>
            <w:r>
              <w:rPr>
                <w:rFonts w:hint="eastAsia" w:ascii="仿宋_GB2312" w:hAnsi="仿宋_GB2312" w:eastAsia="仿宋_GB2312" w:cs="仿宋_GB2312"/>
                <w:color w:val="auto"/>
                <w:kern w:val="0"/>
                <w:sz w:val="32"/>
                <w:szCs w:val="32"/>
              </w:rPr>
              <w:t>生产经营单位的主要负责人未履行本法规定的安全生产管理职责的，责令限期改正，处二万元以上五万元以下的罚款；逾期未改正的，处五万元以上十万元以下的罚款，责令生产经营单位停产停业整顿。</w:t>
            </w:r>
          </w:p>
          <w:p w14:paraId="40A49535">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生产经营单位的主要负责人有前款违法行为，导致发生生产安全事故的，给予撤职处分；构成犯罪的，依照刑法有关规定追究刑事责任。</w:t>
            </w:r>
          </w:p>
          <w:p w14:paraId="32A50CD4">
            <w:pPr>
              <w:widowControl/>
              <w:shd w:val="clear" w:color="auto" w:fill="FFFFFF"/>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D82C4">
            <w:pPr>
              <w:widowControl/>
              <w:jc w:val="left"/>
              <w:rPr>
                <w:rFonts w:hint="eastAsia" w:ascii="仿宋_GB2312" w:hAnsi="仿宋_GB2312" w:eastAsia="仿宋_GB2312" w:cs="仿宋_GB2312"/>
                <w:color w:val="auto"/>
                <w:sz w:val="32"/>
                <w:szCs w:val="32"/>
              </w:rPr>
            </w:pPr>
          </w:p>
        </w:tc>
      </w:tr>
      <w:tr w14:paraId="1FCECBAE">
        <w:tblPrEx>
          <w:tblCellMar>
            <w:top w:w="0" w:type="dxa"/>
            <w:left w:w="0" w:type="dxa"/>
            <w:bottom w:w="0" w:type="dxa"/>
            <w:right w:w="0" w:type="dxa"/>
          </w:tblCellMar>
        </w:tblPrEx>
        <w:trPr>
          <w:trHeight w:val="1397"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2E920">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5E2AE">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风险辨识、评估和应急资源调查情况</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4F775">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编制应急预案前进行事故风险辨识、评估和应急资源调查</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1D331">
            <w:pPr>
              <w:widowControl/>
              <w:ind w:firstLine="643" w:firstLineChars="200"/>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《生产安全事故应急条例》第五条第二款</w:t>
            </w:r>
            <w:r>
              <w:rPr>
                <w:rStyle w:val="15"/>
                <w:rFonts w:hint="eastAsia" w:ascii="仿宋_GB2312" w:hAnsi="仿宋_GB2312" w:eastAsia="仿宋_GB2312" w:cs="仿宋_GB2312"/>
                <w:color w:val="auto"/>
                <w:sz w:val="32"/>
                <w:szCs w:val="32"/>
              </w:rPr>
              <w:t>生产经营单位应当针对本单位可能发生的生产安全事故的特点和危害，进行风险辨识和评估，制定相应的生产安全事故应急救援预案，并向本单位从业人员公布</w:t>
            </w:r>
            <w:r>
              <w:rPr>
                <w:rStyle w:val="14"/>
                <w:rFonts w:hint="eastAsia" w:ascii="仿宋_GB2312" w:hAnsi="仿宋_GB2312" w:eastAsia="仿宋_GB2312" w:cs="仿宋_GB2312"/>
                <w:color w:val="auto"/>
                <w:sz w:val="32"/>
                <w:szCs w:val="32"/>
              </w:rPr>
              <w:t>。</w:t>
            </w:r>
            <w:r>
              <w:rPr>
                <w:rStyle w:val="14"/>
                <w:rFonts w:hint="eastAsia" w:ascii="仿宋_GB2312" w:hAnsi="仿宋_GB2312" w:eastAsia="仿宋_GB2312" w:cs="仿宋_GB2312"/>
                <w:color w:val="auto"/>
                <w:sz w:val="32"/>
                <w:szCs w:val="32"/>
              </w:rPr>
              <w:br w:type="textWrapping"/>
            </w:r>
            <w:r>
              <w:rPr>
                <w:rStyle w:val="14"/>
                <w:rFonts w:hint="eastAsia" w:ascii="仿宋_GB2312" w:hAnsi="仿宋_GB2312" w:eastAsia="仿宋_GB2312" w:cs="仿宋_GB2312"/>
                <w:color w:val="auto"/>
                <w:sz w:val="32"/>
                <w:szCs w:val="32"/>
              </w:rPr>
              <w:t xml:space="preserve">   《生产安全事故应急预案管理办法》第十条第一款</w:t>
            </w:r>
            <w:r>
              <w:rPr>
                <w:rStyle w:val="15"/>
                <w:rFonts w:hint="eastAsia" w:ascii="仿宋_GB2312" w:hAnsi="仿宋_GB2312" w:eastAsia="仿宋_GB2312" w:cs="仿宋_GB2312"/>
                <w:color w:val="auto"/>
                <w:sz w:val="32"/>
                <w:szCs w:val="32"/>
              </w:rPr>
              <w:t>编制应急预案前，编制单位应当进行事故风险辨识、评估和应急资源调查。</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55A4">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w:t>
            </w:r>
          </w:p>
          <w:p w14:paraId="6902793B">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65E9AF73">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（3）风险辨识、评估和应急资源调查资料；</w:t>
            </w:r>
          </w:p>
          <w:p w14:paraId="2C23888F">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（4）现场取证资料（图片、视频等影像资料）；（5）《现场检查记录》《责令限期整改指令书》等相关执法文书；</w:t>
            </w:r>
          </w:p>
          <w:p w14:paraId="7EFC5D7C">
            <w:pPr>
              <w:widowControl/>
              <w:jc w:val="left"/>
              <w:textAlignment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color w:val="auto"/>
                <w:sz w:val="32"/>
                <w:szCs w:val="32"/>
              </w:rPr>
              <w:t>企业相关人员任职文件、身份证明及其询问笔录；</w:t>
            </w:r>
          </w:p>
          <w:p w14:paraId="57A29A6D">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D70FA">
            <w:pPr>
              <w:widowControl/>
              <w:ind w:firstLine="643" w:firstLineChars="200"/>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《生产安全事故应急预案管理办法》第四十五条第一款第（一）项</w:t>
            </w:r>
            <w:r>
              <w:rPr>
                <w:rStyle w:val="15"/>
                <w:rFonts w:hint="eastAsia" w:ascii="仿宋_GB2312" w:hAnsi="仿宋_GB2312" w:eastAsia="仿宋_GB2312" w:cs="仿宋_GB2312"/>
                <w:color w:val="auto"/>
                <w:sz w:val="32"/>
                <w:szCs w:val="32"/>
              </w:rPr>
              <w:t>生产经营单位有下列情形之一的，由县级以上人民政府应急管理部门责令限期改正，可以处1万元以上3万元以下的罚款：</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（一）在应急预案编制前未按照规定开展风险辨识、评估和应急资源调查的；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2A76C">
            <w:pPr>
              <w:widowControl/>
              <w:rPr>
                <w:rFonts w:hint="eastAsia" w:ascii="仿宋_GB2312" w:hAnsi="仿宋_GB2312" w:eastAsia="仿宋_GB2312" w:cs="仿宋_GB2312"/>
                <w:color w:val="auto"/>
                <w:sz w:val="32"/>
                <w:szCs w:val="32"/>
              </w:rPr>
            </w:pPr>
          </w:p>
        </w:tc>
      </w:tr>
      <w:tr w14:paraId="0D2EE99D">
        <w:tblPrEx>
          <w:tblCellMar>
            <w:top w:w="0" w:type="dxa"/>
            <w:left w:w="0" w:type="dxa"/>
            <w:bottom w:w="0" w:type="dxa"/>
            <w:right w:w="0" w:type="dxa"/>
          </w:tblCellMar>
        </w:tblPrEx>
        <w:trPr>
          <w:trHeight w:val="37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CE5CA">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4FAE0">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应急预案制定</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EAE67">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制定本单位事故应急救援预案</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1DEFB">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4"/>
                <w:rFonts w:hint="eastAsia" w:ascii="仿宋_GB2312" w:hAnsi="仿宋_GB2312" w:eastAsia="仿宋_GB2312" w:cs="仿宋_GB2312"/>
                <w:color w:val="auto"/>
                <w:sz w:val="32"/>
                <w:szCs w:val="32"/>
              </w:rPr>
              <w:t>《中华人民共和国安全生产法》  第八十一条</w:t>
            </w:r>
            <w:r>
              <w:rPr>
                <w:rFonts w:hint="eastAsia" w:ascii="仿宋_GB2312" w:hAnsi="仿宋_GB2312" w:eastAsia="仿宋_GB2312" w:cs="仿宋_GB2312"/>
                <w:color w:val="auto"/>
                <w:kern w:val="0"/>
                <w:sz w:val="32"/>
                <w:szCs w:val="32"/>
              </w:rPr>
              <w:t>生产经营单位应当制定本单位生产安全事故应急救援预案，与所在地县级以上地方人民政府组织制定的生产安全事故应急救援预案相衔接，并定期组织演练。</w:t>
            </w:r>
          </w:p>
          <w:p w14:paraId="67A0FED0">
            <w:pPr>
              <w:widowControl/>
              <w:ind w:firstLine="643" w:firstLineChars="200"/>
              <w:textAlignment w:val="center"/>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b/>
                <w:bCs/>
                <w:color w:val="auto"/>
                <w:sz w:val="32"/>
                <w:szCs w:val="32"/>
              </w:rPr>
              <w:t>《生产安全事故应急条例》第五条第二款</w:t>
            </w:r>
            <w:r>
              <w:rPr>
                <w:rStyle w:val="15"/>
                <w:rFonts w:hint="eastAsia" w:ascii="仿宋_GB2312" w:hAnsi="仿宋_GB2312" w:eastAsia="仿宋_GB2312" w:cs="仿宋_GB2312"/>
                <w:color w:val="auto"/>
                <w:sz w:val="32"/>
                <w:szCs w:val="32"/>
              </w:rPr>
              <w:t>生产经营单位应当针对本单位可能发生的生产安全事故的特点和危害，进行风险辨识和评估，制定相应的生产安全事故应急救援预案，并向本单位从业人员公布。</w:t>
            </w:r>
            <w:r>
              <w:rPr>
                <w:rStyle w:val="15"/>
                <w:rFonts w:hint="eastAsia" w:ascii="仿宋_GB2312" w:hAnsi="仿宋_GB2312" w:eastAsia="仿宋_GB2312" w:cs="仿宋_GB2312"/>
                <w:color w:val="auto"/>
                <w:sz w:val="32"/>
                <w:szCs w:val="32"/>
              </w:rPr>
              <w:br w:type="textWrapping"/>
            </w:r>
            <w:r>
              <w:rPr>
                <w:rStyle w:val="14"/>
                <w:rFonts w:hint="eastAsia" w:ascii="仿宋_GB2312" w:hAnsi="仿宋_GB2312" w:eastAsia="仿宋_GB2312" w:cs="仿宋_GB2312"/>
                <w:color w:val="auto"/>
                <w:sz w:val="32"/>
                <w:szCs w:val="32"/>
              </w:rPr>
              <w:t xml:space="preserve">   《生产安全事故应急预案管理办法》第十二条</w:t>
            </w:r>
            <w:r>
              <w:rPr>
                <w:rStyle w:val="15"/>
                <w:rFonts w:hint="eastAsia" w:ascii="仿宋_GB2312" w:hAnsi="仿宋_GB2312" w:eastAsia="仿宋_GB2312" w:cs="仿宋_GB2312"/>
                <w:color w:val="auto"/>
                <w:sz w:val="32"/>
                <w:szCs w:val="32"/>
              </w:rPr>
              <w:t>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4ECA1">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w:t>
            </w:r>
          </w:p>
          <w:p w14:paraId="4FB53EBE">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53F36D4F">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（3）风险辨识、评估和应急资源调查资料；</w:t>
            </w:r>
          </w:p>
          <w:p w14:paraId="7B5C10A1">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（4）收集相应预案；</w:t>
            </w:r>
          </w:p>
          <w:p w14:paraId="0A5BC4C2">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（5）地方人民政府事故应急救援预案、《生产经营单位生产安全事故应急预案编制导则》(GB∕T29639-2013)；</w:t>
            </w:r>
          </w:p>
          <w:p w14:paraId="54A7CE25">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（6）《现场检查记录》《责令限期整改指令书》等相关执法文书；</w:t>
            </w:r>
          </w:p>
          <w:p w14:paraId="506978E8">
            <w:pPr>
              <w:widowControl/>
              <w:jc w:val="left"/>
              <w:textAlignment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color w:val="auto"/>
                <w:sz w:val="32"/>
                <w:szCs w:val="32"/>
              </w:rPr>
              <w:t>企业相关人员任职文件、身份证明及其询问笔录；</w:t>
            </w:r>
          </w:p>
          <w:p w14:paraId="7EF4C14A">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EA4FB">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4"/>
                <w:rFonts w:hint="eastAsia" w:ascii="仿宋_GB2312" w:hAnsi="仿宋_GB2312" w:eastAsia="仿宋_GB2312" w:cs="仿宋_GB2312"/>
                <w:color w:val="auto"/>
                <w:sz w:val="32"/>
                <w:szCs w:val="32"/>
              </w:rPr>
              <w:t>《中华人民共和国安全生产法》  第九十七条第六项</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6BCDE256">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（六）未按照规定制定生产安全事故应急救援预案或者未定期组织演练的；</w:t>
            </w:r>
          </w:p>
          <w:p w14:paraId="12F1F07E">
            <w:pPr>
              <w:widowControl/>
              <w:ind w:firstLine="643" w:firstLineChars="200"/>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 xml:space="preserve">  《生产安全事故应急预案管理办法》第四十四条第一款第（一）项</w:t>
            </w:r>
            <w:r>
              <w:rPr>
                <w:rStyle w:val="15"/>
                <w:rFonts w:hint="eastAsia" w:ascii="仿宋_GB2312" w:hAnsi="仿宋_GB2312" w:eastAsia="仿宋_GB2312" w:cs="仿宋_GB2312"/>
                <w:color w:val="auto"/>
                <w:sz w:val="32"/>
                <w:szCs w:val="32"/>
              </w:rPr>
              <w:t>生产经营单位有下列情形之一的，由县级以上人民政府应急管理等部门依照《中华人民共和国安全生产法》  第九十七条的规定，责令限期改正，可以处5万元以下罚款；逾期未改正的，责令停产停业整顿，并处5万元以上10万元以下的罚款，对直接负责的主管人员和其他直接责任人员处1万元以上2万元以下的罚款：</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（一）未按照规定编制应急预案的；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63DDE">
            <w:pPr>
              <w:widowControl/>
              <w:rPr>
                <w:rFonts w:hint="eastAsia" w:ascii="仿宋_GB2312" w:hAnsi="仿宋_GB2312" w:eastAsia="仿宋_GB2312" w:cs="仿宋_GB2312"/>
                <w:color w:val="auto"/>
                <w:sz w:val="32"/>
                <w:szCs w:val="32"/>
              </w:rPr>
            </w:pPr>
          </w:p>
        </w:tc>
      </w:tr>
      <w:tr w14:paraId="333319BA">
        <w:tblPrEx>
          <w:tblCellMar>
            <w:top w:w="0" w:type="dxa"/>
            <w:left w:w="0" w:type="dxa"/>
            <w:bottom w:w="0" w:type="dxa"/>
            <w:right w:w="0" w:type="dxa"/>
          </w:tblCellMar>
        </w:tblPrEx>
        <w:trPr>
          <w:trHeight w:val="5025"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904A0">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B53B8">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应急预案演练</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71C4B">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定期组织演练</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44B8D">
            <w:pPr>
              <w:widowControl/>
              <w:shd w:val="clear" w:color="auto" w:fill="FFFFFF"/>
              <w:ind w:firstLine="643" w:firstLineChars="200"/>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《中华人民共和国安全生产法》  第八十一条</w:t>
            </w:r>
            <w:r>
              <w:rPr>
                <w:rFonts w:hint="eastAsia" w:ascii="仿宋_GB2312" w:hAnsi="仿宋_GB2312" w:eastAsia="仿宋_GB2312" w:cs="仿宋_GB2312"/>
                <w:color w:val="auto"/>
                <w:kern w:val="0"/>
                <w:sz w:val="32"/>
                <w:szCs w:val="32"/>
              </w:rPr>
              <w:t>生产经营单位应当制定本单位生产安全事故应急救援预案，与所在地县级以上地方人民政府组织制定的生产安全事故应急救援预案相衔接，并定期组织演练。</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b/>
                <w:bCs/>
                <w:color w:val="auto"/>
                <w:sz w:val="32"/>
                <w:szCs w:val="32"/>
              </w:rPr>
              <w:t xml:space="preserve">    《生产安全事故应急条例》第八条第二款</w:t>
            </w:r>
            <w:r>
              <w:rPr>
                <w:rStyle w:val="15"/>
                <w:rFonts w:hint="eastAsia" w:ascii="仿宋_GB2312" w:hAnsi="仿宋_GB2312" w:eastAsia="仿宋_GB2312" w:cs="仿宋_GB2312"/>
                <w:color w:val="auto"/>
                <w:sz w:val="32"/>
                <w:szCs w:val="32"/>
              </w:rPr>
              <w:t>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r>
              <w:rPr>
                <w:rStyle w:val="15"/>
                <w:rFonts w:hint="eastAsia" w:ascii="仿宋_GB2312" w:hAnsi="仿宋_GB2312" w:eastAsia="仿宋_GB2312" w:cs="仿宋_GB2312"/>
                <w:color w:val="auto"/>
                <w:sz w:val="32"/>
                <w:szCs w:val="32"/>
              </w:rPr>
              <w:br w:type="textWrapping"/>
            </w:r>
            <w:r>
              <w:rPr>
                <w:rStyle w:val="14"/>
                <w:rFonts w:hint="eastAsia" w:ascii="仿宋_GB2312" w:hAnsi="仿宋_GB2312" w:eastAsia="仿宋_GB2312" w:cs="仿宋_GB2312"/>
                <w:color w:val="auto"/>
                <w:sz w:val="32"/>
                <w:szCs w:val="32"/>
              </w:rPr>
              <w:t xml:space="preserve">   《生产安全事故应急预案管理办法》第三十三条第一款、第二款</w:t>
            </w:r>
            <w:r>
              <w:rPr>
                <w:rStyle w:val="15"/>
                <w:rFonts w:hint="eastAsia" w:ascii="仿宋_GB2312" w:hAnsi="仿宋_GB2312" w:eastAsia="仿宋_GB2312" w:cs="仿宋_GB2312"/>
                <w:color w:val="auto"/>
                <w:sz w:val="32"/>
                <w:szCs w:val="32"/>
              </w:rPr>
              <w:t>生产经营单位应当制定本单位的应急预案演练计划，根据本单位的事故风险特点，每年至少组织一次综合应急预案演练或者专项应急预案演练，每半年至少组织一次现场处置方案演练。</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72F75">
            <w:pPr>
              <w:widowControl/>
              <w:numPr>
                <w:ilvl w:val="0"/>
                <w:numId w:val="86"/>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营业执照；</w:t>
            </w:r>
          </w:p>
          <w:p w14:paraId="5CD11C9C">
            <w:pPr>
              <w:widowControl/>
              <w:numPr>
                <w:ilvl w:val="0"/>
                <w:numId w:val="86"/>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相关许可证；</w:t>
            </w:r>
          </w:p>
          <w:p w14:paraId="25F1A7CC">
            <w:pPr>
              <w:widowControl/>
              <w:numPr>
                <w:ilvl w:val="0"/>
                <w:numId w:val="86"/>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应急预案演练计划；</w:t>
            </w:r>
          </w:p>
          <w:p w14:paraId="505151A7">
            <w:pPr>
              <w:widowControl/>
              <w:numPr>
                <w:ilvl w:val="0"/>
                <w:numId w:val="87"/>
              </w:numPr>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应急救援预案演练方案、培训记录、演练记录、演练总结评估等；</w:t>
            </w:r>
          </w:p>
          <w:p w14:paraId="78959E5A">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（5）现场取证资料（图片、视频等影像资料）；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（6）《现场检查记录》《责令限期整改指令书》等相关执法文书；</w:t>
            </w:r>
          </w:p>
          <w:p w14:paraId="08B58A50">
            <w:pPr>
              <w:widowControl/>
              <w:jc w:val="left"/>
              <w:textAlignment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color w:val="auto"/>
                <w:sz w:val="32"/>
                <w:szCs w:val="32"/>
              </w:rPr>
              <w:t>企业相关人员任职文件、身份证明及其询问笔录；</w:t>
            </w:r>
          </w:p>
          <w:p w14:paraId="232BBB2E">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B63C0">
            <w:pPr>
              <w:widowControl/>
              <w:shd w:val="clear" w:color="auto" w:fill="FFFFFF"/>
              <w:ind w:firstLine="643" w:firstLineChars="200"/>
              <w:rPr>
                <w:rFonts w:hint="eastAsia" w:ascii="仿宋_GB2312" w:hAnsi="仿宋_GB2312" w:eastAsia="仿宋_GB2312" w:cs="仿宋_GB2312"/>
                <w:color w:val="auto"/>
                <w:kern w:val="0"/>
                <w:sz w:val="32"/>
                <w:szCs w:val="32"/>
              </w:rPr>
            </w:pPr>
            <w:r>
              <w:rPr>
                <w:rStyle w:val="14"/>
                <w:rFonts w:hint="eastAsia" w:ascii="仿宋_GB2312" w:hAnsi="仿宋_GB2312" w:eastAsia="仿宋_GB2312" w:cs="仿宋_GB2312"/>
                <w:color w:val="auto"/>
                <w:sz w:val="32"/>
                <w:szCs w:val="32"/>
              </w:rPr>
              <w:t>《中华人民共和国安全生产法》  第九十七条第六项</w:t>
            </w:r>
            <w:r>
              <w:rPr>
                <w:rFonts w:hint="eastAsia" w:ascii="仿宋_GB2312" w:hAnsi="仿宋_GB2312" w:eastAsia="仿宋_GB2312" w:cs="仿宋_GB2312"/>
                <w:color w:val="auto"/>
                <w:kern w:val="0"/>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19B2C440">
            <w:pPr>
              <w:widowControl/>
              <w:shd w:val="clear" w:color="auto" w:fill="FFFFFF"/>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（六）未按照规定制定生产安全事故应急救援预案或者未定期组织演练的；</w:t>
            </w:r>
          </w:p>
          <w:p w14:paraId="3B4BC717">
            <w:pPr>
              <w:widowControl/>
              <w:ind w:firstLine="643" w:firstLineChars="200"/>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 xml:space="preserve">   《生产安全事故应急预案管理办法》第四十四条第一款第（二）项</w:t>
            </w:r>
            <w:r>
              <w:rPr>
                <w:rStyle w:val="15"/>
                <w:rFonts w:hint="eastAsia" w:ascii="仿宋_GB2312" w:hAnsi="仿宋_GB2312" w:eastAsia="仿宋_GB2312" w:cs="仿宋_GB2312"/>
                <w:color w:val="auto"/>
                <w:sz w:val="32"/>
                <w:szCs w:val="32"/>
              </w:rPr>
              <w:t>生产经营单位有下列情形之一的，由县级以上人民政府应急管理等部门依照《中华人民共和国安全生产法》  第九十七条的规定，责令限期改正，可以处5万元以下罚款；逾期未改正的，责令停产停业整顿，并处5万元以上10万元以下的罚款，对直接负责的主管人员和其他直接责任人员处1万元以上2万元以下的罚款：；</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（二）未按照规定定期组织应急预案演练的。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D40D7">
            <w:pPr>
              <w:widowControl/>
              <w:rPr>
                <w:rFonts w:hint="eastAsia" w:ascii="仿宋_GB2312" w:hAnsi="仿宋_GB2312" w:eastAsia="仿宋_GB2312" w:cs="仿宋_GB2312"/>
                <w:color w:val="auto"/>
                <w:sz w:val="32"/>
                <w:szCs w:val="32"/>
              </w:rPr>
            </w:pPr>
          </w:p>
        </w:tc>
      </w:tr>
      <w:tr w14:paraId="47752948">
        <w:tblPrEx>
          <w:tblCellMar>
            <w:top w:w="0" w:type="dxa"/>
            <w:left w:w="0" w:type="dxa"/>
            <w:bottom w:w="0" w:type="dxa"/>
            <w:right w:w="0" w:type="dxa"/>
          </w:tblCellMar>
        </w:tblPrEx>
        <w:trPr>
          <w:trHeight w:val="412"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E06DA">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B2C9A">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应急预案评审或者论证</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3E40B">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危险性较大行业及中等规模以上的其他生产经营单位进行应急预案评审，其他生产经营单位进行论证</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5D5FE">
            <w:pPr>
              <w:widowControl/>
              <w:ind w:firstLine="643" w:firstLineChars="200"/>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《生产安全事故应急预案管理办法》第二十一条</w:t>
            </w:r>
            <w:r>
              <w:rPr>
                <w:rStyle w:val="15"/>
                <w:rFonts w:hint="eastAsia" w:ascii="仿宋_GB2312" w:hAnsi="仿宋_GB2312" w:eastAsia="仿宋_GB2312" w:cs="仿宋_GB2312"/>
                <w:color w:val="auto"/>
                <w:sz w:val="32"/>
                <w:szCs w:val="32"/>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前款规定以外的其他生产经营单位可以根据自身需要，对本单位编制的应急预案进行论证。</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20571">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w:t>
            </w:r>
          </w:p>
          <w:p w14:paraId="193C83DC">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6608C739">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（3）中型规模以上企业的证明资料（主营业务收入、商品销售总额等）；</w:t>
            </w:r>
          </w:p>
          <w:p w14:paraId="1656FCCA">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（4）书面评审纪要或应急预案论证记录；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（5）应急预案备案文件或者备案表等资料；</w:t>
            </w:r>
          </w:p>
          <w:p w14:paraId="32BBAEFA">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（6）现场取证资料（图片、视频等影像资料）；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（7）《现场检查记录》《责令限期整改指令书》等相关执法文书；</w:t>
            </w:r>
          </w:p>
          <w:p w14:paraId="45E3798E">
            <w:pPr>
              <w:widowControl/>
              <w:jc w:val="left"/>
              <w:textAlignment w:val="center"/>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bCs/>
                <w:color w:val="auto"/>
                <w:sz w:val="32"/>
                <w:szCs w:val="32"/>
              </w:rPr>
              <w:t>企业相关人员任职文件、身份证明及其询问笔录；</w:t>
            </w:r>
          </w:p>
          <w:p w14:paraId="555C1935">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68632">
            <w:pPr>
              <w:widowControl/>
              <w:ind w:firstLine="643" w:firstLineChars="200"/>
              <w:textAlignment w:val="center"/>
              <w:rPr>
                <w:rStyle w:val="15"/>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《生产安全事故应急预案管理办法》第四十五条第一款第（二）项</w:t>
            </w:r>
            <w:r>
              <w:rPr>
                <w:rStyle w:val="15"/>
                <w:rFonts w:hint="eastAsia" w:ascii="仿宋_GB2312" w:hAnsi="仿宋_GB2312" w:eastAsia="仿宋_GB2312" w:cs="仿宋_GB2312"/>
                <w:color w:val="auto"/>
                <w:sz w:val="32"/>
                <w:szCs w:val="32"/>
              </w:rPr>
              <w:t>生产经营单位有下列情形之一的，由县级以上人民政府应急管理部门责令限期改正，可以处1万元以上3万元以下的罚款：</w:t>
            </w:r>
          </w:p>
          <w:p w14:paraId="57D4A3BB">
            <w:pPr>
              <w:widowControl/>
              <w:ind w:firstLine="640" w:firstLineChars="200"/>
              <w:textAlignment w:val="center"/>
              <w:rPr>
                <w:rFonts w:hint="eastAsia" w:ascii="仿宋_GB2312" w:hAnsi="仿宋_GB2312" w:eastAsia="仿宋_GB2312" w:cs="仿宋_GB2312"/>
                <w:color w:val="auto"/>
                <w:sz w:val="32"/>
                <w:szCs w:val="32"/>
              </w:rPr>
            </w:pPr>
            <w:r>
              <w:rPr>
                <w:rStyle w:val="15"/>
                <w:rFonts w:hint="eastAsia" w:ascii="仿宋_GB2312" w:hAnsi="仿宋_GB2312" w:eastAsia="仿宋_GB2312" w:cs="仿宋_GB2312"/>
                <w:color w:val="auto"/>
                <w:sz w:val="32"/>
                <w:szCs w:val="32"/>
              </w:rPr>
              <w:t>（二）未按照规定开展应急预案评审的；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FA0E3">
            <w:pPr>
              <w:widowControl/>
              <w:rPr>
                <w:rFonts w:hint="eastAsia" w:ascii="仿宋_GB2312" w:hAnsi="仿宋_GB2312" w:eastAsia="仿宋_GB2312" w:cs="仿宋_GB2312"/>
                <w:color w:val="auto"/>
                <w:sz w:val="32"/>
                <w:szCs w:val="32"/>
              </w:rPr>
            </w:pPr>
          </w:p>
        </w:tc>
      </w:tr>
      <w:tr w14:paraId="779AD5EB">
        <w:tblPrEx>
          <w:tblCellMar>
            <w:top w:w="0" w:type="dxa"/>
            <w:left w:w="0" w:type="dxa"/>
            <w:bottom w:w="0" w:type="dxa"/>
            <w:right w:w="0" w:type="dxa"/>
          </w:tblCellMar>
        </w:tblPrEx>
        <w:trPr>
          <w:trHeight w:val="9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612D4">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EE3F7">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应急预案备案</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450FB">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按照生产经营单位隶属关系、行业领域、规模等备案</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EF46B">
            <w:pPr>
              <w:widowControl/>
              <w:ind w:firstLine="643" w:firstLineChars="200"/>
              <w:jc w:val="left"/>
              <w:textAlignment w:val="center"/>
              <w:rPr>
                <w:rStyle w:val="15"/>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《生产安全事故应急条例》第七条</w:t>
            </w:r>
            <w:r>
              <w:rPr>
                <w:rStyle w:val="15"/>
                <w:rFonts w:hint="eastAsia" w:ascii="仿宋_GB2312" w:hAnsi="仿宋_GB2312" w:eastAsia="仿宋_GB2312" w:cs="仿宋_GB2312"/>
                <w:color w:val="auto"/>
                <w:sz w:val="32"/>
                <w:szCs w:val="32"/>
              </w:rPr>
              <w:t xml:space="preserve">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p>
          <w:p w14:paraId="4C609144">
            <w:pPr>
              <w:widowControl/>
              <w:ind w:firstLine="643" w:firstLineChars="200"/>
              <w:jc w:val="left"/>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《生产安全事故应急预案管理办法》第二十六条</w:t>
            </w:r>
            <w:r>
              <w:rPr>
                <w:rStyle w:val="15"/>
                <w:rFonts w:hint="eastAsia" w:ascii="仿宋_GB2312" w:hAnsi="仿宋_GB2312" w:eastAsia="仿宋_GB2312" w:cs="仿宋_GB2312"/>
                <w:color w:val="auto"/>
                <w:sz w:val="32"/>
                <w:szCs w:val="32"/>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油气输送管道运营单位的应急预案，除按照本条第一款、第二款的规定备案外，还应当抄送所经行政区域的县级人民政府应急管理部门。</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海洋石油开采企业的应急预案，除按照本条第一款、第二款的规定备案外，还应当抄送所经行政区域的县级人民政府应急管理部门和海洋石油安全监管机构。</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煤矿企业的应急预案除按照本条第一款、第二款的规定备案外，还应当抄送所在地的煤矿安全监察机构。</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16E19">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w:t>
            </w:r>
          </w:p>
          <w:p w14:paraId="23FCF472">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30710066">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（3）应急预案备案文件或者备案表等资料；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（4）现场取证资料（图片、视频等影像资料）；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（5）预案签发页（证明签发时间）、预案公布资料（证明公布时间）；</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（6）《现场检查记录》《责令限期整改指令书》等相关执法文书；</w:t>
            </w:r>
          </w:p>
          <w:p w14:paraId="0C3E5740">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color w:val="auto"/>
                <w:sz w:val="32"/>
                <w:szCs w:val="32"/>
              </w:rPr>
              <w:t>企业相关人员任职文件、身份证明及其询问笔录；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C3758">
            <w:pPr>
              <w:widowControl/>
              <w:ind w:firstLine="643" w:firstLineChars="200"/>
              <w:jc w:val="left"/>
              <w:textAlignment w:val="center"/>
              <w:rPr>
                <w:rStyle w:val="15"/>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《生产安全事故应急条例》第三十二条</w:t>
            </w:r>
            <w:r>
              <w:rPr>
                <w:rStyle w:val="15"/>
                <w:rFonts w:hint="eastAsia" w:ascii="仿宋_GB2312" w:hAnsi="仿宋_GB2312" w:eastAsia="仿宋_GB2312" w:cs="仿宋_GB2312"/>
                <w:color w:val="auto"/>
                <w:sz w:val="32"/>
                <w:szCs w:val="32"/>
              </w:rPr>
              <w:t xml:space="preserve">  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14:paraId="6C0024A0">
            <w:pPr>
              <w:widowControl/>
              <w:ind w:firstLine="643" w:firstLineChars="200"/>
              <w:jc w:val="left"/>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《生产安全事故应急预案管理办法》第四十五条第二款</w:t>
            </w:r>
            <w:r>
              <w:rPr>
                <w:rStyle w:val="15"/>
                <w:rFonts w:hint="eastAsia" w:ascii="仿宋_GB2312" w:hAnsi="仿宋_GB2312" w:eastAsia="仿宋_GB2312" w:cs="仿宋_GB2312"/>
                <w:color w:val="auto"/>
                <w:sz w:val="32"/>
                <w:szCs w:val="32"/>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4047A">
            <w:pPr>
              <w:widowControl/>
              <w:rPr>
                <w:rFonts w:hint="eastAsia" w:ascii="仿宋_GB2312" w:hAnsi="仿宋_GB2312" w:eastAsia="仿宋_GB2312" w:cs="仿宋_GB2312"/>
                <w:color w:val="auto"/>
                <w:sz w:val="32"/>
                <w:szCs w:val="32"/>
              </w:rPr>
            </w:pPr>
          </w:p>
        </w:tc>
      </w:tr>
      <w:tr w14:paraId="47472DFA">
        <w:tblPrEx>
          <w:tblCellMar>
            <w:top w:w="0" w:type="dxa"/>
            <w:left w:w="0" w:type="dxa"/>
            <w:bottom w:w="0" w:type="dxa"/>
            <w:right w:w="0" w:type="dxa"/>
          </w:tblCellMar>
        </w:tblPrEx>
        <w:trPr>
          <w:trHeight w:val="90"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455A2">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0587F">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事故风险及应急措施告知</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3A124">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将有关事故风险的性质、影响范围和应急防范措施告知周边的其他单位和人员</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004E0">
            <w:pPr>
              <w:widowControl/>
              <w:ind w:firstLine="643" w:firstLineChars="200"/>
              <w:jc w:val="left"/>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《生产安全事故应急预案管理办法》第二十四条第二款</w:t>
            </w:r>
            <w:r>
              <w:rPr>
                <w:rStyle w:val="15"/>
                <w:rFonts w:hint="eastAsia" w:ascii="仿宋_GB2312" w:hAnsi="仿宋_GB2312" w:eastAsia="仿宋_GB2312" w:cs="仿宋_GB2312"/>
                <w:color w:val="auto"/>
                <w:sz w:val="32"/>
                <w:szCs w:val="32"/>
              </w:rPr>
              <w:t>事故风险可能影响周边其他单位、人员的，生产经营单位应当将有关事故风险的性质、影响范围和应急防范措施告知周边的其他单位和人员。</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D66C1">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w:t>
            </w:r>
          </w:p>
          <w:p w14:paraId="105302AC">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5D48BFBD">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（3）事故风险的性质、影响范围、应急防范措施以及周边的其他单位和人员登记资料；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（4）风险告知卡或通知、公告等；</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（5）证人证言；</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（6）现场取证资料（图片、视频等影像资料）；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（7）《现场检查记录》《责令限期整改指令书》等相关执法文书；</w:t>
            </w:r>
          </w:p>
          <w:p w14:paraId="394CEC39">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bCs/>
                <w:color w:val="auto"/>
                <w:sz w:val="32"/>
                <w:szCs w:val="32"/>
              </w:rPr>
              <w:t>企业相关人员任职文件、身份证明及其询问笔录；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A5091">
            <w:pPr>
              <w:widowControl/>
              <w:ind w:firstLine="643" w:firstLineChars="200"/>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《生产安全事故应急预案管理办法》第四十五条第一款第（三）项</w:t>
            </w:r>
            <w:r>
              <w:rPr>
                <w:rStyle w:val="15"/>
                <w:rFonts w:hint="eastAsia" w:ascii="仿宋_GB2312" w:hAnsi="仿宋_GB2312" w:eastAsia="仿宋_GB2312" w:cs="仿宋_GB2312"/>
                <w:color w:val="auto"/>
                <w:sz w:val="32"/>
                <w:szCs w:val="32"/>
              </w:rPr>
              <w:t>生产经营单位有下列情形之一的，由县级以上人民政府应急管理部门责令限期改正，可以处1万元以上3万元以下的罚款：</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（三）事故风险可能影响周边单位、人员的，未将事故风险的性质、影响范围和应急防范措施告知周边单位和人员的；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9CE21">
            <w:pPr>
              <w:widowControl/>
              <w:rPr>
                <w:rFonts w:hint="eastAsia" w:ascii="仿宋_GB2312" w:hAnsi="仿宋_GB2312" w:eastAsia="仿宋_GB2312" w:cs="仿宋_GB2312"/>
                <w:color w:val="auto"/>
                <w:sz w:val="32"/>
                <w:szCs w:val="32"/>
              </w:rPr>
            </w:pPr>
          </w:p>
        </w:tc>
      </w:tr>
      <w:tr w14:paraId="508D5C59">
        <w:tblPrEx>
          <w:tblCellMar>
            <w:top w:w="0" w:type="dxa"/>
            <w:left w:w="0" w:type="dxa"/>
            <w:bottom w:w="0" w:type="dxa"/>
            <w:right w:w="0" w:type="dxa"/>
          </w:tblCellMar>
        </w:tblPrEx>
        <w:trPr>
          <w:trHeight w:val="323"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0AE2C">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82B80">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应急预案评估</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DD4BB">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建立应急预案定期评估制度，高危行业领域及中型规模以上生产经营单位每三年进行一次评估</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D804E">
            <w:pPr>
              <w:widowControl/>
              <w:ind w:firstLine="643" w:firstLineChars="200"/>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《生产安全事故应急预案管理办法》第三十五条</w:t>
            </w:r>
            <w:r>
              <w:rPr>
                <w:rStyle w:val="15"/>
                <w:rFonts w:hint="eastAsia" w:ascii="仿宋_GB2312" w:hAnsi="仿宋_GB2312" w:eastAsia="仿宋_GB2312" w:cs="仿宋_GB2312"/>
                <w:color w:val="auto"/>
                <w:sz w:val="32"/>
                <w:szCs w:val="32"/>
              </w:rPr>
              <w:t>应急预案编制单位应当建立应急预案定期评估制度，对预案内容的针对性和实用性进行分析，并对应急预案是否需要修订作出结论。</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应急预案评估可以邀请相关专业机构或者有关专家、有实际应急救援工作经验的人员参加，必要时可以委托安全生产技术服务机构实施。</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9C831">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w:t>
            </w:r>
          </w:p>
          <w:p w14:paraId="4C102A65">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79886647">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（3）应急预案定期评估制度；</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（4）预案内容的针对性和实用性进行分析记录及修订结论；</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（5）危险性较大和中型规模以上的其他生产经营单位每三年进行一次应急预案评估记录；（6）《现场检查记录》《责令限期整改指令书》等相关执法文书；</w:t>
            </w:r>
          </w:p>
          <w:p w14:paraId="36B7E2D3">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（7）</w:t>
            </w:r>
            <w:r>
              <w:rPr>
                <w:rFonts w:hint="eastAsia" w:ascii="仿宋_GB2312" w:hAnsi="仿宋_GB2312" w:eastAsia="仿宋_GB2312" w:cs="仿宋_GB2312"/>
                <w:bCs/>
                <w:color w:val="auto"/>
                <w:sz w:val="32"/>
                <w:szCs w:val="32"/>
              </w:rPr>
              <w:t>企业相关人员任职文件、身份证明及其询问笔录；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D1171">
            <w:pPr>
              <w:widowControl/>
              <w:ind w:firstLine="643" w:firstLineChars="200"/>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《生产安全事故应急预案管理办法》第四十五条第一款第（四）项</w:t>
            </w:r>
            <w:r>
              <w:rPr>
                <w:rStyle w:val="15"/>
                <w:rFonts w:hint="eastAsia" w:ascii="仿宋_GB2312" w:hAnsi="仿宋_GB2312" w:eastAsia="仿宋_GB2312" w:cs="仿宋_GB2312"/>
                <w:color w:val="auto"/>
                <w:sz w:val="32"/>
                <w:szCs w:val="32"/>
              </w:rPr>
              <w:t>生产经营单位有下列情形之一的，由县级以上人民政府应急管理部门责令限期改正，可以处1万元以上3万元以下的罚款：</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（四）未按照规定开展应急预案评估的；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550EA">
            <w:pPr>
              <w:widowControl/>
              <w:rPr>
                <w:rFonts w:hint="eastAsia" w:ascii="仿宋_GB2312" w:hAnsi="仿宋_GB2312" w:eastAsia="仿宋_GB2312" w:cs="仿宋_GB2312"/>
                <w:color w:val="auto"/>
                <w:sz w:val="32"/>
                <w:szCs w:val="32"/>
              </w:rPr>
            </w:pPr>
          </w:p>
        </w:tc>
      </w:tr>
      <w:tr w14:paraId="35BD053E">
        <w:tblPrEx>
          <w:tblCellMar>
            <w:top w:w="0" w:type="dxa"/>
            <w:left w:w="0" w:type="dxa"/>
            <w:bottom w:w="0" w:type="dxa"/>
            <w:right w:w="0" w:type="dxa"/>
          </w:tblCellMar>
        </w:tblPrEx>
        <w:trPr>
          <w:trHeight w:val="39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00317">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0E52B">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应急预案修订和重新备案</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5D74C">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涉及组织指挥体系与职责、应急处置程序、主要处置措施、应急响应分级等内容变更是否按照报备程序重新备案</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1EFA5">
            <w:pPr>
              <w:widowControl/>
              <w:ind w:firstLine="643" w:firstLineChars="200"/>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《生产安全事故应急条例》第六条第二款</w:t>
            </w:r>
            <w:r>
              <w:rPr>
                <w:rStyle w:val="15"/>
                <w:rFonts w:hint="eastAsia" w:ascii="仿宋_GB2312" w:hAnsi="仿宋_GB2312" w:eastAsia="仿宋_GB2312" w:cs="仿宋_GB2312"/>
                <w:color w:val="auto"/>
                <w:sz w:val="32"/>
                <w:szCs w:val="32"/>
              </w:rPr>
              <w:t>有下列情形之一的，生产安全事故应急救援预案制定单位应当及时修订相关预案：</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（一）制定预案所依据的法律、法规、规章、标准发生重大变化；</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（二）应急指挥机构及其职责发生调整；</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（三）安全生产面临的风险发生重大变化；</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（四）重要应急资源发生重大变化；</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（五）在预案演练或者应急救援中发现需要修订预案的重大问题；</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（六）其他应当修订的情形。</w:t>
            </w:r>
            <w:r>
              <w:rPr>
                <w:rStyle w:val="14"/>
                <w:rFonts w:hint="eastAsia" w:ascii="仿宋_GB2312" w:hAnsi="仿宋_GB2312" w:eastAsia="仿宋_GB2312" w:cs="仿宋_GB2312"/>
                <w:color w:val="auto"/>
                <w:sz w:val="32"/>
                <w:szCs w:val="32"/>
              </w:rPr>
              <w:br w:type="textWrapping"/>
            </w:r>
            <w:r>
              <w:rPr>
                <w:rStyle w:val="14"/>
                <w:rFonts w:hint="eastAsia" w:ascii="仿宋_GB2312" w:hAnsi="仿宋_GB2312" w:eastAsia="仿宋_GB2312" w:cs="仿宋_GB2312"/>
                <w:color w:val="auto"/>
                <w:sz w:val="32"/>
                <w:szCs w:val="32"/>
              </w:rPr>
              <w:t xml:space="preserve">    《生产安全事故应急预案管理办法》第三十六条</w:t>
            </w:r>
            <w:r>
              <w:rPr>
                <w:rStyle w:val="15"/>
                <w:rFonts w:hint="eastAsia" w:ascii="仿宋_GB2312" w:hAnsi="仿宋_GB2312" w:eastAsia="仿宋_GB2312" w:cs="仿宋_GB2312"/>
                <w:color w:val="auto"/>
                <w:sz w:val="32"/>
                <w:szCs w:val="32"/>
              </w:rPr>
              <w:t>有下列情形之一的，应急预案应当及时修订并归档：</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（一）依据的法律、法规、规章、标准及上位预案中的有关规定发生重大变化的；</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（二）应急指挥机构及其职责发生调整的；</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（三）安全生产面临的风险发生重大变化的；</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（四）重要应急资源发生重大变化的；</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（五）在应急演练和事故应急救援中发现需要修订预案的重大问题的；</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（六）编制单位认为应当修订的其他情况。</w:t>
            </w:r>
            <w:r>
              <w:rPr>
                <w:rStyle w:val="15"/>
                <w:rFonts w:hint="eastAsia" w:ascii="仿宋_GB2312" w:hAnsi="仿宋_GB2312" w:eastAsia="仿宋_GB2312" w:cs="仿宋_GB2312"/>
                <w:color w:val="auto"/>
                <w:sz w:val="32"/>
                <w:szCs w:val="32"/>
              </w:rPr>
              <w:br w:type="textWrapping"/>
            </w:r>
            <w:r>
              <w:rPr>
                <w:rStyle w:val="14"/>
                <w:rFonts w:hint="eastAsia" w:ascii="仿宋_GB2312" w:hAnsi="仿宋_GB2312" w:eastAsia="仿宋_GB2312" w:cs="仿宋_GB2312"/>
                <w:color w:val="auto"/>
                <w:sz w:val="32"/>
                <w:szCs w:val="32"/>
              </w:rPr>
              <w:t xml:space="preserve">   《生产安全事故应急预案管理办法》第三十七条</w:t>
            </w:r>
            <w:r>
              <w:rPr>
                <w:rStyle w:val="15"/>
                <w:rFonts w:hint="eastAsia" w:ascii="仿宋_GB2312" w:hAnsi="仿宋_GB2312" w:eastAsia="仿宋_GB2312" w:cs="仿宋_GB2312"/>
                <w:color w:val="auto"/>
                <w:sz w:val="32"/>
                <w:szCs w:val="32"/>
              </w:rPr>
              <w:t>应急预案修订涉及组织指挥体系与职责、应急处置程序、主要处置措施、应急响应分级等内容变更的，修订工作应当参照本办法规定的应急预案编制程序进行，并按照有关应急预案报备程序重新备案。</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7B25D">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w:t>
            </w:r>
          </w:p>
          <w:p w14:paraId="2956AD63">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59014BED">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（3）检查修订记录；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（4）涉及组织指挥体系与职责、应急处置程序、主要处置措施、应急响应分级等内容变更的按照程序重新备案文件资料；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（5）《现场检查记录》《责令限期整改指令书》等相关执法文书；</w:t>
            </w:r>
          </w:p>
          <w:p w14:paraId="43C06A19">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（6）</w:t>
            </w:r>
            <w:r>
              <w:rPr>
                <w:rFonts w:hint="eastAsia" w:ascii="仿宋_GB2312" w:hAnsi="仿宋_GB2312" w:eastAsia="仿宋_GB2312" w:cs="仿宋_GB2312"/>
                <w:bCs/>
                <w:color w:val="auto"/>
                <w:sz w:val="32"/>
                <w:szCs w:val="32"/>
              </w:rPr>
              <w:t>企业相关人员任职文件、身份证明及其询问笔录；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E5545">
            <w:pPr>
              <w:widowControl/>
              <w:ind w:firstLine="643" w:firstLineChars="200"/>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《生产安全事故应急预案管理办法》第四十五条第一款第（五）项</w:t>
            </w:r>
            <w:r>
              <w:rPr>
                <w:rStyle w:val="15"/>
                <w:rFonts w:hint="eastAsia" w:ascii="仿宋_GB2312" w:hAnsi="仿宋_GB2312" w:eastAsia="仿宋_GB2312" w:cs="仿宋_GB2312"/>
                <w:color w:val="auto"/>
                <w:sz w:val="32"/>
                <w:szCs w:val="32"/>
              </w:rPr>
              <w:t>生产经营单位有下列情形之一的，由县级以上人民政府应急管理部门责令限期改正，可以处1万元以上3万元以下的罚款：</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（五）未按照规定进行应急预案修订的；</w:t>
            </w:r>
            <w:r>
              <w:rPr>
                <w:rStyle w:val="15"/>
                <w:rFonts w:hint="eastAsia" w:ascii="仿宋_GB2312" w:hAnsi="仿宋_GB2312" w:eastAsia="仿宋_GB2312" w:cs="仿宋_GB2312"/>
                <w:color w:val="auto"/>
                <w:sz w:val="32"/>
                <w:szCs w:val="32"/>
              </w:rPr>
              <w:br w:type="textWrapping"/>
            </w:r>
            <w:r>
              <w:rPr>
                <w:rStyle w:val="14"/>
                <w:rFonts w:hint="eastAsia" w:ascii="仿宋_GB2312" w:hAnsi="仿宋_GB2312" w:eastAsia="仿宋_GB2312" w:cs="仿宋_GB2312"/>
                <w:color w:val="auto"/>
                <w:sz w:val="32"/>
                <w:szCs w:val="32"/>
              </w:rPr>
              <w:t xml:space="preserve">  《生产安全事故应急预案管理办法》第四十五条第二款</w:t>
            </w:r>
            <w:r>
              <w:rPr>
                <w:rStyle w:val="15"/>
                <w:rFonts w:hint="eastAsia" w:ascii="仿宋_GB2312" w:hAnsi="仿宋_GB2312" w:eastAsia="仿宋_GB2312" w:cs="仿宋_GB2312"/>
                <w:color w:val="auto"/>
                <w:sz w:val="32"/>
                <w:szCs w:val="32"/>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02FEE">
            <w:pPr>
              <w:widowControl/>
              <w:rPr>
                <w:rFonts w:hint="eastAsia" w:ascii="仿宋_GB2312" w:hAnsi="仿宋_GB2312" w:eastAsia="仿宋_GB2312" w:cs="仿宋_GB2312"/>
                <w:color w:val="auto"/>
                <w:sz w:val="32"/>
                <w:szCs w:val="32"/>
              </w:rPr>
            </w:pPr>
          </w:p>
        </w:tc>
      </w:tr>
      <w:tr w14:paraId="25C032BC">
        <w:tblPrEx>
          <w:tblCellMar>
            <w:top w:w="0" w:type="dxa"/>
            <w:left w:w="0" w:type="dxa"/>
            <w:bottom w:w="0" w:type="dxa"/>
            <w:right w:w="0" w:type="dxa"/>
          </w:tblCellMar>
        </w:tblPrEx>
        <w:trPr>
          <w:trHeight w:val="806"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B82BC">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921EE">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应急救援器材、设备和物资</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F0D2D">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是否根据本单位可能发生的生产安全事故的特点和危害，配备的应急救援器材、设备和物资，并进行经常性维护、保养</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41BA6">
            <w:pPr>
              <w:widowControl/>
              <w:ind w:firstLine="643" w:firstLineChars="200"/>
              <w:jc w:val="left"/>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《中华人民共和国突发事件应对法》第二十四条第二款</w:t>
            </w:r>
            <w:r>
              <w:rPr>
                <w:rStyle w:val="15"/>
                <w:rFonts w:hint="eastAsia" w:ascii="仿宋_GB2312" w:hAnsi="仿宋_GB2312" w:eastAsia="仿宋_GB2312" w:cs="仿宋_GB2312"/>
                <w:color w:val="auto"/>
                <w:sz w:val="32"/>
                <w:szCs w:val="32"/>
              </w:rPr>
              <w:t>有关单位应当定期检测、维护其报警装置和应急救援设备、设施，使其处于良好状态，确保正常使用。</w:t>
            </w:r>
            <w:r>
              <w:rPr>
                <w:rStyle w:val="15"/>
                <w:rFonts w:hint="eastAsia" w:ascii="仿宋_GB2312" w:hAnsi="仿宋_GB2312" w:eastAsia="仿宋_GB2312" w:cs="仿宋_GB2312"/>
                <w:color w:val="auto"/>
                <w:sz w:val="32"/>
                <w:szCs w:val="32"/>
              </w:rPr>
              <w:br w:type="textWrapping"/>
            </w:r>
            <w:r>
              <w:rPr>
                <w:rStyle w:val="14"/>
                <w:rFonts w:hint="eastAsia" w:ascii="仿宋_GB2312" w:hAnsi="仿宋_GB2312" w:eastAsia="仿宋_GB2312" w:cs="仿宋_GB2312"/>
                <w:color w:val="auto"/>
                <w:sz w:val="32"/>
                <w:szCs w:val="32"/>
              </w:rPr>
              <w:t xml:space="preserve">    《生产安全事故应急条例》第十三条第二款</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易燃易爆物品、危险化学品等危险物品的生产、经营、储存、运输单位，矿山、金属冶炼、城市轨道交通运营、建筑施工单位，以及宾馆、商场、娱乐场所、旅游景区等人员密集场所经营单位，应当根据本单位可能发生的生产安全事故的特点和危害，配备必要的灭火、排水、通风以及危险物品稀释、掩埋、收集等应急救援器材、设备和物资，并进行经常性维护、保养，保证正常运转。</w:t>
            </w:r>
            <w:r>
              <w:rPr>
                <w:rStyle w:val="14"/>
                <w:rFonts w:hint="eastAsia" w:ascii="仿宋_GB2312" w:hAnsi="仿宋_GB2312" w:eastAsia="仿宋_GB2312" w:cs="仿宋_GB2312"/>
                <w:color w:val="auto"/>
                <w:sz w:val="32"/>
                <w:szCs w:val="32"/>
              </w:rPr>
              <w:br w:type="textWrapping"/>
            </w:r>
            <w:r>
              <w:rPr>
                <w:rStyle w:val="14"/>
                <w:rFonts w:hint="eastAsia" w:ascii="仿宋_GB2312" w:hAnsi="仿宋_GB2312" w:eastAsia="仿宋_GB2312" w:cs="仿宋_GB2312"/>
                <w:color w:val="auto"/>
                <w:sz w:val="32"/>
                <w:szCs w:val="32"/>
              </w:rPr>
              <w:t xml:space="preserve">    《生产安全事故应急预案管理办法》第三十八条</w:t>
            </w:r>
            <w:r>
              <w:rPr>
                <w:rStyle w:val="15"/>
                <w:rFonts w:hint="eastAsia" w:ascii="仿宋_GB2312" w:hAnsi="仿宋_GB2312" w:eastAsia="仿宋_GB2312" w:cs="仿宋_GB2312"/>
                <w:color w:val="auto"/>
                <w:sz w:val="32"/>
                <w:szCs w:val="32"/>
              </w:rPr>
              <w:t>生产经营单位应当按照应急预案的规定，落实应急指挥体系、应急救援队伍、应急物资及装备，建立应急物资、装备配备及其使用档案，并对应急物资、装备进行定期检测和维护，使其处于适用状态。</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00BF8">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w:t>
            </w:r>
          </w:p>
          <w:p w14:paraId="672FF332">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5B8D2AF3">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（3）应急救援器材、设备和物资清单；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（4）维护、保养记录；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（5）设备管理机构及维保人员责任落实资料；</w:t>
            </w:r>
          </w:p>
          <w:p w14:paraId="6920066F">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（6）主要负责人保证本单位安全生产投入的有效实施履职资料；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（7）现场取证资料（图片、视频等影像资料）；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（8）《现场检查记录》《责令限期整改指令书》等相关执法文书；</w:t>
            </w:r>
          </w:p>
          <w:p w14:paraId="0DC5DED2">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w:t>
            </w:r>
            <w:r>
              <w:rPr>
                <w:rFonts w:hint="eastAsia" w:ascii="仿宋_GB2312" w:hAnsi="仿宋_GB2312" w:eastAsia="仿宋_GB2312" w:cs="仿宋_GB2312"/>
                <w:bCs/>
                <w:color w:val="auto"/>
                <w:sz w:val="32"/>
                <w:szCs w:val="32"/>
              </w:rPr>
              <w:t>企业相关人员任职文件、身份证明及其询问笔录；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（10）其他相关证据。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40F6F">
            <w:pPr>
              <w:widowControl/>
              <w:tabs>
                <w:tab w:val="left" w:pos="410"/>
                <w:tab w:val="left" w:pos="615"/>
              </w:tabs>
              <w:ind w:firstLine="643" w:firstLineChars="200"/>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《中华人民共和国突发事件应对法》第六十四条第一款第（三）项</w:t>
            </w:r>
            <w:r>
              <w:rPr>
                <w:rStyle w:val="15"/>
                <w:rFonts w:hint="eastAsia" w:ascii="仿宋_GB2312" w:hAnsi="仿宋_GB2312" w:eastAsia="仿宋_GB2312" w:cs="仿宋_GB2312"/>
                <w:color w:val="auto"/>
                <w:sz w:val="32"/>
                <w:szCs w:val="32"/>
              </w:rPr>
              <w:t xml:space="preserve">  有关单位有下列情形之一的，由所在地履行统一领导职责的人民政府责令停产停业，暂扣或者吊销许可证或者营业执照，并处五万元以上二十万元以下的罚款；构成违反治安管理行为的，由公安机关依法给予处罚：</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（三）未做好应急设备、设施日常维护、检测工作，导致发生严重突发事件或者突发事件危害扩大的；</w:t>
            </w:r>
            <w:r>
              <w:rPr>
                <w:rStyle w:val="15"/>
                <w:rFonts w:hint="eastAsia" w:ascii="仿宋_GB2312" w:hAnsi="仿宋_GB2312" w:eastAsia="仿宋_GB2312" w:cs="仿宋_GB2312"/>
                <w:color w:val="auto"/>
                <w:sz w:val="32"/>
                <w:szCs w:val="32"/>
              </w:rPr>
              <w:br w:type="textWrapping"/>
            </w:r>
            <w:r>
              <w:rPr>
                <w:rStyle w:val="14"/>
                <w:rFonts w:hint="eastAsia" w:ascii="仿宋_GB2312" w:hAnsi="仿宋_GB2312" w:eastAsia="仿宋_GB2312" w:cs="仿宋_GB2312"/>
                <w:color w:val="auto"/>
                <w:sz w:val="32"/>
                <w:szCs w:val="32"/>
              </w:rPr>
              <w:t xml:space="preserve">  《生产安全事故应急条例》第三十一条</w:t>
            </w:r>
            <w:r>
              <w:rPr>
                <w:rStyle w:val="15"/>
                <w:rFonts w:hint="eastAsia" w:ascii="仿宋_GB2312" w:hAnsi="仿宋_GB2312" w:eastAsia="仿宋_GB2312" w:cs="仿宋_GB2312"/>
                <w:color w:val="auto"/>
                <w:sz w:val="32"/>
                <w:szCs w:val="32"/>
              </w:rPr>
              <w:t xml:space="preserve">  生产经营单位未对应急救援器材、设备和物资进行经常性维护、保养，导致发生严重生产安全事故或者生产安全事故危害扩大，或者在本单位发生生产安全事故后未立即采取相应的应急救援措施，造成严重后果的，由县级以上人民政府负有安全生产监督管理职责的部门依照《突发事件应对法》有关规定追究法律责任。</w:t>
            </w:r>
            <w:r>
              <w:rPr>
                <w:rStyle w:val="15"/>
                <w:rFonts w:hint="eastAsia" w:ascii="仿宋_GB2312" w:hAnsi="仿宋_GB2312" w:eastAsia="仿宋_GB2312" w:cs="仿宋_GB2312"/>
                <w:color w:val="auto"/>
                <w:sz w:val="32"/>
                <w:szCs w:val="32"/>
              </w:rPr>
              <w:br w:type="textWrapping"/>
            </w:r>
            <w:r>
              <w:rPr>
                <w:rStyle w:val="14"/>
                <w:rFonts w:hint="eastAsia" w:ascii="仿宋_GB2312" w:hAnsi="仿宋_GB2312" w:eastAsia="仿宋_GB2312" w:cs="仿宋_GB2312"/>
                <w:color w:val="auto"/>
                <w:sz w:val="32"/>
                <w:szCs w:val="32"/>
              </w:rPr>
              <w:t xml:space="preserve">  《生产安全事故应急预案管理办法》第四十五条第一款第（六）项</w:t>
            </w:r>
            <w:r>
              <w:rPr>
                <w:rStyle w:val="15"/>
                <w:rFonts w:hint="eastAsia" w:ascii="仿宋_GB2312" w:hAnsi="仿宋_GB2312" w:eastAsia="仿宋_GB2312" w:cs="仿宋_GB2312"/>
                <w:color w:val="auto"/>
                <w:sz w:val="32"/>
                <w:szCs w:val="32"/>
              </w:rPr>
              <w:t>生产经营单位有下列情形之一的，由县级以上人民政府应急管理部门责令限期改正，可以处1万元以上3万元以下的罚款：</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（六）未落实应急预案规定的应急物资及装备的。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E5CD6">
            <w:pPr>
              <w:widowControl/>
              <w:rPr>
                <w:rFonts w:hint="eastAsia" w:ascii="仿宋_GB2312" w:hAnsi="仿宋_GB2312" w:eastAsia="仿宋_GB2312" w:cs="仿宋_GB2312"/>
                <w:color w:val="auto"/>
                <w:sz w:val="32"/>
                <w:szCs w:val="32"/>
              </w:rPr>
            </w:pPr>
          </w:p>
        </w:tc>
      </w:tr>
      <w:tr w14:paraId="635052EF">
        <w:tblPrEx>
          <w:tblCellMar>
            <w:top w:w="0" w:type="dxa"/>
            <w:left w:w="0" w:type="dxa"/>
            <w:bottom w:w="0" w:type="dxa"/>
            <w:right w:w="0" w:type="dxa"/>
          </w:tblCellMar>
        </w:tblPrEx>
        <w:trPr>
          <w:trHeight w:val="105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076E6">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11</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D6274">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应急值班制度或者配备应急值班人员</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42100">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是否按规定建立应急值班制度，配备应急值班人员</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E16DA">
            <w:pPr>
              <w:widowControl/>
              <w:ind w:firstLine="643" w:firstLineChars="200"/>
              <w:jc w:val="left"/>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《生产安全事故应急条例》第十四条</w:t>
            </w:r>
            <w:r>
              <w:rPr>
                <w:rStyle w:val="15"/>
                <w:rFonts w:hint="eastAsia" w:ascii="仿宋_GB2312" w:hAnsi="仿宋_GB2312" w:eastAsia="仿宋_GB2312" w:cs="仿宋_GB2312"/>
                <w:color w:val="auto"/>
                <w:sz w:val="32"/>
                <w:szCs w:val="32"/>
              </w:rPr>
              <w:t xml:space="preserve">  下列单位应当建立应急值班制度，配备应急值班人员：</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（一）县级以上人民政府及其负有安全生产监督管理职责的部门；</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（二）危险物品的生产、经营、储存、运输单位以及矿山、金属冶炼、城市轨道交通运营、建筑施工单位；</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（三）应急救援队伍。</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规模较大、危险性较高的易燃易爆物品、危险化学品等危险物品的生产、经营、储存、运输单位应当成立应急处置技术组，实行24小时应急值班。</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666AF">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（1）营业执照；</w:t>
            </w:r>
          </w:p>
          <w:p w14:paraId="2B4B3FC0">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79018C64">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（3）应急值班制度；</w:t>
            </w:r>
          </w:p>
          <w:p w14:paraId="785213BB">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（4）配备应急值班人员；</w:t>
            </w:r>
          </w:p>
          <w:p w14:paraId="1FA4A3C6">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（5）规模较大、危险性较高的易燃易爆物品、危险化学品等危险物品的生产、经营、储存、运输单位应当成立应急处置技术组，24小时应急值班记录；</w:t>
            </w:r>
          </w:p>
          <w:p w14:paraId="09650CDF">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（6）现场取证资料（图片、视频等影像资料）；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（7）《现场检查记录》《责令限期整改指令书》等相关执法文书；</w:t>
            </w:r>
          </w:p>
          <w:p w14:paraId="4A14E92F">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bCs/>
                <w:color w:val="auto"/>
                <w:sz w:val="32"/>
                <w:szCs w:val="32"/>
              </w:rPr>
              <w:t>企业相关人员任职文件、身份证明及其询问笔录；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（9）其他相关证据。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AE2F5">
            <w:pPr>
              <w:widowControl/>
              <w:ind w:firstLine="643" w:firstLineChars="200"/>
              <w:jc w:val="left"/>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《生产安全事故应急条例》第三十二条</w:t>
            </w:r>
            <w:r>
              <w:rPr>
                <w:rStyle w:val="15"/>
                <w:rFonts w:hint="eastAsia" w:ascii="仿宋_GB2312" w:hAnsi="仿宋_GB2312" w:eastAsia="仿宋_GB2312" w:cs="仿宋_GB2312"/>
                <w:color w:val="auto"/>
                <w:sz w:val="32"/>
                <w:szCs w:val="32"/>
              </w:rPr>
              <w:t>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E6748">
            <w:pPr>
              <w:widowControl/>
              <w:rPr>
                <w:rFonts w:hint="eastAsia" w:ascii="仿宋_GB2312" w:hAnsi="仿宋_GB2312" w:eastAsia="仿宋_GB2312" w:cs="仿宋_GB2312"/>
                <w:color w:val="auto"/>
                <w:sz w:val="32"/>
                <w:szCs w:val="32"/>
              </w:rPr>
            </w:pPr>
          </w:p>
        </w:tc>
      </w:tr>
      <w:tr w14:paraId="60020E74">
        <w:tblPrEx>
          <w:tblCellMar>
            <w:top w:w="0" w:type="dxa"/>
            <w:left w:w="0" w:type="dxa"/>
            <w:bottom w:w="0" w:type="dxa"/>
            <w:right w:w="0" w:type="dxa"/>
          </w:tblCellMar>
        </w:tblPrEx>
        <w:trPr>
          <w:trHeight w:val="1724" w:hRule="atLeast"/>
          <w:jc w:val="center"/>
        </w:trPr>
        <w:tc>
          <w:tcPr>
            <w:tcW w:w="6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29220">
            <w:pPr>
              <w:widowControl/>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12</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685E5">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应急预案教育培训</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DEF19">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是否按照国家有关规定对应急救援人员进行培训</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00F30">
            <w:pPr>
              <w:widowControl/>
              <w:ind w:firstLine="643" w:firstLineChars="200"/>
              <w:jc w:val="left"/>
              <w:textAlignment w:val="center"/>
              <w:rPr>
                <w:rStyle w:val="14"/>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《中华人民共和国安全生产法》  第二十八条第一款</w:t>
            </w:r>
            <w:r>
              <w:rPr>
                <w:rStyle w:val="15"/>
                <w:rFonts w:hint="eastAsia" w:ascii="仿宋_GB2312" w:hAnsi="仿宋_GB2312" w:eastAsia="仿宋_GB2312" w:cs="仿宋_GB2312"/>
                <w:color w:val="auto"/>
                <w:sz w:val="32"/>
                <w:szCs w:val="32"/>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Style w:val="14"/>
                <w:rFonts w:hint="eastAsia" w:ascii="仿宋_GB2312" w:hAnsi="仿宋_GB2312" w:eastAsia="仿宋_GB2312" w:cs="仿宋_GB2312"/>
                <w:color w:val="auto"/>
                <w:sz w:val="32"/>
                <w:szCs w:val="32"/>
              </w:rPr>
              <w:t xml:space="preserve"> </w:t>
            </w:r>
          </w:p>
          <w:p w14:paraId="393F672D">
            <w:pPr>
              <w:widowControl/>
              <w:ind w:firstLine="643" w:firstLineChars="200"/>
              <w:jc w:val="left"/>
              <w:textAlignment w:val="center"/>
              <w:rPr>
                <w:rFonts w:hint="eastAsia" w:ascii="仿宋_GB2312" w:hAnsi="仿宋_GB2312" w:eastAsia="仿宋_GB2312" w:cs="仿宋_GB2312"/>
                <w:color w:val="auto"/>
                <w:sz w:val="32"/>
                <w:szCs w:val="32"/>
              </w:rPr>
            </w:pPr>
            <w:r>
              <w:rPr>
                <w:rStyle w:val="14"/>
                <w:rFonts w:hint="eastAsia" w:ascii="仿宋_GB2312" w:hAnsi="仿宋_GB2312" w:eastAsia="仿宋_GB2312" w:cs="仿宋_GB2312"/>
                <w:color w:val="auto"/>
                <w:sz w:val="32"/>
                <w:szCs w:val="32"/>
              </w:rPr>
              <w:t>《生产安全事故应急条例》第十五条</w:t>
            </w:r>
            <w:r>
              <w:rPr>
                <w:rStyle w:val="15"/>
                <w:rFonts w:hint="eastAsia" w:ascii="仿宋_GB2312" w:hAnsi="仿宋_GB2312" w:eastAsia="仿宋_GB2312" w:cs="仿宋_GB2312"/>
                <w:color w:val="auto"/>
                <w:sz w:val="32"/>
                <w:szCs w:val="32"/>
              </w:rPr>
              <w:t>生产经营单位应当对从业人员进行应急教育和培训，保证从业人员具备必要的应急知识，掌握风险防范技能和事故应急措施。</w:t>
            </w:r>
            <w:r>
              <w:rPr>
                <w:rStyle w:val="15"/>
                <w:rFonts w:hint="eastAsia" w:ascii="仿宋_GB2312" w:hAnsi="仿宋_GB2312" w:eastAsia="仿宋_GB2312" w:cs="仿宋_GB2312"/>
                <w:color w:val="auto"/>
                <w:sz w:val="32"/>
                <w:szCs w:val="32"/>
              </w:rPr>
              <w:br w:type="textWrapping"/>
            </w:r>
            <w:r>
              <w:rPr>
                <w:rStyle w:val="14"/>
                <w:rFonts w:hint="eastAsia" w:ascii="仿宋_GB2312" w:hAnsi="仿宋_GB2312" w:eastAsia="仿宋_GB2312" w:cs="仿宋_GB2312"/>
                <w:color w:val="auto"/>
                <w:sz w:val="32"/>
                <w:szCs w:val="32"/>
              </w:rPr>
              <w:t xml:space="preserve">   《生产安全事故应急预案管理办法》第三十一条第二款、第三款</w:t>
            </w:r>
            <w:r>
              <w:rPr>
                <w:rStyle w:val="15"/>
                <w:rFonts w:hint="eastAsia" w:ascii="仿宋_GB2312" w:hAnsi="仿宋_GB2312" w:eastAsia="仿宋_GB2312" w:cs="仿宋_GB2312"/>
                <w:color w:val="auto"/>
                <w:sz w:val="32"/>
                <w:szCs w:val="32"/>
              </w:rPr>
              <w:t>生产经营单位应当组织开展本单位的应急预案、应急知识、自救互救和避险逃生技能的培训活动，使有关人员了解应急预案内容，熟悉应急职责、应急处置程序和措施。</w:t>
            </w:r>
            <w:r>
              <w:rPr>
                <w:rStyle w:val="15"/>
                <w:rFonts w:hint="eastAsia" w:ascii="仿宋_GB2312" w:hAnsi="仿宋_GB2312" w:eastAsia="仿宋_GB2312" w:cs="仿宋_GB2312"/>
                <w:color w:val="auto"/>
                <w:sz w:val="32"/>
                <w:szCs w:val="32"/>
              </w:rPr>
              <w:br w:type="textWrapping"/>
            </w:r>
            <w:r>
              <w:rPr>
                <w:rStyle w:val="15"/>
                <w:rFonts w:hint="eastAsia" w:ascii="仿宋_GB2312" w:hAnsi="仿宋_GB2312" w:eastAsia="仿宋_GB2312" w:cs="仿宋_GB2312"/>
                <w:color w:val="auto"/>
                <w:sz w:val="32"/>
                <w:szCs w:val="32"/>
              </w:rPr>
              <w:t>应急培训的时间、地点、内容、师资、参加人员和考核结果等情况应当如实记入本单位的安全生产教育和培训档案。</w:t>
            </w:r>
          </w:p>
        </w:tc>
        <w:tc>
          <w:tcPr>
            <w:tcW w:w="3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B030C">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（1）营业执照；</w:t>
            </w:r>
          </w:p>
          <w:p w14:paraId="1B6391A6">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（2）相关许可证；</w:t>
            </w:r>
          </w:p>
          <w:p w14:paraId="563C0A06">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（3）教育和培训档案；</w:t>
            </w:r>
          </w:p>
          <w:p w14:paraId="69A59D8E">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（4）培训人员、学时、内容、考核结果；</w:t>
            </w:r>
          </w:p>
          <w:p w14:paraId="714FCB89">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（5）现场抽查考核，进行效果评价；</w:t>
            </w:r>
          </w:p>
          <w:p w14:paraId="01BFE35D">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（6）企业安全生产管理机构或有关教育培训机构组织应急教育和培训记录；</w:t>
            </w:r>
          </w:p>
          <w:p w14:paraId="567D6749">
            <w:pPr>
              <w:widowControl/>
              <w:jc w:val="left"/>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（7）现场取证资料（图片、视频等影像资料）；</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（8）《现场检查记录》《责令限期整改指令书》等相关执法文书；</w:t>
            </w:r>
          </w:p>
          <w:p w14:paraId="2816E54E">
            <w:pPr>
              <w:widowControl/>
              <w:jc w:val="left"/>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（9）</w:t>
            </w:r>
            <w:r>
              <w:rPr>
                <w:rFonts w:hint="eastAsia" w:ascii="仿宋_GB2312" w:hAnsi="仿宋_GB2312" w:eastAsia="仿宋_GB2312" w:cs="仿宋_GB2312"/>
                <w:bCs/>
                <w:color w:val="auto"/>
                <w:sz w:val="32"/>
                <w:szCs w:val="32"/>
              </w:rPr>
              <w:t>企业相关人员任职文件、身份证明及其询问笔录；</w:t>
            </w:r>
            <w:r>
              <w:rPr>
                <w:rFonts w:hint="eastAsia" w:ascii="仿宋_GB2312" w:hAnsi="仿宋_GB2312" w:eastAsia="仿宋_GB2312" w:cs="仿宋_GB2312"/>
                <w:color w:val="auto"/>
                <w:kern w:val="0"/>
                <w:sz w:val="32"/>
                <w:szCs w:val="32"/>
              </w:rPr>
              <w:br w:type="textWrapping"/>
            </w:r>
            <w:r>
              <w:rPr>
                <w:rFonts w:hint="eastAsia" w:ascii="仿宋_GB2312" w:hAnsi="仿宋_GB2312" w:eastAsia="仿宋_GB2312" w:cs="仿宋_GB2312"/>
                <w:color w:val="auto"/>
                <w:kern w:val="0"/>
                <w:sz w:val="32"/>
                <w:szCs w:val="32"/>
              </w:rPr>
              <w:t>（10）其他相关证据。</w:t>
            </w:r>
          </w:p>
        </w:tc>
        <w:tc>
          <w:tcPr>
            <w:tcW w:w="38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F7CC3">
            <w:pPr>
              <w:widowControl/>
              <w:shd w:val="clear" w:color="auto" w:fill="FFFFFF"/>
              <w:ind w:firstLine="643" w:firstLineChars="200"/>
              <w:rPr>
                <w:rStyle w:val="17"/>
                <w:rFonts w:hint="eastAsia" w:ascii="仿宋_GB2312" w:hAnsi="仿宋_GB2312" w:eastAsia="仿宋_GB2312" w:cs="仿宋_GB2312"/>
                <w:color w:val="auto"/>
                <w:sz w:val="32"/>
                <w:szCs w:val="32"/>
              </w:rPr>
            </w:pPr>
            <w:r>
              <w:rPr>
                <w:rStyle w:val="16"/>
                <w:rFonts w:hint="eastAsia" w:ascii="仿宋_GB2312" w:hAnsi="仿宋_GB2312" w:eastAsia="仿宋_GB2312" w:cs="仿宋_GB2312"/>
                <w:color w:val="auto"/>
                <w:sz w:val="32"/>
                <w:szCs w:val="32"/>
              </w:rPr>
              <w:t>《中华人民共和国安全生产法》  第九十七条第三项</w:t>
            </w:r>
            <w:r>
              <w:rPr>
                <w:rFonts w:hint="eastAsia" w:ascii="仿宋_GB2312" w:hAnsi="仿宋_GB2312" w:eastAsia="仿宋_GB2312" w:cs="仿宋_GB2312"/>
                <w:color w:val="auto"/>
                <w:kern w:val="0"/>
                <w:sz w:val="32"/>
                <w:szCs w:val="32"/>
              </w:rPr>
              <w:t xml:space="preserve"> </w:t>
            </w:r>
            <w:r>
              <w:rPr>
                <w:rStyle w:val="17"/>
                <w:rFonts w:hint="eastAsia" w:ascii="仿宋_GB2312" w:hAnsi="仿宋_GB2312" w:eastAsia="仿宋_GB2312" w:cs="仿宋_GB2312"/>
                <w:color w:val="auto"/>
                <w:sz w:val="32"/>
                <w:szCs w:val="32"/>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14:paraId="437F8493">
            <w:pPr>
              <w:widowControl/>
              <w:shd w:val="clear" w:color="auto" w:fill="FFFFFF"/>
              <w:rPr>
                <w:rFonts w:hint="eastAsia" w:ascii="仿宋_GB2312" w:hAnsi="仿宋_GB2312" w:eastAsia="仿宋_GB2312" w:cs="仿宋_GB2312"/>
                <w:color w:val="auto"/>
                <w:sz w:val="32"/>
                <w:szCs w:val="32"/>
              </w:rPr>
            </w:pPr>
            <w:r>
              <w:rPr>
                <w:rStyle w:val="17"/>
                <w:rFonts w:hint="eastAsia" w:ascii="仿宋_GB2312" w:hAnsi="仿宋_GB2312" w:eastAsia="仿宋_GB2312" w:cs="仿宋_GB2312"/>
                <w:color w:val="auto"/>
                <w:sz w:val="32"/>
                <w:szCs w:val="32"/>
              </w:rPr>
              <w:t>（三）未按照规定对从业人员、被派遣劳动者、实习学生进行安全生产教育和培训，或者未按照规定如实告知有关的安全生产事项的；</w:t>
            </w:r>
            <w:r>
              <w:rPr>
                <w:rStyle w:val="17"/>
                <w:rFonts w:hint="eastAsia" w:ascii="仿宋_GB2312" w:hAnsi="仿宋_GB2312" w:eastAsia="仿宋_GB2312" w:cs="仿宋_GB2312"/>
                <w:color w:val="auto"/>
                <w:sz w:val="32"/>
                <w:szCs w:val="32"/>
              </w:rPr>
              <w:br w:type="textWrapping"/>
            </w:r>
            <w:r>
              <w:rPr>
                <w:rStyle w:val="16"/>
                <w:rFonts w:hint="eastAsia" w:ascii="仿宋_GB2312" w:hAnsi="仿宋_GB2312" w:eastAsia="仿宋_GB2312" w:cs="仿宋_GB2312"/>
                <w:color w:val="auto"/>
                <w:sz w:val="32"/>
                <w:szCs w:val="32"/>
              </w:rPr>
              <w:t xml:space="preserve">  《生产安全事故应急条例》第三十条</w:t>
            </w:r>
            <w:r>
              <w:rPr>
                <w:rStyle w:val="17"/>
                <w:rFonts w:hint="eastAsia" w:ascii="仿宋_GB2312" w:hAnsi="仿宋_GB2312" w:eastAsia="仿宋_GB2312" w:cs="仿宋_GB2312"/>
                <w:color w:val="auto"/>
                <w:sz w:val="32"/>
                <w:szCs w:val="32"/>
              </w:rPr>
              <w:t xml:space="preserve">  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  有关规定追究法律责任。</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C08B9">
            <w:pPr>
              <w:widowControl/>
              <w:rPr>
                <w:rFonts w:hint="eastAsia" w:ascii="仿宋_GB2312" w:hAnsi="仿宋_GB2312" w:eastAsia="仿宋_GB2312" w:cs="仿宋_GB2312"/>
                <w:color w:val="auto"/>
                <w:sz w:val="32"/>
                <w:szCs w:val="32"/>
              </w:rPr>
            </w:pPr>
          </w:p>
        </w:tc>
      </w:tr>
      <w:tr w14:paraId="4A111398">
        <w:tblPrEx>
          <w:tblCellMar>
            <w:top w:w="0" w:type="dxa"/>
            <w:left w:w="0" w:type="dxa"/>
            <w:bottom w:w="0" w:type="dxa"/>
            <w:right w:w="0" w:type="dxa"/>
          </w:tblCellMar>
        </w:tblPrEx>
        <w:trPr>
          <w:trHeight w:val="90" w:hRule="atLeast"/>
          <w:jc w:val="center"/>
        </w:trPr>
        <w:tc>
          <w:tcPr>
            <w:tcW w:w="1516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47A2B">
            <w:pPr>
              <w:widowControl/>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说明：1、根据本清单提供的证照及资料有原件的，应核实原件后留存复印件；无原件的提供复印件。所有复印件资料均应加盖企业公章。证照及资料有正副本的，均核验留存复印件。</w:t>
            </w:r>
          </w:p>
          <w:p w14:paraId="163208A0">
            <w:pPr>
              <w:widowControl/>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2、其他相关证据：能够证明企业违法违规行为的其他相关资料。</w:t>
            </w:r>
          </w:p>
        </w:tc>
      </w:tr>
    </w:tbl>
    <w:p w14:paraId="1DC2C4EA">
      <w:pPr>
        <w:rPr>
          <w:rFonts w:hint="eastAsia" w:ascii="仿宋_GB2312" w:hAnsi="仿宋_GB2312" w:eastAsia="仿宋_GB2312" w:cs="仿宋_GB2312"/>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973483"/>
    </w:sdtPr>
    <w:sdtEndPr>
      <w:rPr>
        <w:rFonts w:asciiTheme="minorEastAsia" w:hAnsiTheme="minorEastAsia" w:eastAsiaTheme="minorEastAsia"/>
        <w:sz w:val="15"/>
        <w:szCs w:val="15"/>
      </w:rPr>
    </w:sdtEndPr>
    <w:sdtContent>
      <w:p w14:paraId="171030F5">
        <w:pPr>
          <w:pStyle w:val="5"/>
          <w:jc w:val="center"/>
          <w:rPr>
            <w:rFonts w:asciiTheme="minorEastAsia" w:hAnsiTheme="minorEastAsia" w:eastAsiaTheme="minorEastAsia"/>
            <w:sz w:val="15"/>
            <w:szCs w:val="15"/>
          </w:rPr>
        </w:pPr>
        <w:r>
          <w:rPr>
            <w:rFonts w:asciiTheme="minorEastAsia" w:hAnsiTheme="minorEastAsia" w:eastAsiaTheme="minorEastAsia"/>
            <w:sz w:val="15"/>
            <w:szCs w:val="15"/>
          </w:rPr>
          <w:fldChar w:fldCharType="begin"/>
        </w:r>
        <w:r>
          <w:rPr>
            <w:rFonts w:asciiTheme="minorEastAsia" w:hAnsiTheme="minorEastAsia" w:eastAsiaTheme="minorEastAsia"/>
            <w:sz w:val="15"/>
            <w:szCs w:val="15"/>
          </w:rPr>
          <w:instrText xml:space="preserve">PAGE   \* MERGEFORMAT</w:instrText>
        </w:r>
        <w:r>
          <w:rPr>
            <w:rFonts w:asciiTheme="minorEastAsia" w:hAnsiTheme="minorEastAsia" w:eastAsiaTheme="minorEastAsia"/>
            <w:sz w:val="15"/>
            <w:szCs w:val="15"/>
          </w:rPr>
          <w:fldChar w:fldCharType="separate"/>
        </w:r>
        <w:r>
          <w:rPr>
            <w:rFonts w:asciiTheme="minorEastAsia" w:hAnsiTheme="minorEastAsia" w:eastAsiaTheme="minorEastAsia"/>
            <w:sz w:val="15"/>
            <w:szCs w:val="15"/>
            <w:lang w:val="zh-CN"/>
          </w:rPr>
          <w:t>-</w:t>
        </w:r>
        <w:r>
          <w:rPr>
            <w:rFonts w:asciiTheme="minorEastAsia" w:hAnsiTheme="minorEastAsia" w:eastAsiaTheme="minorEastAsia"/>
            <w:sz w:val="15"/>
            <w:szCs w:val="15"/>
          </w:rPr>
          <w:t xml:space="preserve"> 236 -</w:t>
        </w:r>
        <w:r>
          <w:rPr>
            <w:rFonts w:asciiTheme="minorEastAsia" w:hAnsiTheme="minorEastAsia" w:eastAsiaTheme="minorEastAsia"/>
            <w:sz w:val="15"/>
            <w:szCs w:val="15"/>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E8A6">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95910" cy="1397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95910" cy="139700"/>
                      </a:xfrm>
                      <a:prstGeom prst="rect">
                        <a:avLst/>
                      </a:prstGeom>
                      <a:noFill/>
                      <a:ln w="6350">
                        <a:noFill/>
                      </a:ln>
                      <a:effectLst/>
                    </wps:spPr>
                    <wps:txbx>
                      <w:txbxContent>
                        <w:p w14:paraId="21DF1C32">
                          <w:pPr>
                            <w:pStyle w:val="5"/>
                          </w:pPr>
                          <w:r>
                            <w:fldChar w:fldCharType="begin"/>
                          </w:r>
                          <w:r>
                            <w:instrText xml:space="preserve"> PAGE  \* MERGEFORMAT </w:instrText>
                          </w:r>
                          <w:r>
                            <w:fldChar w:fldCharType="separate"/>
                          </w:r>
                          <w:r>
                            <w:t>- 337 -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23.3pt;mso-position-horizontal:center;mso-position-horizontal-relative:margin;mso-wrap-style:none;z-index:251660288;mso-width-relative:page;mso-height-relative:page;" filled="f" stroked="f" coordsize="21600,21600" o:gfxdata="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zo+G9IAAAADAQAADwAAAAAAAAABACAAAAAiAAAAZHJzL2Rvd25yZXYueG1s&#10;UEsBAhQAFAAAAAgAh07iQGclAOE3AgAAYwQAAA4AAAAAAAAAAQAgAAAAIQEAAGRycy9lMm9Eb2Mu&#10;eG1sUEsFBgAAAAAGAAYAWQEAAMoFAAAAAA==&#10;">
              <v:fill on="f" focussize="0,0"/>
              <v:stroke on="f" weight="0.5pt"/>
              <v:imagedata o:title=""/>
              <o:lock v:ext="edit" aspectratio="f"/>
              <v:textbox inset="0mm,0mm,0mm,0mm" style="mso-fit-shape-to-text:t;">
                <w:txbxContent>
                  <w:p w14:paraId="21DF1C32">
                    <w:pPr>
                      <w:pStyle w:val="5"/>
                    </w:pPr>
                    <w:r>
                      <w:fldChar w:fldCharType="begin"/>
                    </w:r>
                    <w:r>
                      <w:instrText xml:space="preserve"> PAGE  \* MERGEFORMAT </w:instrText>
                    </w:r>
                    <w:r>
                      <w:fldChar w:fldCharType="separate"/>
                    </w:r>
                    <w:r>
                      <w:t>- 337 -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a:noFill/>
                      </a:ln>
                      <a:effectLst/>
                    </wps:spPr>
                    <wps:txbx>
                      <w:txbxContent>
                        <w:p w14:paraId="1A9AE9BA">
                          <w:pPr>
                            <w:pStyle w:val="5"/>
                          </w:pPr>
                        </w:p>
                      </w:txbxContent>
                    </wps:txbx>
                    <wps:bodyPr wrap="none" lIns="0" tIns="0" rIns="0" bIns="0">
                      <a:spAutoFit/>
                    </wps:bodyPr>
                  </wps:wsp>
                </a:graphicData>
              </a:graphic>
            </wp:anchor>
          </w:drawing>
        </mc:Choice>
        <mc:Fallback>
          <w:pict>
            <v:shape id="文本框 1025" o:spid="_x0000_s1026" o:spt="202" type="#_x0000_t202" style="position:absolute;left:0pt;margin-top:0pt;height:11pt;width:8.15pt;mso-position-horizontal:center;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DIhRzQAAAAAwEAAA8AAAAAAAAAAQAgAAAAIgAAAGRycy9kb3du&#10;cmV2LnhtbFBLAQIUABQAAAAIAIdO4kCLyuwIzgEAAJwDAAAOAAAAAAAAAAEAIAAAAB8BAABkcnMv&#10;ZTJvRG9jLnhtbFBLBQYAAAAABgAGAFkBAABfBQAAAAA=&#10;">
              <v:fill on="f" focussize="0,0"/>
              <v:stroke on="f"/>
              <v:imagedata o:title=""/>
              <o:lock v:ext="edit" aspectratio="f"/>
              <v:textbox inset="0mm,0mm,0mm,0mm" style="mso-fit-shape-to-text:t;">
                <w:txbxContent>
                  <w:p w14:paraId="1A9AE9BA">
                    <w:pPr>
                      <w:pStyle w:val="5"/>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F29EE"/>
    <w:multiLevelType w:val="singleLevel"/>
    <w:tmpl w:val="8BCF29EE"/>
    <w:lvl w:ilvl="0" w:tentative="0">
      <w:start w:val="1"/>
      <w:numFmt w:val="chineseCounting"/>
      <w:suff w:val="nothing"/>
      <w:lvlText w:val="（%1）"/>
      <w:lvlJc w:val="left"/>
      <w:rPr>
        <w:rFonts w:hint="eastAsia"/>
      </w:rPr>
    </w:lvl>
  </w:abstractNum>
  <w:abstractNum w:abstractNumId="1">
    <w:nsid w:val="9085DD82"/>
    <w:multiLevelType w:val="singleLevel"/>
    <w:tmpl w:val="9085DD82"/>
    <w:lvl w:ilvl="0" w:tentative="0">
      <w:start w:val="1"/>
      <w:numFmt w:val="decimal"/>
      <w:suff w:val="nothing"/>
      <w:lvlText w:val="（%1）"/>
      <w:lvlJc w:val="left"/>
    </w:lvl>
  </w:abstractNum>
  <w:abstractNum w:abstractNumId="2">
    <w:nsid w:val="90C68DE0"/>
    <w:multiLevelType w:val="singleLevel"/>
    <w:tmpl w:val="90C68DE0"/>
    <w:lvl w:ilvl="0" w:tentative="0">
      <w:start w:val="1"/>
      <w:numFmt w:val="decimal"/>
      <w:suff w:val="nothing"/>
      <w:lvlText w:val="（%1）"/>
      <w:lvlJc w:val="left"/>
    </w:lvl>
  </w:abstractNum>
  <w:abstractNum w:abstractNumId="3">
    <w:nsid w:val="91A11591"/>
    <w:multiLevelType w:val="singleLevel"/>
    <w:tmpl w:val="91A11591"/>
    <w:lvl w:ilvl="0" w:tentative="0">
      <w:start w:val="1"/>
      <w:numFmt w:val="decimal"/>
      <w:suff w:val="nothing"/>
      <w:lvlText w:val="（%1）"/>
      <w:lvlJc w:val="left"/>
    </w:lvl>
  </w:abstractNum>
  <w:abstractNum w:abstractNumId="4">
    <w:nsid w:val="95DA822F"/>
    <w:multiLevelType w:val="singleLevel"/>
    <w:tmpl w:val="95DA822F"/>
    <w:lvl w:ilvl="0" w:tentative="0">
      <w:start w:val="1"/>
      <w:numFmt w:val="decimal"/>
      <w:suff w:val="nothing"/>
      <w:lvlText w:val="（%1）"/>
      <w:lvlJc w:val="left"/>
    </w:lvl>
  </w:abstractNum>
  <w:abstractNum w:abstractNumId="5">
    <w:nsid w:val="96720C4C"/>
    <w:multiLevelType w:val="singleLevel"/>
    <w:tmpl w:val="96720C4C"/>
    <w:lvl w:ilvl="0" w:tentative="0">
      <w:start w:val="1"/>
      <w:numFmt w:val="decimal"/>
      <w:suff w:val="nothing"/>
      <w:lvlText w:val="（%1）"/>
      <w:lvlJc w:val="left"/>
    </w:lvl>
  </w:abstractNum>
  <w:abstractNum w:abstractNumId="6">
    <w:nsid w:val="982BC5C3"/>
    <w:multiLevelType w:val="singleLevel"/>
    <w:tmpl w:val="982BC5C3"/>
    <w:lvl w:ilvl="0" w:tentative="0">
      <w:start w:val="1"/>
      <w:numFmt w:val="chineseCounting"/>
      <w:suff w:val="nothing"/>
      <w:lvlText w:val="（%1）"/>
      <w:lvlJc w:val="left"/>
      <w:rPr>
        <w:rFonts w:hint="eastAsia"/>
      </w:rPr>
    </w:lvl>
  </w:abstractNum>
  <w:abstractNum w:abstractNumId="7">
    <w:nsid w:val="9BBC14FC"/>
    <w:multiLevelType w:val="singleLevel"/>
    <w:tmpl w:val="9BBC14FC"/>
    <w:lvl w:ilvl="0" w:tentative="0">
      <w:start w:val="1"/>
      <w:numFmt w:val="decimal"/>
      <w:suff w:val="nothing"/>
      <w:lvlText w:val="（%1）"/>
      <w:lvlJc w:val="left"/>
    </w:lvl>
  </w:abstractNum>
  <w:abstractNum w:abstractNumId="8">
    <w:nsid w:val="A23C6F6B"/>
    <w:multiLevelType w:val="singleLevel"/>
    <w:tmpl w:val="A23C6F6B"/>
    <w:lvl w:ilvl="0" w:tentative="0">
      <w:start w:val="1"/>
      <w:numFmt w:val="chineseCounting"/>
      <w:suff w:val="nothing"/>
      <w:lvlText w:val="（%1）"/>
      <w:lvlJc w:val="left"/>
      <w:rPr>
        <w:rFonts w:hint="eastAsia"/>
      </w:rPr>
    </w:lvl>
  </w:abstractNum>
  <w:abstractNum w:abstractNumId="9">
    <w:nsid w:val="A81EB405"/>
    <w:multiLevelType w:val="singleLevel"/>
    <w:tmpl w:val="A81EB405"/>
    <w:lvl w:ilvl="0" w:tentative="0">
      <w:start w:val="1"/>
      <w:numFmt w:val="decimal"/>
      <w:suff w:val="nothing"/>
      <w:lvlText w:val="（%1）"/>
      <w:lvlJc w:val="left"/>
    </w:lvl>
  </w:abstractNum>
  <w:abstractNum w:abstractNumId="10">
    <w:nsid w:val="B0E823D1"/>
    <w:multiLevelType w:val="singleLevel"/>
    <w:tmpl w:val="B0E823D1"/>
    <w:lvl w:ilvl="0" w:tentative="0">
      <w:start w:val="1"/>
      <w:numFmt w:val="decimal"/>
      <w:suff w:val="nothing"/>
      <w:lvlText w:val="（%1）"/>
      <w:lvlJc w:val="left"/>
    </w:lvl>
  </w:abstractNum>
  <w:abstractNum w:abstractNumId="11">
    <w:nsid w:val="B18927EB"/>
    <w:multiLevelType w:val="singleLevel"/>
    <w:tmpl w:val="B18927EB"/>
    <w:lvl w:ilvl="0" w:tentative="0">
      <w:start w:val="1"/>
      <w:numFmt w:val="decimal"/>
      <w:suff w:val="nothing"/>
      <w:lvlText w:val="（%1）"/>
      <w:lvlJc w:val="left"/>
    </w:lvl>
  </w:abstractNum>
  <w:abstractNum w:abstractNumId="12">
    <w:nsid w:val="B18C4D92"/>
    <w:multiLevelType w:val="singleLevel"/>
    <w:tmpl w:val="B18C4D92"/>
    <w:lvl w:ilvl="0" w:tentative="0">
      <w:start w:val="1"/>
      <w:numFmt w:val="chineseCounting"/>
      <w:suff w:val="nothing"/>
      <w:lvlText w:val="（%1）"/>
      <w:lvlJc w:val="left"/>
      <w:rPr>
        <w:rFonts w:hint="eastAsia"/>
      </w:rPr>
    </w:lvl>
  </w:abstractNum>
  <w:abstractNum w:abstractNumId="13">
    <w:nsid w:val="B1DF1DD5"/>
    <w:multiLevelType w:val="singleLevel"/>
    <w:tmpl w:val="B1DF1DD5"/>
    <w:lvl w:ilvl="0" w:tentative="0">
      <w:start w:val="1"/>
      <w:numFmt w:val="decimal"/>
      <w:suff w:val="nothing"/>
      <w:lvlText w:val="（%1）"/>
      <w:lvlJc w:val="left"/>
    </w:lvl>
  </w:abstractNum>
  <w:abstractNum w:abstractNumId="14">
    <w:nsid w:val="B3406F17"/>
    <w:multiLevelType w:val="singleLevel"/>
    <w:tmpl w:val="B3406F17"/>
    <w:lvl w:ilvl="0" w:tentative="0">
      <w:start w:val="1"/>
      <w:numFmt w:val="decimal"/>
      <w:suff w:val="nothing"/>
      <w:lvlText w:val="（%1）"/>
      <w:lvlJc w:val="left"/>
    </w:lvl>
  </w:abstractNum>
  <w:abstractNum w:abstractNumId="15">
    <w:nsid w:val="BB883DA9"/>
    <w:multiLevelType w:val="singleLevel"/>
    <w:tmpl w:val="BB883DA9"/>
    <w:lvl w:ilvl="0" w:tentative="0">
      <w:start w:val="1"/>
      <w:numFmt w:val="decimal"/>
      <w:suff w:val="nothing"/>
      <w:lvlText w:val="（%1）"/>
      <w:lvlJc w:val="left"/>
    </w:lvl>
  </w:abstractNum>
  <w:abstractNum w:abstractNumId="16">
    <w:nsid w:val="C4C40850"/>
    <w:multiLevelType w:val="singleLevel"/>
    <w:tmpl w:val="C4C40850"/>
    <w:lvl w:ilvl="0" w:tentative="0">
      <w:start w:val="1"/>
      <w:numFmt w:val="chineseCounting"/>
      <w:suff w:val="nothing"/>
      <w:lvlText w:val="（%1）"/>
      <w:lvlJc w:val="left"/>
      <w:rPr>
        <w:rFonts w:hint="eastAsia"/>
      </w:rPr>
    </w:lvl>
  </w:abstractNum>
  <w:abstractNum w:abstractNumId="17">
    <w:nsid w:val="C5808B83"/>
    <w:multiLevelType w:val="singleLevel"/>
    <w:tmpl w:val="C5808B83"/>
    <w:lvl w:ilvl="0" w:tentative="0">
      <w:start w:val="1"/>
      <w:numFmt w:val="decimal"/>
      <w:suff w:val="nothing"/>
      <w:lvlText w:val="（%1）"/>
      <w:lvlJc w:val="left"/>
    </w:lvl>
  </w:abstractNum>
  <w:abstractNum w:abstractNumId="18">
    <w:nsid w:val="C629EB88"/>
    <w:multiLevelType w:val="singleLevel"/>
    <w:tmpl w:val="C629EB88"/>
    <w:lvl w:ilvl="0" w:tentative="0">
      <w:start w:val="9"/>
      <w:numFmt w:val="decimal"/>
      <w:suff w:val="nothing"/>
      <w:lvlText w:val="（%1）"/>
      <w:lvlJc w:val="left"/>
    </w:lvl>
  </w:abstractNum>
  <w:abstractNum w:abstractNumId="19">
    <w:nsid w:val="C88ADFA8"/>
    <w:multiLevelType w:val="singleLevel"/>
    <w:tmpl w:val="C88ADFA8"/>
    <w:lvl w:ilvl="0" w:tentative="0">
      <w:start w:val="4"/>
      <w:numFmt w:val="decimal"/>
      <w:suff w:val="nothing"/>
      <w:lvlText w:val="（%1）"/>
      <w:lvlJc w:val="left"/>
    </w:lvl>
  </w:abstractNum>
  <w:abstractNum w:abstractNumId="20">
    <w:nsid w:val="C9AD2373"/>
    <w:multiLevelType w:val="singleLevel"/>
    <w:tmpl w:val="C9AD2373"/>
    <w:lvl w:ilvl="0" w:tentative="0">
      <w:start w:val="1"/>
      <w:numFmt w:val="decimal"/>
      <w:suff w:val="nothing"/>
      <w:lvlText w:val="（%1）"/>
      <w:lvlJc w:val="left"/>
    </w:lvl>
  </w:abstractNum>
  <w:abstractNum w:abstractNumId="21">
    <w:nsid w:val="CB7D7E6A"/>
    <w:multiLevelType w:val="singleLevel"/>
    <w:tmpl w:val="CB7D7E6A"/>
    <w:lvl w:ilvl="0" w:tentative="0">
      <w:start w:val="1"/>
      <w:numFmt w:val="decimal"/>
      <w:suff w:val="nothing"/>
      <w:lvlText w:val="（%1）"/>
      <w:lvlJc w:val="left"/>
    </w:lvl>
  </w:abstractNum>
  <w:abstractNum w:abstractNumId="22">
    <w:nsid w:val="CE728171"/>
    <w:multiLevelType w:val="singleLevel"/>
    <w:tmpl w:val="CE728171"/>
    <w:lvl w:ilvl="0" w:tentative="0">
      <w:start w:val="1"/>
      <w:numFmt w:val="decimal"/>
      <w:suff w:val="nothing"/>
      <w:lvlText w:val="（%1）"/>
      <w:lvlJc w:val="left"/>
    </w:lvl>
  </w:abstractNum>
  <w:abstractNum w:abstractNumId="23">
    <w:nsid w:val="D0252C4C"/>
    <w:multiLevelType w:val="singleLevel"/>
    <w:tmpl w:val="D0252C4C"/>
    <w:lvl w:ilvl="0" w:tentative="0">
      <w:start w:val="1"/>
      <w:numFmt w:val="decimal"/>
      <w:suff w:val="nothing"/>
      <w:lvlText w:val="（%1）"/>
      <w:lvlJc w:val="left"/>
    </w:lvl>
  </w:abstractNum>
  <w:abstractNum w:abstractNumId="24">
    <w:nsid w:val="D02934F7"/>
    <w:multiLevelType w:val="singleLevel"/>
    <w:tmpl w:val="D02934F7"/>
    <w:lvl w:ilvl="0" w:tentative="0">
      <w:start w:val="1"/>
      <w:numFmt w:val="decimal"/>
      <w:suff w:val="nothing"/>
      <w:lvlText w:val="（%1）"/>
      <w:lvlJc w:val="left"/>
    </w:lvl>
  </w:abstractNum>
  <w:abstractNum w:abstractNumId="25">
    <w:nsid w:val="D065E10E"/>
    <w:multiLevelType w:val="singleLevel"/>
    <w:tmpl w:val="D065E10E"/>
    <w:lvl w:ilvl="0" w:tentative="0">
      <w:start w:val="1"/>
      <w:numFmt w:val="decimal"/>
      <w:suff w:val="nothing"/>
      <w:lvlText w:val="（%1）"/>
      <w:lvlJc w:val="left"/>
    </w:lvl>
  </w:abstractNum>
  <w:abstractNum w:abstractNumId="26">
    <w:nsid w:val="D2DC46EB"/>
    <w:multiLevelType w:val="singleLevel"/>
    <w:tmpl w:val="D2DC46EB"/>
    <w:lvl w:ilvl="0" w:tentative="0">
      <w:start w:val="1"/>
      <w:numFmt w:val="chineseCounting"/>
      <w:suff w:val="nothing"/>
      <w:lvlText w:val="（%1）"/>
      <w:lvlJc w:val="left"/>
      <w:rPr>
        <w:rFonts w:hint="eastAsia"/>
      </w:rPr>
    </w:lvl>
  </w:abstractNum>
  <w:abstractNum w:abstractNumId="27">
    <w:nsid w:val="D37DEC0C"/>
    <w:multiLevelType w:val="singleLevel"/>
    <w:tmpl w:val="D37DEC0C"/>
    <w:lvl w:ilvl="0" w:tentative="0">
      <w:start w:val="1"/>
      <w:numFmt w:val="decimal"/>
      <w:suff w:val="nothing"/>
      <w:lvlText w:val="（%1）"/>
      <w:lvlJc w:val="left"/>
    </w:lvl>
  </w:abstractNum>
  <w:abstractNum w:abstractNumId="28">
    <w:nsid w:val="D45F07B3"/>
    <w:multiLevelType w:val="singleLevel"/>
    <w:tmpl w:val="D45F07B3"/>
    <w:lvl w:ilvl="0" w:tentative="0">
      <w:start w:val="1"/>
      <w:numFmt w:val="decimal"/>
      <w:suff w:val="nothing"/>
      <w:lvlText w:val="（%1）"/>
      <w:lvlJc w:val="left"/>
    </w:lvl>
  </w:abstractNum>
  <w:abstractNum w:abstractNumId="29">
    <w:nsid w:val="D8267FF3"/>
    <w:multiLevelType w:val="singleLevel"/>
    <w:tmpl w:val="D8267FF3"/>
    <w:lvl w:ilvl="0" w:tentative="0">
      <w:start w:val="1"/>
      <w:numFmt w:val="decimal"/>
      <w:suff w:val="nothing"/>
      <w:lvlText w:val="（%1）"/>
      <w:lvlJc w:val="left"/>
    </w:lvl>
  </w:abstractNum>
  <w:abstractNum w:abstractNumId="30">
    <w:nsid w:val="DA4A8C18"/>
    <w:multiLevelType w:val="singleLevel"/>
    <w:tmpl w:val="DA4A8C18"/>
    <w:lvl w:ilvl="0" w:tentative="0">
      <w:start w:val="1"/>
      <w:numFmt w:val="decimal"/>
      <w:suff w:val="nothing"/>
      <w:lvlText w:val="（%1）"/>
      <w:lvlJc w:val="left"/>
    </w:lvl>
  </w:abstractNum>
  <w:abstractNum w:abstractNumId="31">
    <w:nsid w:val="DBBE06C0"/>
    <w:multiLevelType w:val="singleLevel"/>
    <w:tmpl w:val="DBBE06C0"/>
    <w:lvl w:ilvl="0" w:tentative="0">
      <w:start w:val="1"/>
      <w:numFmt w:val="decimal"/>
      <w:suff w:val="nothing"/>
      <w:lvlText w:val="（%1）"/>
      <w:lvlJc w:val="left"/>
    </w:lvl>
  </w:abstractNum>
  <w:abstractNum w:abstractNumId="32">
    <w:nsid w:val="DCA018B3"/>
    <w:multiLevelType w:val="singleLevel"/>
    <w:tmpl w:val="DCA018B3"/>
    <w:lvl w:ilvl="0" w:tentative="0">
      <w:start w:val="1"/>
      <w:numFmt w:val="decimal"/>
      <w:suff w:val="nothing"/>
      <w:lvlText w:val="（%1）"/>
      <w:lvlJc w:val="left"/>
    </w:lvl>
  </w:abstractNum>
  <w:abstractNum w:abstractNumId="33">
    <w:nsid w:val="DEE709D2"/>
    <w:multiLevelType w:val="singleLevel"/>
    <w:tmpl w:val="DEE709D2"/>
    <w:lvl w:ilvl="0" w:tentative="0">
      <w:start w:val="4"/>
      <w:numFmt w:val="decimal"/>
      <w:suff w:val="nothing"/>
      <w:lvlText w:val="（%1）"/>
      <w:lvlJc w:val="left"/>
    </w:lvl>
  </w:abstractNum>
  <w:abstractNum w:abstractNumId="34">
    <w:nsid w:val="E3B8DE96"/>
    <w:multiLevelType w:val="singleLevel"/>
    <w:tmpl w:val="E3B8DE96"/>
    <w:lvl w:ilvl="0" w:tentative="0">
      <w:start w:val="1"/>
      <w:numFmt w:val="decimal"/>
      <w:suff w:val="nothing"/>
      <w:lvlText w:val="（%1）"/>
      <w:lvlJc w:val="left"/>
    </w:lvl>
  </w:abstractNum>
  <w:abstractNum w:abstractNumId="35">
    <w:nsid w:val="E5B5E243"/>
    <w:multiLevelType w:val="singleLevel"/>
    <w:tmpl w:val="E5B5E243"/>
    <w:lvl w:ilvl="0" w:tentative="0">
      <w:start w:val="1"/>
      <w:numFmt w:val="chineseCounting"/>
      <w:suff w:val="nothing"/>
      <w:lvlText w:val="（%1）"/>
      <w:lvlJc w:val="left"/>
      <w:rPr>
        <w:rFonts w:hint="eastAsia"/>
      </w:rPr>
    </w:lvl>
  </w:abstractNum>
  <w:abstractNum w:abstractNumId="36">
    <w:nsid w:val="E65DBB72"/>
    <w:multiLevelType w:val="singleLevel"/>
    <w:tmpl w:val="E65DBB72"/>
    <w:lvl w:ilvl="0" w:tentative="0">
      <w:start w:val="9"/>
      <w:numFmt w:val="decimal"/>
      <w:suff w:val="nothing"/>
      <w:lvlText w:val="（%1）"/>
      <w:lvlJc w:val="left"/>
    </w:lvl>
  </w:abstractNum>
  <w:abstractNum w:abstractNumId="37">
    <w:nsid w:val="E79E2954"/>
    <w:multiLevelType w:val="singleLevel"/>
    <w:tmpl w:val="E79E2954"/>
    <w:lvl w:ilvl="0" w:tentative="0">
      <w:start w:val="1"/>
      <w:numFmt w:val="decimal"/>
      <w:suff w:val="nothing"/>
      <w:lvlText w:val="（%1）"/>
      <w:lvlJc w:val="left"/>
    </w:lvl>
  </w:abstractNum>
  <w:abstractNum w:abstractNumId="38">
    <w:nsid w:val="EC767456"/>
    <w:multiLevelType w:val="singleLevel"/>
    <w:tmpl w:val="EC767456"/>
    <w:lvl w:ilvl="0" w:tentative="0">
      <w:start w:val="1"/>
      <w:numFmt w:val="decimal"/>
      <w:suff w:val="nothing"/>
      <w:lvlText w:val="（%1）"/>
      <w:lvlJc w:val="left"/>
    </w:lvl>
  </w:abstractNum>
  <w:abstractNum w:abstractNumId="39">
    <w:nsid w:val="EF067D12"/>
    <w:multiLevelType w:val="singleLevel"/>
    <w:tmpl w:val="EF067D12"/>
    <w:lvl w:ilvl="0" w:tentative="0">
      <w:start w:val="1"/>
      <w:numFmt w:val="chineseCounting"/>
      <w:suff w:val="nothing"/>
      <w:lvlText w:val="（%1）"/>
      <w:lvlJc w:val="left"/>
      <w:rPr>
        <w:rFonts w:hint="eastAsia"/>
      </w:rPr>
    </w:lvl>
  </w:abstractNum>
  <w:abstractNum w:abstractNumId="40">
    <w:nsid w:val="F08E6844"/>
    <w:multiLevelType w:val="singleLevel"/>
    <w:tmpl w:val="F08E6844"/>
    <w:lvl w:ilvl="0" w:tentative="0">
      <w:start w:val="1"/>
      <w:numFmt w:val="decimal"/>
      <w:suff w:val="nothing"/>
      <w:lvlText w:val="（%1）"/>
      <w:lvlJc w:val="left"/>
    </w:lvl>
  </w:abstractNum>
  <w:abstractNum w:abstractNumId="41">
    <w:nsid w:val="F44CE2BE"/>
    <w:multiLevelType w:val="singleLevel"/>
    <w:tmpl w:val="F44CE2BE"/>
    <w:lvl w:ilvl="0" w:tentative="0">
      <w:start w:val="4"/>
      <w:numFmt w:val="decimal"/>
      <w:suff w:val="nothing"/>
      <w:lvlText w:val="（%1）"/>
      <w:lvlJc w:val="left"/>
    </w:lvl>
  </w:abstractNum>
  <w:abstractNum w:abstractNumId="42">
    <w:nsid w:val="F7A5A912"/>
    <w:multiLevelType w:val="singleLevel"/>
    <w:tmpl w:val="F7A5A912"/>
    <w:lvl w:ilvl="0" w:tentative="0">
      <w:start w:val="1"/>
      <w:numFmt w:val="decimal"/>
      <w:suff w:val="nothing"/>
      <w:lvlText w:val="（%1）"/>
      <w:lvlJc w:val="left"/>
    </w:lvl>
  </w:abstractNum>
  <w:abstractNum w:abstractNumId="43">
    <w:nsid w:val="02670F03"/>
    <w:multiLevelType w:val="singleLevel"/>
    <w:tmpl w:val="02670F03"/>
    <w:lvl w:ilvl="0" w:tentative="0">
      <w:start w:val="1"/>
      <w:numFmt w:val="chineseCounting"/>
      <w:suff w:val="nothing"/>
      <w:lvlText w:val="（%1）"/>
      <w:lvlJc w:val="left"/>
      <w:rPr>
        <w:rFonts w:hint="eastAsia"/>
      </w:rPr>
    </w:lvl>
  </w:abstractNum>
  <w:abstractNum w:abstractNumId="44">
    <w:nsid w:val="0C6E3675"/>
    <w:multiLevelType w:val="singleLevel"/>
    <w:tmpl w:val="0C6E3675"/>
    <w:lvl w:ilvl="0" w:tentative="0">
      <w:start w:val="1"/>
      <w:numFmt w:val="chineseCounting"/>
      <w:suff w:val="nothing"/>
      <w:lvlText w:val="（%1）"/>
      <w:lvlJc w:val="left"/>
      <w:rPr>
        <w:rFonts w:hint="eastAsia"/>
      </w:rPr>
    </w:lvl>
  </w:abstractNum>
  <w:abstractNum w:abstractNumId="45">
    <w:nsid w:val="0D94974F"/>
    <w:multiLevelType w:val="singleLevel"/>
    <w:tmpl w:val="0D94974F"/>
    <w:lvl w:ilvl="0" w:tentative="0">
      <w:start w:val="1"/>
      <w:numFmt w:val="decimal"/>
      <w:suff w:val="nothing"/>
      <w:lvlText w:val="（%1）"/>
      <w:lvlJc w:val="left"/>
    </w:lvl>
  </w:abstractNum>
  <w:abstractNum w:abstractNumId="46">
    <w:nsid w:val="0F242D31"/>
    <w:multiLevelType w:val="singleLevel"/>
    <w:tmpl w:val="0F242D31"/>
    <w:lvl w:ilvl="0" w:tentative="0">
      <w:start w:val="1"/>
      <w:numFmt w:val="decimal"/>
      <w:suff w:val="nothing"/>
      <w:lvlText w:val="（%1）"/>
      <w:lvlJc w:val="left"/>
    </w:lvl>
  </w:abstractNum>
  <w:abstractNum w:abstractNumId="47">
    <w:nsid w:val="13515048"/>
    <w:multiLevelType w:val="singleLevel"/>
    <w:tmpl w:val="13515048"/>
    <w:lvl w:ilvl="0" w:tentative="0">
      <w:start w:val="1"/>
      <w:numFmt w:val="decimal"/>
      <w:suff w:val="nothing"/>
      <w:lvlText w:val="（%1）"/>
      <w:lvlJc w:val="left"/>
    </w:lvl>
  </w:abstractNum>
  <w:abstractNum w:abstractNumId="48">
    <w:nsid w:val="1460F6DF"/>
    <w:multiLevelType w:val="singleLevel"/>
    <w:tmpl w:val="1460F6DF"/>
    <w:lvl w:ilvl="0" w:tentative="0">
      <w:start w:val="1"/>
      <w:numFmt w:val="decimal"/>
      <w:suff w:val="nothing"/>
      <w:lvlText w:val="（%1）"/>
      <w:lvlJc w:val="left"/>
    </w:lvl>
  </w:abstractNum>
  <w:abstractNum w:abstractNumId="49">
    <w:nsid w:val="15735249"/>
    <w:multiLevelType w:val="singleLevel"/>
    <w:tmpl w:val="15735249"/>
    <w:lvl w:ilvl="0" w:tentative="0">
      <w:start w:val="1"/>
      <w:numFmt w:val="decimal"/>
      <w:suff w:val="nothing"/>
      <w:lvlText w:val="（%1）"/>
      <w:lvlJc w:val="left"/>
    </w:lvl>
  </w:abstractNum>
  <w:abstractNum w:abstractNumId="50">
    <w:nsid w:val="16FB82C4"/>
    <w:multiLevelType w:val="singleLevel"/>
    <w:tmpl w:val="16FB82C4"/>
    <w:lvl w:ilvl="0" w:tentative="0">
      <w:start w:val="1"/>
      <w:numFmt w:val="decimal"/>
      <w:suff w:val="nothing"/>
      <w:lvlText w:val="（%1）"/>
      <w:lvlJc w:val="left"/>
    </w:lvl>
  </w:abstractNum>
  <w:abstractNum w:abstractNumId="51">
    <w:nsid w:val="174F2A97"/>
    <w:multiLevelType w:val="singleLevel"/>
    <w:tmpl w:val="174F2A97"/>
    <w:lvl w:ilvl="0" w:tentative="0">
      <w:start w:val="1"/>
      <w:numFmt w:val="decimal"/>
      <w:suff w:val="nothing"/>
      <w:lvlText w:val="（%1）"/>
      <w:lvlJc w:val="left"/>
    </w:lvl>
  </w:abstractNum>
  <w:abstractNum w:abstractNumId="52">
    <w:nsid w:val="1B854376"/>
    <w:multiLevelType w:val="singleLevel"/>
    <w:tmpl w:val="1B854376"/>
    <w:lvl w:ilvl="0" w:tentative="0">
      <w:start w:val="1"/>
      <w:numFmt w:val="decimal"/>
      <w:suff w:val="nothing"/>
      <w:lvlText w:val="（%1）"/>
      <w:lvlJc w:val="left"/>
    </w:lvl>
  </w:abstractNum>
  <w:abstractNum w:abstractNumId="53">
    <w:nsid w:val="213B0E5E"/>
    <w:multiLevelType w:val="singleLevel"/>
    <w:tmpl w:val="213B0E5E"/>
    <w:lvl w:ilvl="0" w:tentative="0">
      <w:start w:val="1"/>
      <w:numFmt w:val="decimal"/>
      <w:suff w:val="nothing"/>
      <w:lvlText w:val="（%1）"/>
      <w:lvlJc w:val="left"/>
    </w:lvl>
  </w:abstractNum>
  <w:abstractNum w:abstractNumId="54">
    <w:nsid w:val="21E22FC1"/>
    <w:multiLevelType w:val="singleLevel"/>
    <w:tmpl w:val="21E22FC1"/>
    <w:lvl w:ilvl="0" w:tentative="0">
      <w:start w:val="1"/>
      <w:numFmt w:val="decimal"/>
      <w:suff w:val="nothing"/>
      <w:lvlText w:val="（%1）"/>
      <w:lvlJc w:val="left"/>
    </w:lvl>
  </w:abstractNum>
  <w:abstractNum w:abstractNumId="55">
    <w:nsid w:val="2244C178"/>
    <w:multiLevelType w:val="singleLevel"/>
    <w:tmpl w:val="2244C178"/>
    <w:lvl w:ilvl="0" w:tentative="0">
      <w:start w:val="1"/>
      <w:numFmt w:val="decimal"/>
      <w:suff w:val="nothing"/>
      <w:lvlText w:val="（%1）"/>
      <w:lvlJc w:val="left"/>
    </w:lvl>
  </w:abstractNum>
  <w:abstractNum w:abstractNumId="56">
    <w:nsid w:val="236E1FCF"/>
    <w:multiLevelType w:val="singleLevel"/>
    <w:tmpl w:val="236E1FCF"/>
    <w:lvl w:ilvl="0" w:tentative="0">
      <w:start w:val="8"/>
      <w:numFmt w:val="decimal"/>
      <w:suff w:val="nothing"/>
      <w:lvlText w:val="%1．"/>
      <w:lvlJc w:val="left"/>
    </w:lvl>
  </w:abstractNum>
  <w:abstractNum w:abstractNumId="57">
    <w:nsid w:val="2589770C"/>
    <w:multiLevelType w:val="singleLevel"/>
    <w:tmpl w:val="2589770C"/>
    <w:lvl w:ilvl="0" w:tentative="0">
      <w:start w:val="1"/>
      <w:numFmt w:val="decimal"/>
      <w:suff w:val="nothing"/>
      <w:lvlText w:val="（%1）"/>
      <w:lvlJc w:val="left"/>
    </w:lvl>
  </w:abstractNum>
  <w:abstractNum w:abstractNumId="58">
    <w:nsid w:val="28F938B0"/>
    <w:multiLevelType w:val="singleLevel"/>
    <w:tmpl w:val="28F938B0"/>
    <w:lvl w:ilvl="0" w:tentative="0">
      <w:start w:val="1"/>
      <w:numFmt w:val="chineseCounting"/>
      <w:suff w:val="nothing"/>
      <w:lvlText w:val="（%1）"/>
      <w:lvlJc w:val="left"/>
      <w:rPr>
        <w:rFonts w:hint="eastAsia"/>
      </w:rPr>
    </w:lvl>
  </w:abstractNum>
  <w:abstractNum w:abstractNumId="59">
    <w:nsid w:val="2AC5E09E"/>
    <w:multiLevelType w:val="singleLevel"/>
    <w:tmpl w:val="2AC5E09E"/>
    <w:lvl w:ilvl="0" w:tentative="0">
      <w:start w:val="1"/>
      <w:numFmt w:val="chineseCounting"/>
      <w:suff w:val="nothing"/>
      <w:lvlText w:val="（%1）"/>
      <w:lvlJc w:val="left"/>
      <w:rPr>
        <w:rFonts w:hint="eastAsia"/>
      </w:rPr>
    </w:lvl>
  </w:abstractNum>
  <w:abstractNum w:abstractNumId="60">
    <w:nsid w:val="308626E4"/>
    <w:multiLevelType w:val="singleLevel"/>
    <w:tmpl w:val="308626E4"/>
    <w:lvl w:ilvl="0" w:tentative="0">
      <w:start w:val="2"/>
      <w:numFmt w:val="chineseCounting"/>
      <w:suff w:val="nothing"/>
      <w:lvlText w:val="（%1）"/>
      <w:lvlJc w:val="left"/>
      <w:rPr>
        <w:rFonts w:hint="eastAsia"/>
      </w:rPr>
    </w:lvl>
  </w:abstractNum>
  <w:abstractNum w:abstractNumId="61">
    <w:nsid w:val="34C442C6"/>
    <w:multiLevelType w:val="singleLevel"/>
    <w:tmpl w:val="34C442C6"/>
    <w:lvl w:ilvl="0" w:tentative="0">
      <w:start w:val="1"/>
      <w:numFmt w:val="decimal"/>
      <w:suff w:val="nothing"/>
      <w:lvlText w:val="（%1）"/>
      <w:lvlJc w:val="left"/>
    </w:lvl>
  </w:abstractNum>
  <w:abstractNum w:abstractNumId="62">
    <w:nsid w:val="36394DE9"/>
    <w:multiLevelType w:val="singleLevel"/>
    <w:tmpl w:val="36394DE9"/>
    <w:lvl w:ilvl="0" w:tentative="0">
      <w:start w:val="1"/>
      <w:numFmt w:val="decimal"/>
      <w:suff w:val="nothing"/>
      <w:lvlText w:val="（%1）"/>
      <w:lvlJc w:val="left"/>
    </w:lvl>
  </w:abstractNum>
  <w:abstractNum w:abstractNumId="63">
    <w:nsid w:val="36B413E5"/>
    <w:multiLevelType w:val="singleLevel"/>
    <w:tmpl w:val="36B413E5"/>
    <w:lvl w:ilvl="0" w:tentative="0">
      <w:start w:val="1"/>
      <w:numFmt w:val="decimal"/>
      <w:suff w:val="nothing"/>
      <w:lvlText w:val="（%1）"/>
      <w:lvlJc w:val="left"/>
    </w:lvl>
  </w:abstractNum>
  <w:abstractNum w:abstractNumId="64">
    <w:nsid w:val="38E5CF11"/>
    <w:multiLevelType w:val="singleLevel"/>
    <w:tmpl w:val="38E5CF11"/>
    <w:lvl w:ilvl="0" w:tentative="0">
      <w:start w:val="1"/>
      <w:numFmt w:val="decimal"/>
      <w:suff w:val="nothing"/>
      <w:lvlText w:val="（%1）"/>
      <w:lvlJc w:val="left"/>
    </w:lvl>
  </w:abstractNum>
  <w:abstractNum w:abstractNumId="65">
    <w:nsid w:val="397B4B84"/>
    <w:multiLevelType w:val="singleLevel"/>
    <w:tmpl w:val="397B4B84"/>
    <w:lvl w:ilvl="0" w:tentative="0">
      <w:start w:val="1"/>
      <w:numFmt w:val="decimal"/>
      <w:suff w:val="nothing"/>
      <w:lvlText w:val="（%1）"/>
      <w:lvlJc w:val="left"/>
    </w:lvl>
  </w:abstractNum>
  <w:abstractNum w:abstractNumId="66">
    <w:nsid w:val="397F3658"/>
    <w:multiLevelType w:val="singleLevel"/>
    <w:tmpl w:val="397F3658"/>
    <w:lvl w:ilvl="0" w:tentative="0">
      <w:start w:val="1"/>
      <w:numFmt w:val="decimal"/>
      <w:suff w:val="nothing"/>
      <w:lvlText w:val="（%1）"/>
      <w:lvlJc w:val="left"/>
    </w:lvl>
  </w:abstractNum>
  <w:abstractNum w:abstractNumId="67">
    <w:nsid w:val="3BBA8C8C"/>
    <w:multiLevelType w:val="singleLevel"/>
    <w:tmpl w:val="3BBA8C8C"/>
    <w:lvl w:ilvl="0" w:tentative="0">
      <w:start w:val="1"/>
      <w:numFmt w:val="decimal"/>
      <w:suff w:val="nothing"/>
      <w:lvlText w:val="（%1）"/>
      <w:lvlJc w:val="left"/>
    </w:lvl>
  </w:abstractNum>
  <w:abstractNum w:abstractNumId="68">
    <w:nsid w:val="42413D59"/>
    <w:multiLevelType w:val="singleLevel"/>
    <w:tmpl w:val="42413D59"/>
    <w:lvl w:ilvl="0" w:tentative="0">
      <w:start w:val="1"/>
      <w:numFmt w:val="decimal"/>
      <w:suff w:val="nothing"/>
      <w:lvlText w:val="（%1）"/>
      <w:lvlJc w:val="left"/>
    </w:lvl>
  </w:abstractNum>
  <w:abstractNum w:abstractNumId="69">
    <w:nsid w:val="49872276"/>
    <w:multiLevelType w:val="singleLevel"/>
    <w:tmpl w:val="49872276"/>
    <w:lvl w:ilvl="0" w:tentative="0">
      <w:start w:val="1"/>
      <w:numFmt w:val="decimal"/>
      <w:suff w:val="nothing"/>
      <w:lvlText w:val="（%1）"/>
      <w:lvlJc w:val="left"/>
    </w:lvl>
  </w:abstractNum>
  <w:abstractNum w:abstractNumId="70">
    <w:nsid w:val="49CCDB9F"/>
    <w:multiLevelType w:val="singleLevel"/>
    <w:tmpl w:val="49CCDB9F"/>
    <w:lvl w:ilvl="0" w:tentative="0">
      <w:start w:val="1"/>
      <w:numFmt w:val="decimal"/>
      <w:suff w:val="nothing"/>
      <w:lvlText w:val="（%1）"/>
      <w:lvlJc w:val="left"/>
    </w:lvl>
  </w:abstractNum>
  <w:abstractNum w:abstractNumId="71">
    <w:nsid w:val="4A840E33"/>
    <w:multiLevelType w:val="singleLevel"/>
    <w:tmpl w:val="4A840E33"/>
    <w:lvl w:ilvl="0" w:tentative="0">
      <w:start w:val="1"/>
      <w:numFmt w:val="decimal"/>
      <w:suff w:val="nothing"/>
      <w:lvlText w:val="（%1）"/>
      <w:lvlJc w:val="left"/>
    </w:lvl>
  </w:abstractNum>
  <w:abstractNum w:abstractNumId="72">
    <w:nsid w:val="4FE68BF3"/>
    <w:multiLevelType w:val="singleLevel"/>
    <w:tmpl w:val="4FE68BF3"/>
    <w:lvl w:ilvl="0" w:tentative="0">
      <w:start w:val="1"/>
      <w:numFmt w:val="chineseCounting"/>
      <w:suff w:val="nothing"/>
      <w:lvlText w:val="（%1）"/>
      <w:lvlJc w:val="left"/>
      <w:rPr>
        <w:rFonts w:hint="eastAsia"/>
      </w:rPr>
    </w:lvl>
  </w:abstractNum>
  <w:abstractNum w:abstractNumId="73">
    <w:nsid w:val="50A528D6"/>
    <w:multiLevelType w:val="singleLevel"/>
    <w:tmpl w:val="50A528D6"/>
    <w:lvl w:ilvl="0" w:tentative="0">
      <w:start w:val="1"/>
      <w:numFmt w:val="decimal"/>
      <w:suff w:val="nothing"/>
      <w:lvlText w:val="（%1）"/>
      <w:lvlJc w:val="left"/>
    </w:lvl>
  </w:abstractNum>
  <w:abstractNum w:abstractNumId="74">
    <w:nsid w:val="5108571C"/>
    <w:multiLevelType w:val="singleLevel"/>
    <w:tmpl w:val="5108571C"/>
    <w:lvl w:ilvl="0" w:tentative="0">
      <w:start w:val="1"/>
      <w:numFmt w:val="decimal"/>
      <w:suff w:val="nothing"/>
      <w:lvlText w:val="（%1）"/>
      <w:lvlJc w:val="left"/>
    </w:lvl>
  </w:abstractNum>
  <w:abstractNum w:abstractNumId="75">
    <w:nsid w:val="529C943E"/>
    <w:multiLevelType w:val="singleLevel"/>
    <w:tmpl w:val="529C943E"/>
    <w:lvl w:ilvl="0" w:tentative="0">
      <w:start w:val="1"/>
      <w:numFmt w:val="decimal"/>
      <w:suff w:val="nothing"/>
      <w:lvlText w:val="（%1）"/>
      <w:lvlJc w:val="left"/>
    </w:lvl>
  </w:abstractNum>
  <w:abstractNum w:abstractNumId="76">
    <w:nsid w:val="574D9B49"/>
    <w:multiLevelType w:val="singleLevel"/>
    <w:tmpl w:val="574D9B49"/>
    <w:lvl w:ilvl="0" w:tentative="0">
      <w:start w:val="1"/>
      <w:numFmt w:val="decimal"/>
      <w:suff w:val="nothing"/>
      <w:lvlText w:val="（%1）"/>
      <w:lvlJc w:val="left"/>
    </w:lvl>
  </w:abstractNum>
  <w:abstractNum w:abstractNumId="77">
    <w:nsid w:val="58FED7B0"/>
    <w:multiLevelType w:val="singleLevel"/>
    <w:tmpl w:val="58FED7B0"/>
    <w:lvl w:ilvl="0" w:tentative="0">
      <w:start w:val="1"/>
      <w:numFmt w:val="decimal"/>
      <w:suff w:val="nothing"/>
      <w:lvlText w:val="（%1）"/>
      <w:lvlJc w:val="left"/>
    </w:lvl>
  </w:abstractNum>
  <w:abstractNum w:abstractNumId="78">
    <w:nsid w:val="5E8AB585"/>
    <w:multiLevelType w:val="singleLevel"/>
    <w:tmpl w:val="5E8AB585"/>
    <w:lvl w:ilvl="0" w:tentative="0">
      <w:start w:val="1"/>
      <w:numFmt w:val="decimal"/>
      <w:suff w:val="nothing"/>
      <w:lvlText w:val="（%1）"/>
      <w:lvlJc w:val="left"/>
    </w:lvl>
  </w:abstractNum>
  <w:abstractNum w:abstractNumId="79">
    <w:nsid w:val="631F0248"/>
    <w:multiLevelType w:val="singleLevel"/>
    <w:tmpl w:val="631F0248"/>
    <w:lvl w:ilvl="0" w:tentative="0">
      <w:start w:val="1"/>
      <w:numFmt w:val="decimal"/>
      <w:suff w:val="nothing"/>
      <w:lvlText w:val="（%1）"/>
      <w:lvlJc w:val="left"/>
    </w:lvl>
  </w:abstractNum>
  <w:abstractNum w:abstractNumId="80">
    <w:nsid w:val="68945201"/>
    <w:multiLevelType w:val="singleLevel"/>
    <w:tmpl w:val="68945201"/>
    <w:lvl w:ilvl="0" w:tentative="0">
      <w:start w:val="1"/>
      <w:numFmt w:val="decimal"/>
      <w:suff w:val="nothing"/>
      <w:lvlText w:val="（%1）"/>
      <w:lvlJc w:val="left"/>
    </w:lvl>
  </w:abstractNum>
  <w:abstractNum w:abstractNumId="81">
    <w:nsid w:val="68F7692E"/>
    <w:multiLevelType w:val="singleLevel"/>
    <w:tmpl w:val="68F7692E"/>
    <w:lvl w:ilvl="0" w:tentative="0">
      <w:start w:val="1"/>
      <w:numFmt w:val="decimal"/>
      <w:suff w:val="nothing"/>
      <w:lvlText w:val="（%1）"/>
      <w:lvlJc w:val="left"/>
    </w:lvl>
  </w:abstractNum>
  <w:abstractNum w:abstractNumId="82">
    <w:nsid w:val="6A122E63"/>
    <w:multiLevelType w:val="singleLevel"/>
    <w:tmpl w:val="6A122E63"/>
    <w:lvl w:ilvl="0" w:tentative="0">
      <w:start w:val="1"/>
      <w:numFmt w:val="decimal"/>
      <w:suff w:val="nothing"/>
      <w:lvlText w:val="（%1）"/>
      <w:lvlJc w:val="left"/>
    </w:lvl>
  </w:abstractNum>
  <w:abstractNum w:abstractNumId="83">
    <w:nsid w:val="6F7FEB91"/>
    <w:multiLevelType w:val="singleLevel"/>
    <w:tmpl w:val="6F7FEB91"/>
    <w:lvl w:ilvl="0" w:tentative="0">
      <w:start w:val="1"/>
      <w:numFmt w:val="decimal"/>
      <w:suff w:val="nothing"/>
      <w:lvlText w:val="（%1）"/>
      <w:lvlJc w:val="left"/>
    </w:lvl>
  </w:abstractNum>
  <w:abstractNum w:abstractNumId="84">
    <w:nsid w:val="72F99998"/>
    <w:multiLevelType w:val="singleLevel"/>
    <w:tmpl w:val="72F99998"/>
    <w:lvl w:ilvl="0" w:tentative="0">
      <w:start w:val="1"/>
      <w:numFmt w:val="decimal"/>
      <w:suff w:val="nothing"/>
      <w:lvlText w:val="（%1）"/>
      <w:lvlJc w:val="left"/>
    </w:lvl>
  </w:abstractNum>
  <w:abstractNum w:abstractNumId="85">
    <w:nsid w:val="77C825D1"/>
    <w:multiLevelType w:val="singleLevel"/>
    <w:tmpl w:val="77C825D1"/>
    <w:lvl w:ilvl="0" w:tentative="0">
      <w:start w:val="1"/>
      <w:numFmt w:val="decimal"/>
      <w:suff w:val="nothing"/>
      <w:lvlText w:val="（%1）"/>
      <w:lvlJc w:val="left"/>
    </w:lvl>
  </w:abstractNum>
  <w:abstractNum w:abstractNumId="86">
    <w:nsid w:val="7A086301"/>
    <w:multiLevelType w:val="singleLevel"/>
    <w:tmpl w:val="7A086301"/>
    <w:lvl w:ilvl="0" w:tentative="0">
      <w:start w:val="1"/>
      <w:numFmt w:val="decimal"/>
      <w:suff w:val="nothing"/>
      <w:lvlText w:val="（%1）"/>
      <w:lvlJc w:val="left"/>
    </w:lvl>
  </w:abstractNum>
  <w:num w:numId="1">
    <w:abstractNumId w:val="39"/>
  </w:num>
  <w:num w:numId="2">
    <w:abstractNumId w:val="12"/>
  </w:num>
  <w:num w:numId="3">
    <w:abstractNumId w:val="43"/>
    <w:lvlOverride w:ilvl="0">
      <w:startOverride w:val="1"/>
    </w:lvlOverride>
  </w:num>
  <w:num w:numId="4">
    <w:abstractNumId w:val="58"/>
    <w:lvlOverride w:ilvl="0">
      <w:startOverride w:val="1"/>
    </w:lvlOverride>
  </w:num>
  <w:num w:numId="5">
    <w:abstractNumId w:val="16"/>
    <w:lvlOverride w:ilvl="0">
      <w:startOverride w:val="1"/>
    </w:lvlOverride>
  </w:num>
  <w:num w:numId="6">
    <w:abstractNumId w:val="35"/>
    <w:lvlOverride w:ilvl="0">
      <w:startOverride w:val="1"/>
    </w:lvlOverride>
  </w:num>
  <w:num w:numId="7">
    <w:abstractNumId w:val="56"/>
    <w:lvlOverride w:ilvl="0">
      <w:startOverride w:val="8"/>
    </w:lvlOverride>
  </w:num>
  <w:num w:numId="8">
    <w:abstractNumId w:val="0"/>
    <w:lvlOverride w:ilvl="0">
      <w:startOverride w:val="1"/>
    </w:lvlOverride>
  </w:num>
  <w:num w:numId="9">
    <w:abstractNumId w:val="59"/>
    <w:lvlOverride w:ilvl="0">
      <w:startOverride w:val="1"/>
    </w:lvlOverride>
  </w:num>
  <w:num w:numId="10">
    <w:abstractNumId w:val="50"/>
    <w:lvlOverride w:ilvl="0">
      <w:startOverride w:val="1"/>
    </w:lvlOverride>
  </w:num>
  <w:num w:numId="11">
    <w:abstractNumId w:val="33"/>
    <w:lvlOverride w:ilvl="0">
      <w:startOverride w:val="4"/>
    </w:lvlOverride>
  </w:num>
  <w:num w:numId="12">
    <w:abstractNumId w:val="80"/>
    <w:lvlOverride w:ilvl="0">
      <w:startOverride w:val="1"/>
    </w:lvlOverride>
  </w:num>
  <w:num w:numId="13">
    <w:abstractNumId w:val="79"/>
    <w:lvlOverride w:ilvl="0">
      <w:startOverride w:val="1"/>
    </w:lvlOverride>
  </w:num>
  <w:num w:numId="14">
    <w:abstractNumId w:val="36"/>
    <w:lvlOverride w:ilvl="0">
      <w:startOverride w:val="9"/>
    </w:lvlOverride>
  </w:num>
  <w:num w:numId="15">
    <w:abstractNumId w:val="34"/>
    <w:lvlOverride w:ilvl="0">
      <w:startOverride w:val="1"/>
    </w:lvlOverride>
  </w:num>
  <w:num w:numId="16">
    <w:abstractNumId w:val="53"/>
    <w:lvlOverride w:ilvl="0">
      <w:startOverride w:val="1"/>
    </w:lvlOverride>
  </w:num>
  <w:num w:numId="17">
    <w:abstractNumId w:val="14"/>
    <w:lvlOverride w:ilvl="0">
      <w:startOverride w:val="1"/>
    </w:lvlOverride>
  </w:num>
  <w:num w:numId="18">
    <w:abstractNumId w:val="26"/>
    <w:lvlOverride w:ilvl="0">
      <w:startOverride w:val="1"/>
    </w:lvlOverride>
  </w:num>
  <w:num w:numId="19">
    <w:abstractNumId w:val="11"/>
    <w:lvlOverride w:ilvl="0">
      <w:startOverride w:val="1"/>
    </w:lvlOverride>
  </w:num>
  <w:num w:numId="20">
    <w:abstractNumId w:val="23"/>
    <w:lvlOverride w:ilvl="0">
      <w:startOverride w:val="1"/>
    </w:lvlOverride>
  </w:num>
  <w:num w:numId="21">
    <w:abstractNumId w:val="44"/>
    <w:lvlOverride w:ilvl="0">
      <w:startOverride w:val="1"/>
    </w:lvlOverride>
  </w:num>
  <w:num w:numId="22">
    <w:abstractNumId w:val="57"/>
    <w:lvlOverride w:ilvl="0">
      <w:startOverride w:val="1"/>
    </w:lvlOverride>
  </w:num>
  <w:num w:numId="23">
    <w:abstractNumId w:val="84"/>
    <w:lvlOverride w:ilvl="0">
      <w:startOverride w:val="1"/>
    </w:lvlOverride>
  </w:num>
  <w:num w:numId="24">
    <w:abstractNumId w:val="83"/>
    <w:lvlOverride w:ilvl="0">
      <w:startOverride w:val="1"/>
    </w:lvlOverride>
  </w:num>
  <w:num w:numId="25">
    <w:abstractNumId w:val="69"/>
    <w:lvlOverride w:ilvl="0">
      <w:startOverride w:val="1"/>
    </w:lvlOverride>
  </w:num>
  <w:num w:numId="26">
    <w:abstractNumId w:val="62"/>
    <w:lvlOverride w:ilvl="0">
      <w:startOverride w:val="1"/>
    </w:lvlOverride>
  </w:num>
  <w:num w:numId="27">
    <w:abstractNumId w:val="2"/>
    <w:lvlOverride w:ilvl="0">
      <w:startOverride w:val="1"/>
    </w:lvlOverride>
  </w:num>
  <w:num w:numId="28">
    <w:abstractNumId w:val="86"/>
    <w:lvlOverride w:ilvl="0">
      <w:startOverride w:val="1"/>
    </w:lvlOverride>
  </w:num>
  <w:num w:numId="29">
    <w:abstractNumId w:val="67"/>
    <w:lvlOverride w:ilvl="0">
      <w:startOverride w:val="1"/>
    </w:lvlOverride>
  </w:num>
  <w:num w:numId="30">
    <w:abstractNumId w:val="18"/>
    <w:lvlOverride w:ilvl="0">
      <w:startOverride w:val="9"/>
    </w:lvlOverride>
  </w:num>
  <w:num w:numId="31">
    <w:abstractNumId w:val="31"/>
    <w:lvlOverride w:ilvl="0">
      <w:startOverride w:val="1"/>
    </w:lvlOverride>
  </w:num>
  <w:num w:numId="32">
    <w:abstractNumId w:val="66"/>
    <w:lvlOverride w:ilvl="0">
      <w:startOverride w:val="1"/>
    </w:lvlOverride>
  </w:num>
  <w:num w:numId="33">
    <w:abstractNumId w:val="63"/>
    <w:lvlOverride w:ilvl="0">
      <w:startOverride w:val="1"/>
    </w:lvlOverride>
  </w:num>
  <w:num w:numId="34">
    <w:abstractNumId w:val="65"/>
    <w:lvlOverride w:ilvl="0">
      <w:startOverride w:val="1"/>
    </w:lvlOverride>
  </w:num>
  <w:num w:numId="35">
    <w:abstractNumId w:val="70"/>
    <w:lvlOverride w:ilvl="0">
      <w:startOverride w:val="1"/>
    </w:lvlOverride>
  </w:num>
  <w:num w:numId="36">
    <w:abstractNumId w:val="85"/>
    <w:lvlOverride w:ilvl="0">
      <w:startOverride w:val="1"/>
    </w:lvlOverride>
  </w:num>
  <w:num w:numId="37">
    <w:abstractNumId w:val="47"/>
    <w:lvlOverride w:ilvl="0">
      <w:startOverride w:val="1"/>
    </w:lvlOverride>
  </w:num>
  <w:num w:numId="38">
    <w:abstractNumId w:val="25"/>
    <w:lvlOverride w:ilvl="0">
      <w:startOverride w:val="1"/>
    </w:lvlOverride>
  </w:num>
  <w:num w:numId="39">
    <w:abstractNumId w:val="29"/>
    <w:lvlOverride w:ilvl="0">
      <w:startOverride w:val="1"/>
    </w:lvlOverride>
  </w:num>
  <w:num w:numId="40">
    <w:abstractNumId w:val="55"/>
    <w:lvlOverride w:ilvl="0">
      <w:startOverride w:val="1"/>
    </w:lvlOverride>
  </w:num>
  <w:num w:numId="41">
    <w:abstractNumId w:val="81"/>
    <w:lvlOverride w:ilvl="0">
      <w:startOverride w:val="1"/>
    </w:lvlOverride>
  </w:num>
  <w:num w:numId="42">
    <w:abstractNumId w:val="27"/>
    <w:lvlOverride w:ilvl="0">
      <w:startOverride w:val="1"/>
    </w:lvlOverride>
  </w:num>
  <w:num w:numId="43">
    <w:abstractNumId w:val="64"/>
    <w:lvlOverride w:ilvl="0">
      <w:startOverride w:val="1"/>
    </w:lvlOverride>
  </w:num>
  <w:num w:numId="44">
    <w:abstractNumId w:val="4"/>
    <w:lvlOverride w:ilvl="0">
      <w:startOverride w:val="1"/>
    </w:lvlOverride>
  </w:num>
  <w:num w:numId="45">
    <w:abstractNumId w:val="3"/>
    <w:lvlOverride w:ilvl="0">
      <w:startOverride w:val="1"/>
    </w:lvlOverride>
  </w:num>
  <w:num w:numId="46">
    <w:abstractNumId w:val="42"/>
    <w:lvlOverride w:ilvl="0">
      <w:startOverride w:val="1"/>
    </w:lvlOverride>
  </w:num>
  <w:num w:numId="47">
    <w:abstractNumId w:val="21"/>
    <w:lvlOverride w:ilvl="0">
      <w:startOverride w:val="1"/>
    </w:lvlOverride>
  </w:num>
  <w:num w:numId="48">
    <w:abstractNumId w:val="10"/>
    <w:lvlOverride w:ilvl="0">
      <w:startOverride w:val="1"/>
    </w:lvlOverride>
  </w:num>
  <w:num w:numId="49">
    <w:abstractNumId w:val="20"/>
    <w:lvlOverride w:ilvl="0">
      <w:startOverride w:val="1"/>
    </w:lvlOverride>
  </w:num>
  <w:num w:numId="50">
    <w:abstractNumId w:val="78"/>
    <w:lvlOverride w:ilvl="0">
      <w:startOverride w:val="1"/>
    </w:lvlOverride>
  </w:num>
  <w:num w:numId="51">
    <w:abstractNumId w:val="49"/>
    <w:lvlOverride w:ilvl="0">
      <w:startOverride w:val="1"/>
    </w:lvlOverride>
  </w:num>
  <w:num w:numId="52">
    <w:abstractNumId w:val="7"/>
    <w:lvlOverride w:ilvl="0">
      <w:startOverride w:val="1"/>
    </w:lvlOverride>
  </w:num>
  <w:num w:numId="53">
    <w:abstractNumId w:val="40"/>
    <w:lvlOverride w:ilvl="0">
      <w:startOverride w:val="1"/>
    </w:lvlOverride>
  </w:num>
  <w:num w:numId="54">
    <w:abstractNumId w:val="51"/>
    <w:lvlOverride w:ilvl="0">
      <w:startOverride w:val="1"/>
    </w:lvlOverride>
  </w:num>
  <w:num w:numId="55">
    <w:abstractNumId w:val="38"/>
    <w:lvlOverride w:ilvl="0">
      <w:startOverride w:val="1"/>
    </w:lvlOverride>
  </w:num>
  <w:num w:numId="56">
    <w:abstractNumId w:val="41"/>
    <w:lvlOverride w:ilvl="0">
      <w:startOverride w:val="4"/>
    </w:lvlOverride>
  </w:num>
  <w:num w:numId="57">
    <w:abstractNumId w:val="30"/>
    <w:lvlOverride w:ilvl="0">
      <w:startOverride w:val="1"/>
    </w:lvlOverride>
  </w:num>
  <w:num w:numId="58">
    <w:abstractNumId w:val="48"/>
    <w:lvlOverride w:ilvl="0">
      <w:startOverride w:val="1"/>
    </w:lvlOverride>
  </w:num>
  <w:num w:numId="59">
    <w:abstractNumId w:val="13"/>
    <w:lvlOverride w:ilvl="0">
      <w:startOverride w:val="1"/>
    </w:lvlOverride>
  </w:num>
  <w:num w:numId="60">
    <w:abstractNumId w:val="54"/>
    <w:lvlOverride w:ilvl="0">
      <w:startOverride w:val="1"/>
    </w:lvlOverride>
  </w:num>
  <w:num w:numId="61">
    <w:abstractNumId w:val="61"/>
    <w:lvlOverride w:ilvl="0">
      <w:startOverride w:val="1"/>
    </w:lvlOverride>
  </w:num>
  <w:num w:numId="62">
    <w:abstractNumId w:val="22"/>
    <w:lvlOverride w:ilvl="0">
      <w:startOverride w:val="1"/>
    </w:lvlOverride>
  </w:num>
  <w:num w:numId="63">
    <w:abstractNumId w:val="73"/>
    <w:lvlOverride w:ilvl="0">
      <w:startOverride w:val="1"/>
    </w:lvlOverride>
  </w:num>
  <w:num w:numId="64">
    <w:abstractNumId w:val="82"/>
    <w:lvlOverride w:ilvl="0">
      <w:startOverride w:val="1"/>
    </w:lvlOverride>
  </w:num>
  <w:num w:numId="65">
    <w:abstractNumId w:val="17"/>
    <w:lvlOverride w:ilvl="0">
      <w:startOverride w:val="1"/>
    </w:lvlOverride>
  </w:num>
  <w:num w:numId="66">
    <w:abstractNumId w:val="15"/>
    <w:lvlOverride w:ilvl="0">
      <w:startOverride w:val="1"/>
    </w:lvlOverride>
  </w:num>
  <w:num w:numId="67">
    <w:abstractNumId w:val="28"/>
    <w:lvlOverride w:ilvl="0">
      <w:startOverride w:val="1"/>
    </w:lvlOverride>
  </w:num>
  <w:num w:numId="68">
    <w:abstractNumId w:val="75"/>
    <w:lvlOverride w:ilvl="0">
      <w:startOverride w:val="1"/>
    </w:lvlOverride>
  </w:num>
  <w:num w:numId="69">
    <w:abstractNumId w:val="71"/>
    <w:lvlOverride w:ilvl="0">
      <w:startOverride w:val="1"/>
    </w:lvlOverride>
  </w:num>
  <w:num w:numId="70">
    <w:abstractNumId w:val="46"/>
    <w:lvlOverride w:ilvl="0">
      <w:startOverride w:val="1"/>
    </w:lvlOverride>
  </w:num>
  <w:num w:numId="71">
    <w:abstractNumId w:val="45"/>
    <w:lvlOverride w:ilvl="0">
      <w:startOverride w:val="1"/>
    </w:lvlOverride>
  </w:num>
  <w:num w:numId="72">
    <w:abstractNumId w:val="24"/>
    <w:lvlOverride w:ilvl="0">
      <w:startOverride w:val="1"/>
    </w:lvlOverride>
  </w:num>
  <w:num w:numId="73">
    <w:abstractNumId w:val="1"/>
    <w:lvlOverride w:ilvl="0">
      <w:startOverride w:val="1"/>
    </w:lvlOverride>
  </w:num>
  <w:num w:numId="74">
    <w:abstractNumId w:val="76"/>
    <w:lvlOverride w:ilvl="0">
      <w:startOverride w:val="1"/>
    </w:lvlOverride>
  </w:num>
  <w:num w:numId="75">
    <w:abstractNumId w:val="77"/>
    <w:lvlOverride w:ilvl="0">
      <w:startOverride w:val="1"/>
    </w:lvlOverride>
  </w:num>
  <w:num w:numId="76">
    <w:abstractNumId w:val="9"/>
    <w:lvlOverride w:ilvl="0">
      <w:startOverride w:val="1"/>
    </w:lvlOverride>
  </w:num>
  <w:num w:numId="77">
    <w:abstractNumId w:val="32"/>
    <w:lvlOverride w:ilvl="0">
      <w:startOverride w:val="1"/>
    </w:lvlOverride>
  </w:num>
  <w:num w:numId="78">
    <w:abstractNumId w:val="74"/>
    <w:lvlOverride w:ilvl="0">
      <w:startOverride w:val="1"/>
    </w:lvlOverride>
  </w:num>
  <w:num w:numId="79">
    <w:abstractNumId w:val="52"/>
    <w:lvlOverride w:ilvl="0">
      <w:startOverride w:val="1"/>
    </w:lvlOverride>
  </w:num>
  <w:num w:numId="80">
    <w:abstractNumId w:val="5"/>
    <w:lvlOverride w:ilvl="0">
      <w:startOverride w:val="1"/>
    </w:lvlOverride>
  </w:num>
  <w:num w:numId="81">
    <w:abstractNumId w:val="37"/>
    <w:lvlOverride w:ilvl="0">
      <w:startOverride w:val="1"/>
    </w:lvlOverride>
  </w:num>
  <w:num w:numId="82">
    <w:abstractNumId w:val="8"/>
  </w:num>
  <w:num w:numId="83">
    <w:abstractNumId w:val="60"/>
  </w:num>
  <w:num w:numId="84">
    <w:abstractNumId w:val="72"/>
  </w:num>
  <w:num w:numId="85">
    <w:abstractNumId w:val="6"/>
  </w:num>
  <w:num w:numId="86">
    <w:abstractNumId w:val="68"/>
  </w:num>
  <w:num w:numId="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2YxMjkxZmJmOWYyOTlhM2I2NzZlMjU4ZjA1MmYifQ=="/>
  </w:docVars>
  <w:rsids>
    <w:rsidRoot w:val="68C15C4F"/>
    <w:rsid w:val="009448FF"/>
    <w:rsid w:val="0747377B"/>
    <w:rsid w:val="07B114CC"/>
    <w:rsid w:val="09892226"/>
    <w:rsid w:val="09F01A7D"/>
    <w:rsid w:val="22ED4E63"/>
    <w:rsid w:val="22F23E36"/>
    <w:rsid w:val="26C81110"/>
    <w:rsid w:val="29250668"/>
    <w:rsid w:val="3EE52C1B"/>
    <w:rsid w:val="41720949"/>
    <w:rsid w:val="53360642"/>
    <w:rsid w:val="5494253B"/>
    <w:rsid w:val="61BA6FAA"/>
    <w:rsid w:val="63D553E6"/>
    <w:rsid w:val="68C15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99"/>
    <w:pPr>
      <w:ind w:firstLine="200" w:firstLineChars="200"/>
      <w:jc w:val="left"/>
    </w:pPr>
    <w:rPr>
      <w:rFonts w:eastAsia="仿宋_GB2312"/>
    </w:rPr>
  </w:style>
  <w:style w:type="paragraph" w:styleId="4">
    <w:name w:val="Plain Text"/>
    <w:basedOn w:val="1"/>
    <w:next w:val="1"/>
    <w:unhideWhenUsed/>
    <w:qFormat/>
    <w:uiPriority w:val="99"/>
    <w:rPr>
      <w:rFonts w:hint="eastAsia" w:ascii="宋体" w:hAnsi="宋体"/>
      <w:kern w:val="0"/>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toc 1"/>
    <w:basedOn w:val="1"/>
    <w:next w:val="1"/>
    <w:qFormat/>
    <w:uiPriority w:val="39"/>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font101"/>
    <w:basedOn w:val="9"/>
    <w:qFormat/>
    <w:uiPriority w:val="0"/>
    <w:rPr>
      <w:rFonts w:hint="eastAsia" w:ascii="仿宋_GB2312" w:eastAsia="仿宋_GB2312" w:cs="仿宋_GB2312"/>
      <w:color w:val="000000"/>
      <w:sz w:val="18"/>
      <w:szCs w:val="18"/>
      <w:u w:val="none"/>
    </w:rPr>
  </w:style>
  <w:style w:type="character" w:customStyle="1" w:styleId="13">
    <w:name w:val="font121"/>
    <w:basedOn w:val="9"/>
    <w:qFormat/>
    <w:uiPriority w:val="0"/>
    <w:rPr>
      <w:rFonts w:hint="eastAsia" w:ascii="仿宋_GB2312" w:eastAsia="仿宋_GB2312" w:cs="仿宋_GB2312"/>
      <w:color w:val="000000"/>
      <w:sz w:val="20"/>
      <w:szCs w:val="20"/>
      <w:u w:val="none"/>
    </w:rPr>
  </w:style>
  <w:style w:type="character" w:customStyle="1" w:styleId="14">
    <w:name w:val="font51"/>
    <w:basedOn w:val="9"/>
    <w:qFormat/>
    <w:uiPriority w:val="0"/>
    <w:rPr>
      <w:rFonts w:hint="eastAsia" w:ascii="仿宋_GB2312" w:eastAsia="仿宋_GB2312" w:cs="仿宋_GB2312"/>
      <w:b/>
      <w:color w:val="000000"/>
      <w:sz w:val="20"/>
      <w:szCs w:val="20"/>
      <w:u w:val="none"/>
    </w:rPr>
  </w:style>
  <w:style w:type="character" w:customStyle="1" w:styleId="15">
    <w:name w:val="font11"/>
    <w:basedOn w:val="9"/>
    <w:qFormat/>
    <w:uiPriority w:val="0"/>
    <w:rPr>
      <w:rFonts w:hint="eastAsia" w:ascii="仿宋_GB2312" w:eastAsia="仿宋_GB2312" w:cs="仿宋_GB2312"/>
      <w:color w:val="000000"/>
      <w:sz w:val="20"/>
      <w:szCs w:val="20"/>
      <w:u w:val="none"/>
    </w:rPr>
  </w:style>
  <w:style w:type="character" w:customStyle="1" w:styleId="16">
    <w:name w:val="font61"/>
    <w:basedOn w:val="9"/>
    <w:qFormat/>
    <w:uiPriority w:val="0"/>
    <w:rPr>
      <w:rFonts w:hint="eastAsia" w:ascii="仿宋_GB2312" w:eastAsia="仿宋_GB2312" w:cs="仿宋_GB2312"/>
      <w:b/>
      <w:color w:val="000000"/>
      <w:sz w:val="21"/>
      <w:szCs w:val="21"/>
      <w:u w:val="none"/>
    </w:rPr>
  </w:style>
  <w:style w:type="character" w:customStyle="1" w:styleId="17">
    <w:name w:val="font81"/>
    <w:basedOn w:val="9"/>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1194</Pages>
  <Words>3072</Words>
  <Characters>3138</Characters>
  <Lines>0</Lines>
  <Paragraphs>0</Paragraphs>
  <TotalTime>1</TotalTime>
  <ScaleCrop>false</ScaleCrop>
  <LinksUpToDate>false</LinksUpToDate>
  <CharactersWithSpaces>3217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2022-08-24T00:52:00Z</dcterms:created>
  <dc:creator>ll</dc:creator>
  <cp:lastModifiedBy>xxxx</cp:lastModifiedBy>
  <cp:lastPrinted>2022-08-30T02:31:00Z</cp:lastPrinted>
  <dcterms:modified xsi:type="dcterms:W3CDTF">2025-02-10T06:30:49Z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134C8C6FD63F4C4B8EC3F142EA73C7A9</vt:lpwstr>
  </property>
  <property fmtid="{D5CDD505-2E9C-101B-9397-08002B2CF9AE}" pid="4" name="KSOTemplateDocerSaveRecord">
    <vt:lpwstr>eyJoZGlkIjoiMDZhOGMxODUwMjdlY2IzN2QwNDFlNTdlNzkwNGUyY2UiLCJ1c2VySWQiOiIxNjYxMjk4MDQ1In0=</vt:lpwstr>
  </property>
</Properties>
</file>