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11706">
      <w:pPr>
        <w:pStyle w:val="3"/>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p>
    <w:p w14:paraId="620F542E">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 w:hAnsi="仿宋" w:eastAsia="仿宋" w:cs="仿宋"/>
          <w:sz w:val="32"/>
          <w:szCs w:val="32"/>
        </w:rPr>
        <w:t>遂大环函</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hint="eastAsia" w:ascii="仿宋_GB2312" w:hAnsi="仿宋_GB2312" w:eastAsia="仿宋_GB2312" w:cs="仿宋_GB2312"/>
          <w:sz w:val="32"/>
          <w:szCs w:val="32"/>
        </w:rPr>
        <w:t>〕</w:t>
      </w:r>
      <w:r>
        <w:rPr>
          <w:rFonts w:hint="eastAsia" w:cs="Times New Roman"/>
          <w:sz w:val="32"/>
          <w:szCs w:val="32"/>
          <w:lang w:val="en-US" w:eastAsia="zh-CN"/>
        </w:rPr>
        <w:t>5</w:t>
      </w:r>
      <w:r>
        <w:rPr>
          <w:rFonts w:hint="eastAsia" w:ascii="仿宋" w:hAnsi="仿宋" w:eastAsia="仿宋" w:cs="仿宋"/>
          <w:sz w:val="32"/>
          <w:szCs w:val="32"/>
        </w:rPr>
        <w:t>号</w:t>
      </w:r>
    </w:p>
    <w:p w14:paraId="187037DF">
      <w:pPr>
        <w:pStyle w:val="3"/>
        <w:pageBreakBefore w:val="0"/>
        <w:widowControl w:val="0"/>
        <w:kinsoku/>
        <w:wordWrap/>
        <w:overflowPunct/>
        <w:topLinePunct w:val="0"/>
        <w:autoSpaceDE/>
        <w:autoSpaceDN/>
        <w:bidi w:val="0"/>
        <w:adjustRightInd/>
        <w:snapToGrid/>
        <w:spacing w:beforeLines="0" w:afterLines="0" w:line="560" w:lineRule="exact"/>
        <w:ind w:left="0" w:leftChars="0" w:firstLine="0" w:firstLineChars="0"/>
        <w:textAlignment w:val="auto"/>
        <w:rPr>
          <w:sz w:val="32"/>
          <w:szCs w:val="32"/>
        </w:rPr>
      </w:pPr>
    </w:p>
    <w:p w14:paraId="3F9AC655">
      <w:pPr>
        <w:pageBreakBefore w:val="0"/>
        <w:widowControl w:val="0"/>
        <w:kinsoku/>
        <w:wordWrap/>
        <w:overflowPunct/>
        <w:topLinePunct w:val="0"/>
        <w:autoSpaceDE/>
        <w:autoSpaceDN/>
        <w:bidi w:val="0"/>
        <w:adjustRightInd/>
        <w:snapToGrid/>
        <w:spacing w:line="560" w:lineRule="exact"/>
        <w:textAlignment w:val="auto"/>
        <w:rPr>
          <w:sz w:val="32"/>
          <w:szCs w:val="32"/>
        </w:rPr>
      </w:pPr>
    </w:p>
    <w:p w14:paraId="1CD0F1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遂宁市大英生态环境局</w:t>
      </w:r>
    </w:p>
    <w:p w14:paraId="0C7456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关于3000 t/a醇胺技改项目环境影响</w:t>
      </w:r>
    </w:p>
    <w:p w14:paraId="0D6301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报告表的批复</w:t>
      </w:r>
    </w:p>
    <w:p w14:paraId="1A4C9D87">
      <w:pPr>
        <w:pStyle w:val="9"/>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仿宋" w:hAnsi="仿宋" w:eastAsia="仿宋" w:cs="仿宋"/>
          <w:color w:val="auto"/>
          <w:spacing w:val="-6"/>
          <w:kern w:val="2"/>
          <w:sz w:val="32"/>
          <w:szCs w:val="32"/>
          <w:lang w:val="en-US" w:eastAsia="zh-CN" w:bidi="ar-SA"/>
        </w:rPr>
      </w:pPr>
    </w:p>
    <w:p w14:paraId="569CE80E">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四川屹光新材料制造有限公司：</w:t>
      </w:r>
    </w:p>
    <w:p w14:paraId="6EED6CDD">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你公司报送的《</w:t>
      </w:r>
      <w:r>
        <w:rPr>
          <w:rFonts w:hint="default" w:ascii="Times New Roman" w:hAnsi="Times New Roman" w:eastAsia="仿宋" w:cs="Times New Roman"/>
          <w:color w:val="auto"/>
          <w:sz w:val="32"/>
          <w:szCs w:val="32"/>
          <w:lang w:val="en-US" w:eastAsia="zh-CN"/>
        </w:rPr>
        <w:t>3000</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t/a</w:t>
      </w:r>
      <w:r>
        <w:rPr>
          <w:rFonts w:hint="eastAsia" w:ascii="仿宋" w:hAnsi="仿宋" w:eastAsia="仿宋" w:cs="仿宋"/>
          <w:color w:val="auto"/>
          <w:sz w:val="32"/>
          <w:szCs w:val="32"/>
          <w:lang w:val="en-US" w:eastAsia="zh-CN"/>
        </w:rPr>
        <w:t>醇胺技改项目环境影响报告表》（以下简称《报告表》）收悉。经研究，批复如下：</w:t>
      </w:r>
    </w:p>
    <w:p w14:paraId="1164A38F">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一、项目概况及总体意见</w:t>
      </w:r>
    </w:p>
    <w:p w14:paraId="054621BA">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项目位于四川大英经济开发区梁家坝，拟在公司现有厂区预留空地新建</w:t>
      </w:r>
      <w:r>
        <w:rPr>
          <w:rFonts w:hint="eastAsia" w:ascii="Times New Roman" w:hAnsi="Times New Roman" w:eastAsia="仿宋" w:cs="Times New Roman"/>
          <w:color w:val="auto"/>
          <w:sz w:val="32"/>
          <w:szCs w:val="32"/>
          <w:lang w:val="en-US" w:eastAsia="zh-CN"/>
        </w:rPr>
        <w:t>1个生产车间1794</w:t>
      </w:r>
      <w:r>
        <w:rPr>
          <w:rFonts w:hint="eastAsia" w:cs="Times New Roman"/>
          <w:color w:val="auto"/>
          <w:sz w:val="32"/>
          <w:szCs w:val="32"/>
          <w:lang w:val="en-US" w:eastAsia="zh-CN"/>
        </w:rPr>
        <w:t xml:space="preserve"> </w:t>
      </w:r>
      <w:r>
        <w:rPr>
          <w:rFonts w:hint="eastAsia" w:ascii="Times New Roman" w:hAnsi="Times New Roman" w:eastAsia="仿宋" w:cs="Times New Roman"/>
          <w:color w:val="auto"/>
          <w:sz w:val="32"/>
          <w:szCs w:val="32"/>
          <w:lang w:val="en-US" w:eastAsia="zh-CN"/>
        </w:rPr>
        <w:t>m</w:t>
      </w:r>
      <w:r>
        <w:rPr>
          <w:rFonts w:hint="eastAsia" w:ascii="Times New Roman" w:hAnsi="Times New Roman" w:eastAsia="仿宋" w:cs="Times New Roman"/>
          <w:color w:val="auto"/>
          <w:sz w:val="32"/>
          <w:szCs w:val="32"/>
          <w:vertAlign w:val="superscript"/>
          <w:lang w:val="en-US" w:eastAsia="zh-CN"/>
        </w:rPr>
        <w:t>2</w:t>
      </w:r>
      <w:r>
        <w:rPr>
          <w:rFonts w:hint="eastAsia" w:ascii="仿宋" w:hAnsi="仿宋" w:eastAsia="仿宋" w:cs="仿宋"/>
          <w:color w:val="auto"/>
          <w:sz w:val="32"/>
          <w:szCs w:val="32"/>
          <w:lang w:val="en-US" w:eastAsia="zh-CN"/>
        </w:rPr>
        <w:t>，建设一条</w:t>
      </w:r>
      <w:r>
        <w:rPr>
          <w:rFonts w:hint="default" w:ascii="Times New Roman" w:hAnsi="Times New Roman" w:eastAsia="仿宋" w:cs="Times New Roman"/>
          <w:color w:val="auto"/>
          <w:sz w:val="32"/>
          <w:szCs w:val="32"/>
          <w:lang w:val="en-US" w:eastAsia="zh-CN"/>
        </w:rPr>
        <w:t>3000</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t/a</w:t>
      </w:r>
      <w:r>
        <w:rPr>
          <w:rFonts w:hint="eastAsia" w:ascii="仿宋" w:hAnsi="仿宋" w:eastAsia="仿宋" w:cs="仿宋"/>
          <w:color w:val="auto"/>
          <w:sz w:val="32"/>
          <w:szCs w:val="32"/>
          <w:lang w:val="en-US" w:eastAsia="zh-CN"/>
        </w:rPr>
        <w:t>醇胺技改生产线〔增设</w:t>
      </w:r>
      <w:r>
        <w:rPr>
          <w:rFonts w:hint="eastAsia" w:ascii="Times New Roman" w:hAnsi="Times New Roman" w:eastAsia="仿宋" w:cs="Times New Roman"/>
          <w:color w:val="auto"/>
          <w:sz w:val="32"/>
          <w:szCs w:val="32"/>
          <w:lang w:val="en-US" w:eastAsia="zh-CN"/>
        </w:rPr>
        <w:t>1000</w:t>
      </w:r>
      <w:r>
        <w:rPr>
          <w:rFonts w:hint="eastAsia" w:cs="Times New Roman"/>
          <w:color w:val="auto"/>
          <w:sz w:val="32"/>
          <w:szCs w:val="32"/>
          <w:lang w:val="en-US" w:eastAsia="zh-CN"/>
        </w:rPr>
        <w:t xml:space="preserve"> </w:t>
      </w:r>
      <w:r>
        <w:rPr>
          <w:rFonts w:hint="eastAsia" w:ascii="Times New Roman" w:hAnsi="Times New Roman" w:eastAsia="仿宋" w:cs="Times New Roman"/>
          <w:color w:val="auto"/>
          <w:sz w:val="32"/>
          <w:szCs w:val="32"/>
          <w:lang w:val="en-US" w:eastAsia="zh-CN"/>
        </w:rPr>
        <w:t>t/a</w:t>
      </w:r>
      <w:r>
        <w:rPr>
          <w:rFonts w:hint="eastAsia" w:ascii="仿宋" w:hAnsi="仿宋" w:eastAsia="仿宋" w:cs="仿宋"/>
          <w:color w:val="auto"/>
          <w:sz w:val="32"/>
          <w:szCs w:val="32"/>
          <w:lang w:val="en-US" w:eastAsia="zh-CN"/>
        </w:rPr>
        <w:t>的醇胺蒸馏装置</w:t>
      </w:r>
      <w:r>
        <w:rPr>
          <w:rFonts w:hint="default" w:ascii="Times New Roman" w:hAnsi="Times New Roman" w:eastAsia="仿宋" w:cs="Times New Roman"/>
          <w:color w:val="auto"/>
          <w:sz w:val="32"/>
          <w:szCs w:val="32"/>
          <w:lang w:val="en-US" w:eastAsia="zh-CN"/>
        </w:rPr>
        <w:t>3</w:t>
      </w:r>
      <w:r>
        <w:rPr>
          <w:rFonts w:hint="eastAsia" w:ascii="仿宋" w:hAnsi="仿宋" w:eastAsia="仿宋" w:cs="仿宋"/>
          <w:color w:val="auto"/>
          <w:sz w:val="32"/>
          <w:szCs w:val="32"/>
          <w:lang w:val="en-US" w:eastAsia="zh-CN"/>
        </w:rPr>
        <w:t>套（乙醇胺系列与</w:t>
      </w:r>
      <w:r>
        <w:rPr>
          <w:rFonts w:hint="eastAsia" w:ascii="Times New Roman" w:hAnsi="Times New Roman" w:eastAsia="仿宋" w:cs="Times New Roman"/>
          <w:color w:val="auto"/>
          <w:sz w:val="32"/>
          <w:szCs w:val="32"/>
          <w:lang w:val="en-US" w:eastAsia="zh-CN"/>
        </w:rPr>
        <w:t>N-</w:t>
      </w:r>
      <w:r>
        <w:rPr>
          <w:rFonts w:hint="eastAsia" w:ascii="仿宋" w:hAnsi="仿宋" w:eastAsia="仿宋" w:cs="仿宋"/>
          <w:color w:val="auto"/>
          <w:sz w:val="32"/>
          <w:szCs w:val="32"/>
          <w:lang w:val="en-US" w:eastAsia="zh-CN"/>
        </w:rPr>
        <w:t>甲基乙醇胺系列共用）〕，采用短程分子蒸馏技术（物理过程）将原醇胺产品中的</w:t>
      </w:r>
      <w:r>
        <w:rPr>
          <w:rFonts w:hint="eastAsia" w:ascii="Times New Roman" w:hAnsi="Times New Roman" w:eastAsia="仿宋" w:cs="Times New Roman"/>
          <w:color w:val="auto"/>
          <w:sz w:val="32"/>
          <w:szCs w:val="32"/>
          <w:lang w:val="en-US" w:eastAsia="zh-CN"/>
        </w:rPr>
        <w:t>2500</w:t>
      </w:r>
      <w:r>
        <w:rPr>
          <w:rFonts w:hint="eastAsia" w:cs="Times New Roman"/>
          <w:color w:val="auto"/>
          <w:sz w:val="32"/>
          <w:szCs w:val="32"/>
          <w:lang w:val="en-US" w:eastAsia="zh-CN"/>
        </w:rPr>
        <w:t xml:space="preserve"> </w:t>
      </w:r>
      <w:r>
        <w:rPr>
          <w:rFonts w:hint="eastAsia" w:ascii="Times New Roman" w:hAnsi="Times New Roman" w:eastAsia="仿宋" w:cs="Times New Roman"/>
          <w:color w:val="auto"/>
          <w:sz w:val="32"/>
          <w:szCs w:val="32"/>
          <w:lang w:val="en-US" w:eastAsia="zh-CN"/>
        </w:rPr>
        <w:t>t/a</w:t>
      </w:r>
      <w:r>
        <w:rPr>
          <w:rFonts w:hint="eastAsia" w:ascii="仿宋" w:hAnsi="仿宋" w:eastAsia="仿宋" w:cs="仿宋"/>
          <w:color w:val="auto"/>
          <w:sz w:val="32"/>
          <w:szCs w:val="32"/>
          <w:lang w:val="en-US" w:eastAsia="zh-CN"/>
        </w:rPr>
        <w:t>三乙醇胺及</w:t>
      </w:r>
      <w:r>
        <w:rPr>
          <w:rFonts w:hint="eastAsia" w:ascii="Times New Roman" w:hAnsi="Times New Roman" w:eastAsia="仿宋" w:cs="Times New Roman"/>
          <w:color w:val="auto"/>
          <w:sz w:val="32"/>
          <w:szCs w:val="32"/>
          <w:lang w:val="en-US" w:eastAsia="zh-CN"/>
        </w:rPr>
        <w:t>500</w:t>
      </w:r>
      <w:r>
        <w:rPr>
          <w:rFonts w:hint="eastAsia" w:cs="Times New Roman"/>
          <w:color w:val="auto"/>
          <w:sz w:val="32"/>
          <w:szCs w:val="32"/>
          <w:lang w:val="en-US" w:eastAsia="zh-CN"/>
        </w:rPr>
        <w:t xml:space="preserve"> </w:t>
      </w:r>
      <w:r>
        <w:rPr>
          <w:rFonts w:hint="eastAsia" w:ascii="Times New Roman" w:hAnsi="Times New Roman" w:eastAsia="仿宋" w:cs="Times New Roman"/>
          <w:color w:val="auto"/>
          <w:sz w:val="32"/>
          <w:szCs w:val="32"/>
          <w:lang w:val="en-US" w:eastAsia="zh-CN"/>
        </w:rPr>
        <w:t>t/a</w:t>
      </w:r>
      <w:r>
        <w:rPr>
          <w:rFonts w:hint="eastAsia" w:cs="Times New Roman"/>
          <w:color w:val="auto"/>
          <w:sz w:val="32"/>
          <w:szCs w:val="32"/>
          <w:lang w:val="en-US" w:eastAsia="zh-CN"/>
        </w:rPr>
        <w:t xml:space="preserve"> </w:t>
      </w:r>
      <w:r>
        <w:rPr>
          <w:rFonts w:hint="eastAsia" w:ascii="Times New Roman" w:hAnsi="Times New Roman" w:eastAsia="仿宋" w:cs="Times New Roman"/>
          <w:color w:val="auto"/>
          <w:sz w:val="32"/>
          <w:szCs w:val="32"/>
          <w:lang w:val="en-US" w:eastAsia="zh-CN"/>
        </w:rPr>
        <w:t>N-</w:t>
      </w:r>
      <w:r>
        <w:rPr>
          <w:rFonts w:hint="eastAsia" w:ascii="仿宋" w:hAnsi="仿宋" w:eastAsia="仿宋" w:cs="仿宋"/>
          <w:color w:val="auto"/>
          <w:sz w:val="32"/>
          <w:szCs w:val="32"/>
          <w:lang w:val="en-US" w:eastAsia="zh-CN"/>
        </w:rPr>
        <w:t>甲基一乙醇胺产品进行提纯，同时配套建设相关公辅工程及环保设施。本次技改后原有产能不变，仅对原有</w:t>
      </w:r>
      <w:r>
        <w:rPr>
          <w:rFonts w:hint="default" w:ascii="Times New Roman" w:hAnsi="Times New Roman" w:eastAsia="仿宋" w:cs="Times New Roman"/>
          <w:color w:val="auto"/>
          <w:sz w:val="32"/>
          <w:szCs w:val="32"/>
          <w:lang w:val="en-US" w:eastAsia="zh-CN"/>
        </w:rPr>
        <w:t>10000</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t/a</w:t>
      </w:r>
      <w:r>
        <w:rPr>
          <w:rFonts w:hint="eastAsia" w:ascii="仿宋" w:hAnsi="仿宋" w:eastAsia="仿宋" w:cs="仿宋"/>
          <w:color w:val="auto"/>
          <w:sz w:val="32"/>
          <w:szCs w:val="32"/>
          <w:lang w:val="en-US" w:eastAsia="zh-CN"/>
        </w:rPr>
        <w:t>醇胺产品中的</w:t>
      </w:r>
      <w:r>
        <w:rPr>
          <w:rFonts w:hint="eastAsia" w:ascii="Times New Roman" w:hAnsi="Times New Roman" w:eastAsia="仿宋" w:cs="Times New Roman"/>
          <w:color w:val="auto"/>
          <w:sz w:val="32"/>
          <w:szCs w:val="32"/>
          <w:lang w:val="en-US" w:eastAsia="zh-CN"/>
        </w:rPr>
        <w:t>2500</w:t>
      </w:r>
      <w:r>
        <w:rPr>
          <w:rFonts w:hint="eastAsia" w:cs="Times New Roman"/>
          <w:color w:val="auto"/>
          <w:sz w:val="32"/>
          <w:szCs w:val="32"/>
          <w:lang w:val="en-US" w:eastAsia="zh-CN"/>
        </w:rPr>
        <w:t xml:space="preserve"> </w:t>
      </w:r>
      <w:r>
        <w:rPr>
          <w:rFonts w:hint="eastAsia" w:ascii="Times New Roman" w:hAnsi="Times New Roman" w:eastAsia="仿宋" w:cs="Times New Roman"/>
          <w:color w:val="auto"/>
          <w:sz w:val="32"/>
          <w:szCs w:val="32"/>
          <w:lang w:val="en-US" w:eastAsia="zh-CN"/>
        </w:rPr>
        <w:t>t/a</w:t>
      </w:r>
      <w:r>
        <w:rPr>
          <w:rFonts w:hint="eastAsia" w:ascii="仿宋" w:hAnsi="仿宋" w:eastAsia="仿宋" w:cs="仿宋"/>
          <w:color w:val="auto"/>
          <w:sz w:val="32"/>
          <w:szCs w:val="32"/>
          <w:lang w:val="en-US" w:eastAsia="zh-CN"/>
        </w:rPr>
        <w:t>三乙醇胺和</w:t>
      </w:r>
      <w:r>
        <w:rPr>
          <w:rFonts w:hint="default" w:ascii="Times New Roman" w:hAnsi="Times New Roman" w:eastAsia="仿宋" w:cs="Times New Roman"/>
          <w:color w:val="auto"/>
          <w:sz w:val="32"/>
          <w:szCs w:val="32"/>
          <w:lang w:val="en-US" w:eastAsia="zh-CN"/>
        </w:rPr>
        <w:t>500</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t/a</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N-</w:t>
      </w:r>
      <w:r>
        <w:rPr>
          <w:rFonts w:hint="eastAsia" w:ascii="仿宋" w:hAnsi="仿宋" w:eastAsia="仿宋" w:cs="仿宋"/>
          <w:color w:val="auto"/>
          <w:sz w:val="32"/>
          <w:szCs w:val="32"/>
          <w:lang w:val="en-US" w:eastAsia="zh-CN"/>
        </w:rPr>
        <w:t>甲基一乙醇胺进行提纯，其他产品保持不变。项目总投资</w:t>
      </w:r>
      <w:r>
        <w:rPr>
          <w:rFonts w:hint="default" w:ascii="Times New Roman" w:hAnsi="Times New Roman" w:eastAsia="仿宋" w:cs="Times New Roman"/>
          <w:color w:val="auto"/>
          <w:sz w:val="32"/>
          <w:szCs w:val="32"/>
          <w:lang w:val="en-US" w:eastAsia="zh-CN"/>
        </w:rPr>
        <w:t>2000</w:t>
      </w:r>
      <w:r>
        <w:rPr>
          <w:rFonts w:hint="eastAsia" w:ascii="仿宋" w:hAnsi="仿宋" w:eastAsia="仿宋" w:cs="仿宋"/>
          <w:color w:val="auto"/>
          <w:sz w:val="32"/>
          <w:szCs w:val="32"/>
          <w:lang w:val="en-US" w:eastAsia="zh-CN"/>
        </w:rPr>
        <w:t>万元，其中环保投资预计</w:t>
      </w:r>
      <w:r>
        <w:rPr>
          <w:rFonts w:hint="eastAsia" w:ascii="Times New Roman" w:hAnsi="Times New Roman" w:eastAsia="仿宋" w:cs="Times New Roman"/>
          <w:color w:val="auto"/>
          <w:sz w:val="32"/>
          <w:szCs w:val="32"/>
          <w:lang w:val="en-US" w:eastAsia="zh-CN"/>
        </w:rPr>
        <w:t>103.5</w:t>
      </w:r>
      <w:r>
        <w:rPr>
          <w:rFonts w:hint="eastAsia" w:ascii="仿宋" w:hAnsi="仿宋" w:eastAsia="仿宋" w:cs="仿宋"/>
          <w:color w:val="auto"/>
          <w:sz w:val="32"/>
          <w:szCs w:val="32"/>
          <w:lang w:val="en-US" w:eastAsia="zh-CN"/>
        </w:rPr>
        <w:t>万元。</w:t>
      </w:r>
    </w:p>
    <w:p w14:paraId="3026516D">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sectPr>
          <w:headerReference r:id="rId3" w:type="default"/>
          <w:footerReference r:id="rId5" w:type="default"/>
          <w:headerReference r:id="rId4" w:type="even"/>
          <w:pgSz w:w="11906" w:h="16838"/>
          <w:pgMar w:top="2098" w:right="1474" w:bottom="1531" w:left="1587" w:header="851" w:footer="1134" w:gutter="0"/>
          <w:pgBorders>
            <w:top w:val="none" w:sz="0" w:space="0"/>
            <w:left w:val="none" w:sz="0" w:space="0"/>
            <w:bottom w:val="none" w:sz="0" w:space="0"/>
            <w:right w:val="none" w:sz="0" w:space="0"/>
          </w:pgBorders>
          <w:pgNumType w:fmt="decimal"/>
          <w:cols w:space="0" w:num="1"/>
          <w:rtlGutter w:val="0"/>
          <w:docGrid w:type="linesAndChars" w:linePitch="579" w:charSpace="-842"/>
        </w:sectPr>
      </w:pPr>
      <w:r>
        <w:rPr>
          <w:rFonts w:hint="eastAsia" w:ascii="仿宋" w:hAnsi="仿宋" w:eastAsia="仿宋" w:cs="仿宋"/>
          <w:color w:val="auto"/>
          <w:sz w:val="32"/>
          <w:szCs w:val="32"/>
          <w:lang w:val="en-US" w:eastAsia="zh-CN"/>
        </w:rPr>
        <w:t>项目经大英县经济信息化和科学技术局备案同意（备案号：</w:t>
      </w:r>
    </w:p>
    <w:p w14:paraId="05239D76">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川投资备【</w:t>
      </w:r>
      <w:r>
        <w:rPr>
          <w:rFonts w:hint="default" w:ascii="Times New Roman" w:hAnsi="Times New Roman" w:eastAsia="仿宋" w:cs="Times New Roman"/>
          <w:color w:val="auto"/>
          <w:sz w:val="32"/>
          <w:szCs w:val="32"/>
          <w:lang w:val="en-US" w:eastAsia="zh-CN"/>
        </w:rPr>
        <w:t>2412-510923-07-02-377760</w:t>
      </w:r>
      <w:r>
        <w:rPr>
          <w:rFonts w:hint="eastAsia" w:ascii="仿宋" w:hAnsi="仿宋" w:eastAsia="仿宋" w:cs="仿宋"/>
          <w:color w:val="auto"/>
          <w:sz w:val="32"/>
          <w:szCs w:val="32"/>
          <w:lang w:val="en-US" w:eastAsia="zh-CN"/>
        </w:rPr>
        <w:t>】</w:t>
      </w:r>
      <w:r>
        <w:rPr>
          <w:rFonts w:hint="eastAsia" w:ascii="Times New Roman" w:hAnsi="Times New Roman" w:eastAsia="仿宋" w:cs="Times New Roman"/>
          <w:color w:val="auto"/>
          <w:sz w:val="32"/>
          <w:szCs w:val="32"/>
          <w:lang w:val="en-US" w:eastAsia="zh-CN"/>
        </w:rPr>
        <w:t>JXQB-0465</w:t>
      </w:r>
      <w:r>
        <w:rPr>
          <w:rFonts w:hint="eastAsia" w:ascii="仿宋" w:hAnsi="仿宋" w:eastAsia="仿宋" w:cs="仿宋"/>
          <w:color w:val="auto"/>
          <w:sz w:val="32"/>
          <w:szCs w:val="32"/>
          <w:lang w:val="en-US" w:eastAsia="zh-CN"/>
        </w:rPr>
        <w:t>号），属于未列入《产业结构调整指导目录（</w:t>
      </w:r>
      <w:r>
        <w:rPr>
          <w:rFonts w:hint="eastAsia" w:ascii="Times New Roman" w:hAnsi="Times New Roman" w:eastAsia="仿宋" w:cs="Times New Roman"/>
          <w:color w:val="auto"/>
          <w:sz w:val="32"/>
          <w:szCs w:val="32"/>
          <w:lang w:val="en-US" w:eastAsia="zh-CN"/>
        </w:rPr>
        <w:t>2024</w:t>
      </w:r>
      <w:r>
        <w:rPr>
          <w:rFonts w:hint="eastAsia" w:ascii="仿宋" w:hAnsi="仿宋" w:eastAsia="仿宋" w:cs="仿宋"/>
          <w:color w:val="auto"/>
          <w:sz w:val="32"/>
          <w:szCs w:val="32"/>
          <w:lang w:val="en-US" w:eastAsia="zh-CN"/>
        </w:rPr>
        <w:t>年本）》中的允许类项目。项目建设选址的四川大英经济开发区，已开展规划环评并取得审查意见（川环建函〔</w:t>
      </w:r>
      <w:r>
        <w:rPr>
          <w:rFonts w:hint="eastAsia" w:ascii="Times New Roman" w:hAnsi="Times New Roman" w:eastAsia="仿宋" w:cs="Times New Roman"/>
          <w:color w:val="auto"/>
          <w:sz w:val="32"/>
          <w:szCs w:val="32"/>
          <w:lang w:val="en-US" w:eastAsia="zh-CN"/>
        </w:rPr>
        <w:t>2019〕48</w:t>
      </w:r>
      <w:r>
        <w:rPr>
          <w:rFonts w:hint="eastAsia" w:ascii="仿宋" w:hAnsi="仿宋" w:eastAsia="仿宋" w:cs="仿宋"/>
          <w:color w:val="auto"/>
          <w:sz w:val="32"/>
          <w:szCs w:val="32"/>
          <w:lang w:val="en-US" w:eastAsia="zh-CN"/>
        </w:rPr>
        <w:t>号）。《报告表》认为该项目建设符合国家产业政策，选址符合相关规划和规划环评相关要求。</w:t>
      </w:r>
    </w:p>
    <w:p w14:paraId="0C8226A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在严格落实《报告表》提出的环保对策及措施，严格执行环境保护“三同时”制度，确保污染物达标排放，认真落实环境风险防范措施及应急预案的前提下，该项目建设从环境保护角度可行，我局原则同意《报告表》的总体结论和拟采取的各项生态环境保护措施。你公司应严格按照《报告表》中所列项目的建设性质、规模、工艺、地点和拟采取的环境保护措施进行建设和运行，以确保对环境的不利影响得到缓解和控制。</w:t>
      </w:r>
    </w:p>
    <w:p w14:paraId="21625C8D">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二、项目建设及营运期应重点做好以下工作</w:t>
      </w:r>
    </w:p>
    <w:p w14:paraId="3C862BB4">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（一）落实污染防治和环境管理措施。</w:t>
      </w:r>
      <w:r>
        <w:rPr>
          <w:rFonts w:hint="eastAsia" w:ascii="仿宋" w:hAnsi="仿宋" w:eastAsia="仿宋" w:cs="仿宋"/>
          <w:color w:val="auto"/>
          <w:sz w:val="32"/>
          <w:szCs w:val="32"/>
          <w:lang w:val="en-US" w:eastAsia="zh-CN"/>
        </w:rPr>
        <w:t>加强生态环境保护措施，强化环保设施的日常管理和维护，确保环保设施正常运行及各类污染物稳定达标排放。制定并不断完善突发环境事件应急预案，规范内部管理，严格操作规范，定期开展自行监测，防止污染事故的发生。</w:t>
      </w:r>
    </w:p>
    <w:p w14:paraId="0EEE5BCE">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（二）落实废水处理措施。</w:t>
      </w:r>
      <w:r>
        <w:rPr>
          <w:rFonts w:hint="eastAsia" w:ascii="仿宋" w:hAnsi="仿宋" w:eastAsia="仿宋" w:cs="仿宋"/>
          <w:color w:val="auto"/>
          <w:sz w:val="32"/>
          <w:szCs w:val="32"/>
          <w:lang w:val="en-US" w:eastAsia="zh-CN"/>
        </w:rPr>
        <w:t>施工期：施工废水经三级沉淀池沉淀后回用，不外排；生活污水经厂区隔油</w:t>
      </w:r>
      <w:r>
        <w:rPr>
          <w:rFonts w:hint="default" w:ascii="Times New Roman" w:hAnsi="Times New Roman" w:eastAsia="仿宋" w:cs="Times New Roman"/>
          <w:color w:val="auto"/>
          <w:sz w:val="32"/>
          <w:szCs w:val="32"/>
          <w:lang w:val="en-US" w:eastAsia="zh-CN"/>
        </w:rPr>
        <w:t>-</w:t>
      </w:r>
      <w:r>
        <w:rPr>
          <w:rFonts w:hint="eastAsia" w:ascii="仿宋" w:hAnsi="仿宋" w:eastAsia="仿宋" w:cs="仿宋"/>
          <w:color w:val="auto"/>
          <w:sz w:val="32"/>
          <w:szCs w:val="32"/>
          <w:lang w:val="en-US" w:eastAsia="zh-CN"/>
        </w:rPr>
        <w:t>预处理池处理后排入厂区已建污水处理站处理达《污水综合排放标准》（</w:t>
      </w:r>
      <w:r>
        <w:rPr>
          <w:rFonts w:hint="default" w:ascii="Times New Roman" w:hAnsi="Times New Roman" w:eastAsia="仿宋" w:cs="Times New Roman"/>
          <w:color w:val="auto"/>
          <w:sz w:val="32"/>
          <w:szCs w:val="32"/>
          <w:lang w:val="en-US" w:eastAsia="zh-CN"/>
        </w:rPr>
        <w:t>GB8978-1996</w:t>
      </w:r>
      <w:r>
        <w:rPr>
          <w:rFonts w:hint="eastAsia" w:ascii="仿宋" w:hAnsi="仿宋" w:eastAsia="仿宋" w:cs="仿宋"/>
          <w:color w:val="auto"/>
          <w:sz w:val="32"/>
          <w:szCs w:val="32"/>
          <w:lang w:val="en-US" w:eastAsia="zh-CN"/>
        </w:rPr>
        <w:t>）三级标准后再通过园区污水管网排至大英县工业污水处理厂集中处理。运营期：锅炉定期排水、纯（软）水制备浓水、冷却废水、地坪冲洗废水、初期雨水（经初期雨水池收集）与经隔油</w:t>
      </w:r>
      <w:r>
        <w:rPr>
          <w:rFonts w:hint="eastAsia" w:ascii="Times New Roman" w:hAnsi="Times New Roman" w:eastAsia="仿宋" w:cs="Times New Roman"/>
          <w:color w:val="auto"/>
          <w:sz w:val="32"/>
          <w:szCs w:val="32"/>
          <w:lang w:val="en-US" w:eastAsia="zh-CN"/>
        </w:rPr>
        <w:t>-</w:t>
      </w:r>
      <w:r>
        <w:rPr>
          <w:rFonts w:hint="eastAsia" w:ascii="仿宋" w:hAnsi="仿宋" w:eastAsia="仿宋" w:cs="仿宋"/>
          <w:color w:val="auto"/>
          <w:sz w:val="32"/>
          <w:szCs w:val="32"/>
          <w:lang w:val="en-US" w:eastAsia="zh-CN"/>
        </w:rPr>
        <w:t>预处理池处理后的生活污水一并进入厂区已建污水处理站处理达《污水综合排放标准》（</w:t>
      </w:r>
      <w:r>
        <w:rPr>
          <w:rFonts w:hint="eastAsia" w:ascii="Times New Roman" w:hAnsi="Times New Roman" w:eastAsia="仿宋" w:cs="Times New Roman"/>
          <w:color w:val="auto"/>
          <w:sz w:val="32"/>
          <w:szCs w:val="32"/>
          <w:lang w:val="en-US" w:eastAsia="zh-CN"/>
        </w:rPr>
        <w:t>GB8978-1996</w:t>
      </w:r>
      <w:r>
        <w:rPr>
          <w:rFonts w:hint="eastAsia" w:ascii="仿宋" w:hAnsi="仿宋" w:eastAsia="仿宋" w:cs="仿宋"/>
          <w:color w:val="auto"/>
          <w:sz w:val="32"/>
          <w:szCs w:val="32"/>
          <w:lang w:val="en-US" w:eastAsia="zh-CN"/>
        </w:rPr>
        <w:t>）三级标准后，通过园区管网输送至大英县工业污水处理厂集中处理，达标排放；水洗塔废水进行循环使用。</w:t>
      </w:r>
    </w:p>
    <w:p w14:paraId="6327E3AF">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（三）落实废气治理措施。</w:t>
      </w:r>
      <w:r>
        <w:rPr>
          <w:rFonts w:hint="eastAsia" w:ascii="仿宋" w:hAnsi="仿宋" w:eastAsia="仿宋" w:cs="仿宋"/>
          <w:color w:val="auto"/>
          <w:sz w:val="32"/>
          <w:szCs w:val="32"/>
          <w:lang w:val="en-US" w:eastAsia="zh-CN"/>
        </w:rPr>
        <w:t>施工期：严格落实“六必须六不准”和“六个百分百”要求，通过在工地周边设置围挡、物料堆放覆盖、土方开挖湿法作业、路面硬化、出入车辆清洗、渣土车辆密闭运输等措施降低施工扬尘产生量。运营期：蒸馏尾气与新增原料罐、高沸物罐及产品罐等储罐产生的呼吸废气一并经水洗塔（四段式）水洗后依托现有排气筒（</w:t>
      </w:r>
      <w:r>
        <w:rPr>
          <w:rFonts w:hint="default" w:ascii="Times New Roman" w:hAnsi="Times New Roman" w:eastAsia="仿宋" w:cs="Times New Roman"/>
          <w:color w:val="auto"/>
          <w:sz w:val="32"/>
          <w:szCs w:val="32"/>
          <w:lang w:val="en-US" w:eastAsia="zh-CN"/>
        </w:rPr>
        <w:t>DA001</w:t>
      </w:r>
      <w:r>
        <w:rPr>
          <w:rFonts w:hint="eastAsia" w:ascii="仿宋" w:hAnsi="仿宋" w:eastAsia="仿宋" w:cs="仿宋"/>
          <w:color w:val="auto"/>
          <w:sz w:val="32"/>
          <w:szCs w:val="32"/>
          <w:lang w:val="en-US" w:eastAsia="zh-CN"/>
        </w:rPr>
        <w:t>）排放；污水处理站恶臭气体通过“吸气罩+引风机”集中收集后</w:t>
      </w:r>
      <w:bookmarkStart w:id="0" w:name="_GoBack"/>
      <w:bookmarkEnd w:id="0"/>
      <w:r>
        <w:rPr>
          <w:rFonts w:hint="eastAsia" w:ascii="仿宋" w:hAnsi="仿宋" w:eastAsia="仿宋" w:cs="仿宋"/>
          <w:color w:val="auto"/>
          <w:sz w:val="32"/>
          <w:szCs w:val="32"/>
          <w:lang w:val="en-US" w:eastAsia="zh-CN"/>
        </w:rPr>
        <w:t>统一汇入“稀碱液循环洗涤+活性炭吸附”系统净化处理，依托现有排气筒（</w:t>
      </w:r>
      <w:r>
        <w:rPr>
          <w:rFonts w:hint="eastAsia" w:ascii="Times New Roman" w:hAnsi="Times New Roman" w:eastAsia="仿宋" w:cs="Times New Roman"/>
          <w:color w:val="auto"/>
          <w:sz w:val="32"/>
          <w:szCs w:val="32"/>
          <w:lang w:val="en-US" w:eastAsia="zh-CN"/>
        </w:rPr>
        <w:t>DA003）</w:t>
      </w:r>
      <w:r>
        <w:rPr>
          <w:rFonts w:hint="eastAsia" w:ascii="仿宋" w:hAnsi="仿宋" w:eastAsia="仿宋" w:cs="仿宋"/>
          <w:color w:val="auto"/>
          <w:sz w:val="32"/>
          <w:szCs w:val="32"/>
          <w:lang w:val="en-US" w:eastAsia="zh-CN"/>
        </w:rPr>
        <w:t>排放；食堂油烟依托现有食堂抽油烟机+油烟净化器处理后通过墙体内烟道排放；通过高效管理、自动化控制等措施有效减少生产装置区密封点泄漏废气；危废贮存库异味通过抽风系统收集后经</w:t>
      </w:r>
      <w:r>
        <w:rPr>
          <w:rFonts w:hint="eastAsia" w:ascii="Times New Roman" w:hAnsi="Times New Roman" w:eastAsia="仿宋" w:cs="Times New Roman"/>
          <w:color w:val="auto"/>
          <w:sz w:val="32"/>
          <w:szCs w:val="32"/>
          <w:lang w:val="en-US" w:eastAsia="zh-CN"/>
        </w:rPr>
        <w:t>UV</w:t>
      </w:r>
      <w:r>
        <w:rPr>
          <w:rFonts w:hint="eastAsia" w:ascii="仿宋" w:hAnsi="仿宋" w:eastAsia="仿宋" w:cs="仿宋"/>
          <w:color w:val="auto"/>
          <w:sz w:val="32"/>
          <w:szCs w:val="32"/>
          <w:lang w:val="en-US" w:eastAsia="zh-CN"/>
        </w:rPr>
        <w:t>光氧除臭后通至屋顶排放。</w:t>
      </w:r>
    </w:p>
    <w:p w14:paraId="7D49625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（四）落实固废处置措施。</w:t>
      </w:r>
      <w:r>
        <w:rPr>
          <w:rFonts w:hint="eastAsia" w:ascii="仿宋" w:hAnsi="仿宋" w:eastAsia="仿宋" w:cs="仿宋"/>
          <w:color w:val="auto"/>
          <w:sz w:val="32"/>
          <w:szCs w:val="32"/>
          <w:lang w:val="en-US" w:eastAsia="zh-CN"/>
        </w:rPr>
        <w:t>施工期：土石方挖填平衡，可回收建筑垃圾交废物收购站回收处理，不可回收建筑垃圾清运至指定垃圾场处理。运营期：生活垃圾、预处理池污泥统一收集后交由环卫部门处置；废含油棉纱和手套、废润滑油、污水处理站污泥、废紫外灯管、废活性炭等危险废物收集后分类暂存于危废贮存库，定期交由有资质危废单位处置，转移过程严格落实《危险废物转移管理办法》。</w:t>
      </w:r>
    </w:p>
    <w:p w14:paraId="0255E29A">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（五）落实噪声防治措施。</w:t>
      </w:r>
      <w:r>
        <w:rPr>
          <w:rFonts w:hint="eastAsia" w:ascii="仿宋" w:hAnsi="仿宋" w:eastAsia="仿宋" w:cs="仿宋"/>
          <w:color w:val="auto"/>
          <w:sz w:val="32"/>
          <w:szCs w:val="32"/>
          <w:lang w:val="en-US" w:eastAsia="zh-CN"/>
        </w:rPr>
        <w:t>施工期：通过选用低噪声设备，采取隔声减振措施，合理布局并安排作业时间，文明施工，设置围挡等实现降噪，满足《建筑施工场界环境噪声排放标准》（</w:t>
      </w:r>
      <w:r>
        <w:rPr>
          <w:rFonts w:hint="default" w:ascii="Times New Roman" w:hAnsi="Times New Roman" w:eastAsia="仿宋" w:cs="Times New Roman"/>
          <w:color w:val="auto"/>
          <w:sz w:val="32"/>
          <w:szCs w:val="32"/>
          <w:lang w:val="en-US" w:eastAsia="zh-CN"/>
        </w:rPr>
        <w:t>GB12523-2011</w:t>
      </w:r>
      <w:r>
        <w:rPr>
          <w:rFonts w:hint="eastAsia" w:ascii="仿宋" w:hAnsi="仿宋" w:eastAsia="仿宋" w:cs="仿宋"/>
          <w:color w:val="auto"/>
          <w:sz w:val="32"/>
          <w:szCs w:val="32"/>
          <w:lang w:val="en-US" w:eastAsia="zh-CN"/>
        </w:rPr>
        <w:t>）要求。运营期：噪声源应合理布局，在设备选型上应优选低噪声设备，采取隔声、减振、消声等措施，同时加强机械设备的日常维护，确保满足《工业企业厂界环境噪声排放标准》（</w:t>
      </w:r>
      <w:r>
        <w:rPr>
          <w:rFonts w:hint="eastAsia" w:ascii="Times New Roman" w:hAnsi="Times New Roman" w:eastAsia="仿宋" w:cs="Times New Roman"/>
          <w:color w:val="auto"/>
          <w:sz w:val="32"/>
          <w:szCs w:val="32"/>
          <w:lang w:val="en-US" w:eastAsia="zh-CN"/>
        </w:rPr>
        <w:t>GB12348-2008</w:t>
      </w:r>
      <w:r>
        <w:rPr>
          <w:rFonts w:hint="eastAsia" w:ascii="仿宋" w:hAnsi="仿宋" w:eastAsia="仿宋" w:cs="仿宋"/>
          <w:color w:val="auto"/>
          <w:sz w:val="32"/>
          <w:szCs w:val="32"/>
          <w:lang w:val="en-US" w:eastAsia="zh-CN"/>
        </w:rPr>
        <w:t>）中的</w:t>
      </w:r>
      <w:r>
        <w:rPr>
          <w:rFonts w:hint="eastAsia" w:ascii="Times New Roman" w:hAnsi="Times New Roman" w:eastAsia="仿宋" w:cs="Times New Roman"/>
          <w:color w:val="auto"/>
          <w:sz w:val="32"/>
          <w:szCs w:val="32"/>
          <w:lang w:val="en-US" w:eastAsia="zh-CN"/>
        </w:rPr>
        <w:t>3</w:t>
      </w:r>
      <w:r>
        <w:rPr>
          <w:rFonts w:hint="eastAsia" w:ascii="仿宋" w:hAnsi="仿宋" w:eastAsia="仿宋" w:cs="仿宋"/>
          <w:color w:val="auto"/>
          <w:sz w:val="32"/>
          <w:szCs w:val="32"/>
          <w:lang w:val="en-US" w:eastAsia="zh-CN"/>
        </w:rPr>
        <w:t>类声环境功能区排放限值的要求。</w:t>
      </w:r>
    </w:p>
    <w:p w14:paraId="7C341E2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（六）落实地下水、土壤污染防治措施。</w:t>
      </w:r>
      <w:r>
        <w:rPr>
          <w:rFonts w:hint="eastAsia" w:ascii="仿宋" w:hAnsi="仿宋" w:eastAsia="仿宋" w:cs="仿宋"/>
          <w:color w:val="auto"/>
          <w:sz w:val="32"/>
          <w:szCs w:val="32"/>
          <w:lang w:val="en-US" w:eastAsia="zh-CN"/>
        </w:rPr>
        <w:t>落实分区防渗措施，生产车间（生产装置区、成品暂存间、灌装间等）、危废贮存库进行重点防渗；备件库、锅炉房水处理间以及生产车间其他区域做一般防渗区；除了上述重点和一般防渗区外的硬化广场和路面区域做简单防渗，防止地下水和土壤环境污染。</w:t>
      </w:r>
    </w:p>
    <w:p w14:paraId="74CB6969">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三、污染物排放总量</w:t>
      </w:r>
    </w:p>
    <w:p w14:paraId="2D74647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根据《报告表》预测，项目建成后主要大气污染物有组织排放总量为：</w:t>
      </w:r>
      <w:r>
        <w:rPr>
          <w:rFonts w:hint="default" w:ascii="Times New Roman" w:hAnsi="Times New Roman" w:eastAsia="仿宋" w:cs="Times New Roman"/>
          <w:color w:val="auto"/>
          <w:sz w:val="32"/>
          <w:szCs w:val="32"/>
          <w:lang w:val="en-US" w:eastAsia="zh-CN"/>
        </w:rPr>
        <w:t>VOCs</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0.912</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t/a</w:t>
      </w:r>
      <w:r>
        <w:rPr>
          <w:rFonts w:hint="eastAsia" w:ascii="仿宋" w:hAnsi="仿宋" w:eastAsia="仿宋" w:cs="仿宋"/>
          <w:color w:val="auto"/>
          <w:sz w:val="32"/>
          <w:szCs w:val="32"/>
          <w:lang w:val="en-US" w:eastAsia="zh-CN"/>
        </w:rPr>
        <w:t>。</w:t>
      </w:r>
    </w:p>
    <w:p w14:paraId="1C36031A">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四、</w:t>
      </w:r>
      <w:r>
        <w:rPr>
          <w:rFonts w:hint="eastAsia" w:ascii="仿宋" w:hAnsi="仿宋" w:eastAsia="仿宋" w:cs="仿宋"/>
          <w:color w:val="auto"/>
          <w:sz w:val="32"/>
          <w:szCs w:val="32"/>
          <w:lang w:val="en-US" w:eastAsia="zh-CN"/>
        </w:rPr>
        <w:t>项目开工建设前，应依法完备其他行政许可手续。</w:t>
      </w:r>
    </w:p>
    <w:p w14:paraId="6F0ADF6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五、排污许可和环保验收</w:t>
      </w:r>
    </w:p>
    <w:p w14:paraId="5857EB32">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建设必须严格执行配套建设的环境保护设施与主体工程同时设计、同时施工、同时投产使用的环境保护“三同时”制度。在发生实际排污行为前，按照国家排污许可管理有关规定要求，依法申领排污许可证或者填报排污登记表，不得无证排污或不按证排污。</w:t>
      </w:r>
    </w:p>
    <w:p w14:paraId="1AD1FF8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你公司是建设项目竣工环境保护验收的责任主体，应当在项目竣工后，按照规定的程序和标准，组织对配套建设的环境保护设施及对策措施进行验收，并依法公开验收报告和相关信息，接受社会监督。项目验收合格后方可投入生产或使用。</w:t>
      </w:r>
    </w:p>
    <w:p w14:paraId="28E4AA3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六、其他规定</w:t>
      </w:r>
    </w:p>
    <w:p w14:paraId="72C4D8F2">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环境影响评价文件经批准后，如项目的性质、规模、地点、工艺或者防治污染、防止生态破坏的措施发生重大变动，你公司应当重新报批环境影响评价文件，否则不得实施建设。自环境影响评价文件批准之日起，如项目超过</w:t>
      </w:r>
      <w:r>
        <w:rPr>
          <w:rFonts w:hint="default" w:ascii="Times New Roman" w:hAnsi="Times New Roman" w:eastAsia="仿宋" w:cs="Times New Roman"/>
          <w:color w:val="auto"/>
          <w:sz w:val="32"/>
          <w:szCs w:val="32"/>
          <w:lang w:val="en-US" w:eastAsia="zh-CN"/>
        </w:rPr>
        <w:t>5</w:t>
      </w:r>
      <w:r>
        <w:rPr>
          <w:rFonts w:hint="eastAsia" w:ascii="仿宋" w:hAnsi="仿宋" w:eastAsia="仿宋" w:cs="仿宋"/>
          <w:color w:val="auto"/>
          <w:sz w:val="32"/>
          <w:szCs w:val="32"/>
          <w:lang w:val="en-US" w:eastAsia="zh-CN"/>
        </w:rPr>
        <w:t>年方决定开工建设，环境影响评价文件应当报我局重新审核。</w:t>
      </w:r>
    </w:p>
    <w:p w14:paraId="76A34103">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rPr>
          <w:rFonts w:hint="eastAsia" w:ascii="仿宋" w:hAnsi="仿宋" w:eastAsia="仿宋" w:cs="仿宋"/>
          <w:color w:val="auto"/>
          <w:sz w:val="32"/>
          <w:szCs w:val="32"/>
          <w:lang w:val="en-US" w:eastAsia="zh-CN"/>
        </w:rPr>
      </w:pPr>
    </w:p>
    <w:p w14:paraId="03E48305">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rPr>
          <w:rFonts w:hint="eastAsia" w:ascii="仿宋" w:hAnsi="仿宋" w:eastAsia="仿宋" w:cs="仿宋"/>
          <w:color w:val="auto"/>
          <w:sz w:val="32"/>
          <w:szCs w:val="32"/>
          <w:lang w:val="en-US" w:eastAsia="zh-CN"/>
        </w:rPr>
      </w:pPr>
    </w:p>
    <w:p w14:paraId="779AAE4A">
      <w:pPr>
        <w:pStyle w:val="22"/>
        <w:keepNext w:val="0"/>
        <w:keepLines w:val="0"/>
        <w:pageBreakBefore w:val="0"/>
        <w:widowControl w:val="0"/>
        <w:kinsoku/>
        <w:wordWrap/>
        <w:overflowPunct/>
        <w:topLinePunct w:val="0"/>
        <w:autoSpaceDE/>
        <w:autoSpaceDN/>
        <w:bidi w:val="0"/>
        <w:adjustRightInd/>
        <w:snapToGrid/>
        <w:spacing w:line="600" w:lineRule="exact"/>
        <w:ind w:firstLine="4864" w:firstLineChars="1600"/>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遂宁市大英生态环境局</w:t>
      </w:r>
    </w:p>
    <w:p w14:paraId="58396B84">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 w:hAnsi="仿宋" w:eastAsia="仿宋" w:cs="仿宋"/>
          <w:spacing w:val="-6"/>
          <w:sz w:val="32"/>
          <w:szCs w:val="32"/>
          <w:lang w:val="en-US" w:eastAsia="zh-CN"/>
        </w:rPr>
      </w:pPr>
      <w:r>
        <w:rPr>
          <w:rFonts w:hint="default" w:ascii="Times New Roman" w:hAnsi="Times New Roman" w:eastAsia="仿宋" w:cs="Times New Roman"/>
          <w:spacing w:val="-6"/>
          <w:sz w:val="32"/>
          <w:szCs w:val="32"/>
          <w:lang w:val="en-US" w:eastAsia="zh-CN"/>
        </w:rPr>
        <w:t>2025年</w:t>
      </w:r>
      <w:r>
        <w:rPr>
          <w:rFonts w:hint="eastAsia" w:cs="Times New Roman"/>
          <w:spacing w:val="-6"/>
          <w:sz w:val="32"/>
          <w:szCs w:val="32"/>
          <w:lang w:val="en-US" w:eastAsia="zh-CN"/>
        </w:rPr>
        <w:t>2</w:t>
      </w:r>
      <w:r>
        <w:rPr>
          <w:rFonts w:hint="default" w:ascii="Times New Roman" w:hAnsi="Times New Roman" w:eastAsia="仿宋" w:cs="Times New Roman"/>
          <w:spacing w:val="-6"/>
          <w:sz w:val="32"/>
          <w:szCs w:val="32"/>
          <w:lang w:val="en-US" w:eastAsia="zh-CN"/>
        </w:rPr>
        <w:t>月</w:t>
      </w:r>
      <w:r>
        <w:rPr>
          <w:rFonts w:hint="eastAsia" w:cs="Times New Roman"/>
          <w:spacing w:val="-6"/>
          <w:sz w:val="32"/>
          <w:szCs w:val="32"/>
          <w:lang w:val="en-US" w:eastAsia="zh-CN"/>
        </w:rPr>
        <w:t>14</w:t>
      </w:r>
      <w:r>
        <w:rPr>
          <w:rFonts w:hint="eastAsia" w:ascii="仿宋" w:hAnsi="仿宋" w:eastAsia="仿宋" w:cs="仿宋"/>
          <w:spacing w:val="-6"/>
          <w:sz w:val="32"/>
          <w:szCs w:val="32"/>
          <w:lang w:val="en-US" w:eastAsia="zh-CN"/>
        </w:rPr>
        <w:t xml:space="preserve">日        </w:t>
      </w:r>
    </w:p>
    <w:p w14:paraId="4B3A3F3E">
      <w:pPr>
        <w:pStyle w:val="2"/>
        <w:keepNext w:val="0"/>
        <w:keepLines w:val="0"/>
        <w:pageBreakBefore w:val="0"/>
        <w:widowControl w:val="0"/>
        <w:kinsoku/>
        <w:wordWrap/>
        <w:overflowPunct/>
        <w:topLinePunct w:val="0"/>
        <w:autoSpaceDE/>
        <w:autoSpaceDN/>
        <w:bidi w:val="0"/>
        <w:spacing w:line="600" w:lineRule="exact"/>
        <w:textAlignment w:val="auto"/>
        <w:rPr>
          <w:rFonts w:hint="eastAsia"/>
          <w:lang w:val="en-US" w:eastAsia="zh-CN"/>
        </w:rPr>
      </w:pPr>
    </w:p>
    <w:sectPr>
      <w:footerReference r:id="rId6" w:type="default"/>
      <w:footerReference r:id="rId7" w:type="even"/>
      <w:pgSz w:w="11906" w:h="16838"/>
      <w:pgMar w:top="2098" w:right="1474" w:bottom="1531" w:left="1587" w:header="851" w:footer="1134" w:gutter="0"/>
      <w:pgBorders>
        <w:top w:val="none" w:sz="0" w:space="0"/>
        <w:left w:val="none" w:sz="0" w:space="0"/>
        <w:bottom w:val="none" w:sz="0" w:space="0"/>
        <w:right w:val="none" w:sz="0" w:space="0"/>
      </w:pgBorders>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C7278">
    <w:pPr>
      <w:pStyle w:val="10"/>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0099F">
    <w:pPr>
      <w:pStyle w:val="10"/>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posOffset>4749800</wp:posOffset>
              </wp:positionH>
              <wp:positionV relativeFrom="paragraph">
                <wp:posOffset>38100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9E1F1">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4pt;margin-top:3pt;height:144pt;width:144pt;mso-position-horizontal-relative:margin;mso-wrap-style:none;z-index:251659264;mso-width-relative:page;mso-height-relative:page;" filled="f" stroked="f" coordsize="21600,21600" o:gfxdata="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0mRU1wAAAAo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14:paraId="65A9E1F1">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8AD05">
    <w:pPr>
      <w:pStyle w:val="10"/>
    </w:pPr>
    <w:r>
      <w:rPr>
        <w:sz w:val="18"/>
      </w:rPr>
      <mc:AlternateContent>
        <mc:Choice Requires="wps">
          <w:drawing>
            <wp:anchor distT="0" distB="0" distL="114300" distR="114300" simplePos="0" relativeHeight="251660288" behindDoc="0" locked="0" layoutInCell="1" allowOverlap="1">
              <wp:simplePos x="0" y="0"/>
              <wp:positionH relativeFrom="margin">
                <wp:posOffset>238125</wp:posOffset>
              </wp:positionH>
              <wp:positionV relativeFrom="paragraph">
                <wp:posOffset>19050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6E0E8">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75pt;margin-top:1.5pt;height:144pt;width:144pt;mso-position-horizontal-relative:margin;mso-wrap-style:none;z-index:251660288;mso-width-relative:page;mso-height-relative:page;" filled="f" stroked="f" coordsize="21600,21600" o:gfxdata="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7xW9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14:paraId="5D56E0E8">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E0119">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5946D">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YTcyMTA2YTEzZjlmODNjMTcyZWQ1ZGZhOGJjMzQifQ=="/>
  </w:docVars>
  <w:rsids>
    <w:rsidRoot w:val="00000000"/>
    <w:rsid w:val="000E3FC3"/>
    <w:rsid w:val="000F1CC9"/>
    <w:rsid w:val="00200875"/>
    <w:rsid w:val="007F0A1D"/>
    <w:rsid w:val="00951FEE"/>
    <w:rsid w:val="009F3AFC"/>
    <w:rsid w:val="00BC05CB"/>
    <w:rsid w:val="011F28D3"/>
    <w:rsid w:val="01844E19"/>
    <w:rsid w:val="01BE4D35"/>
    <w:rsid w:val="01CF32DE"/>
    <w:rsid w:val="01DD1972"/>
    <w:rsid w:val="01FD40F1"/>
    <w:rsid w:val="02051E2E"/>
    <w:rsid w:val="02B22144"/>
    <w:rsid w:val="030014CC"/>
    <w:rsid w:val="03455479"/>
    <w:rsid w:val="03AC7D7B"/>
    <w:rsid w:val="04013FA5"/>
    <w:rsid w:val="04051239"/>
    <w:rsid w:val="041E0EAD"/>
    <w:rsid w:val="04B073F7"/>
    <w:rsid w:val="04F90CBC"/>
    <w:rsid w:val="058E1023"/>
    <w:rsid w:val="05C807C9"/>
    <w:rsid w:val="060A0D89"/>
    <w:rsid w:val="061D4AE9"/>
    <w:rsid w:val="062B5ABB"/>
    <w:rsid w:val="066F47D1"/>
    <w:rsid w:val="069C40D7"/>
    <w:rsid w:val="06B31420"/>
    <w:rsid w:val="07445783"/>
    <w:rsid w:val="07BE62CF"/>
    <w:rsid w:val="08076BAC"/>
    <w:rsid w:val="08157D0A"/>
    <w:rsid w:val="082B7D91"/>
    <w:rsid w:val="08516175"/>
    <w:rsid w:val="088675ED"/>
    <w:rsid w:val="089E130F"/>
    <w:rsid w:val="08A70EB9"/>
    <w:rsid w:val="092A1E12"/>
    <w:rsid w:val="094E2162"/>
    <w:rsid w:val="095B2106"/>
    <w:rsid w:val="096168DE"/>
    <w:rsid w:val="098F0FA5"/>
    <w:rsid w:val="098F7460"/>
    <w:rsid w:val="0994100B"/>
    <w:rsid w:val="09A231A8"/>
    <w:rsid w:val="0A892BC4"/>
    <w:rsid w:val="0ADA51CD"/>
    <w:rsid w:val="0AE4604C"/>
    <w:rsid w:val="0B327E48"/>
    <w:rsid w:val="0B5D195B"/>
    <w:rsid w:val="0B8E1704"/>
    <w:rsid w:val="0BE4740F"/>
    <w:rsid w:val="0C112E71"/>
    <w:rsid w:val="0C4C2651"/>
    <w:rsid w:val="0C8F3D96"/>
    <w:rsid w:val="0F410220"/>
    <w:rsid w:val="0F5D7B56"/>
    <w:rsid w:val="0F926D2E"/>
    <w:rsid w:val="0FB35FED"/>
    <w:rsid w:val="10632F32"/>
    <w:rsid w:val="108B04C2"/>
    <w:rsid w:val="10D95F27"/>
    <w:rsid w:val="10FC434A"/>
    <w:rsid w:val="1142587A"/>
    <w:rsid w:val="11553800"/>
    <w:rsid w:val="12011292"/>
    <w:rsid w:val="129F4917"/>
    <w:rsid w:val="13421B62"/>
    <w:rsid w:val="13A050E7"/>
    <w:rsid w:val="13A244C7"/>
    <w:rsid w:val="13EF0002"/>
    <w:rsid w:val="14096231"/>
    <w:rsid w:val="147409B1"/>
    <w:rsid w:val="14741B39"/>
    <w:rsid w:val="14AA3E63"/>
    <w:rsid w:val="14CA62B3"/>
    <w:rsid w:val="150D00D3"/>
    <w:rsid w:val="15AB60E4"/>
    <w:rsid w:val="15C947BC"/>
    <w:rsid w:val="16243B6E"/>
    <w:rsid w:val="16500214"/>
    <w:rsid w:val="16614C2A"/>
    <w:rsid w:val="16793172"/>
    <w:rsid w:val="172120C7"/>
    <w:rsid w:val="172762F6"/>
    <w:rsid w:val="1735378C"/>
    <w:rsid w:val="17586B74"/>
    <w:rsid w:val="17866686"/>
    <w:rsid w:val="18196B6F"/>
    <w:rsid w:val="1907403C"/>
    <w:rsid w:val="194A1AC8"/>
    <w:rsid w:val="196654F1"/>
    <w:rsid w:val="1A5916FA"/>
    <w:rsid w:val="1A64450C"/>
    <w:rsid w:val="1ACF0994"/>
    <w:rsid w:val="1ACF1846"/>
    <w:rsid w:val="1ADB2985"/>
    <w:rsid w:val="1B326960"/>
    <w:rsid w:val="1B7C3FB9"/>
    <w:rsid w:val="1BBB6955"/>
    <w:rsid w:val="1BCC1635"/>
    <w:rsid w:val="1D04432C"/>
    <w:rsid w:val="1D1F6E89"/>
    <w:rsid w:val="1D383FD6"/>
    <w:rsid w:val="1D430F87"/>
    <w:rsid w:val="1DC1221D"/>
    <w:rsid w:val="1DEC2C84"/>
    <w:rsid w:val="1E17071F"/>
    <w:rsid w:val="1E29348B"/>
    <w:rsid w:val="1E54477C"/>
    <w:rsid w:val="1E6609BF"/>
    <w:rsid w:val="1EAC44A7"/>
    <w:rsid w:val="1F117716"/>
    <w:rsid w:val="1F8E271B"/>
    <w:rsid w:val="1FBB33C8"/>
    <w:rsid w:val="1FC85967"/>
    <w:rsid w:val="203222E6"/>
    <w:rsid w:val="204F3B10"/>
    <w:rsid w:val="20523600"/>
    <w:rsid w:val="20E223FB"/>
    <w:rsid w:val="20E64474"/>
    <w:rsid w:val="213E3779"/>
    <w:rsid w:val="21464F13"/>
    <w:rsid w:val="21BE719F"/>
    <w:rsid w:val="221F14A8"/>
    <w:rsid w:val="224F429B"/>
    <w:rsid w:val="23631F61"/>
    <w:rsid w:val="23775858"/>
    <w:rsid w:val="238D507B"/>
    <w:rsid w:val="23D305B4"/>
    <w:rsid w:val="23E07BD5"/>
    <w:rsid w:val="24DD793C"/>
    <w:rsid w:val="24EA5565"/>
    <w:rsid w:val="251C281B"/>
    <w:rsid w:val="25280D20"/>
    <w:rsid w:val="25FC1B6A"/>
    <w:rsid w:val="26672398"/>
    <w:rsid w:val="26B37B9F"/>
    <w:rsid w:val="271B5D95"/>
    <w:rsid w:val="273A436A"/>
    <w:rsid w:val="27710810"/>
    <w:rsid w:val="27E16961"/>
    <w:rsid w:val="28904795"/>
    <w:rsid w:val="290D5E5A"/>
    <w:rsid w:val="29BD7D3C"/>
    <w:rsid w:val="29E46919"/>
    <w:rsid w:val="2A1F2C38"/>
    <w:rsid w:val="2A2D6A04"/>
    <w:rsid w:val="2A784B2D"/>
    <w:rsid w:val="2A785045"/>
    <w:rsid w:val="2AAB5339"/>
    <w:rsid w:val="2AC24BA7"/>
    <w:rsid w:val="2B79362F"/>
    <w:rsid w:val="2B8C4F39"/>
    <w:rsid w:val="2B9E2295"/>
    <w:rsid w:val="2C3562B0"/>
    <w:rsid w:val="2C8B41B2"/>
    <w:rsid w:val="2CFA5D9C"/>
    <w:rsid w:val="2DC309C3"/>
    <w:rsid w:val="2DED6716"/>
    <w:rsid w:val="2E07339C"/>
    <w:rsid w:val="2EFC29C4"/>
    <w:rsid w:val="2F1C72B3"/>
    <w:rsid w:val="2F57550A"/>
    <w:rsid w:val="2FC71794"/>
    <w:rsid w:val="310F7B8F"/>
    <w:rsid w:val="31224929"/>
    <w:rsid w:val="31442D31"/>
    <w:rsid w:val="31774C75"/>
    <w:rsid w:val="31F50C2D"/>
    <w:rsid w:val="31FD6612"/>
    <w:rsid w:val="32C1089D"/>
    <w:rsid w:val="32EB3B6C"/>
    <w:rsid w:val="33351A68"/>
    <w:rsid w:val="335D2C02"/>
    <w:rsid w:val="33775400"/>
    <w:rsid w:val="33F01C8F"/>
    <w:rsid w:val="34047828"/>
    <w:rsid w:val="343706EB"/>
    <w:rsid w:val="344E1C6F"/>
    <w:rsid w:val="347C2F67"/>
    <w:rsid w:val="34996C6F"/>
    <w:rsid w:val="34A22009"/>
    <w:rsid w:val="34D12CF9"/>
    <w:rsid w:val="35411821"/>
    <w:rsid w:val="354A265C"/>
    <w:rsid w:val="35B53FBD"/>
    <w:rsid w:val="363D60B8"/>
    <w:rsid w:val="36A77DAA"/>
    <w:rsid w:val="36C83179"/>
    <w:rsid w:val="36CF7301"/>
    <w:rsid w:val="370C4333"/>
    <w:rsid w:val="37225683"/>
    <w:rsid w:val="372748CB"/>
    <w:rsid w:val="37461371"/>
    <w:rsid w:val="376A1E4F"/>
    <w:rsid w:val="37A81FD1"/>
    <w:rsid w:val="386B7755"/>
    <w:rsid w:val="38C236CA"/>
    <w:rsid w:val="39116741"/>
    <w:rsid w:val="3965276B"/>
    <w:rsid w:val="39E83924"/>
    <w:rsid w:val="3A110B07"/>
    <w:rsid w:val="3A2A31CC"/>
    <w:rsid w:val="3B2522B6"/>
    <w:rsid w:val="3B313DE1"/>
    <w:rsid w:val="3B443E1A"/>
    <w:rsid w:val="3B495557"/>
    <w:rsid w:val="3B7918F6"/>
    <w:rsid w:val="3B9603ED"/>
    <w:rsid w:val="3BD232AA"/>
    <w:rsid w:val="3BF770DE"/>
    <w:rsid w:val="3C1E30AA"/>
    <w:rsid w:val="3C620396"/>
    <w:rsid w:val="3C722C08"/>
    <w:rsid w:val="3C7D32C2"/>
    <w:rsid w:val="3C8A5E5F"/>
    <w:rsid w:val="3D996A75"/>
    <w:rsid w:val="3E406C06"/>
    <w:rsid w:val="3ECE409C"/>
    <w:rsid w:val="3ED417EA"/>
    <w:rsid w:val="3EEF569D"/>
    <w:rsid w:val="3F042EDF"/>
    <w:rsid w:val="3F0F2990"/>
    <w:rsid w:val="3F8A2017"/>
    <w:rsid w:val="40100624"/>
    <w:rsid w:val="40B97948"/>
    <w:rsid w:val="40BF5A1E"/>
    <w:rsid w:val="40F45458"/>
    <w:rsid w:val="410302D3"/>
    <w:rsid w:val="41313A1B"/>
    <w:rsid w:val="415844BA"/>
    <w:rsid w:val="41A33677"/>
    <w:rsid w:val="41EC74B9"/>
    <w:rsid w:val="427C7D09"/>
    <w:rsid w:val="42A751E8"/>
    <w:rsid w:val="42B94077"/>
    <w:rsid w:val="42D92940"/>
    <w:rsid w:val="42E61C5A"/>
    <w:rsid w:val="431B66DD"/>
    <w:rsid w:val="433E49AD"/>
    <w:rsid w:val="43C024AB"/>
    <w:rsid w:val="44000AFA"/>
    <w:rsid w:val="440C3E60"/>
    <w:rsid w:val="44242A3A"/>
    <w:rsid w:val="44496945"/>
    <w:rsid w:val="445043AE"/>
    <w:rsid w:val="44D6679B"/>
    <w:rsid w:val="44EB79FC"/>
    <w:rsid w:val="453B44DF"/>
    <w:rsid w:val="45603F46"/>
    <w:rsid w:val="45650C43"/>
    <w:rsid w:val="457B0D80"/>
    <w:rsid w:val="45EE22DC"/>
    <w:rsid w:val="46564467"/>
    <w:rsid w:val="46CE1751"/>
    <w:rsid w:val="47173438"/>
    <w:rsid w:val="47B72074"/>
    <w:rsid w:val="47ED3A8B"/>
    <w:rsid w:val="47FC4AB3"/>
    <w:rsid w:val="48473F43"/>
    <w:rsid w:val="486C0E54"/>
    <w:rsid w:val="489B34E7"/>
    <w:rsid w:val="48CB3DCC"/>
    <w:rsid w:val="491F4DFE"/>
    <w:rsid w:val="49225801"/>
    <w:rsid w:val="4944487A"/>
    <w:rsid w:val="496833C9"/>
    <w:rsid w:val="49F74B85"/>
    <w:rsid w:val="4A2C2648"/>
    <w:rsid w:val="4A5D7073"/>
    <w:rsid w:val="4B6126FE"/>
    <w:rsid w:val="4BA71E75"/>
    <w:rsid w:val="4BBC5C4E"/>
    <w:rsid w:val="4C6267F5"/>
    <w:rsid w:val="4CD46FC7"/>
    <w:rsid w:val="4CEA0599"/>
    <w:rsid w:val="4D0A226B"/>
    <w:rsid w:val="4D534390"/>
    <w:rsid w:val="4D61085B"/>
    <w:rsid w:val="4DA81B78"/>
    <w:rsid w:val="4DC1579E"/>
    <w:rsid w:val="4DC16BB8"/>
    <w:rsid w:val="4E4D24B7"/>
    <w:rsid w:val="4E7F7BF0"/>
    <w:rsid w:val="4F284BD5"/>
    <w:rsid w:val="504C6A58"/>
    <w:rsid w:val="509E5922"/>
    <w:rsid w:val="50A22112"/>
    <w:rsid w:val="50B74C36"/>
    <w:rsid w:val="50B909AE"/>
    <w:rsid w:val="50D50B0D"/>
    <w:rsid w:val="50E26863"/>
    <w:rsid w:val="510F6820"/>
    <w:rsid w:val="515E19A1"/>
    <w:rsid w:val="517406A1"/>
    <w:rsid w:val="518979CC"/>
    <w:rsid w:val="52614E59"/>
    <w:rsid w:val="52876F40"/>
    <w:rsid w:val="52A56FED"/>
    <w:rsid w:val="53B349BB"/>
    <w:rsid w:val="53ED2369"/>
    <w:rsid w:val="540E1011"/>
    <w:rsid w:val="54454557"/>
    <w:rsid w:val="5467641D"/>
    <w:rsid w:val="54C73958"/>
    <w:rsid w:val="54C87412"/>
    <w:rsid w:val="54DB601C"/>
    <w:rsid w:val="54E51D72"/>
    <w:rsid w:val="55517407"/>
    <w:rsid w:val="55590D4A"/>
    <w:rsid w:val="558A2919"/>
    <w:rsid w:val="559317CE"/>
    <w:rsid w:val="5598523A"/>
    <w:rsid w:val="55D1023B"/>
    <w:rsid w:val="55D342C0"/>
    <w:rsid w:val="55E55DA1"/>
    <w:rsid w:val="561346BC"/>
    <w:rsid w:val="56446F6C"/>
    <w:rsid w:val="56655A83"/>
    <w:rsid w:val="566A0472"/>
    <w:rsid w:val="56A122EE"/>
    <w:rsid w:val="56B365F2"/>
    <w:rsid w:val="56F20776"/>
    <w:rsid w:val="571B5F1F"/>
    <w:rsid w:val="571C1C97"/>
    <w:rsid w:val="573E7E5F"/>
    <w:rsid w:val="57480484"/>
    <w:rsid w:val="577473DD"/>
    <w:rsid w:val="579B1ED9"/>
    <w:rsid w:val="57DD263C"/>
    <w:rsid w:val="57EE76DD"/>
    <w:rsid w:val="58402ED1"/>
    <w:rsid w:val="585711D8"/>
    <w:rsid w:val="58902BFC"/>
    <w:rsid w:val="58AD279A"/>
    <w:rsid w:val="58C4394C"/>
    <w:rsid w:val="58D418CA"/>
    <w:rsid w:val="58E529EC"/>
    <w:rsid w:val="59030A18"/>
    <w:rsid w:val="59205D38"/>
    <w:rsid w:val="597D4C6F"/>
    <w:rsid w:val="59C94FB5"/>
    <w:rsid w:val="59D820AB"/>
    <w:rsid w:val="5A1D3DD1"/>
    <w:rsid w:val="5A513A05"/>
    <w:rsid w:val="5A9803FD"/>
    <w:rsid w:val="5B2E7F20"/>
    <w:rsid w:val="5C46174B"/>
    <w:rsid w:val="5C781657"/>
    <w:rsid w:val="5C8A31FF"/>
    <w:rsid w:val="5CBA1D36"/>
    <w:rsid w:val="5D307EFB"/>
    <w:rsid w:val="5D942597"/>
    <w:rsid w:val="5DCB6DD4"/>
    <w:rsid w:val="5DDD5997"/>
    <w:rsid w:val="5DDE7CA6"/>
    <w:rsid w:val="5E3D4525"/>
    <w:rsid w:val="5EC51967"/>
    <w:rsid w:val="5EEF1188"/>
    <w:rsid w:val="5EFB1046"/>
    <w:rsid w:val="5F13397F"/>
    <w:rsid w:val="5F304531"/>
    <w:rsid w:val="5F3E598F"/>
    <w:rsid w:val="5F7F5B76"/>
    <w:rsid w:val="5F9E07E1"/>
    <w:rsid w:val="60217911"/>
    <w:rsid w:val="60570CFE"/>
    <w:rsid w:val="60805DB4"/>
    <w:rsid w:val="60B414A2"/>
    <w:rsid w:val="60E60A94"/>
    <w:rsid w:val="613926B5"/>
    <w:rsid w:val="61A44D62"/>
    <w:rsid w:val="61CD7A93"/>
    <w:rsid w:val="61CF012A"/>
    <w:rsid w:val="61D562CA"/>
    <w:rsid w:val="6243457B"/>
    <w:rsid w:val="62466CE8"/>
    <w:rsid w:val="62B47F03"/>
    <w:rsid w:val="62BB2173"/>
    <w:rsid w:val="6307250B"/>
    <w:rsid w:val="63133F4E"/>
    <w:rsid w:val="632C2E62"/>
    <w:rsid w:val="63A23524"/>
    <w:rsid w:val="64B90B25"/>
    <w:rsid w:val="64EF4296"/>
    <w:rsid w:val="654B3E73"/>
    <w:rsid w:val="65A43DE1"/>
    <w:rsid w:val="665B1DD8"/>
    <w:rsid w:val="66C335AB"/>
    <w:rsid w:val="66EF6A80"/>
    <w:rsid w:val="670815C7"/>
    <w:rsid w:val="67B77544"/>
    <w:rsid w:val="67C91DE0"/>
    <w:rsid w:val="681D537C"/>
    <w:rsid w:val="682A747C"/>
    <w:rsid w:val="682D2963"/>
    <w:rsid w:val="686F7BAE"/>
    <w:rsid w:val="68AF64C7"/>
    <w:rsid w:val="692F54EF"/>
    <w:rsid w:val="69966FC3"/>
    <w:rsid w:val="69BE7A7D"/>
    <w:rsid w:val="69CD2D06"/>
    <w:rsid w:val="6A2932E0"/>
    <w:rsid w:val="6A832EF5"/>
    <w:rsid w:val="6AAA7F05"/>
    <w:rsid w:val="6AAE27AE"/>
    <w:rsid w:val="6AEF34F2"/>
    <w:rsid w:val="6B7676D1"/>
    <w:rsid w:val="6BD65887"/>
    <w:rsid w:val="6C564F9A"/>
    <w:rsid w:val="6C7D1B5B"/>
    <w:rsid w:val="6C846928"/>
    <w:rsid w:val="6CAD5413"/>
    <w:rsid w:val="6CB26586"/>
    <w:rsid w:val="6D274DA7"/>
    <w:rsid w:val="6D3C5791"/>
    <w:rsid w:val="6D5A5D50"/>
    <w:rsid w:val="6DE0074F"/>
    <w:rsid w:val="6DEB6B12"/>
    <w:rsid w:val="6E02688E"/>
    <w:rsid w:val="6E550418"/>
    <w:rsid w:val="6E560B0F"/>
    <w:rsid w:val="6EAF58DB"/>
    <w:rsid w:val="6EF74724"/>
    <w:rsid w:val="6EFF47BA"/>
    <w:rsid w:val="6F394D3C"/>
    <w:rsid w:val="6F657F39"/>
    <w:rsid w:val="6F6E3FD1"/>
    <w:rsid w:val="6F705600"/>
    <w:rsid w:val="6FC445FC"/>
    <w:rsid w:val="6FD61F1E"/>
    <w:rsid w:val="6FF46C64"/>
    <w:rsid w:val="70544BEF"/>
    <w:rsid w:val="708C17E3"/>
    <w:rsid w:val="70D24CB2"/>
    <w:rsid w:val="714B060F"/>
    <w:rsid w:val="71B27028"/>
    <w:rsid w:val="724B2FD5"/>
    <w:rsid w:val="724F0D1A"/>
    <w:rsid w:val="72774C9A"/>
    <w:rsid w:val="727C1767"/>
    <w:rsid w:val="72B86D8A"/>
    <w:rsid w:val="72C65FB9"/>
    <w:rsid w:val="72F86CBC"/>
    <w:rsid w:val="73C80D84"/>
    <w:rsid w:val="73F90F3E"/>
    <w:rsid w:val="740B7313"/>
    <w:rsid w:val="746F0F41"/>
    <w:rsid w:val="74A5181A"/>
    <w:rsid w:val="74AF784E"/>
    <w:rsid w:val="74B80DF9"/>
    <w:rsid w:val="74C657DF"/>
    <w:rsid w:val="75091655"/>
    <w:rsid w:val="751C3136"/>
    <w:rsid w:val="75F05E6C"/>
    <w:rsid w:val="76150602"/>
    <w:rsid w:val="761738FD"/>
    <w:rsid w:val="767A3729"/>
    <w:rsid w:val="7695679F"/>
    <w:rsid w:val="76D249F1"/>
    <w:rsid w:val="76D96E05"/>
    <w:rsid w:val="76FC7D28"/>
    <w:rsid w:val="77992DA9"/>
    <w:rsid w:val="782446B8"/>
    <w:rsid w:val="78532FC3"/>
    <w:rsid w:val="78E33F6B"/>
    <w:rsid w:val="78E7601E"/>
    <w:rsid w:val="78EA778B"/>
    <w:rsid w:val="78F06C72"/>
    <w:rsid w:val="79294BA1"/>
    <w:rsid w:val="7987219A"/>
    <w:rsid w:val="79C96773"/>
    <w:rsid w:val="79D61A12"/>
    <w:rsid w:val="7A195E96"/>
    <w:rsid w:val="7A3945A5"/>
    <w:rsid w:val="7AA33F18"/>
    <w:rsid w:val="7AB14D88"/>
    <w:rsid w:val="7ADF7B23"/>
    <w:rsid w:val="7B191EC6"/>
    <w:rsid w:val="7B6A44CF"/>
    <w:rsid w:val="7B825CBD"/>
    <w:rsid w:val="7BE10C35"/>
    <w:rsid w:val="7BEE3352"/>
    <w:rsid w:val="7C663B77"/>
    <w:rsid w:val="7C7535FD"/>
    <w:rsid w:val="7C7E6484"/>
    <w:rsid w:val="7C7F518D"/>
    <w:rsid w:val="7CCB0AFF"/>
    <w:rsid w:val="7D1512CD"/>
    <w:rsid w:val="7D254B52"/>
    <w:rsid w:val="7D282312"/>
    <w:rsid w:val="7DC26844"/>
    <w:rsid w:val="7E152E18"/>
    <w:rsid w:val="7E17693C"/>
    <w:rsid w:val="7E696DF4"/>
    <w:rsid w:val="7EBC6E92"/>
    <w:rsid w:val="7ED22AB7"/>
    <w:rsid w:val="7ED71E7C"/>
    <w:rsid w:val="7F1B7FBA"/>
    <w:rsid w:val="7F710522"/>
    <w:rsid w:val="7FB2681E"/>
    <w:rsid w:val="7FC82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 w:cstheme="minorBidi"/>
      <w:kern w:val="2"/>
      <w:sz w:val="32"/>
      <w:szCs w:val="32"/>
      <w:lang w:val="en-US" w:eastAsia="zh-CN" w:bidi="ar-SA"/>
    </w:rPr>
  </w:style>
  <w:style w:type="paragraph" w:styleId="3">
    <w:name w:val="heading 2"/>
    <w:basedOn w:val="1"/>
    <w:next w:val="1"/>
    <w:autoRedefine/>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4">
    <w:name w:val="heading 3"/>
    <w:basedOn w:val="1"/>
    <w:next w:val="1"/>
    <w:autoRedefine/>
    <w:semiHidden/>
    <w:unhideWhenUsed/>
    <w:qFormat/>
    <w:uiPriority w:val="0"/>
    <w:pPr>
      <w:keepNext/>
      <w:keepLines/>
      <w:spacing w:line="560" w:lineRule="exact"/>
      <w:outlineLvl w:val="2"/>
    </w:pPr>
    <w:rPr>
      <w:rFonts w:eastAsia="楷体"/>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qFormat/>
    <w:uiPriority w:val="0"/>
    <w:pPr>
      <w:adjustRightInd w:val="0"/>
      <w:snapToGrid w:val="0"/>
      <w:spacing w:line="440" w:lineRule="atLeast"/>
      <w:ind w:firstLine="573"/>
    </w:pPr>
    <w:rPr>
      <w:rFonts w:ascii="宋体"/>
    </w:rPr>
  </w:style>
  <w:style w:type="paragraph" w:styleId="5">
    <w:name w:val="List Number"/>
    <w:basedOn w:val="1"/>
    <w:autoRedefine/>
    <w:qFormat/>
    <w:uiPriority w:val="0"/>
    <w:pPr>
      <w:numPr>
        <w:ilvl w:val="0"/>
        <w:numId w:val="1"/>
      </w:numPr>
    </w:pPr>
  </w:style>
  <w:style w:type="paragraph" w:styleId="6">
    <w:name w:val="toa heading"/>
    <w:basedOn w:val="1"/>
    <w:next w:val="1"/>
    <w:autoRedefine/>
    <w:qFormat/>
    <w:uiPriority w:val="0"/>
    <w:pPr>
      <w:spacing w:before="120"/>
    </w:pPr>
    <w:rPr>
      <w:rFonts w:ascii="Arial" w:hAnsi="Arial" w:cs="Arial"/>
    </w:rPr>
  </w:style>
  <w:style w:type="paragraph" w:styleId="7">
    <w:name w:val="Body Text"/>
    <w:basedOn w:val="1"/>
    <w:next w:val="1"/>
    <w:autoRedefine/>
    <w:qFormat/>
    <w:uiPriority w:val="0"/>
    <w:pPr>
      <w:ind w:left="120"/>
    </w:pPr>
    <w:rPr>
      <w:rFonts w:ascii="宋体" w:hAnsi="宋体"/>
      <w:sz w:val="32"/>
      <w:szCs w:val="32"/>
    </w:rPr>
  </w:style>
  <w:style w:type="paragraph" w:styleId="8">
    <w:name w:val="Body Text Indent"/>
    <w:basedOn w:val="1"/>
    <w:autoRedefine/>
    <w:qFormat/>
    <w:uiPriority w:val="0"/>
    <w:pPr>
      <w:spacing w:after="120"/>
      <w:ind w:left="420" w:leftChars="200"/>
    </w:pPr>
  </w:style>
  <w:style w:type="paragraph" w:styleId="9">
    <w:name w:val="Plain Text"/>
    <w:basedOn w:val="1"/>
    <w:autoRedefine/>
    <w:qFormat/>
    <w:uiPriority w:val="0"/>
    <w:rPr>
      <w:rFonts w:ascii="宋体" w:hAnsi="Courier New" w:eastAsia="宋体" w:cs="Times New Roman"/>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6"/>
    <w:basedOn w:val="1"/>
    <w:next w:val="1"/>
    <w:autoRedefine/>
    <w:qFormat/>
    <w:uiPriority w:val="0"/>
    <w:pPr>
      <w:ind w:left="2100"/>
    </w:pPr>
    <w:rPr>
      <w:rFonts w:ascii="楷体_GB2312" w:hAnsi="Calibri" w:eastAsia="楷体_GB2312"/>
    </w:rPr>
  </w:style>
  <w:style w:type="paragraph" w:styleId="13">
    <w:name w:val="table of figures"/>
    <w:basedOn w:val="1"/>
    <w:next w:val="1"/>
    <w:autoRedefine/>
    <w:qFormat/>
    <w:uiPriority w:val="0"/>
    <w:pPr>
      <w:ind w:left="200" w:leftChars="200" w:hanging="200" w:hangingChars="200"/>
    </w:p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8"/>
    <w:next w:val="1"/>
    <w:autoRedefine/>
    <w:qFormat/>
    <w:uiPriority w:val="0"/>
    <w:pPr>
      <w:ind w:firstLine="420" w:firstLineChars="200"/>
    </w:p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paragraph" w:customStyle="1" w:styleId="20">
    <w:name w:val="简单回函地址"/>
    <w:basedOn w:val="1"/>
    <w:next w:val="21"/>
    <w:autoRedefine/>
    <w:qFormat/>
    <w:uiPriority w:val="0"/>
    <w:rPr>
      <w:szCs w:val="20"/>
    </w:rPr>
  </w:style>
  <w:style w:type="paragraph" w:customStyle="1" w:styleId="21">
    <w:name w:val="正文2"/>
    <w:next w:val="1"/>
    <w:autoRedefine/>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customStyle="1" w:styleId="22">
    <w:name w:val="常用样式（方正仿宋简）"/>
    <w:basedOn w:val="23"/>
    <w:next w:val="1"/>
    <w:autoRedefine/>
    <w:qFormat/>
    <w:uiPriority w:val="0"/>
    <w:pPr>
      <w:spacing w:line="560" w:lineRule="exact"/>
      <w:ind w:firstLine="640" w:firstLineChars="200"/>
    </w:pPr>
    <w:rPr>
      <w:rFonts w:ascii="Times New Roman" w:hAnsi="Times New Roman" w:eastAsia="方正仿宋简体"/>
      <w:sz w:val="32"/>
    </w:rPr>
  </w:style>
  <w:style w:type="paragraph" w:customStyle="1" w:styleId="23">
    <w:name w:val="正文1"/>
    <w:next w:val="22"/>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_Style 2"/>
    <w:basedOn w:val="1"/>
    <w:autoRedefine/>
    <w:qFormat/>
    <w:uiPriority w:val="34"/>
    <w:pPr>
      <w:ind w:firstLine="420" w:firstLineChars="200"/>
    </w:pPr>
  </w:style>
  <w:style w:type="paragraph" w:customStyle="1" w:styleId="25">
    <w:name w:val="正文文本1"/>
    <w:basedOn w:val="23"/>
    <w:autoRedefine/>
    <w:qFormat/>
    <w:uiPriority w:val="0"/>
    <w:pPr>
      <w:widowControl w:val="0"/>
      <w:spacing w:before="0" w:after="0"/>
      <w:jc w:val="both"/>
    </w:pPr>
    <w:rPr>
      <w:rFonts w:ascii="Times New Roman" w:hAnsi="Times New Roman" w:eastAsia="宋体" w:cs="Times New Roman"/>
      <w:kern w:val="2"/>
      <w:sz w:val="21"/>
      <w:szCs w:val="24"/>
      <w:lang w:val="en-US" w:eastAsia="zh-CN" w:bidi="ar-SA"/>
    </w:rPr>
  </w:style>
  <w:style w:type="paragraph" w:customStyle="1" w:styleId="2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footer1"/>
    <w:basedOn w:val="1"/>
    <w:autoRedefine/>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28">
    <w:name w:val="Normal_37"/>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29">
    <w:name w:val="font21"/>
    <w:basedOn w:val="18"/>
    <w:autoRedefine/>
    <w:qFormat/>
    <w:uiPriority w:val="0"/>
    <w:rPr>
      <w:rFonts w:hint="eastAsia" w:ascii="宋体" w:hAnsi="宋体" w:eastAsia="宋体" w:cs="宋体"/>
      <w:color w:val="000000"/>
      <w:sz w:val="20"/>
      <w:szCs w:val="20"/>
      <w:u w:val="none"/>
    </w:rPr>
  </w:style>
  <w:style w:type="paragraph" w:customStyle="1" w:styleId="30">
    <w:name w:val=" Char Char Char Char Char Char"/>
    <w:autoRedefine/>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31">
    <w:name w:val="font71"/>
    <w:basedOn w:val="18"/>
    <w:autoRedefine/>
    <w:qFormat/>
    <w:uiPriority w:val="0"/>
    <w:rPr>
      <w:rFonts w:hint="eastAsia" w:ascii="宋体" w:hAnsi="宋体" w:eastAsia="宋体" w:cs="宋体"/>
      <w:color w:val="000000"/>
      <w:sz w:val="22"/>
      <w:szCs w:val="22"/>
      <w:u w:val="none"/>
    </w:rPr>
  </w:style>
  <w:style w:type="paragraph" w:customStyle="1" w:styleId="32">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33">
    <w:name w:val="List Paragraph"/>
    <w:basedOn w:val="1"/>
    <w:autoRedefine/>
    <w:qFormat/>
    <w:uiPriority w:val="99"/>
    <w:pPr>
      <w:ind w:firstLine="420" w:firstLineChars="200"/>
    </w:pPr>
  </w:style>
  <w:style w:type="character" w:customStyle="1" w:styleId="34">
    <w:name w:val="font01"/>
    <w:basedOn w:val="18"/>
    <w:autoRedefine/>
    <w:qFormat/>
    <w:uiPriority w:val="0"/>
    <w:rPr>
      <w:rFonts w:hint="eastAsia" w:ascii="宋体" w:hAnsi="宋体" w:eastAsia="宋体" w:cs="宋体"/>
      <w:color w:val="000000"/>
      <w:sz w:val="16"/>
      <w:szCs w:val="16"/>
      <w:u w:val="none"/>
    </w:rPr>
  </w:style>
  <w:style w:type="paragraph" w:customStyle="1" w:styleId="35">
    <w:name w:val="章标题"/>
    <w:basedOn w:val="1"/>
    <w:next w:val="1"/>
    <w:autoRedefine/>
    <w:qFormat/>
    <w:uiPriority w:val="0"/>
    <w:pPr>
      <w:widowControl/>
      <w:spacing w:before="158" w:after="153" w:line="323" w:lineRule="atLeast"/>
      <w:ind w:right="-120"/>
      <w:jc w:val="center"/>
      <w:textAlignment w:val="baseline"/>
    </w:pPr>
    <w:rPr>
      <w:color w:val="FF0000"/>
      <w:sz w:val="18"/>
    </w:rPr>
  </w:style>
  <w:style w:type="character" w:customStyle="1" w:styleId="36">
    <w:name w:val="font11"/>
    <w:autoRedefine/>
    <w:qFormat/>
    <w:uiPriority w:val="0"/>
    <w:rPr>
      <w:rFonts w:ascii="宋体" w:eastAsia="宋体" w:cs="宋体"/>
      <w:color w:val="000000"/>
      <w:sz w:val="22"/>
      <w:szCs w:val="22"/>
      <w:u w:val="none"/>
      <w:lang w:bidi="ar-SA"/>
    </w:rPr>
  </w:style>
  <w:style w:type="paragraph" w:customStyle="1" w:styleId="37">
    <w:name w:val="正文_7"/>
    <w:autoRedefine/>
    <w:qFormat/>
    <w:uiPriority w:val="0"/>
    <w:pPr>
      <w:widowControl w:val="0"/>
      <w:overflowPunct w:val="0"/>
      <w:autoSpaceDE w:val="0"/>
      <w:autoSpaceDN w:val="0"/>
      <w:adjustRightInd w:val="0"/>
      <w:snapToGrid w:val="0"/>
      <w:jc w:val="both"/>
    </w:pPr>
    <w:rPr>
      <w:rFonts w:ascii="宋体" w:hAnsi="Times New Roman" w:eastAsia="宋体" w:cs="Times New Roman"/>
      <w:snapToGrid w:val="0"/>
      <w:sz w:val="28"/>
      <w:szCs w:val="24"/>
      <w:lang w:val="en-US" w:eastAsia="zh-CN" w:bidi="ar-SA"/>
    </w:rPr>
  </w:style>
  <w:style w:type="table" w:customStyle="1" w:styleId="3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1845</Words>
  <Characters>1944</Characters>
  <Lines>0</Lines>
  <Paragraphs>0</Paragraphs>
  <TotalTime>8</TotalTime>
  <ScaleCrop>false</ScaleCrop>
  <LinksUpToDate>false</LinksUpToDate>
  <CharactersWithSpaces>1958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苟朝群</cp:lastModifiedBy>
  <cp:lastPrinted>2025-01-17T02:40:00Z</cp:lastPrinted>
  <dcterms:modified xsi:type="dcterms:W3CDTF">2025-02-17T09:35:52Z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770FC33594934BA7A1849BCD676E20C8_13</vt:lpwstr>
  </property>
  <property fmtid="{D5CDD505-2E9C-101B-9397-08002B2CF9AE}" pid="4" name="KSOTemplateDocerSaveRecord">
    <vt:lpwstr>eyJoZGlkIjoiZjYzYTcyMTA2YTEzZjlmODNjMTcyZWQ1ZGZhOGJjMzQiLCJ1c2VySWQiOiIzNDIwNTM2NzcifQ==</vt:lpwstr>
  </property>
</Properties>
</file>