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10"/>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20</w:t>
      </w:r>
      <w:r>
        <w:rPr>
          <w:rFonts w:hint="eastAsia" w:ascii="仿宋" w:hAnsi="仿宋" w:eastAsia="仿宋" w:cs="仿宋"/>
          <w:sz w:val="32"/>
          <w:szCs w:val="32"/>
        </w:rPr>
        <w:t>号</w:t>
      </w:r>
    </w:p>
    <w:p w14:paraId="187037DF">
      <w:pPr>
        <w:pStyle w:val="10"/>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33CB9D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关于高性能气动活塞杆项目（一期）</w:t>
      </w:r>
    </w:p>
    <w:p w14:paraId="01A497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环境影响报告表的批复</w:t>
      </w:r>
    </w:p>
    <w:p w14:paraId="1A4C9D87">
      <w:pPr>
        <w:pStyle w:val="14"/>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16D88F0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四川善琳凯科技有限公司：</w:t>
      </w:r>
    </w:p>
    <w:p w14:paraId="1619D71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你公司报送的《高性能气动活塞杆项目（一期）环境影响报告表》（以下简称《报告表》）收悉。经研究，批复如下：</w:t>
      </w:r>
    </w:p>
    <w:p w14:paraId="792244D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6D2FD55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default" w:ascii="Times New Roman" w:hAnsi="Times New Roman" w:eastAsia="仿宋" w:cs="Times New Roman"/>
          <w:color w:val="auto"/>
          <w:sz w:val="32"/>
          <w:szCs w:val="32"/>
          <w:lang w:val="en-US" w:eastAsia="zh-CN"/>
        </w:rPr>
      </w:pPr>
      <w:r>
        <w:rPr>
          <w:rFonts w:hint="eastAsia" w:ascii="仿宋" w:hAnsi="仿宋" w:eastAsia="仿宋" w:cs="仿宋"/>
          <w:color w:val="auto"/>
          <w:sz w:val="32"/>
          <w:szCs w:val="32"/>
          <w:lang w:val="en-US" w:eastAsia="zh-CN"/>
        </w:rPr>
        <w:t>项目位于四川大英经济开发区蓬盐大道，租赁遂宁市宝垣复合材料有限公司现有厂房</w:t>
      </w:r>
      <w:r>
        <w:rPr>
          <w:rFonts w:hint="default" w:ascii="Times New Roman" w:hAnsi="Times New Roman" w:eastAsia="仿宋" w:cs="Times New Roman"/>
          <w:color w:val="auto"/>
          <w:sz w:val="32"/>
          <w:szCs w:val="32"/>
          <w:lang w:val="en-US" w:eastAsia="zh-CN"/>
        </w:rPr>
        <w:t>900m</w:t>
      </w:r>
      <w:r>
        <w:rPr>
          <w:rFonts w:hint="default" w:ascii="Times New Roman" w:hAnsi="Times New Roman" w:eastAsia="仿宋" w:cs="Times New Roman"/>
          <w:color w:val="auto"/>
          <w:sz w:val="32"/>
          <w:szCs w:val="32"/>
          <w:vertAlign w:val="superscript"/>
          <w:lang w:val="en-US" w:eastAsia="zh-CN"/>
        </w:rPr>
        <w:t>2</w:t>
      </w:r>
      <w:r>
        <w:rPr>
          <w:rFonts w:hint="eastAsia" w:ascii="仿宋" w:hAnsi="仿宋" w:eastAsia="仿宋" w:cs="仿宋"/>
          <w:color w:val="auto"/>
          <w:sz w:val="32"/>
          <w:szCs w:val="32"/>
          <w:lang w:val="en-US" w:eastAsia="zh-CN"/>
        </w:rPr>
        <w:t>，建设高端气动活塞杆加工生产线一条，配套相关公辅及环保设施，建成后形成年加工气动活塞杆</w:t>
      </w:r>
      <w:r>
        <w:rPr>
          <w:rFonts w:hint="default" w:ascii="Times New Roman" w:hAnsi="Times New Roman" w:eastAsia="仿宋" w:cs="Times New Roman"/>
          <w:color w:val="auto"/>
          <w:sz w:val="32"/>
          <w:szCs w:val="32"/>
          <w:lang w:val="en-US" w:eastAsia="zh-CN"/>
        </w:rPr>
        <w:t>10万支的生产能力。项目总投资200万元，其中环保投资14万元。</w:t>
      </w:r>
    </w:p>
    <w:p w14:paraId="359B57A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z w:val="32"/>
          <w:szCs w:val="32"/>
          <w:lang w:val="en-US" w:eastAsia="zh-CN"/>
        </w:rPr>
        <w:t>项目经大英县发展和改革局备案同意（备案号：川投资备【</w:t>
      </w:r>
      <w:r>
        <w:rPr>
          <w:rFonts w:hint="default" w:ascii="Times New Roman" w:hAnsi="Times New Roman" w:eastAsia="仿宋" w:cs="Times New Roman"/>
          <w:color w:val="auto"/>
          <w:sz w:val="32"/>
          <w:szCs w:val="32"/>
          <w:lang w:val="en-US" w:eastAsia="zh-CN"/>
        </w:rPr>
        <w:t>2408-510923-04-01-232570】FGQB-0244</w:t>
      </w:r>
      <w:r>
        <w:rPr>
          <w:rFonts w:hint="eastAsia" w:ascii="仿宋" w:hAnsi="仿宋" w:eastAsia="仿宋" w:cs="仿宋"/>
          <w:color w:val="auto"/>
          <w:sz w:val="32"/>
          <w:szCs w:val="32"/>
          <w:lang w:val="en-US" w:eastAsia="zh-CN"/>
        </w:rPr>
        <w:t>号），属于未列入《产业结构调整指导目录（</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年本）》中的允许类项目。项目建设选址的四川大英经济开发区，已开展规划环评并取得审查意见（川环建函〔</w:t>
      </w:r>
      <w:r>
        <w:rPr>
          <w:rFonts w:hint="eastAsia" w:ascii="Times New Roman" w:hAnsi="Times New Roman" w:eastAsia="仿宋" w:cs="Times New Roman"/>
          <w:color w:val="auto"/>
          <w:sz w:val="32"/>
          <w:szCs w:val="32"/>
          <w:lang w:val="en-US" w:eastAsia="zh-CN"/>
        </w:rPr>
        <w:t>2019〕48</w:t>
      </w:r>
      <w:r>
        <w:rPr>
          <w:rFonts w:hint="eastAsia" w:ascii="仿宋" w:hAnsi="仿宋" w:eastAsia="仿宋" w:cs="仿宋"/>
          <w:color w:val="auto"/>
          <w:sz w:val="32"/>
          <w:szCs w:val="32"/>
          <w:lang w:val="en-US" w:eastAsia="zh-CN"/>
        </w:rPr>
        <w:t>号）。《报告表》认为该项目建设符合国家产</w:t>
      </w:r>
    </w:p>
    <w:p w14:paraId="33B93BA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val="en-US" w:eastAsia="zh-CN"/>
        </w:rPr>
        <w:t>业政策，选址符合相关规划和规划环评相关要求。</w:t>
      </w:r>
    </w:p>
    <w:p w14:paraId="79BD4A7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2A9277A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63F3228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生态环境保护措施，强化环保设施的日常管理和维护，确保环保设施正常运行及各类污染物稳定达标排放。制定并不断完善突发环境事件应急预案，规范内部管理，严格操作规范，定期开展自行监测，防止污染事故的发生。</w:t>
      </w:r>
    </w:p>
    <w:p w14:paraId="39830AA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（二）落实废气治理措施。</w:t>
      </w:r>
      <w:r>
        <w:rPr>
          <w:rFonts w:hint="eastAsia" w:ascii="仿宋" w:hAnsi="仿宋" w:eastAsia="仿宋" w:cs="仿宋"/>
          <w:color w:val="auto"/>
          <w:sz w:val="32"/>
          <w:szCs w:val="32"/>
          <w:lang w:val="en-US" w:eastAsia="zh-CN"/>
        </w:rPr>
        <w:t>抛光区设置在密闭房间内，打磨粉尘经设置在抛光机上方集气罩收集后，经袋式除尘器处理后通过</w:t>
      </w:r>
      <w:r>
        <w:rPr>
          <w:rFonts w:hint="default" w:ascii="Times New Roman" w:hAnsi="Times New Roman" w:eastAsia="仿宋" w:cs="Times New Roman"/>
          <w:color w:val="auto"/>
          <w:sz w:val="32"/>
          <w:szCs w:val="32"/>
          <w:lang w:val="en-US" w:eastAsia="zh-CN"/>
        </w:rPr>
        <w:t>1根15m高排气筒（DA001）</w:t>
      </w:r>
      <w:r>
        <w:rPr>
          <w:rFonts w:hint="eastAsia" w:ascii="仿宋" w:hAnsi="仿宋" w:eastAsia="仿宋" w:cs="仿宋"/>
          <w:color w:val="auto"/>
          <w:sz w:val="32"/>
          <w:szCs w:val="32"/>
          <w:lang w:val="en-US" w:eastAsia="zh-CN"/>
        </w:rPr>
        <w:t>排放；离子渗入工序设置在密闭车间内，产生的废气采用“密闭管道+集气罩”废气捕集方式进行收集，经“碱液喷淋+酸液喷淋”系统处理后通过</w:t>
      </w:r>
      <w:r>
        <w:rPr>
          <w:rFonts w:hint="default" w:ascii="Times New Roman" w:hAnsi="Times New Roman" w:eastAsia="仿宋" w:cs="Times New Roman"/>
          <w:color w:val="auto"/>
          <w:sz w:val="32"/>
          <w:szCs w:val="32"/>
          <w:lang w:val="en-US" w:eastAsia="zh-CN"/>
        </w:rPr>
        <w:t>1根25m</w:t>
      </w:r>
      <w:r>
        <w:rPr>
          <w:rFonts w:hint="eastAsia" w:ascii="仿宋" w:hAnsi="仿宋" w:eastAsia="仿宋" w:cs="仿宋"/>
          <w:color w:val="auto"/>
          <w:sz w:val="32"/>
          <w:szCs w:val="32"/>
          <w:lang w:val="en-US" w:eastAsia="zh-CN"/>
        </w:rPr>
        <w:t>高排气筒（</w:t>
      </w:r>
      <w:r>
        <w:rPr>
          <w:rFonts w:hint="eastAsia" w:ascii="Times New Roman" w:hAnsi="Times New Roman" w:eastAsia="仿宋" w:cs="Times New Roman"/>
          <w:color w:val="auto"/>
          <w:sz w:val="32"/>
          <w:szCs w:val="32"/>
          <w:lang w:val="en-US" w:eastAsia="zh-CN"/>
        </w:rPr>
        <w:t>DA002</w:t>
      </w:r>
      <w:r>
        <w:rPr>
          <w:rFonts w:hint="eastAsia" w:ascii="仿宋" w:hAnsi="仿宋" w:eastAsia="仿宋" w:cs="仿宋"/>
          <w:color w:val="auto"/>
          <w:sz w:val="32"/>
          <w:szCs w:val="32"/>
          <w:lang w:val="en-US" w:eastAsia="zh-CN"/>
        </w:rPr>
        <w:t>）排放。</w:t>
      </w:r>
    </w:p>
    <w:p w14:paraId="603B4E0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（三）落实废水处理措施。</w:t>
      </w:r>
      <w:r>
        <w:rPr>
          <w:rFonts w:hint="eastAsia" w:ascii="仿宋" w:hAnsi="仿宋" w:eastAsia="仿宋" w:cs="仿宋"/>
          <w:color w:val="auto"/>
          <w:sz w:val="32"/>
          <w:szCs w:val="32"/>
          <w:lang w:val="en-US" w:eastAsia="zh-CN"/>
        </w:rPr>
        <w:t>喷淋塔废水经处理后回用于喷淋塔或零部件清洗；工件清洗废水循环使用；生活废水经已建预处理池处理后通过园区污水管网输送至大英县工业污水处理厂处理达标后排放。</w:t>
      </w:r>
    </w:p>
    <w:p w14:paraId="208CA46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固体废物按要求落实分类收集、贮存、运输及处置措施。废包装材料、废边角料、除尘器收集粉尘收集后外售；生活垃圾收集后交由环卫部门处置；废润滑油、废含油纱布及油桶、离子渗入渣、压滤废渣等危险废物分类收集后贮存于危废暂存间，定期交由有资质的单位处理，转移过程严格落实《危险废物转移管理办法》。</w:t>
      </w:r>
    </w:p>
    <w:p w14:paraId="1C9D430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eastAsia" w:ascii="仿宋" w:hAnsi="仿宋" w:eastAsia="仿宋" w:cs="仿宋"/>
          <w:color w:val="auto"/>
          <w:sz w:val="32"/>
          <w:szCs w:val="32"/>
          <w:lang w:val="en-US" w:eastAsia="zh-CN"/>
        </w:rPr>
        <w:t>主要噪声源应合理布局，在设备选型上应优选低噪声设备，采取隔声、减振、消声等措施，同时加强机械设备的日常维护，确保满足《工业企业厂界环境噪声排放标准》（</w:t>
      </w:r>
      <w:r>
        <w:rPr>
          <w:rFonts w:hint="default" w:ascii="Times New Roman" w:hAnsi="Times New Roman" w:eastAsia="仿宋" w:cs="Times New Roman"/>
          <w:color w:val="auto"/>
          <w:sz w:val="32"/>
          <w:szCs w:val="32"/>
          <w:lang w:val="en-US" w:eastAsia="zh-CN"/>
        </w:rPr>
        <w:t>GB12348-2008）中的3</w:t>
      </w:r>
      <w:r>
        <w:rPr>
          <w:rFonts w:hint="eastAsia" w:ascii="仿宋" w:hAnsi="仿宋" w:eastAsia="仿宋" w:cs="仿宋"/>
          <w:color w:val="auto"/>
          <w:sz w:val="32"/>
          <w:szCs w:val="32"/>
          <w:lang w:val="en-US" w:eastAsia="zh-CN"/>
        </w:rPr>
        <w:t>类声环境功能区排放限值的要求。</w:t>
      </w:r>
    </w:p>
    <w:p w14:paraId="6C825AB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危险废物暂存间、清洗槽、废水处理设施设置处进行重点防渗；喷淋塔设置处、易制爆仓库、离子渗入车间等生产区域进行一般防渗；抛光区、校直区、原材料堆放、成品仓库等区域进行简单防渗。</w:t>
      </w:r>
    </w:p>
    <w:p w14:paraId="53072A6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三、污染物排放总量</w:t>
      </w:r>
    </w:p>
    <w:p w14:paraId="710D354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根据《报告表》预测，项目建成后主要大气污染物有组织排放总量为：颗粒物</w:t>
      </w:r>
      <w:r>
        <w:rPr>
          <w:rFonts w:hint="default" w:ascii="Times New Roman" w:hAnsi="Times New Roman" w:eastAsia="仿宋" w:cs="Times New Roman"/>
          <w:color w:val="auto"/>
          <w:sz w:val="32"/>
          <w:szCs w:val="32"/>
          <w:lang w:val="en-US" w:eastAsia="zh-CN"/>
        </w:rPr>
        <w:t>0.02 t/a</w:t>
      </w:r>
      <w:r>
        <w:rPr>
          <w:rFonts w:hint="eastAsia" w:ascii="仿宋" w:hAnsi="仿宋" w:eastAsia="仿宋" w:cs="仿宋"/>
          <w:color w:val="auto"/>
          <w:sz w:val="32"/>
          <w:szCs w:val="32"/>
          <w:lang w:val="en-US" w:eastAsia="zh-CN"/>
        </w:rPr>
        <w:t>；水污染物排放总量为：</w:t>
      </w:r>
      <w:r>
        <w:rPr>
          <w:rFonts w:hint="default" w:ascii="Times New Roman" w:hAnsi="Times New Roman" w:eastAsia="仿宋" w:cs="Times New Roman"/>
          <w:color w:val="auto"/>
          <w:sz w:val="32"/>
          <w:szCs w:val="32"/>
          <w:lang w:val="en-US" w:eastAsia="zh-CN"/>
        </w:rPr>
        <w:t>COD 0.04 t/a</w:t>
      </w:r>
      <w:r>
        <w:rPr>
          <w:rFonts w:hint="eastAsia" w:ascii="仿宋" w:hAnsi="仿宋" w:eastAsia="仿宋" w:cs="仿宋"/>
          <w:color w:val="auto"/>
          <w:sz w:val="32"/>
          <w:szCs w:val="32"/>
          <w:lang w:val="en-US" w:eastAsia="zh-CN"/>
        </w:rPr>
        <w:t>，氨氮</w:t>
      </w:r>
      <w:r>
        <w:rPr>
          <w:rFonts w:hint="eastAsia" w:ascii="Times New Roman" w:hAnsi="Times New Roman" w:eastAsia="仿宋" w:cs="Times New Roman"/>
          <w:color w:val="auto"/>
          <w:sz w:val="32"/>
          <w:szCs w:val="32"/>
          <w:lang w:val="en-US" w:eastAsia="zh-CN"/>
        </w:rPr>
        <w:t>0.003 t/a</w:t>
      </w:r>
      <w:r>
        <w:rPr>
          <w:rFonts w:hint="eastAsia" w:ascii="仿宋" w:hAnsi="仿宋" w:eastAsia="仿宋" w:cs="仿宋"/>
          <w:color w:val="auto"/>
          <w:sz w:val="32"/>
          <w:szCs w:val="32"/>
          <w:lang w:val="en-US" w:eastAsia="zh-CN"/>
        </w:rPr>
        <w:t>，总磷</w:t>
      </w:r>
      <w:r>
        <w:rPr>
          <w:rFonts w:hint="eastAsia" w:ascii="Times New Roman" w:hAnsi="Times New Roman" w:eastAsia="仿宋" w:cs="Times New Roman"/>
          <w:color w:val="auto"/>
          <w:sz w:val="32"/>
          <w:szCs w:val="32"/>
          <w:lang w:val="en-US" w:eastAsia="zh-CN"/>
        </w:rPr>
        <w:t>0.0006 t/a</w:t>
      </w:r>
      <w:r>
        <w:rPr>
          <w:rFonts w:hint="eastAsia" w:ascii="仿宋" w:hAnsi="仿宋" w:eastAsia="仿宋" w:cs="仿宋"/>
          <w:color w:val="auto"/>
          <w:sz w:val="32"/>
          <w:szCs w:val="32"/>
          <w:lang w:val="en-US" w:eastAsia="zh-CN"/>
        </w:rPr>
        <w:t>（进入大英县工业污水处理厂的量）。</w:t>
      </w:r>
    </w:p>
    <w:p w14:paraId="2076784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仿宋" w:hAnsi="仿宋" w:eastAsia="仿宋" w:cs="仿宋"/>
          <w:color w:val="auto"/>
          <w:sz w:val="32"/>
          <w:szCs w:val="32"/>
          <w:lang w:val="en-US" w:eastAsia="zh-CN"/>
        </w:rPr>
        <w:t>项目开工建设前，应依法完备其他行政许可手续。</w:t>
      </w:r>
    </w:p>
    <w:p w14:paraId="786349B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五、排污许可和环保验收</w:t>
      </w:r>
    </w:p>
    <w:p w14:paraId="46125F2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1D27BFD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4A8492C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六、其他规定</w:t>
      </w:r>
    </w:p>
    <w:p w14:paraId="3570807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5年</w:t>
      </w:r>
      <w:r>
        <w:rPr>
          <w:rFonts w:hint="eastAsia" w:ascii="仿宋" w:hAnsi="仿宋" w:eastAsia="仿宋" w:cs="仿宋"/>
          <w:color w:val="auto"/>
          <w:sz w:val="32"/>
          <w:szCs w:val="32"/>
          <w:lang w:val="en-US" w:eastAsia="zh-CN"/>
        </w:rPr>
        <w:t>方决定开工建设，环境影响评价文件应当报我局重新审核。</w:t>
      </w:r>
    </w:p>
    <w:p w14:paraId="05F4C9EA">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5"/>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58396B8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4</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2</w:t>
      </w:r>
      <w:r>
        <w:rPr>
          <w:rFonts w:hint="eastAsia" w:ascii="仿宋" w:hAnsi="仿宋" w:eastAsia="仿宋" w:cs="仿宋"/>
          <w:spacing w:val="-6"/>
          <w:sz w:val="32"/>
          <w:szCs w:val="32"/>
          <w:lang w:val="en-US" w:eastAsia="zh-CN"/>
        </w:rPr>
        <w:t xml:space="preserve">日        </w:t>
      </w: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5"/>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135A">
    <w:pPr>
      <w:pStyle w:val="15"/>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BF65C">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72EBF65C">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4443">
    <w:pPr>
      <w:pStyle w:val="15"/>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9F2CB">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7B79F2CB">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1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2506CA"/>
    <w:rsid w:val="0C4C2651"/>
    <w:rsid w:val="0C8F3D96"/>
    <w:rsid w:val="0CE91A4F"/>
    <w:rsid w:val="0ED62150"/>
    <w:rsid w:val="0F410220"/>
    <w:rsid w:val="0F5D7B56"/>
    <w:rsid w:val="0F926D2E"/>
    <w:rsid w:val="0FB35FED"/>
    <w:rsid w:val="10632F32"/>
    <w:rsid w:val="108B04C2"/>
    <w:rsid w:val="10D95F27"/>
    <w:rsid w:val="10FC434A"/>
    <w:rsid w:val="1142587A"/>
    <w:rsid w:val="11553800"/>
    <w:rsid w:val="12011292"/>
    <w:rsid w:val="1257764D"/>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CC1635"/>
    <w:rsid w:val="1C3F7586"/>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121B7F"/>
    <w:rsid w:val="29BD7D3C"/>
    <w:rsid w:val="29E46919"/>
    <w:rsid w:val="2A1F2C38"/>
    <w:rsid w:val="2A2D6A04"/>
    <w:rsid w:val="2A784B2D"/>
    <w:rsid w:val="2A785045"/>
    <w:rsid w:val="2AAB5339"/>
    <w:rsid w:val="2AC24BA7"/>
    <w:rsid w:val="2B79362F"/>
    <w:rsid w:val="2B8C4F39"/>
    <w:rsid w:val="2B9E2295"/>
    <w:rsid w:val="2BB84C5F"/>
    <w:rsid w:val="2C5A1872"/>
    <w:rsid w:val="2C8B41B2"/>
    <w:rsid w:val="2CBF1BAC"/>
    <w:rsid w:val="2CFA5D9C"/>
    <w:rsid w:val="2DC309C3"/>
    <w:rsid w:val="2DED6716"/>
    <w:rsid w:val="2E07339C"/>
    <w:rsid w:val="2EFC29C4"/>
    <w:rsid w:val="2F1C72B3"/>
    <w:rsid w:val="2F57550A"/>
    <w:rsid w:val="2FC71794"/>
    <w:rsid w:val="2FF41FDE"/>
    <w:rsid w:val="310F7B8F"/>
    <w:rsid w:val="31224929"/>
    <w:rsid w:val="31442D31"/>
    <w:rsid w:val="31774C75"/>
    <w:rsid w:val="31F50C2D"/>
    <w:rsid w:val="31FD6612"/>
    <w:rsid w:val="32C1089D"/>
    <w:rsid w:val="32EB3B6C"/>
    <w:rsid w:val="33351A68"/>
    <w:rsid w:val="33775400"/>
    <w:rsid w:val="33F01C8F"/>
    <w:rsid w:val="34047828"/>
    <w:rsid w:val="343706EB"/>
    <w:rsid w:val="344C063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A87E0A"/>
    <w:rsid w:val="38C236CA"/>
    <w:rsid w:val="39116741"/>
    <w:rsid w:val="3965276B"/>
    <w:rsid w:val="39E83924"/>
    <w:rsid w:val="3A110B07"/>
    <w:rsid w:val="3A2A31CC"/>
    <w:rsid w:val="3B2522B6"/>
    <w:rsid w:val="3B313DE1"/>
    <w:rsid w:val="3B495557"/>
    <w:rsid w:val="3B7918F6"/>
    <w:rsid w:val="3B9603ED"/>
    <w:rsid w:val="3BD232AA"/>
    <w:rsid w:val="3BE84298"/>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1302D9"/>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702373"/>
    <w:rsid w:val="5A9803FD"/>
    <w:rsid w:val="5AAB75B9"/>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866F70"/>
    <w:rsid w:val="68AF64C7"/>
    <w:rsid w:val="692F54EF"/>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54DFD"/>
    <w:rsid w:val="714B060F"/>
    <w:rsid w:val="71B27028"/>
    <w:rsid w:val="724B2FD5"/>
    <w:rsid w:val="72774C9A"/>
    <w:rsid w:val="727C1767"/>
    <w:rsid w:val="72B86D8A"/>
    <w:rsid w:val="72C65FB9"/>
    <w:rsid w:val="72F86CBC"/>
    <w:rsid w:val="73C80D84"/>
    <w:rsid w:val="740B7313"/>
    <w:rsid w:val="746F0F41"/>
    <w:rsid w:val="74AF784E"/>
    <w:rsid w:val="74B80DF9"/>
    <w:rsid w:val="74C657DF"/>
    <w:rsid w:val="74DF1EE2"/>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9E166FC"/>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2C3CBE"/>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10">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11">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header"/>
    <w:basedOn w:val="1"/>
    <w:next w:val="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next w:val="9"/>
    <w:autoRedefine/>
    <w:qFormat/>
    <w:uiPriority w:val="0"/>
    <w:pPr>
      <w:ind w:firstLine="510"/>
    </w:pPr>
  </w:style>
  <w:style w:type="paragraph" w:customStyle="1" w:styleId="6">
    <w:name w:val="样式3"/>
    <w:basedOn w:val="7"/>
    <w:next w:val="8"/>
    <w:autoRedefine/>
    <w:qFormat/>
    <w:uiPriority w:val="0"/>
    <w:pPr>
      <w:adjustRightInd w:val="0"/>
      <w:snapToGrid w:val="0"/>
      <w:spacing w:line="360" w:lineRule="auto"/>
      <w:ind w:firstLine="480" w:firstLineChars="200"/>
    </w:pPr>
    <w:rPr>
      <w:rFonts w:eastAsia="Times New Roman"/>
      <w:snapToGrid w:val="0"/>
      <w:color w:val="0000FF"/>
    </w:rPr>
  </w:style>
  <w:style w:type="paragraph" w:styleId="7">
    <w:name w:val="List"/>
    <w:basedOn w:val="1"/>
    <w:qFormat/>
    <w:uiPriority w:val="0"/>
    <w:pPr>
      <w:widowControl/>
      <w:spacing w:line="440" w:lineRule="exact"/>
      <w:ind w:left="200" w:hanging="200"/>
      <w:jc w:val="left"/>
    </w:pPr>
    <w:rPr>
      <w:kern w:val="0"/>
      <w:sz w:val="24"/>
      <w:szCs w:val="20"/>
    </w:rPr>
  </w:style>
  <w:style w:type="paragraph" w:styleId="8">
    <w:name w:val="Body Text"/>
    <w:basedOn w:val="1"/>
    <w:autoRedefine/>
    <w:qFormat/>
    <w:uiPriority w:val="0"/>
    <w:pPr>
      <w:ind w:left="120"/>
    </w:pPr>
    <w:rPr>
      <w:rFonts w:ascii="宋体" w:hAnsi="宋体"/>
      <w:sz w:val="32"/>
      <w:szCs w:val="32"/>
    </w:rPr>
  </w:style>
  <w:style w:type="paragraph" w:styleId="9">
    <w:name w:val="Body Text Indent 2"/>
    <w:basedOn w:val="1"/>
    <w:next w:val="1"/>
    <w:autoRedefine/>
    <w:qFormat/>
    <w:uiPriority w:val="0"/>
    <w:pPr>
      <w:adjustRightInd w:val="0"/>
      <w:snapToGrid w:val="0"/>
      <w:spacing w:line="440" w:lineRule="atLeast"/>
      <w:ind w:firstLine="573"/>
    </w:pPr>
    <w:rPr>
      <w:rFonts w:ascii="宋体"/>
    </w:rPr>
  </w:style>
  <w:style w:type="paragraph" w:styleId="12">
    <w:name w:val="List Number"/>
    <w:basedOn w:val="1"/>
    <w:autoRedefine/>
    <w:qFormat/>
    <w:uiPriority w:val="0"/>
    <w:pPr>
      <w:numPr>
        <w:ilvl w:val="0"/>
        <w:numId w:val="1"/>
      </w:numPr>
    </w:pPr>
  </w:style>
  <w:style w:type="paragraph" w:styleId="13">
    <w:name w:val="toa heading"/>
    <w:basedOn w:val="1"/>
    <w:next w:val="1"/>
    <w:autoRedefine/>
    <w:qFormat/>
    <w:uiPriority w:val="0"/>
    <w:pPr>
      <w:spacing w:before="120"/>
    </w:pPr>
    <w:rPr>
      <w:rFonts w:ascii="Arial" w:hAnsi="Arial" w:cs="Arial"/>
    </w:rPr>
  </w:style>
  <w:style w:type="paragraph" w:styleId="14">
    <w:name w:val="Plain Text"/>
    <w:basedOn w:val="1"/>
    <w:autoRedefine/>
    <w:qFormat/>
    <w:uiPriority w:val="0"/>
    <w:rPr>
      <w:rFonts w:ascii="宋体" w:hAnsi="Courier New" w:eastAsia="宋体" w:cs="Times New Roman"/>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toc 6"/>
    <w:basedOn w:val="1"/>
    <w:next w:val="1"/>
    <w:autoRedefine/>
    <w:qFormat/>
    <w:uiPriority w:val="0"/>
    <w:pPr>
      <w:ind w:left="2100"/>
    </w:pPr>
    <w:rPr>
      <w:rFonts w:ascii="楷体_GB2312" w:hAnsi="Calibri" w:eastAsia="楷体_GB2312"/>
    </w:rPr>
  </w:style>
  <w:style w:type="paragraph" w:styleId="17">
    <w:name w:val="table of figures"/>
    <w:basedOn w:val="1"/>
    <w:next w:val="1"/>
    <w:autoRedefine/>
    <w:qFormat/>
    <w:uiPriority w:val="0"/>
    <w:pPr>
      <w:ind w:left="200" w:leftChars="200" w:hanging="200" w:hangingChars="2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简单回函地址"/>
    <w:basedOn w:val="1"/>
    <w:next w:val="24"/>
    <w:autoRedefine/>
    <w:qFormat/>
    <w:uiPriority w:val="0"/>
    <w:rPr>
      <w:szCs w:val="20"/>
    </w:rPr>
  </w:style>
  <w:style w:type="paragraph" w:customStyle="1" w:styleId="24">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5">
    <w:name w:val="常用样式（方正仿宋简）"/>
    <w:basedOn w:val="26"/>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6">
    <w:name w:val="正文1"/>
    <w:next w:val="2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_Style 2"/>
    <w:basedOn w:val="1"/>
    <w:autoRedefine/>
    <w:qFormat/>
    <w:uiPriority w:val="34"/>
    <w:pPr>
      <w:ind w:firstLine="420" w:firstLineChars="200"/>
    </w:pPr>
  </w:style>
  <w:style w:type="paragraph" w:customStyle="1" w:styleId="28">
    <w:name w:val="正文文本1"/>
    <w:basedOn w:val="26"/>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31">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paragraph" w:customStyle="1" w:styleId="33">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4">
    <w:name w:val="font71"/>
    <w:basedOn w:val="21"/>
    <w:autoRedefine/>
    <w:qFormat/>
    <w:uiPriority w:val="0"/>
    <w:rPr>
      <w:rFonts w:hint="eastAsia" w:ascii="宋体" w:hAnsi="宋体" w:eastAsia="宋体" w:cs="宋体"/>
      <w:color w:val="000000"/>
      <w:sz w:val="22"/>
      <w:szCs w:val="22"/>
      <w:u w:val="none"/>
    </w:rPr>
  </w:style>
  <w:style w:type="paragraph" w:customStyle="1" w:styleId="35">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6">
    <w:name w:val="List Paragraph"/>
    <w:basedOn w:val="1"/>
    <w:autoRedefine/>
    <w:qFormat/>
    <w:uiPriority w:val="99"/>
    <w:pPr>
      <w:ind w:firstLine="420" w:firstLineChars="200"/>
    </w:pPr>
  </w:style>
  <w:style w:type="character" w:customStyle="1" w:styleId="37">
    <w:name w:val="font01"/>
    <w:basedOn w:val="21"/>
    <w:autoRedefine/>
    <w:qFormat/>
    <w:uiPriority w:val="0"/>
    <w:rPr>
      <w:rFonts w:hint="eastAsia" w:ascii="宋体" w:hAnsi="宋体" w:eastAsia="宋体" w:cs="宋体"/>
      <w:color w:val="000000"/>
      <w:sz w:val="16"/>
      <w:szCs w:val="16"/>
      <w:u w:val="none"/>
    </w:rPr>
  </w:style>
  <w:style w:type="paragraph" w:customStyle="1" w:styleId="38">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9">
    <w:name w:val="font11"/>
    <w:autoRedefine/>
    <w:qFormat/>
    <w:uiPriority w:val="0"/>
    <w:rPr>
      <w:rFonts w:ascii="宋体" w:eastAsia="宋体" w:cs="宋体"/>
      <w:color w:val="000000"/>
      <w:sz w:val="22"/>
      <w:szCs w:val="22"/>
      <w:u w:val="none"/>
      <w:lang w:bidi="ar-SA"/>
    </w:rPr>
  </w:style>
  <w:style w:type="paragraph" w:customStyle="1" w:styleId="40">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0</TotalTime>
  <ScaleCrop>false</ScaleCrop>
  <LinksUpToDate>false</LinksUpToDate>
  <CharactersWithSpaces>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2024-10-23T03:35:00Z</cp:lastPrinted>
  <dcterms:modified xsi:type="dcterms:W3CDTF">2025-04-03T03:58:56Z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